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3CCBBC" w14:textId="77777777"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14:paraId="5560C104" w14:textId="77777777" w:rsidR="00CA26B1" w:rsidRPr="00CA26B1" w:rsidRDefault="00CA26B1" w:rsidP="00927027">
      <w:pPr>
        <w:contextualSpacing/>
        <w:jc w:val="center"/>
        <w:rPr>
          <w:rFonts w:cstheme="minorHAnsi"/>
          <w:i/>
          <w:noProof/>
        </w:rPr>
      </w:pPr>
      <w:r w:rsidRPr="00CA26B1">
        <w:rPr>
          <w:rFonts w:cstheme="minorHAnsi"/>
          <w:i/>
          <w:noProof/>
        </w:rPr>
        <w:t>Last Updated 12/3/13</w:t>
      </w:r>
    </w:p>
    <w:p w14:paraId="7BD9887F" w14:textId="77777777" w:rsidR="00797624" w:rsidRDefault="00797624" w:rsidP="00105D8B">
      <w:pPr>
        <w:contextualSpacing/>
        <w:rPr>
          <w:rFonts w:cstheme="minorHAnsi"/>
          <w:b/>
          <w:noProof/>
        </w:rPr>
      </w:pPr>
    </w:p>
    <w:p w14:paraId="63566C5E" w14:textId="559BAD04"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AE01B2">
            <w:rPr>
              <w:rStyle w:val="Style1"/>
            </w:rPr>
            <w:t>0695</w:t>
          </w:r>
        </w:sdtContent>
      </w:sdt>
    </w:p>
    <w:p w14:paraId="05883249" w14:textId="099F1913"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Pr>
              <w:id w:val="598992028"/>
              <w:placeholder>
                <w:docPart w:val="918A7CBE42644BFAA7D3E074B7510853"/>
              </w:placeholder>
            </w:sdtPr>
            <w:sdtEndPr>
              <w:rPr>
                <w:rStyle w:val="DefaultParagraphFont"/>
                <w:noProof/>
                <w:color w:val="auto"/>
              </w:rPr>
            </w:sdtEndPr>
            <w:sdtContent>
              <w:r w:rsidR="00AE01B2" w:rsidRPr="00AE01B2">
                <w:rPr>
                  <w:rFonts w:cs="Times New Roman"/>
                  <w:sz w:val="24"/>
                  <w:szCs w:val="24"/>
                </w:rPr>
                <w:t>Hospital 30-Day Risk-Standardized Readmission Rates following Percutaneous Coronary Intervention (PCI)</w:t>
              </w:r>
            </w:sdtContent>
          </w:sdt>
        </w:sdtContent>
      </w:sdt>
    </w:p>
    <w:p w14:paraId="54FDCFB8" w14:textId="66E78A96"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4-02-05T00:00:00Z">
            <w:dateFormat w:val="M/d/yyyy"/>
            <w:lid w:val="en-US"/>
            <w:storeMappedDataAs w:val="dateTime"/>
            <w:calendar w:val="gregorian"/>
          </w:date>
        </w:sdtPr>
        <w:sdtEndPr>
          <w:rPr>
            <w:rStyle w:val="DefaultParagraphFont"/>
            <w:noProof/>
            <w:color w:val="auto"/>
            <w:u w:val="none"/>
          </w:rPr>
        </w:sdtEndPr>
        <w:sdtContent>
          <w:r w:rsidR="00715709">
            <w:rPr>
              <w:rStyle w:val="Style2"/>
              <w:rFonts w:cstheme="minorHAnsi"/>
            </w:rPr>
            <w:t>2/5/2014</w:t>
          </w:r>
        </w:sdtContent>
      </w:sdt>
    </w:p>
    <w:p w14:paraId="28169E56" w14:textId="77777777"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14:paraId="613E6E5E" w14:textId="77777777" w:rsidTr="00C8458C">
        <w:trPr>
          <w:trHeight w:val="53"/>
          <w:jc w:val="center"/>
        </w:trPr>
        <w:tc>
          <w:tcPr>
            <w:tcW w:w="2547" w:type="pct"/>
            <w:vAlign w:val="center"/>
          </w:tcPr>
          <w:p w14:paraId="06C51094" w14:textId="77777777" w:rsidR="00CD364B" w:rsidRPr="00B82A57" w:rsidRDefault="0008757D" w:rsidP="00C8458C">
            <w:pPr>
              <w:autoSpaceDE w:val="0"/>
              <w:autoSpaceDN w:val="0"/>
              <w:adjustRightInd w:val="0"/>
              <w:rPr>
                <w:rFonts w:cstheme="minorHAnsi"/>
                <w:bCs/>
              </w:rPr>
            </w:pPr>
            <w:sdt>
              <w:sdtPr>
                <w:rPr>
                  <w:rFonts w:cstheme="minorHAnsi"/>
                  <w:bCs/>
                  <w:color w:val="0000FF"/>
                </w:rPr>
                <w:id w:val="-1406217088"/>
                <w14:checkbox>
                  <w14:checked w14:val="0"/>
                  <w14:checkedState w14:val="2612" w14:font="メイリオ"/>
                  <w14:uncheckedState w14:val="2610" w14:font="メイリオ"/>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14:paraId="5119AE3E" w14:textId="77777777" w:rsidR="00CD364B" w:rsidRPr="00B82A57" w:rsidRDefault="0008757D"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メイリオ"/>
                  <w14:uncheckedState w14:val="2610" w14:font="メイリオ"/>
                </w14:checkbox>
              </w:sdtPr>
              <w:sdtContent>
                <w:r w:rsidR="00A27FDC">
                  <w:rPr>
                    <w:rFonts w:ascii="Meiryo" w:eastAsia="Meiryo" w:hAnsi="Meiryo" w:cs="Meiryo"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14:paraId="3A3C4D8E" w14:textId="77777777" w:rsidTr="000B3880">
        <w:trPr>
          <w:jc w:val="center"/>
        </w:trPr>
        <w:tc>
          <w:tcPr>
            <w:tcW w:w="2547" w:type="pct"/>
          </w:tcPr>
          <w:p w14:paraId="331CF0EE" w14:textId="77777777" w:rsidR="00CD364B" w:rsidRPr="00B82A57" w:rsidRDefault="0008757D"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メイリオ"/>
                  <w14:uncheckedState w14:val="2610" w14:font="メイリオ"/>
                </w14:checkbox>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14:paraId="785399B3" w14:textId="77777777" w:rsidR="00CD364B" w:rsidRPr="00B82A57" w:rsidRDefault="0008757D"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メイリオ"/>
                  <w14:uncheckedState w14:val="2610" w14:font="メイリオ"/>
                </w14:checkbox>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14:paraId="2F913E76" w14:textId="77777777" w:rsidTr="000B3880">
        <w:trPr>
          <w:jc w:val="center"/>
        </w:trPr>
        <w:tc>
          <w:tcPr>
            <w:tcW w:w="2547" w:type="pct"/>
          </w:tcPr>
          <w:p w14:paraId="36781F39" w14:textId="77777777" w:rsidR="00CD364B" w:rsidRPr="00B82A57" w:rsidRDefault="0008757D"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メイリオ"/>
                  <w14:uncheckedState w14:val="2610" w14:font="メイリオ"/>
                </w14:checkbox>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14:paraId="395290FE" w14:textId="77777777" w:rsidR="00CD364B" w:rsidRPr="00B82A57" w:rsidRDefault="0008757D"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メイリオ"/>
                  <w14:uncheckedState w14:val="2610" w14:font="メイリオ"/>
                </w14:checkbox>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14:paraId="7215F4B4"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14:paraId="32B7A215" w14:textId="77777777" w:rsidTr="00145149">
        <w:trPr>
          <w:jc w:val="center"/>
        </w:trPr>
        <w:tc>
          <w:tcPr>
            <w:tcW w:w="9576" w:type="dxa"/>
          </w:tcPr>
          <w:p w14:paraId="4F59944D" w14:textId="77777777" w:rsidR="00B53E8B" w:rsidRPr="00B53E8B" w:rsidRDefault="00B53E8B" w:rsidP="00B53E8B">
            <w:pPr>
              <w:rPr>
                <w:rFonts w:cstheme="minorHAnsi"/>
                <w:b/>
                <w:noProof/>
              </w:rPr>
            </w:pPr>
            <w:r w:rsidRPr="00B53E8B">
              <w:rPr>
                <w:rFonts w:cstheme="minorHAnsi"/>
                <w:b/>
                <w:noProof/>
              </w:rPr>
              <w:t>Instructions</w:t>
            </w:r>
          </w:p>
          <w:p w14:paraId="3A9B3201"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6EDA16A5" w14:textId="77777777"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14:paraId="3FA3A051" w14:textId="77777777"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14:paraId="034A1E51" w14:textId="77777777"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14:paraId="4D79C990" w14:textId="77777777"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543685B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4AB567C5" w14:textId="77777777"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2C5ACEAE" w14:textId="77777777"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14:paraId="49D1D44C"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14:paraId="1FC51D85" w14:textId="77777777" w:rsidTr="00145149">
        <w:trPr>
          <w:jc w:val="center"/>
        </w:trPr>
        <w:tc>
          <w:tcPr>
            <w:tcW w:w="9576" w:type="dxa"/>
          </w:tcPr>
          <w:p w14:paraId="11CA4B31" w14:textId="77777777"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14:paraId="33829CF4" w14:textId="77777777"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14:paraId="1456608F" w14:textId="77777777"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6309708E" w14:textId="77777777" w:rsidR="00145149" w:rsidRPr="000F034A" w:rsidRDefault="00145149" w:rsidP="00145149">
            <w:pPr>
              <w:rPr>
                <w:rFonts w:cstheme="minorHAnsi"/>
              </w:rPr>
            </w:pPr>
            <w:bookmarkStart w:id="0" w:name="_Toc256067249"/>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14:paraId="7C2FD8D7" w14:textId="77777777" w:rsidR="00145149" w:rsidRPr="000F034A" w:rsidRDefault="00145149" w:rsidP="00145149">
            <w:pPr>
              <w:rPr>
                <w:rFonts w:cstheme="minorHAnsi"/>
                <w:b/>
              </w:rPr>
            </w:pPr>
            <w:r w:rsidRPr="000F034A">
              <w:rPr>
                <w:rFonts w:cstheme="minorHAnsi"/>
                <w:b/>
              </w:rPr>
              <w:t xml:space="preserve">AND </w:t>
            </w:r>
          </w:p>
          <w:p w14:paraId="529EA777" w14:textId="77777777"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1E165EAD" w14:textId="77777777" w:rsidR="00145149" w:rsidRPr="000F034A" w:rsidRDefault="00145149" w:rsidP="00145149">
            <w:pPr>
              <w:rPr>
                <w:rFonts w:cstheme="minorHAnsi"/>
              </w:rPr>
            </w:pPr>
            <w:bookmarkStart w:id="1" w:name="_Toc256067250"/>
            <w:r w:rsidRPr="000F034A">
              <w:rPr>
                <w:rFonts w:cstheme="minorHAnsi"/>
                <w:b/>
                <w:bCs/>
              </w:rPr>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5B3AD71B" w14:textId="77777777" w:rsidR="00145149" w:rsidRPr="000F034A" w:rsidRDefault="00145149" w:rsidP="00145149">
            <w:pPr>
              <w:numPr>
                <w:ilvl w:val="0"/>
                <w:numId w:val="26"/>
              </w:numPr>
              <w:ind w:left="0" w:firstLine="0"/>
              <w:rPr>
                <w:rFonts w:cstheme="minorHAnsi"/>
              </w:rPr>
            </w:pPr>
            <w:r w:rsidRPr="000F034A">
              <w:rPr>
                <w:rFonts w:cstheme="minorHAnsi"/>
                <w:b/>
              </w:rPr>
              <w:lastRenderedPageBreak/>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7B5B12DA" w14:textId="77777777" w:rsidR="00145149" w:rsidRPr="000F034A" w:rsidRDefault="00145149" w:rsidP="00145149">
            <w:pPr>
              <w:rPr>
                <w:rFonts w:cstheme="minorHAnsi"/>
                <w:b/>
              </w:rPr>
            </w:pPr>
            <w:r w:rsidRPr="000F034A">
              <w:rPr>
                <w:rFonts w:cstheme="minorHAnsi"/>
                <w:b/>
              </w:rPr>
              <w:t>OR</w:t>
            </w:r>
          </w:p>
          <w:p w14:paraId="6FEF328C"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bookmarkEnd w:id="1"/>
          <w:p w14:paraId="49BAF00F" w14:textId="77777777"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239858A7" w14:textId="77777777" w:rsidR="00145149" w:rsidRPr="000F034A" w:rsidRDefault="00145149" w:rsidP="00145149">
            <w:pPr>
              <w:rPr>
                <w:rFonts w:cstheme="minorHAnsi"/>
              </w:rPr>
            </w:pPr>
            <w:r w:rsidRPr="000F034A">
              <w:rPr>
                <w:rFonts w:cstheme="minorHAnsi"/>
                <w:b/>
              </w:rPr>
              <w:t>OR</w:t>
            </w:r>
          </w:p>
          <w:p w14:paraId="268DB30B"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582B39E" w14:textId="77777777"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3B59BA55" w14:textId="77777777"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0"/>
          <w:p w14:paraId="5E9996B7"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4537C8D1"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81FC7B5" w14:textId="77777777"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463D0CB2"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2F1CED5E"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3CB0DC9" w14:textId="77777777"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14:paraId="1FDC9B4F" w14:textId="77777777"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14:paraId="6D3EDD85" w14:textId="77777777"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680A47DD" w14:textId="77777777" w:rsidR="00BC0D25" w:rsidRDefault="00BC0D25" w:rsidP="00702C73">
      <w:pPr>
        <w:spacing w:after="0" w:line="240" w:lineRule="auto"/>
        <w:rPr>
          <w:rFonts w:cstheme="minorHAnsi"/>
          <w:noProof/>
        </w:rPr>
      </w:pPr>
    </w:p>
    <w:p w14:paraId="0E9582D7" w14:textId="77777777" w:rsidR="00E27240" w:rsidRPr="00A25024" w:rsidRDefault="002B5016" w:rsidP="008A403A">
      <w:pPr>
        <w:spacing w:after="0" w:line="240" w:lineRule="auto"/>
        <w:rPr>
          <w:rFonts w:cstheme="minorHAnsi"/>
          <w:b/>
          <w:noProof/>
        </w:rPr>
      </w:pPr>
      <w:r>
        <w:rPr>
          <w:rFonts w:cstheme="minorHAnsi"/>
          <w:b/>
          <w:noProof/>
        </w:rPr>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18C93851"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7A823677" w14:textId="77777777" w:rsidR="000574AB" w:rsidRPr="00A25024" w:rsidRDefault="000574AB" w:rsidP="008A403A">
      <w:pPr>
        <w:spacing w:after="0" w:line="240" w:lineRule="auto"/>
        <w:rPr>
          <w:rFonts w:cstheme="minorHAnsi"/>
          <w:noProof/>
        </w:rPr>
      </w:pPr>
    </w:p>
    <w:p w14:paraId="70707886" w14:textId="77777777" w:rsidR="00A01494" w:rsidRDefault="002B5016" w:rsidP="00DB3627">
      <w:pPr>
        <w:autoSpaceDE w:val="0"/>
        <w:autoSpaceDN w:val="0"/>
        <w:adjustRightInd w:val="0"/>
        <w:spacing w:after="0" w:line="240" w:lineRule="auto"/>
        <w:rPr>
          <w:rFonts w:cstheme="minorHAnsi"/>
          <w:bCs/>
        </w:rPr>
      </w:pPr>
      <w:r>
        <w:rPr>
          <w:rFonts w:cstheme="minorHAnsi"/>
          <w:b/>
          <w:bCs/>
        </w:rPr>
        <w:lastRenderedPageBreak/>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14:paraId="6C402480" w14:textId="77777777" w:rsidTr="0014773C">
        <w:trPr>
          <w:jc w:val="center"/>
        </w:trPr>
        <w:tc>
          <w:tcPr>
            <w:tcW w:w="5208" w:type="dxa"/>
            <w:shd w:val="clear" w:color="auto" w:fill="D9D9D9" w:themeFill="background1" w:themeFillShade="D9"/>
          </w:tcPr>
          <w:p w14:paraId="25CCB24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38E0228A" w14:textId="77777777"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14:paraId="0999CC52"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78EDD86A" w14:textId="77777777" w:rsidTr="0014773C">
        <w:trPr>
          <w:jc w:val="center"/>
        </w:trPr>
        <w:tc>
          <w:tcPr>
            <w:tcW w:w="5208" w:type="dxa"/>
          </w:tcPr>
          <w:p w14:paraId="73C543F9" w14:textId="77777777" w:rsidR="00A01494" w:rsidRPr="00A01494" w:rsidRDefault="0008757D"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メイリオ"/>
                  <w14:uncheckedState w14:val="2610" w14:font="メイリオ"/>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71CDA2DC" w14:textId="77777777" w:rsidR="00A01494" w:rsidRPr="00A01494" w:rsidRDefault="0008757D"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メイリオ"/>
                  <w14:uncheckedState w14:val="2610" w14:font="メイリオ"/>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32AEF105" w14:textId="77777777" w:rsidTr="0014773C">
        <w:trPr>
          <w:jc w:val="center"/>
        </w:trPr>
        <w:tc>
          <w:tcPr>
            <w:tcW w:w="5208" w:type="dxa"/>
          </w:tcPr>
          <w:p w14:paraId="57945C82" w14:textId="77777777" w:rsidR="00A01494" w:rsidRPr="00A01494" w:rsidRDefault="0008757D" w:rsidP="00DB3627">
            <w:pPr>
              <w:autoSpaceDE w:val="0"/>
              <w:autoSpaceDN w:val="0"/>
              <w:adjustRightInd w:val="0"/>
              <w:rPr>
                <w:rFonts w:cstheme="minorHAnsi"/>
                <w:bCs/>
              </w:rPr>
            </w:pPr>
            <w:sdt>
              <w:sdtPr>
                <w:rPr>
                  <w:rFonts w:cstheme="minorHAnsi"/>
                  <w:bCs/>
                  <w:color w:val="0000FF"/>
                </w:rPr>
                <w:id w:val="560149406"/>
                <w14:checkbox>
                  <w14:checked w14:val="1"/>
                  <w14:checkedState w14:val="2612" w14:font="メイリオ"/>
                  <w14:uncheckedState w14:val="2610" w14:font="メイリオ"/>
                </w14:checkbox>
              </w:sdtPr>
              <w:sdtContent>
                <w:r w:rsidR="00A27FDC">
                  <w:rPr>
                    <w:rFonts w:ascii="Meiryo" w:eastAsia="Meiryo" w:hAnsi="Meiryo" w:cs="Meiryo"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14:paraId="71ADC6C2" w14:textId="77777777" w:rsidR="00A01494" w:rsidRPr="00A01494" w:rsidRDefault="0008757D" w:rsidP="00DB3627">
            <w:pPr>
              <w:autoSpaceDE w:val="0"/>
              <w:autoSpaceDN w:val="0"/>
              <w:adjustRightInd w:val="0"/>
              <w:rPr>
                <w:rFonts w:cstheme="minorHAnsi"/>
                <w:bCs/>
              </w:rPr>
            </w:pPr>
            <w:sdt>
              <w:sdtPr>
                <w:rPr>
                  <w:rFonts w:cstheme="minorHAnsi"/>
                  <w:bCs/>
                  <w:color w:val="0000FF"/>
                </w:rPr>
                <w:id w:val="-387195507"/>
                <w14:checkbox>
                  <w14:checked w14:val="1"/>
                  <w14:checkedState w14:val="2612" w14:font="メイリオ"/>
                  <w14:uncheckedState w14:val="2610" w14:font="メイリオ"/>
                </w14:checkbox>
              </w:sdtPr>
              <w:sdtContent>
                <w:r w:rsidR="00A27FDC">
                  <w:rPr>
                    <w:rFonts w:ascii="Meiryo" w:eastAsia="Meiryo" w:hAnsi="Meiryo" w:cs="Meiryo"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14:paraId="6EC9888D" w14:textId="77777777" w:rsidTr="0014773C">
        <w:trPr>
          <w:jc w:val="center"/>
        </w:trPr>
        <w:tc>
          <w:tcPr>
            <w:tcW w:w="5208" w:type="dxa"/>
          </w:tcPr>
          <w:p w14:paraId="7C61200F" w14:textId="77777777" w:rsidR="00A01494" w:rsidRPr="00A01494" w:rsidRDefault="0008757D" w:rsidP="00DB3627">
            <w:pPr>
              <w:autoSpaceDE w:val="0"/>
              <w:autoSpaceDN w:val="0"/>
              <w:adjustRightInd w:val="0"/>
              <w:rPr>
                <w:rFonts w:cstheme="minorHAnsi"/>
                <w:bCs/>
              </w:rPr>
            </w:pPr>
            <w:sdt>
              <w:sdtPr>
                <w:rPr>
                  <w:rFonts w:cstheme="minorHAnsi"/>
                  <w:bCs/>
                  <w:color w:val="0000FF"/>
                </w:rPr>
                <w:id w:val="751091068"/>
                <w14:checkbox>
                  <w14:checked w14:val="1"/>
                  <w14:checkedState w14:val="2612" w14:font="メイリオ"/>
                  <w14:uncheckedState w14:val="2610" w14:font="メイリオ"/>
                </w14:checkbox>
              </w:sdtPr>
              <w:sdtContent>
                <w:r w:rsidR="00A27FDC">
                  <w:rPr>
                    <w:rFonts w:ascii="Meiryo" w:eastAsia="Meiryo" w:hAnsi="Meiryo" w:cs="Meiryo"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14:paraId="3517D816" w14:textId="77777777" w:rsidR="00A01494" w:rsidRPr="00A01494" w:rsidRDefault="0008757D" w:rsidP="00DB3627">
            <w:pPr>
              <w:autoSpaceDE w:val="0"/>
              <w:autoSpaceDN w:val="0"/>
              <w:adjustRightInd w:val="0"/>
              <w:rPr>
                <w:rFonts w:cstheme="minorHAnsi"/>
                <w:bCs/>
              </w:rPr>
            </w:pPr>
            <w:sdt>
              <w:sdtPr>
                <w:rPr>
                  <w:rFonts w:cstheme="minorHAnsi"/>
                  <w:bCs/>
                  <w:color w:val="0000FF"/>
                </w:rPr>
                <w:id w:val="547026371"/>
                <w14:checkbox>
                  <w14:checked w14:val="1"/>
                  <w14:checkedState w14:val="2612" w14:font="メイリオ"/>
                  <w14:uncheckedState w14:val="2610" w14:font="メイリオ"/>
                </w14:checkbox>
              </w:sdtPr>
              <w:sdtContent>
                <w:r w:rsidR="00A27FDC">
                  <w:rPr>
                    <w:rFonts w:ascii="Meiryo" w:eastAsia="Meiryo" w:hAnsi="Meiryo" w:cs="Meiryo"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14:paraId="6D577EEA" w14:textId="77777777" w:rsidTr="0014773C">
        <w:trPr>
          <w:jc w:val="center"/>
        </w:trPr>
        <w:tc>
          <w:tcPr>
            <w:tcW w:w="5208" w:type="dxa"/>
          </w:tcPr>
          <w:p w14:paraId="44886AC8" w14:textId="77777777" w:rsidR="00A01494" w:rsidRPr="00A01494" w:rsidRDefault="0008757D"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メイリオ"/>
                  <w14:uncheckedState w14:val="2610" w14:font="メイリオ"/>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14:paraId="40754150" w14:textId="77777777" w:rsidR="00A01494" w:rsidRPr="00A01494" w:rsidRDefault="0008757D"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メイリオ"/>
                  <w14:uncheckedState w14:val="2610" w14:font="メイリオ"/>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14:paraId="0BA8E4CB" w14:textId="77777777" w:rsidTr="0014773C">
        <w:trPr>
          <w:jc w:val="center"/>
        </w:trPr>
        <w:tc>
          <w:tcPr>
            <w:tcW w:w="5208" w:type="dxa"/>
          </w:tcPr>
          <w:p w14:paraId="50ACC394" w14:textId="77777777" w:rsidR="00A01494" w:rsidRPr="00A01494" w:rsidRDefault="0008757D"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メイリオ"/>
                  <w14:uncheckedState w14:val="2610" w14:font="メイリオ"/>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14:paraId="0ED7E640" w14:textId="77777777" w:rsidR="00A01494" w:rsidRPr="00A01494" w:rsidRDefault="0008757D"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メイリオ"/>
                  <w14:uncheckedState w14:val="2610" w14:font="メイリオ"/>
                </w14:checkbox>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14:paraId="661737E0" w14:textId="77777777" w:rsidTr="0014773C">
        <w:trPr>
          <w:jc w:val="center"/>
        </w:trPr>
        <w:tc>
          <w:tcPr>
            <w:tcW w:w="5208" w:type="dxa"/>
          </w:tcPr>
          <w:p w14:paraId="695DF46B" w14:textId="6329148B" w:rsidR="00A01494" w:rsidRPr="00A01494" w:rsidRDefault="0008757D" w:rsidP="002638B3">
            <w:pPr>
              <w:autoSpaceDE w:val="0"/>
              <w:autoSpaceDN w:val="0"/>
              <w:adjustRightInd w:val="0"/>
              <w:rPr>
                <w:rFonts w:cstheme="minorHAnsi"/>
                <w:bCs/>
              </w:rPr>
            </w:pPr>
            <w:sdt>
              <w:sdtPr>
                <w:rPr>
                  <w:rFonts w:cstheme="minorHAnsi"/>
                  <w:bCs/>
                  <w:color w:val="0000FF"/>
                </w:rPr>
                <w:id w:val="1316375390"/>
                <w14:checkbox>
                  <w14:checked w14:val="0"/>
                  <w14:checkedState w14:val="2612" w14:font="メイリオ"/>
                  <w14:uncheckedState w14:val="2610" w14:font="メイリオ"/>
                </w14:checkbox>
              </w:sdtPr>
              <w:sdtContent>
                <w:r w:rsidR="002638B3">
                  <w:rPr>
                    <w:rFonts w:ascii="Meiryo" w:eastAsia="Meiryo" w:hAnsi="Meiryo" w:cs="Meiryo"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Fonts w:cs="Trebuchet MS"/>
                </w:rPr>
                <w:id w:val="1834251992"/>
                <w:showingPlcHdr/>
                <w:text/>
              </w:sdtPr>
              <w:sdtContent>
                <w:r w:rsidR="002638B3">
                  <w:rPr>
                    <w:rFonts w:cs="Trebuchet MS"/>
                  </w:rPr>
                  <w:t xml:space="preserve">     </w:t>
                </w:r>
              </w:sdtContent>
            </w:sdt>
          </w:p>
        </w:tc>
        <w:tc>
          <w:tcPr>
            <w:tcW w:w="4847" w:type="dxa"/>
          </w:tcPr>
          <w:p w14:paraId="5476A14F" w14:textId="79877EAD" w:rsidR="00A01494" w:rsidRPr="00A01494" w:rsidRDefault="0008757D" w:rsidP="002638B3">
            <w:pPr>
              <w:autoSpaceDE w:val="0"/>
              <w:autoSpaceDN w:val="0"/>
              <w:adjustRightInd w:val="0"/>
              <w:rPr>
                <w:rFonts w:cstheme="minorHAnsi"/>
                <w:bCs/>
              </w:rPr>
            </w:pPr>
            <w:sdt>
              <w:sdtPr>
                <w:rPr>
                  <w:rFonts w:cstheme="minorHAnsi"/>
                  <w:bCs/>
                  <w:color w:val="0000FF"/>
                </w:rPr>
                <w:id w:val="1689098749"/>
                <w14:checkbox>
                  <w14:checked w14:val="0"/>
                  <w14:checkedState w14:val="2612" w14:font="メイリオ"/>
                  <w14:uncheckedState w14:val="2610" w14:font="メイリオ"/>
                </w14:checkbox>
              </w:sdtPr>
              <w:sdtContent>
                <w:r w:rsidR="002638B3">
                  <w:rPr>
                    <w:rFonts w:ascii="Meiryo" w:eastAsia="Meiryo" w:hAnsi="Meiryo" w:cs="Meiryo" w:hint="eastAsia"/>
                    <w:bCs/>
                    <w:color w:val="0000FF"/>
                  </w:rPr>
                  <w:t>☐</w:t>
                </w:r>
              </w:sdtContent>
            </w:sdt>
            <w:r w:rsidR="00B82A57">
              <w:rPr>
                <w:rFonts w:cstheme="minorHAnsi"/>
                <w:bCs/>
              </w:rPr>
              <w:t xml:space="preserve"> </w:t>
            </w:r>
            <w:r w:rsidR="00A01494" w:rsidRPr="00A01494">
              <w:rPr>
                <w:rFonts w:cstheme="minorHAnsi"/>
                <w:bCs/>
              </w:rPr>
              <w:t>other</w:t>
            </w:r>
            <w:r w:rsidR="00AC7273">
              <w:rPr>
                <w:rFonts w:cstheme="minorHAnsi"/>
                <w:bCs/>
              </w:rPr>
              <w:t>:</w:t>
            </w:r>
            <w:r w:rsidR="002124AD">
              <w:rPr>
                <w:rFonts w:cs="Trebuchet MS"/>
              </w:rPr>
              <w:t xml:space="preserve"> </w:t>
            </w:r>
          </w:p>
        </w:tc>
      </w:tr>
    </w:tbl>
    <w:p w14:paraId="38162B47" w14:textId="655B3C0B" w:rsidR="00CD588D" w:rsidRDefault="006327D8" w:rsidP="00C8458C">
      <w:pPr>
        <w:autoSpaceDE w:val="0"/>
        <w:autoSpaceDN w:val="0"/>
        <w:adjustRightInd w:val="0"/>
        <w:spacing w:before="120" w:after="0" w:line="240" w:lineRule="auto"/>
        <w:rPr>
          <w:rFonts w:cstheme="minorHAnsi"/>
          <w:bCs/>
        </w:rPr>
      </w:pPr>
      <w:r w:rsidRPr="00A25024">
        <w:rPr>
          <w:rFonts w:cstheme="minorHAnsi"/>
          <w:b/>
          <w:bCs/>
        </w:rPr>
        <w:t xml:space="preserve">     </w:t>
      </w:r>
      <w:r w:rsidR="002B5016" w:rsidRPr="00DB55A8">
        <w:rPr>
          <w:rFonts w:cstheme="minorHAnsi"/>
          <w:b/>
          <w:bCs/>
        </w:rPr>
        <w:t>1</w:t>
      </w:r>
      <w:r w:rsidR="00927027" w:rsidRPr="00DB55A8">
        <w:rPr>
          <w:rFonts w:cstheme="minorHAnsi"/>
          <w:b/>
          <w:bCs/>
        </w:rPr>
        <w:t>.</w:t>
      </w:r>
      <w:r w:rsidR="00DB3627" w:rsidRPr="00DB55A8">
        <w:rPr>
          <w:rFonts w:cstheme="minorHAnsi"/>
          <w:b/>
          <w:bCs/>
        </w:rPr>
        <w:t xml:space="preserve">2. </w:t>
      </w:r>
      <w:r w:rsidR="004348CC" w:rsidRPr="00DB55A8">
        <w:rPr>
          <w:rFonts w:cstheme="minorHAnsi"/>
          <w:b/>
          <w:bCs/>
        </w:rPr>
        <w:t>If an existing data</w:t>
      </w:r>
      <w:r w:rsidRPr="00DB55A8">
        <w:rPr>
          <w:rFonts w:cstheme="minorHAnsi"/>
          <w:b/>
          <w:bCs/>
        </w:rPr>
        <w:t>set</w:t>
      </w:r>
      <w:r w:rsidR="003605B4" w:rsidRPr="00DB55A8">
        <w:rPr>
          <w:rFonts w:cstheme="minorHAnsi"/>
          <w:b/>
          <w:bCs/>
        </w:rPr>
        <w:t xml:space="preserve"> was used</w:t>
      </w:r>
      <w:r w:rsidR="004348CC" w:rsidRPr="00DB55A8">
        <w:rPr>
          <w:rFonts w:cstheme="minorHAnsi"/>
          <w:b/>
          <w:bCs/>
        </w:rPr>
        <w:t xml:space="preserve">, identify the </w:t>
      </w:r>
      <w:r w:rsidR="009E1846" w:rsidRPr="00DB55A8">
        <w:rPr>
          <w:rFonts w:cstheme="minorHAnsi"/>
          <w:b/>
          <w:bCs/>
        </w:rPr>
        <w:t xml:space="preserve">specific </w:t>
      </w:r>
      <w:r w:rsidR="004348CC" w:rsidRPr="00DB55A8">
        <w:rPr>
          <w:rFonts w:cstheme="minorHAnsi"/>
          <w:b/>
          <w:bCs/>
        </w:rPr>
        <w:t>data</w:t>
      </w:r>
      <w:r w:rsidRPr="00DB55A8">
        <w:rPr>
          <w:rFonts w:cstheme="minorHAnsi"/>
          <w:b/>
          <w:bCs/>
        </w:rPr>
        <w:t>set</w:t>
      </w:r>
      <w:r w:rsidR="00DB3627" w:rsidRPr="00DB55A8">
        <w:rPr>
          <w:rFonts w:cstheme="minorHAnsi"/>
          <w:bCs/>
        </w:rPr>
        <w:t xml:space="preserve"> (</w:t>
      </w:r>
      <w:r w:rsidR="001C7B02" w:rsidRPr="00DB55A8">
        <w:rPr>
          <w:rFonts w:cstheme="minorHAnsi"/>
          <w:bCs/>
          <w:i/>
        </w:rPr>
        <w:t xml:space="preserve">the dataset used for testing must be consistent with the measure specifications for target population and healthcare entities being measured; </w:t>
      </w:r>
      <w:r w:rsidR="00DB3627" w:rsidRPr="00DB55A8">
        <w:rPr>
          <w:rFonts w:cstheme="minorHAnsi"/>
          <w:bCs/>
          <w:i/>
        </w:rPr>
        <w:t>e.g., Medicare Part A claims</w:t>
      </w:r>
      <w:r w:rsidR="009E1846" w:rsidRPr="00DB55A8">
        <w:rPr>
          <w:rFonts w:cstheme="minorHAnsi"/>
          <w:bCs/>
          <w:i/>
        </w:rPr>
        <w:t>,</w:t>
      </w:r>
      <w:r w:rsidR="001C7B02" w:rsidRPr="00DB55A8">
        <w:rPr>
          <w:rFonts w:cstheme="minorHAnsi"/>
          <w:bCs/>
          <w:i/>
        </w:rPr>
        <w:t xml:space="preserve"> Medicaid claims, other commercial insurance, nursing home MDS, home health OASIS, clinical registry</w:t>
      </w:r>
      <w:r w:rsidR="00DB3627" w:rsidRPr="00DB55A8">
        <w:rPr>
          <w:rFonts w:cstheme="minorHAnsi"/>
          <w:bCs/>
        </w:rPr>
        <w:t>)</w:t>
      </w:r>
      <w:r w:rsidR="009E1846" w:rsidRPr="00DB55A8">
        <w:rPr>
          <w:rFonts w:cstheme="minorHAnsi"/>
          <w:bCs/>
        </w:rPr>
        <w:t xml:space="preserve">. </w:t>
      </w:r>
      <w:r w:rsidR="00080CF7" w:rsidRPr="00DB55A8">
        <w:rPr>
          <w:rFonts w:cstheme="minorHAnsi"/>
          <w:bCs/>
        </w:rPr>
        <w:t xml:space="preserve"> </w:t>
      </w:r>
      <w:r w:rsidR="004348CC" w:rsidRPr="00DB55A8">
        <w:rPr>
          <w:rFonts w:cstheme="minorHAnsi"/>
          <w:bCs/>
        </w:rPr>
        <w:t xml:space="preserve"> </w:t>
      </w:r>
    </w:p>
    <w:p w14:paraId="6B2E86D9" w14:textId="137DD859" w:rsidR="008702B7" w:rsidRPr="00450660" w:rsidRDefault="0032416B" w:rsidP="00C8458C">
      <w:pPr>
        <w:pStyle w:val="Default"/>
        <w:pBdr>
          <w:top w:val="single" w:sz="4" w:space="1" w:color="000000"/>
          <w:left w:val="single" w:sz="4" w:space="4" w:color="000000"/>
          <w:bottom w:val="single" w:sz="4" w:space="1" w:color="000000"/>
          <w:right w:val="single" w:sz="4" w:space="4" w:color="000000"/>
        </w:pBdr>
        <w:rPr>
          <w:rFonts w:asciiTheme="minorHAnsi" w:hAnsiTheme="minorHAnsi" w:cs="Arial"/>
          <w:sz w:val="22"/>
          <w:szCs w:val="22"/>
        </w:rPr>
      </w:pPr>
      <w:r w:rsidRPr="00450660">
        <w:rPr>
          <w:rFonts w:asciiTheme="minorHAnsi" w:hAnsiTheme="minorHAnsi" w:cstheme="minorHAnsi"/>
          <w:bCs/>
          <w:color w:val="auto"/>
          <w:sz w:val="22"/>
          <w:szCs w:val="22"/>
        </w:rPr>
        <w:t xml:space="preserve">The dataset used for testing included </w:t>
      </w:r>
      <w:r w:rsidR="008702B7" w:rsidRPr="00450660">
        <w:rPr>
          <w:rFonts w:asciiTheme="minorHAnsi" w:hAnsiTheme="minorHAnsi" w:cstheme="minorHAnsi"/>
          <w:bCs/>
          <w:color w:val="auto"/>
          <w:sz w:val="22"/>
          <w:szCs w:val="22"/>
        </w:rPr>
        <w:t xml:space="preserve">Medicare Part A claims, </w:t>
      </w:r>
      <w:r w:rsidR="00450660" w:rsidRPr="00450660">
        <w:rPr>
          <w:rFonts w:asciiTheme="minorHAnsi" w:hAnsiTheme="minorHAnsi" w:cstheme="minorHAnsi"/>
          <w:bCs/>
          <w:color w:val="auto"/>
          <w:sz w:val="22"/>
          <w:szCs w:val="22"/>
        </w:rPr>
        <w:t xml:space="preserve">the </w:t>
      </w:r>
      <w:r w:rsidR="008702B7" w:rsidRPr="00450660">
        <w:rPr>
          <w:rFonts w:asciiTheme="minorHAnsi" w:hAnsiTheme="minorHAnsi"/>
          <w:color w:val="auto"/>
          <w:sz w:val="22"/>
          <w:szCs w:val="22"/>
        </w:rPr>
        <w:t xml:space="preserve">National Cardiovascular Data Registry (NCDR) CathPCI Registry, </w:t>
      </w:r>
      <w:r w:rsidR="00450660" w:rsidRPr="00450660">
        <w:rPr>
          <w:rFonts w:asciiTheme="minorHAnsi" w:hAnsiTheme="minorHAnsi"/>
          <w:color w:val="auto"/>
          <w:sz w:val="22"/>
          <w:szCs w:val="22"/>
        </w:rPr>
        <w:t xml:space="preserve">and the </w:t>
      </w:r>
      <w:r w:rsidR="008702B7" w:rsidRPr="00450660">
        <w:rPr>
          <w:rFonts w:asciiTheme="minorHAnsi" w:hAnsiTheme="minorHAnsi" w:cs="Arial"/>
          <w:sz w:val="22"/>
          <w:szCs w:val="22"/>
        </w:rPr>
        <w:t xml:space="preserve">Medicare Enrollment Database </w:t>
      </w:r>
    </w:p>
    <w:p w14:paraId="7F8FAB60" w14:textId="777A3E65" w:rsidR="00CD588D" w:rsidRDefault="002B5016" w:rsidP="00C8458C">
      <w:pPr>
        <w:autoSpaceDE w:val="0"/>
        <w:autoSpaceDN w:val="0"/>
        <w:adjustRightInd w:val="0"/>
        <w:spacing w:before="120" w:after="0" w:line="240" w:lineRule="auto"/>
        <w:rPr>
          <w:rFonts w:cstheme="minorHAnsi"/>
        </w:rPr>
      </w:pPr>
      <w:r w:rsidRPr="00FB10FA">
        <w:rPr>
          <w:rFonts w:cstheme="minorHAnsi"/>
          <w:b/>
        </w:rPr>
        <w:t>1</w:t>
      </w:r>
      <w:r w:rsidR="00927027" w:rsidRPr="00FB10FA">
        <w:rPr>
          <w:rFonts w:cstheme="minorHAnsi"/>
          <w:b/>
        </w:rPr>
        <w:t>.</w:t>
      </w:r>
      <w:r w:rsidR="00DB3627" w:rsidRPr="00FB10FA">
        <w:rPr>
          <w:rFonts w:cstheme="minorHAnsi"/>
          <w:b/>
        </w:rPr>
        <w:t xml:space="preserve">3. </w:t>
      </w:r>
      <w:r w:rsidR="000574AB" w:rsidRPr="00FB10FA">
        <w:rPr>
          <w:rFonts w:cstheme="minorHAnsi"/>
          <w:b/>
        </w:rPr>
        <w:t xml:space="preserve">What </w:t>
      </w:r>
      <w:r w:rsidR="000968F8" w:rsidRPr="00FB10FA">
        <w:rPr>
          <w:rFonts w:cstheme="minorHAnsi"/>
          <w:b/>
        </w:rPr>
        <w:t xml:space="preserve">are the </w:t>
      </w:r>
      <w:r w:rsidR="000574AB" w:rsidRPr="00FB10FA">
        <w:rPr>
          <w:rFonts w:cstheme="minorHAnsi"/>
          <w:b/>
        </w:rPr>
        <w:t xml:space="preserve">dates of </w:t>
      </w:r>
      <w:r w:rsidR="000968F8" w:rsidRPr="00FB10FA">
        <w:rPr>
          <w:rFonts w:cstheme="minorHAnsi"/>
          <w:b/>
        </w:rPr>
        <w:t xml:space="preserve">the </w:t>
      </w:r>
      <w:r w:rsidR="000574AB" w:rsidRPr="00FB10FA">
        <w:rPr>
          <w:rFonts w:cstheme="minorHAnsi"/>
          <w:b/>
        </w:rPr>
        <w:t xml:space="preserve">data </w:t>
      </w:r>
      <w:r w:rsidR="000968F8" w:rsidRPr="00FB10FA">
        <w:rPr>
          <w:rFonts w:cstheme="minorHAnsi"/>
          <w:b/>
        </w:rPr>
        <w:t>used in testing</w:t>
      </w:r>
      <w:r w:rsidR="000968F8" w:rsidRPr="00FB10FA">
        <w:rPr>
          <w:rFonts w:cstheme="minorHAnsi"/>
        </w:rPr>
        <w:t>?</w:t>
      </w:r>
      <w:r w:rsidR="00080CF7" w:rsidRPr="00FB10FA">
        <w:rPr>
          <w:rFonts w:cstheme="minorHAnsi"/>
        </w:rPr>
        <w:t xml:space="preserve"> </w:t>
      </w:r>
    </w:p>
    <w:p w14:paraId="45AE83A7" w14:textId="73A70FC8" w:rsidR="0004593A" w:rsidRPr="00A96B17" w:rsidRDefault="000574AB" w:rsidP="00C8458C">
      <w:pPr>
        <w:pBdr>
          <w:top w:val="single" w:sz="4" w:space="1" w:color="000000"/>
          <w:left w:val="single" w:sz="4" w:space="4" w:color="000000"/>
          <w:bottom w:val="single" w:sz="4" w:space="1" w:color="000000"/>
          <w:right w:val="single" w:sz="4" w:space="4" w:color="000000"/>
        </w:pBdr>
        <w:autoSpaceDE w:val="0"/>
        <w:autoSpaceDN w:val="0"/>
        <w:adjustRightInd w:val="0"/>
        <w:spacing w:after="0" w:line="240" w:lineRule="auto"/>
        <w:rPr>
          <w:rFonts w:cstheme="minorHAnsi"/>
          <w:bCs/>
        </w:rPr>
      </w:pPr>
      <w:r w:rsidRPr="00A96B17">
        <w:rPr>
          <w:rFonts w:cstheme="minorHAnsi"/>
        </w:rPr>
        <w:t xml:space="preserve"> </w:t>
      </w:r>
      <w:sdt>
        <w:sdtPr>
          <w:rPr>
            <w:rFonts w:cstheme="minorHAnsi"/>
            <w:bCs/>
          </w:rPr>
          <w:id w:val="950514773"/>
          <w:text/>
        </w:sdtPr>
        <w:sdtContent>
          <w:r w:rsidR="00505A15" w:rsidRPr="007D7D4D">
            <w:rPr>
              <w:rFonts w:cstheme="minorHAnsi"/>
              <w:bCs/>
            </w:rPr>
            <w:t>The dates used vary by testing type; see Section 1.7 for details.</w:t>
          </w:r>
          <w:r w:rsidR="00FA7CF2">
            <w:rPr>
              <w:rFonts w:cstheme="minorHAnsi"/>
              <w:bCs/>
            </w:rPr>
            <w:t xml:space="preserve"> The date range was 2006–</w:t>
          </w:r>
          <w:r w:rsidR="007D7D4D" w:rsidRPr="007D7D4D">
            <w:rPr>
              <w:rFonts w:cstheme="minorHAnsi"/>
              <w:bCs/>
            </w:rPr>
            <w:t>2011.</w:t>
          </w:r>
        </w:sdtContent>
      </w:sdt>
    </w:p>
    <w:p w14:paraId="5E942248" w14:textId="77777777" w:rsidR="000414E8" w:rsidRDefault="002B5016" w:rsidP="00C8458C">
      <w:pPr>
        <w:autoSpaceDE w:val="0"/>
        <w:autoSpaceDN w:val="0"/>
        <w:adjustRightInd w:val="0"/>
        <w:spacing w:before="120"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14:paraId="60A5BF84" w14:textId="77777777" w:rsidTr="000414E8">
        <w:trPr>
          <w:jc w:val="center"/>
        </w:trPr>
        <w:tc>
          <w:tcPr>
            <w:tcW w:w="5027" w:type="dxa"/>
            <w:shd w:val="clear" w:color="auto" w:fill="D9D9D9" w:themeFill="background1" w:themeFillShade="D9"/>
          </w:tcPr>
          <w:p w14:paraId="73F3FA3F"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71D437C6" w14:textId="77777777"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14:paraId="756C8E8D"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4E063885" w14:textId="77777777" w:rsidTr="000414E8">
        <w:trPr>
          <w:jc w:val="center"/>
        </w:trPr>
        <w:tc>
          <w:tcPr>
            <w:tcW w:w="5027" w:type="dxa"/>
          </w:tcPr>
          <w:p w14:paraId="51B11460" w14:textId="77777777" w:rsidR="000414E8" w:rsidRPr="00A01494" w:rsidRDefault="0008757D"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メイリオ"/>
                  <w14:uncheckedState w14:val="2610" w14:font="メイリオ"/>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11679685" w14:textId="77777777" w:rsidR="000414E8" w:rsidRPr="00A01494" w:rsidRDefault="0008757D"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メイリオ"/>
                  <w14:uncheckedState w14:val="2610" w14:font="メイリオ"/>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1DD2D57B" w14:textId="77777777" w:rsidTr="000414E8">
        <w:trPr>
          <w:jc w:val="center"/>
        </w:trPr>
        <w:tc>
          <w:tcPr>
            <w:tcW w:w="5027" w:type="dxa"/>
          </w:tcPr>
          <w:p w14:paraId="5FB315BD" w14:textId="77777777" w:rsidR="000414E8" w:rsidRPr="00A01494" w:rsidRDefault="0008757D"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メイリオ"/>
                  <w14:uncheckedState w14:val="2610" w14:font="メイリオ"/>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7455E22D" w14:textId="77777777" w:rsidR="000414E8" w:rsidRPr="00A01494" w:rsidRDefault="0008757D"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メイリオ"/>
                  <w14:uncheckedState w14:val="2610" w14:font="メイリオ"/>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120499D3" w14:textId="77777777" w:rsidTr="000414E8">
        <w:trPr>
          <w:jc w:val="center"/>
        </w:trPr>
        <w:tc>
          <w:tcPr>
            <w:tcW w:w="5027" w:type="dxa"/>
          </w:tcPr>
          <w:p w14:paraId="3C549059" w14:textId="77777777" w:rsidR="000414E8" w:rsidRPr="00A01494" w:rsidRDefault="0008757D"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メイリオ"/>
                  <w14:uncheckedState w14:val="2610" w14:font="メイリオ"/>
                </w14:checkbox>
              </w:sdtPr>
              <w:sdtContent>
                <w:r w:rsidR="00E67170">
                  <w:rPr>
                    <w:rFonts w:ascii="Meiryo" w:eastAsia="Meiryo" w:hAnsi="Meiryo" w:cs="Meiryo"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133276CF" w14:textId="77777777" w:rsidR="000414E8" w:rsidRPr="00A01494" w:rsidRDefault="0008757D"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メイリオ"/>
                  <w14:uncheckedState w14:val="2610" w14:font="メイリオ"/>
                </w14:checkbox>
              </w:sdtPr>
              <w:sdtContent>
                <w:r w:rsidR="00E67170">
                  <w:rPr>
                    <w:rFonts w:ascii="Meiryo" w:eastAsia="Meiryo" w:hAnsi="Meiryo" w:cs="Meiryo"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1D177D7F" w14:textId="77777777" w:rsidTr="000414E8">
        <w:trPr>
          <w:jc w:val="center"/>
        </w:trPr>
        <w:tc>
          <w:tcPr>
            <w:tcW w:w="5027" w:type="dxa"/>
          </w:tcPr>
          <w:p w14:paraId="558DF716" w14:textId="77777777" w:rsidR="000414E8" w:rsidRPr="00A01494" w:rsidRDefault="0008757D"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メイリオ"/>
                  <w14:uncheckedState w14:val="2610" w14:font="メイリオ"/>
                </w14:checkbox>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424CF31D" w14:textId="77777777" w:rsidR="000414E8" w:rsidRPr="00A01494" w:rsidRDefault="0008757D"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メイリオ"/>
                  <w14:uncheckedState w14:val="2610" w14:font="メイリオ"/>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7DFAD5A0" w14:textId="77777777" w:rsidTr="000414E8">
        <w:trPr>
          <w:jc w:val="center"/>
        </w:trPr>
        <w:tc>
          <w:tcPr>
            <w:tcW w:w="5027" w:type="dxa"/>
          </w:tcPr>
          <w:p w14:paraId="29364270" w14:textId="77777777" w:rsidR="000414E8" w:rsidRPr="00A01494" w:rsidRDefault="0008757D"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メイリオ"/>
                  <w14:uncheckedState w14:val="2610" w14:font="メイリオ"/>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219F793D" w14:textId="77777777" w:rsidR="000414E8" w:rsidRPr="00A01494" w:rsidRDefault="0008757D"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メイリオ"/>
                  <w14:uncheckedState w14:val="2610" w14:font="メイリオ"/>
                </w14:checkbox>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767232E1" w14:textId="77777777" w:rsidR="000B3004" w:rsidRPr="0032463F" w:rsidRDefault="002B5016" w:rsidP="00EC3DA5">
      <w:pPr>
        <w:autoSpaceDE w:val="0"/>
        <w:autoSpaceDN w:val="0"/>
        <w:adjustRightInd w:val="0"/>
        <w:spacing w:before="120"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32463F">
        <w:rPr>
          <w:rFonts w:cstheme="minorHAnsi"/>
          <w:bCs/>
          <w:i/>
        </w:rPr>
        <w:t>selected</w:t>
      </w:r>
      <w:r w:rsidR="005A7634" w:rsidRPr="0032463F">
        <w:rPr>
          <w:rFonts w:cstheme="minorHAnsi"/>
          <w:bCs/>
          <w:i/>
        </w:rPr>
        <w:t xml:space="preserve"> for inclusion in the sample</w:t>
      </w:r>
      <w:r w:rsidR="004348CC" w:rsidRPr="0032463F">
        <w:rPr>
          <w:rFonts w:cstheme="minorHAnsi"/>
          <w:bCs/>
        </w:rPr>
        <w:t xml:space="preserve">) </w:t>
      </w:r>
    </w:p>
    <w:p w14:paraId="1616EADC" w14:textId="47C53E9A" w:rsidR="000B3004" w:rsidRPr="0032463F" w:rsidRDefault="00B64764" w:rsidP="00B64764">
      <w:pPr>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rPr>
          <w:rFonts w:cstheme="minorHAnsi"/>
          <w:bCs/>
        </w:rPr>
      </w:pPr>
      <w:r w:rsidRPr="00B64764">
        <w:rPr>
          <w:rFonts w:cstheme="minorHAnsi"/>
          <w:bCs/>
        </w:rPr>
        <w:t>For this measure, hospitals are the measured entities. All non-federal, acute inpatient US hospitals (including territories)</w:t>
      </w:r>
      <w:r w:rsidR="002B3FDA">
        <w:rPr>
          <w:rFonts w:cstheme="minorHAnsi"/>
          <w:bCs/>
        </w:rPr>
        <w:t xml:space="preserve"> that participate in the American College of Cardiology (ACC) </w:t>
      </w:r>
      <w:r w:rsidR="00FA7CF2">
        <w:rPr>
          <w:rFonts w:cstheme="minorHAnsi"/>
          <w:bCs/>
        </w:rPr>
        <w:t>NCDR’</w:t>
      </w:r>
      <w:r w:rsidR="002B3FDA">
        <w:rPr>
          <w:rFonts w:cstheme="minorHAnsi"/>
          <w:bCs/>
        </w:rPr>
        <w:t>s CathPCI Registry and care for</w:t>
      </w:r>
      <w:r w:rsidRPr="00B64764">
        <w:rPr>
          <w:rFonts w:cstheme="minorHAnsi"/>
          <w:bCs/>
        </w:rPr>
        <w:t xml:space="preserve"> Medicare </w:t>
      </w:r>
      <w:r w:rsidR="0008757D">
        <w:rPr>
          <w:rFonts w:cstheme="minorHAnsi"/>
          <w:bCs/>
        </w:rPr>
        <w:t>Fee-for-Service (</w:t>
      </w:r>
      <w:r w:rsidRPr="00B64764">
        <w:rPr>
          <w:rFonts w:cstheme="minorHAnsi"/>
          <w:bCs/>
        </w:rPr>
        <w:t>FFS</w:t>
      </w:r>
      <w:r w:rsidR="0008757D">
        <w:rPr>
          <w:rFonts w:cstheme="minorHAnsi"/>
          <w:bCs/>
        </w:rPr>
        <w:t>)</w:t>
      </w:r>
      <w:r w:rsidRPr="00B64764">
        <w:rPr>
          <w:rFonts w:cstheme="minorHAnsi"/>
          <w:bCs/>
        </w:rPr>
        <w:t xml:space="preserve"> beneficiaries </w:t>
      </w:r>
      <w:r w:rsidR="0008757D" w:rsidRPr="00731302">
        <w:rPr>
          <w:iCs/>
        </w:rPr>
        <w:t>who are 65 years of age or older</w:t>
      </w:r>
      <w:r w:rsidR="0008757D" w:rsidRPr="00B64764">
        <w:rPr>
          <w:rFonts w:cstheme="minorHAnsi"/>
          <w:bCs/>
        </w:rPr>
        <w:t xml:space="preserve"> </w:t>
      </w:r>
      <w:r w:rsidRPr="00B64764">
        <w:rPr>
          <w:rFonts w:cstheme="minorHAnsi"/>
          <w:bCs/>
        </w:rPr>
        <w:t>are included. The number of measured entities (hospitals) varies by testing type; see Section 1.7 for details.</w:t>
      </w:r>
      <w:r w:rsidR="000B3004" w:rsidRPr="0032463F">
        <w:rPr>
          <w:rFonts w:cstheme="minorHAnsi"/>
          <w:bCs/>
        </w:rPr>
        <w:t xml:space="preserve"> </w:t>
      </w:r>
    </w:p>
    <w:p w14:paraId="1D2AD8D4" w14:textId="77777777" w:rsidR="001244D0" w:rsidRPr="0032463F" w:rsidRDefault="002B5016" w:rsidP="00C8458C">
      <w:pPr>
        <w:autoSpaceDE w:val="0"/>
        <w:autoSpaceDN w:val="0"/>
        <w:adjustRightInd w:val="0"/>
        <w:spacing w:before="120" w:after="0" w:line="240" w:lineRule="auto"/>
        <w:rPr>
          <w:rFonts w:cstheme="minorHAnsi"/>
          <w:bCs/>
        </w:rPr>
      </w:pPr>
      <w:r w:rsidRPr="0032463F">
        <w:rPr>
          <w:rFonts w:cstheme="minorHAnsi"/>
          <w:b/>
          <w:bCs/>
        </w:rPr>
        <w:t>1.</w:t>
      </w:r>
      <w:r w:rsidR="00E310B9" w:rsidRPr="0032463F">
        <w:rPr>
          <w:rFonts w:cstheme="minorHAnsi"/>
          <w:b/>
          <w:bCs/>
        </w:rPr>
        <w:t xml:space="preserve">6. </w:t>
      </w:r>
      <w:r w:rsidR="007422FD" w:rsidRPr="0032463F">
        <w:rPr>
          <w:rFonts w:cstheme="minorHAnsi"/>
          <w:b/>
          <w:bCs/>
        </w:rPr>
        <w:t xml:space="preserve">How many and which </w:t>
      </w:r>
      <w:r w:rsidR="007422FD" w:rsidRPr="0032463F">
        <w:rPr>
          <w:rFonts w:cstheme="minorHAnsi"/>
          <w:b/>
          <w:bCs/>
          <w:u w:val="single"/>
        </w:rPr>
        <w:t>patients</w:t>
      </w:r>
      <w:r w:rsidR="007422FD" w:rsidRPr="0032463F">
        <w:rPr>
          <w:rFonts w:cstheme="minorHAnsi"/>
          <w:b/>
          <w:bCs/>
        </w:rPr>
        <w:t xml:space="preserve"> were included in the testing and analysis</w:t>
      </w:r>
      <w:r w:rsidR="00AA65A6" w:rsidRPr="0032463F">
        <w:rPr>
          <w:rFonts w:cstheme="minorHAnsi"/>
          <w:b/>
          <w:bCs/>
        </w:rPr>
        <w:t xml:space="preserve"> </w:t>
      </w:r>
      <w:r w:rsidR="00616EB5" w:rsidRPr="0032463F">
        <w:rPr>
          <w:rFonts w:cstheme="minorHAnsi"/>
          <w:b/>
          <w:bCs/>
        </w:rPr>
        <w:t>(</w:t>
      </w:r>
      <w:r w:rsidR="00AA65A6" w:rsidRPr="0032463F">
        <w:rPr>
          <w:rFonts w:cstheme="minorHAnsi"/>
          <w:b/>
          <w:bCs/>
        </w:rPr>
        <w:t>by level of analysis and data source</w:t>
      </w:r>
      <w:r w:rsidR="00616EB5" w:rsidRPr="0032463F">
        <w:rPr>
          <w:rFonts w:cstheme="minorHAnsi"/>
          <w:b/>
          <w:bCs/>
        </w:rPr>
        <w:t>)</w:t>
      </w:r>
      <w:r w:rsidR="007422FD" w:rsidRPr="0032463F">
        <w:rPr>
          <w:rFonts w:cstheme="minorHAnsi"/>
          <w:bCs/>
        </w:rPr>
        <w:t>? (</w:t>
      </w:r>
      <w:r w:rsidR="007422FD" w:rsidRPr="0032463F">
        <w:rPr>
          <w:rFonts w:cstheme="minorHAnsi"/>
          <w:bCs/>
          <w:i/>
        </w:rPr>
        <w:t xml:space="preserve">identify </w:t>
      </w:r>
      <w:r w:rsidR="00F435AA" w:rsidRPr="0032463F">
        <w:rPr>
          <w:rFonts w:cstheme="minorHAnsi"/>
          <w:bCs/>
          <w:i/>
        </w:rPr>
        <w:t>the number</w:t>
      </w:r>
      <w:r w:rsidR="007422FD" w:rsidRPr="0032463F">
        <w:rPr>
          <w:rFonts w:cstheme="minorHAnsi"/>
          <w:bCs/>
          <w:i/>
        </w:rPr>
        <w:t xml:space="preserve"> and </w:t>
      </w:r>
      <w:r w:rsidR="005A7634" w:rsidRPr="0032463F">
        <w:rPr>
          <w:rFonts w:cstheme="minorHAnsi"/>
          <w:bCs/>
          <w:i/>
        </w:rPr>
        <w:t xml:space="preserve">descriptive </w:t>
      </w:r>
      <w:r w:rsidR="007422FD" w:rsidRPr="0032463F">
        <w:rPr>
          <w:rFonts w:cstheme="minorHAnsi"/>
          <w:bCs/>
          <w:i/>
        </w:rPr>
        <w:t>characteristics of patients</w:t>
      </w:r>
      <w:r w:rsidR="00DA7277" w:rsidRPr="0032463F">
        <w:rPr>
          <w:rFonts w:cstheme="minorHAnsi"/>
          <w:bCs/>
          <w:i/>
        </w:rPr>
        <w:t xml:space="preserve"> </w:t>
      </w:r>
      <w:r w:rsidR="007422FD" w:rsidRPr="0032463F">
        <w:rPr>
          <w:rFonts w:cstheme="minorHAnsi"/>
          <w:bCs/>
          <w:i/>
        </w:rPr>
        <w:t>included in the analysis</w:t>
      </w:r>
      <w:r w:rsidR="00DA7277" w:rsidRPr="0032463F">
        <w:rPr>
          <w:rFonts w:cstheme="minorHAnsi"/>
          <w:bCs/>
          <w:i/>
        </w:rPr>
        <w:t xml:space="preserve"> (e.g., age, sex, race, diagnosis)</w:t>
      </w:r>
      <w:r w:rsidR="007422FD" w:rsidRPr="0032463F">
        <w:rPr>
          <w:rFonts w:cstheme="minorHAnsi"/>
          <w:bCs/>
          <w:i/>
        </w:rPr>
        <w:t>; if a sample</w:t>
      </w:r>
      <w:r w:rsidR="00E310B9" w:rsidRPr="0032463F">
        <w:rPr>
          <w:rFonts w:cstheme="minorHAnsi"/>
          <w:bCs/>
          <w:i/>
        </w:rPr>
        <w:t xml:space="preserve"> was used</w:t>
      </w:r>
      <w:r w:rsidR="007422FD" w:rsidRPr="0032463F">
        <w:rPr>
          <w:rFonts w:cstheme="minorHAnsi"/>
          <w:bCs/>
          <w:i/>
        </w:rPr>
        <w:t xml:space="preserve">, describe how </w:t>
      </w:r>
      <w:r w:rsidR="005A7634" w:rsidRPr="0032463F">
        <w:rPr>
          <w:rFonts w:cstheme="minorHAnsi"/>
          <w:bCs/>
          <w:i/>
        </w:rPr>
        <w:t xml:space="preserve">patients were </w:t>
      </w:r>
      <w:r w:rsidR="007422FD" w:rsidRPr="0032463F">
        <w:rPr>
          <w:rFonts w:cstheme="minorHAnsi"/>
          <w:bCs/>
          <w:i/>
        </w:rPr>
        <w:t>selected</w:t>
      </w:r>
      <w:r w:rsidR="005A7634" w:rsidRPr="0032463F">
        <w:rPr>
          <w:rFonts w:cstheme="minorHAnsi"/>
          <w:bCs/>
          <w:i/>
        </w:rPr>
        <w:t xml:space="preserve"> for inclusion in the sample</w:t>
      </w:r>
      <w:r w:rsidR="007422FD" w:rsidRPr="0032463F">
        <w:rPr>
          <w:rFonts w:cstheme="minorHAnsi"/>
          <w:bCs/>
        </w:rPr>
        <w:t xml:space="preserve">) </w:t>
      </w:r>
    </w:p>
    <w:p w14:paraId="0FCD0939" w14:textId="77777777" w:rsidR="001244D0" w:rsidRPr="00AC7273" w:rsidRDefault="001244D0" w:rsidP="00AC7273">
      <w:pPr>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rPr>
          <w:rFonts w:cstheme="minorHAnsi"/>
          <w:bCs/>
        </w:rPr>
      </w:pPr>
      <w:r w:rsidRPr="0032463F">
        <w:rPr>
          <w:rFonts w:cstheme="minorHAnsi"/>
          <w:bCs/>
        </w:rPr>
        <w:lastRenderedPageBreak/>
        <w:t>The number of admissions varies by testing type; see Section 1.7 for details.</w:t>
      </w:r>
      <w:r w:rsidRPr="00AC7273">
        <w:rPr>
          <w:rFonts w:cstheme="minorHAnsi"/>
          <w:bCs/>
        </w:rPr>
        <w:t xml:space="preserve"> </w:t>
      </w:r>
    </w:p>
    <w:p w14:paraId="2149C0FA" w14:textId="05D4C443" w:rsidR="001244D0" w:rsidRDefault="002B5016" w:rsidP="00E37E1B">
      <w:pPr>
        <w:autoSpaceDE w:val="0"/>
        <w:autoSpaceDN w:val="0"/>
        <w:adjustRightInd w:val="0"/>
        <w:spacing w:after="0" w:line="240" w:lineRule="auto"/>
        <w:rPr>
          <w:rFonts w:cstheme="minorHAnsi"/>
          <w:bCs/>
        </w:rPr>
      </w:pPr>
      <w:r w:rsidRPr="00D07FB3">
        <w:rPr>
          <w:rFonts w:cstheme="minorHAnsi"/>
          <w:b/>
          <w:bCs/>
        </w:rPr>
        <w:t>1.</w:t>
      </w:r>
      <w:r w:rsidR="00E310B9" w:rsidRPr="00D07FB3">
        <w:rPr>
          <w:rFonts w:cstheme="minorHAnsi"/>
          <w:b/>
          <w:bCs/>
        </w:rPr>
        <w:t xml:space="preserve">7. </w:t>
      </w:r>
      <w:r w:rsidR="000574AB" w:rsidRPr="00D07FB3">
        <w:rPr>
          <w:rFonts w:cstheme="minorHAnsi"/>
          <w:b/>
          <w:bCs/>
        </w:rPr>
        <w:t>If there are differences in the data</w:t>
      </w:r>
      <w:r w:rsidR="009726E1" w:rsidRPr="00D07FB3">
        <w:rPr>
          <w:rFonts w:cstheme="minorHAnsi"/>
          <w:b/>
          <w:bCs/>
        </w:rPr>
        <w:t xml:space="preserve"> or sample</w:t>
      </w:r>
      <w:r w:rsidR="000574AB" w:rsidRPr="00D07FB3">
        <w:rPr>
          <w:rFonts w:cstheme="minorHAnsi"/>
          <w:b/>
          <w:bCs/>
        </w:rPr>
        <w:t xml:space="preserve"> used for different </w:t>
      </w:r>
      <w:r w:rsidR="000968F8" w:rsidRPr="00D07FB3">
        <w:rPr>
          <w:rFonts w:cstheme="minorHAnsi"/>
          <w:b/>
          <w:bCs/>
        </w:rPr>
        <w:t>aspects</w:t>
      </w:r>
      <w:r w:rsidR="000574AB" w:rsidRPr="00D07FB3">
        <w:rPr>
          <w:rFonts w:cstheme="minorHAnsi"/>
          <w:b/>
          <w:bCs/>
        </w:rPr>
        <w:t xml:space="preserve"> of testing (e.g., reliability, validi</w:t>
      </w:r>
      <w:r w:rsidR="007422FD" w:rsidRPr="00D07FB3">
        <w:rPr>
          <w:rFonts w:cstheme="minorHAnsi"/>
          <w:b/>
          <w:bCs/>
        </w:rPr>
        <w:t>ty, exclusions, risk adjustment</w:t>
      </w:r>
      <w:r w:rsidR="000574AB" w:rsidRPr="00D07FB3">
        <w:rPr>
          <w:rFonts w:cstheme="minorHAnsi"/>
          <w:b/>
          <w:bCs/>
        </w:rPr>
        <w:t xml:space="preserve">), identify </w:t>
      </w:r>
      <w:r w:rsidR="005A7634" w:rsidRPr="00D07FB3">
        <w:rPr>
          <w:rFonts w:cstheme="minorHAnsi"/>
          <w:b/>
          <w:bCs/>
        </w:rPr>
        <w:t xml:space="preserve">how the data or sample are different for </w:t>
      </w:r>
      <w:r w:rsidR="000574AB" w:rsidRPr="00D07FB3">
        <w:rPr>
          <w:rFonts w:cstheme="minorHAnsi"/>
          <w:b/>
          <w:bCs/>
        </w:rPr>
        <w:t xml:space="preserve">each </w:t>
      </w:r>
      <w:r w:rsidR="000968F8" w:rsidRPr="00D07FB3">
        <w:rPr>
          <w:rFonts w:cstheme="minorHAnsi"/>
          <w:b/>
          <w:bCs/>
        </w:rPr>
        <w:t>aspect</w:t>
      </w:r>
      <w:r w:rsidR="000574AB" w:rsidRPr="00D07FB3">
        <w:rPr>
          <w:rFonts w:cstheme="minorHAnsi"/>
          <w:b/>
          <w:bCs/>
        </w:rPr>
        <w:t xml:space="preserve"> of testing reported </w:t>
      </w:r>
      <w:r w:rsidR="00857EE8" w:rsidRPr="00D07FB3">
        <w:rPr>
          <w:rFonts w:cstheme="minorHAnsi"/>
          <w:b/>
          <w:bCs/>
        </w:rPr>
        <w:t>below</w:t>
      </w:r>
      <w:r w:rsidR="00E37E1B" w:rsidRPr="00D07FB3">
        <w:rPr>
          <w:rFonts w:cstheme="minorHAnsi"/>
          <w:bCs/>
        </w:rPr>
        <w:t>.</w:t>
      </w:r>
    </w:p>
    <w:p w14:paraId="257CF756" w14:textId="04BBA88A" w:rsidR="001244D0" w:rsidRPr="00AC7273" w:rsidRDefault="001244D0" w:rsidP="001244D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AC7273">
        <w:rPr>
          <w:rFonts w:cstheme="minorHAnsi"/>
          <w:bCs/>
        </w:rPr>
        <w:t>The datasets, dates, number of measured entities, and number of admissions used in each type of testing are as follows</w:t>
      </w:r>
      <w:r w:rsidR="00FF2981">
        <w:rPr>
          <w:rFonts w:cstheme="minorHAnsi"/>
          <w:bCs/>
        </w:rPr>
        <w:t xml:space="preserve">. For most testing requirements, we used data and analyses from the original </w:t>
      </w:r>
      <w:r w:rsidR="0008757D">
        <w:rPr>
          <w:rFonts w:cstheme="minorHAnsi"/>
          <w:bCs/>
        </w:rPr>
        <w:t>submission to the National Quality Forum (</w:t>
      </w:r>
      <w:r w:rsidR="00FF2981">
        <w:rPr>
          <w:rFonts w:cstheme="minorHAnsi"/>
          <w:bCs/>
        </w:rPr>
        <w:t>NQF</w:t>
      </w:r>
      <w:r w:rsidR="0008757D">
        <w:rPr>
          <w:rFonts w:cstheme="minorHAnsi"/>
          <w:bCs/>
        </w:rPr>
        <w:t xml:space="preserve">) </w:t>
      </w:r>
      <w:r w:rsidR="00FF2981">
        <w:rPr>
          <w:rFonts w:cstheme="minorHAnsi"/>
          <w:bCs/>
        </w:rPr>
        <w:t>of the PCI readmission measure. These analyses used a cohort of patients undergoing PCI in 2006-2007 for whom NCDR CathPCI Registry data had been successfully linked with corresponding administrative claims data. However, we also conducted additional analyses to meet newer testing requirements, and these analyses were performed using comparable linked data from 2010-20</w:t>
      </w:r>
      <w:r w:rsidR="00EB087B">
        <w:rPr>
          <w:rFonts w:cstheme="minorHAnsi"/>
          <w:bCs/>
        </w:rPr>
        <w:t>1</w:t>
      </w:r>
      <w:r w:rsidR="00FF2981">
        <w:rPr>
          <w:rFonts w:cstheme="minorHAnsi"/>
          <w:bCs/>
        </w:rPr>
        <w:t xml:space="preserve">1. Details are provided below. </w:t>
      </w:r>
    </w:p>
    <w:p w14:paraId="462960C7" w14:textId="77777777" w:rsidR="001244D0" w:rsidRPr="00AC7273" w:rsidRDefault="001244D0" w:rsidP="001244D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11499D1F" w14:textId="61DA6C57" w:rsidR="00321646" w:rsidRDefault="00A42493" w:rsidP="00321646">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Pr>
          <w:rFonts w:cstheme="minorHAnsi"/>
          <w:bCs/>
          <w:u w:val="single"/>
        </w:rPr>
        <w:t>Reliability testing</w:t>
      </w:r>
      <w:r w:rsidR="00CE5BDB">
        <w:rPr>
          <w:rFonts w:cstheme="minorHAnsi"/>
          <w:bCs/>
          <w:u w:val="single"/>
        </w:rPr>
        <w:t xml:space="preserve"> (Section 2a2)</w:t>
      </w:r>
      <w:r w:rsidR="00BE17DC">
        <w:rPr>
          <w:rFonts w:cstheme="minorHAnsi"/>
          <w:bCs/>
          <w:u w:val="single"/>
        </w:rPr>
        <w:t xml:space="preserve"> </w:t>
      </w:r>
      <w:r w:rsidR="00321646">
        <w:rPr>
          <w:rFonts w:cstheme="minorHAnsi"/>
          <w:bCs/>
          <w:u w:val="single"/>
        </w:rPr>
        <w:t>and exclusions testing (Section 2b3)</w:t>
      </w:r>
    </w:p>
    <w:p w14:paraId="44FA448B" w14:textId="1D5694BE" w:rsidR="00A965AD" w:rsidRDefault="001244D0" w:rsidP="00CE5BD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AC7273">
        <w:rPr>
          <w:rFonts w:cstheme="minorHAnsi"/>
          <w:bCs/>
        </w:rPr>
        <w:t xml:space="preserve">The measure </w:t>
      </w:r>
      <w:r w:rsidR="00E82A2F" w:rsidRPr="00AC7273">
        <w:rPr>
          <w:rFonts w:cstheme="minorHAnsi"/>
          <w:bCs/>
        </w:rPr>
        <w:t xml:space="preserve">reliability </w:t>
      </w:r>
      <w:r w:rsidRPr="00AC7273">
        <w:rPr>
          <w:rFonts w:cstheme="minorHAnsi"/>
          <w:bCs/>
        </w:rPr>
        <w:t xml:space="preserve">dataset </w:t>
      </w:r>
      <w:r w:rsidR="00355002" w:rsidRPr="00AC7273">
        <w:rPr>
          <w:rFonts w:cstheme="minorHAnsi"/>
          <w:bCs/>
        </w:rPr>
        <w:t>linked</w:t>
      </w:r>
      <w:r w:rsidRPr="00AC7273">
        <w:rPr>
          <w:rFonts w:cstheme="minorHAnsi"/>
          <w:bCs/>
        </w:rPr>
        <w:t xml:space="preserve"> </w:t>
      </w:r>
      <w:r w:rsidR="00ED6157" w:rsidRPr="00AC7273">
        <w:rPr>
          <w:rFonts w:cstheme="minorHAnsi"/>
          <w:bCs/>
        </w:rPr>
        <w:t>the CathPCI</w:t>
      </w:r>
      <w:r w:rsidRPr="00AC7273">
        <w:rPr>
          <w:rFonts w:cstheme="minorHAnsi"/>
          <w:bCs/>
        </w:rPr>
        <w:t xml:space="preserve"> and Medicare Part A claims data from </w:t>
      </w:r>
      <w:r w:rsidR="00856457" w:rsidRPr="00AC7273">
        <w:rPr>
          <w:rFonts w:cstheme="minorHAnsi"/>
          <w:bCs/>
        </w:rPr>
        <w:t>2010-2011</w:t>
      </w:r>
      <w:r w:rsidR="00B32BE6">
        <w:rPr>
          <w:rFonts w:cstheme="minorHAnsi"/>
          <w:bCs/>
        </w:rPr>
        <w:t>. The combined two-year sample</w:t>
      </w:r>
      <w:r w:rsidRPr="00AC7273">
        <w:rPr>
          <w:rFonts w:cstheme="minorHAnsi"/>
          <w:bCs/>
        </w:rPr>
        <w:t xml:space="preserve"> included </w:t>
      </w:r>
      <w:r w:rsidR="002E681E">
        <w:rPr>
          <w:rFonts w:cstheme="minorHAnsi"/>
          <w:bCs/>
        </w:rPr>
        <w:t>277,512</w:t>
      </w:r>
      <w:r w:rsidR="002B3FDA">
        <w:rPr>
          <w:rFonts w:cstheme="minorHAnsi"/>
          <w:bCs/>
        </w:rPr>
        <w:t xml:space="preserve"> PCIs on Medicare </w:t>
      </w:r>
      <w:r w:rsidR="00127B5D">
        <w:rPr>
          <w:rFonts w:cstheme="minorHAnsi"/>
          <w:bCs/>
        </w:rPr>
        <w:t>FFS</w:t>
      </w:r>
      <w:r w:rsidR="002B3FDA">
        <w:rPr>
          <w:rFonts w:cstheme="minorHAnsi"/>
          <w:bCs/>
        </w:rPr>
        <w:t xml:space="preserve"> patients aged 65 years and older performed in</w:t>
      </w:r>
      <w:r w:rsidR="00856457" w:rsidRPr="00AC7273">
        <w:rPr>
          <w:rFonts w:cstheme="minorHAnsi"/>
          <w:bCs/>
        </w:rPr>
        <w:t xml:space="preserve"> 1,1</w:t>
      </w:r>
      <w:r w:rsidR="002E681E">
        <w:rPr>
          <w:rFonts w:cstheme="minorHAnsi"/>
          <w:bCs/>
        </w:rPr>
        <w:t>97</w:t>
      </w:r>
      <w:r w:rsidR="00856457" w:rsidRPr="00AC7273">
        <w:rPr>
          <w:rFonts w:cstheme="minorHAnsi"/>
          <w:bCs/>
        </w:rPr>
        <w:t xml:space="preserve"> </w:t>
      </w:r>
      <w:r w:rsidR="00465C2A" w:rsidRPr="00AC7273">
        <w:rPr>
          <w:rFonts w:cstheme="minorHAnsi"/>
          <w:bCs/>
        </w:rPr>
        <w:t xml:space="preserve">hospitals </w:t>
      </w:r>
      <w:r w:rsidR="00465C2A">
        <w:rPr>
          <w:rFonts w:cstheme="minorHAnsi"/>
          <w:bCs/>
        </w:rPr>
        <w:t>(mean age 75.15 years; % female=39.95%)</w:t>
      </w:r>
      <w:r w:rsidR="002B3FDA">
        <w:rPr>
          <w:rFonts w:cstheme="minorHAnsi"/>
          <w:bCs/>
        </w:rPr>
        <w:t xml:space="preserve">. We then randomly split the sample, leaving </w:t>
      </w:r>
      <w:r w:rsidR="002E681E">
        <w:rPr>
          <w:rFonts w:cs="Calibri"/>
        </w:rPr>
        <w:t>138,756</w:t>
      </w:r>
      <w:r w:rsidR="00856457" w:rsidRPr="00AC7273">
        <w:rPr>
          <w:rFonts w:cs="Calibri"/>
        </w:rPr>
        <w:t xml:space="preserve"> admissions to </w:t>
      </w:r>
      <w:r w:rsidR="002E681E">
        <w:rPr>
          <w:rFonts w:cs="Calibri"/>
        </w:rPr>
        <w:t>1,190</w:t>
      </w:r>
      <w:r w:rsidR="00856457" w:rsidRPr="00AC7273">
        <w:rPr>
          <w:rFonts w:cs="Calibri"/>
        </w:rPr>
        <w:t xml:space="preserve"> hospitals in one randomly selected sample </w:t>
      </w:r>
      <w:r w:rsidR="002E681E">
        <w:rPr>
          <w:rFonts w:cs="Calibri"/>
        </w:rPr>
        <w:t>and 138,756</w:t>
      </w:r>
      <w:r w:rsidR="00856457" w:rsidRPr="00AC7273">
        <w:rPr>
          <w:rFonts w:cs="Calibri"/>
        </w:rPr>
        <w:t xml:space="preserve"> admissions to 1,1</w:t>
      </w:r>
      <w:r w:rsidR="002E681E">
        <w:rPr>
          <w:rFonts w:cs="Calibri"/>
        </w:rPr>
        <w:t xml:space="preserve">93 </w:t>
      </w:r>
      <w:r w:rsidR="00856457" w:rsidRPr="00AC7273">
        <w:rPr>
          <w:rFonts w:cs="Calibri"/>
        </w:rPr>
        <w:t xml:space="preserve">hospitals in the remaining sample </w:t>
      </w:r>
      <w:r w:rsidRPr="00AC7273">
        <w:rPr>
          <w:rFonts w:cstheme="minorHAnsi"/>
          <w:bCs/>
        </w:rPr>
        <w:t>for patients aged 65 years and older</w:t>
      </w:r>
      <w:r w:rsidR="00387A59" w:rsidRPr="00AC7273">
        <w:rPr>
          <w:rFonts w:cstheme="minorHAnsi"/>
          <w:bCs/>
        </w:rPr>
        <w:t xml:space="preserve">. </w:t>
      </w:r>
      <w:r w:rsidR="007E2C12" w:rsidRPr="00AC7273">
        <w:rPr>
          <w:rFonts w:cstheme="minorHAnsi"/>
          <w:bCs/>
        </w:rPr>
        <w:t xml:space="preserve">After excluding hospitals with fewer than 25 cases in each sample, the first sample contained </w:t>
      </w:r>
      <w:r w:rsidR="007E2C12">
        <w:rPr>
          <w:rFonts w:cstheme="minorHAnsi"/>
          <w:bCs/>
        </w:rPr>
        <w:t>970</w:t>
      </w:r>
      <w:r w:rsidR="007E2C12" w:rsidRPr="00AC7273">
        <w:rPr>
          <w:rFonts w:cstheme="minorHAnsi"/>
          <w:bCs/>
        </w:rPr>
        <w:t xml:space="preserve"> hospitals and the second </w:t>
      </w:r>
      <w:r w:rsidR="007E2C12">
        <w:rPr>
          <w:rFonts w:cstheme="minorHAnsi"/>
          <w:bCs/>
        </w:rPr>
        <w:t>sample</w:t>
      </w:r>
      <w:r w:rsidR="007E2C12" w:rsidRPr="00AC7273">
        <w:rPr>
          <w:rFonts w:cstheme="minorHAnsi"/>
          <w:bCs/>
        </w:rPr>
        <w:t xml:space="preserve"> contained </w:t>
      </w:r>
      <w:r w:rsidR="007E2C12">
        <w:rPr>
          <w:rFonts w:cstheme="minorHAnsi"/>
          <w:bCs/>
        </w:rPr>
        <w:t>969</w:t>
      </w:r>
      <w:r w:rsidR="0044654D">
        <w:rPr>
          <w:rFonts w:cstheme="minorHAnsi"/>
          <w:bCs/>
        </w:rPr>
        <w:t xml:space="preserve"> </w:t>
      </w:r>
      <w:r w:rsidR="00CE5BDB">
        <w:rPr>
          <w:rFonts w:cstheme="minorHAnsi"/>
          <w:bCs/>
        </w:rPr>
        <w:t>hospitals.</w:t>
      </w:r>
      <w:r w:rsidR="00EC3DA5">
        <w:rPr>
          <w:rFonts w:cstheme="minorHAnsi"/>
          <w:bCs/>
        </w:rPr>
        <w:t xml:space="preserve"> T</w:t>
      </w:r>
      <w:r w:rsidRPr="005C0FD7">
        <w:rPr>
          <w:rFonts w:cstheme="minorHAnsi"/>
          <w:bCs/>
        </w:rPr>
        <w:t xml:space="preserve">he </w:t>
      </w:r>
      <w:r w:rsidR="00355002" w:rsidRPr="005C0FD7">
        <w:rPr>
          <w:rFonts w:cstheme="minorHAnsi"/>
          <w:bCs/>
        </w:rPr>
        <w:t xml:space="preserve">linked </w:t>
      </w:r>
      <w:r w:rsidRPr="005C0FD7">
        <w:rPr>
          <w:rFonts w:cstheme="minorHAnsi"/>
          <w:bCs/>
        </w:rPr>
        <w:t>dataset was</w:t>
      </w:r>
      <w:r w:rsidR="00EC3DA5">
        <w:rPr>
          <w:rFonts w:cstheme="minorHAnsi"/>
          <w:bCs/>
        </w:rPr>
        <w:t xml:space="preserve"> also</w:t>
      </w:r>
      <w:r w:rsidRPr="005C0FD7">
        <w:rPr>
          <w:rFonts w:cstheme="minorHAnsi"/>
          <w:bCs/>
        </w:rPr>
        <w:t xml:space="preserve"> used for</w:t>
      </w:r>
      <w:r w:rsidR="00CE5BDB">
        <w:rPr>
          <w:rFonts w:cstheme="minorHAnsi"/>
          <w:bCs/>
        </w:rPr>
        <w:t xml:space="preserve"> m</w:t>
      </w:r>
      <w:r w:rsidR="00A965AD" w:rsidRPr="005C0FD7">
        <w:rPr>
          <w:rFonts w:cstheme="minorHAnsi"/>
          <w:bCs/>
        </w:rPr>
        <w:t>easure exclusions testing (Section 2b3)</w:t>
      </w:r>
      <w:r w:rsidR="00CE5BDB">
        <w:rPr>
          <w:rFonts w:cstheme="minorHAnsi"/>
          <w:bCs/>
        </w:rPr>
        <w:t>.</w:t>
      </w:r>
    </w:p>
    <w:p w14:paraId="49FA42A6" w14:textId="77777777" w:rsidR="00573F81" w:rsidRDefault="00573F81" w:rsidP="00CE5BD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20DBB007" w14:textId="4553CE7E" w:rsidR="00573F81" w:rsidRPr="00AC7273" w:rsidRDefault="00EC3DA5" w:rsidP="00CE5BD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Pr>
          <w:rFonts w:cstheme="minorHAnsi"/>
          <w:bCs/>
        </w:rPr>
        <w:t>F</w:t>
      </w:r>
      <w:r w:rsidR="00573F81">
        <w:rPr>
          <w:rFonts w:cstheme="minorHAnsi"/>
          <w:bCs/>
        </w:rPr>
        <w:t>or d</w:t>
      </w:r>
      <w:r w:rsidR="00FF2981">
        <w:rPr>
          <w:rFonts w:cstheme="minorHAnsi"/>
          <w:bCs/>
        </w:rPr>
        <w:t>ata element reliability, we utilized data and analyses from the original measure NQF submission as part of initial measure development. For these analyses,</w:t>
      </w:r>
      <w:r w:rsidR="00573F81" w:rsidRPr="00573F81">
        <w:rPr>
          <w:rFonts w:cstheme="minorHAnsi"/>
          <w:bCs/>
        </w:rPr>
        <w:t xml:space="preserve"> we identified PCI procedures in the CathPCI Registry in which the patient was released from the hospital between January and December 2007. This development </w:t>
      </w:r>
      <w:r w:rsidR="00943917">
        <w:rPr>
          <w:rFonts w:cstheme="minorHAnsi"/>
          <w:bCs/>
        </w:rPr>
        <w:t xml:space="preserve">sample </w:t>
      </w:r>
      <w:r w:rsidR="00573F81" w:rsidRPr="00573F81">
        <w:rPr>
          <w:rFonts w:cstheme="minorHAnsi"/>
          <w:bCs/>
        </w:rPr>
        <w:t>consisted of 128,745 patient stays at 766 hospitals. For measure testing, we identified a cohort of PCIs in which the patient was released from the hospital between January and December 2006. This validation</w:t>
      </w:r>
      <w:r w:rsidR="00943917">
        <w:rPr>
          <w:rFonts w:cstheme="minorHAnsi"/>
          <w:bCs/>
        </w:rPr>
        <w:t xml:space="preserve"> sample</w:t>
      </w:r>
      <w:r w:rsidR="00573F81" w:rsidRPr="00573F81">
        <w:rPr>
          <w:rFonts w:cstheme="minorHAnsi"/>
          <w:bCs/>
        </w:rPr>
        <w:t xml:space="preserve"> consisted of 117,375 patient stays at 618 hospitals.</w:t>
      </w:r>
    </w:p>
    <w:p w14:paraId="3CE2D682" w14:textId="77777777" w:rsidR="00ED6157" w:rsidRPr="00AC7273" w:rsidRDefault="00ED6157" w:rsidP="001244D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720"/>
        <w:rPr>
          <w:rFonts w:cstheme="minorHAnsi"/>
          <w:bCs/>
        </w:rPr>
      </w:pPr>
    </w:p>
    <w:p w14:paraId="654C0713" w14:textId="0BA35720" w:rsidR="00E82A2F" w:rsidRPr="00B32BE6" w:rsidRDefault="00A42493" w:rsidP="00ED615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u w:val="single"/>
        </w:rPr>
      </w:pPr>
      <w:r>
        <w:rPr>
          <w:rFonts w:cstheme="minorHAnsi"/>
          <w:bCs/>
          <w:u w:val="single"/>
        </w:rPr>
        <w:t>Validity testing</w:t>
      </w:r>
      <w:r w:rsidR="00E82A2F" w:rsidRPr="00B32BE6">
        <w:rPr>
          <w:rFonts w:cstheme="minorHAnsi"/>
          <w:bCs/>
          <w:u w:val="single"/>
        </w:rPr>
        <w:t xml:space="preserve"> (Section 2b2)</w:t>
      </w:r>
    </w:p>
    <w:p w14:paraId="3E95CC51" w14:textId="4C6F04F5" w:rsidR="003F426F" w:rsidRDefault="00FF2981" w:rsidP="00C2429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Pr>
          <w:rFonts w:cstheme="minorHAnsi"/>
          <w:bCs/>
        </w:rPr>
        <w:t xml:space="preserve">Results of validity testing use data from the original measure NQF submission. </w:t>
      </w:r>
      <w:r w:rsidR="003F426F">
        <w:rPr>
          <w:rFonts w:cstheme="minorHAnsi"/>
          <w:bCs/>
        </w:rPr>
        <w:t xml:space="preserve">For measure development, we identified PCI procedures in the CathPCI Registry in which the patient was released from the hospital between January and December 2007. </w:t>
      </w:r>
      <w:r w:rsidR="00573F81">
        <w:rPr>
          <w:rFonts w:cstheme="minorHAnsi"/>
          <w:bCs/>
        </w:rPr>
        <w:t>This development</w:t>
      </w:r>
      <w:r w:rsidR="00943917">
        <w:rPr>
          <w:rFonts w:cstheme="minorHAnsi"/>
          <w:bCs/>
        </w:rPr>
        <w:t xml:space="preserve"> sample</w:t>
      </w:r>
      <w:r w:rsidR="003F426F" w:rsidRPr="003F426F">
        <w:rPr>
          <w:rFonts w:cstheme="minorHAnsi"/>
          <w:bCs/>
        </w:rPr>
        <w:t xml:space="preserve"> consisted of 128,745</w:t>
      </w:r>
      <w:r w:rsidR="002B2CAB">
        <w:rPr>
          <w:rFonts w:cstheme="minorHAnsi"/>
          <w:bCs/>
        </w:rPr>
        <w:t xml:space="preserve"> patient stays at 766 hospitals. For measure testing, </w:t>
      </w:r>
      <w:r w:rsidR="003F426F">
        <w:rPr>
          <w:rFonts w:cstheme="minorHAnsi"/>
          <w:bCs/>
        </w:rPr>
        <w:t>we identified a cohort of PCIs in which the patient was released from the hospital be</w:t>
      </w:r>
      <w:r w:rsidR="00BE17DC">
        <w:rPr>
          <w:rFonts w:cstheme="minorHAnsi"/>
          <w:bCs/>
        </w:rPr>
        <w:t>t</w:t>
      </w:r>
      <w:r w:rsidR="003F426F">
        <w:rPr>
          <w:rFonts w:cstheme="minorHAnsi"/>
          <w:bCs/>
        </w:rPr>
        <w:t xml:space="preserve">ween January and December 2006. </w:t>
      </w:r>
      <w:r w:rsidR="00573F81">
        <w:rPr>
          <w:rFonts w:cstheme="minorHAnsi"/>
          <w:bCs/>
        </w:rPr>
        <w:t xml:space="preserve">This validation </w:t>
      </w:r>
      <w:r w:rsidR="00943917">
        <w:rPr>
          <w:rFonts w:cstheme="minorHAnsi"/>
          <w:bCs/>
        </w:rPr>
        <w:t xml:space="preserve">sample </w:t>
      </w:r>
      <w:r w:rsidR="003F426F" w:rsidRPr="003F426F">
        <w:rPr>
          <w:rFonts w:cstheme="minorHAnsi"/>
          <w:bCs/>
        </w:rPr>
        <w:t>consisted of 117,375</w:t>
      </w:r>
      <w:r w:rsidR="003F426F">
        <w:rPr>
          <w:rFonts w:cstheme="minorHAnsi"/>
          <w:bCs/>
        </w:rPr>
        <w:t xml:space="preserve"> patient stays at 618 hospitals.</w:t>
      </w:r>
    </w:p>
    <w:p w14:paraId="3A08BE65" w14:textId="77777777" w:rsidR="002A6E37" w:rsidRDefault="002A6E37" w:rsidP="00C2429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32DFC27E" w14:textId="5003EC52" w:rsidR="00E82A2F" w:rsidRPr="00C160B1" w:rsidRDefault="00A42493" w:rsidP="00ED615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u w:val="single"/>
        </w:rPr>
      </w:pPr>
      <w:r w:rsidRPr="00C160B1">
        <w:rPr>
          <w:rFonts w:cstheme="minorHAnsi"/>
          <w:bCs/>
          <w:u w:val="single"/>
        </w:rPr>
        <w:t>Measure development and risk-</w:t>
      </w:r>
      <w:r w:rsidR="00E82A2F" w:rsidRPr="00C160B1">
        <w:rPr>
          <w:rFonts w:cstheme="minorHAnsi"/>
          <w:bCs/>
          <w:u w:val="single"/>
        </w:rPr>
        <w:t>adjustment dataset (Section 2b4)</w:t>
      </w:r>
    </w:p>
    <w:p w14:paraId="6E4E2665" w14:textId="75673E0D" w:rsidR="00A42493" w:rsidRDefault="00A42493" w:rsidP="00A4249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t>In measure development</w:t>
      </w:r>
      <w:r w:rsidR="00DA1899">
        <w:t xml:space="preserve">, we identified PCI procedures in the CathPCI Registry in which the patient was released from the hospital between January and December </w:t>
      </w:r>
      <w:r>
        <w:t xml:space="preserve">2007. </w:t>
      </w:r>
      <w:r w:rsidR="00D22170" w:rsidRPr="00D22170">
        <w:t xml:space="preserve">We merged PCI admissions in the NCDR CathPCI Registry data and PCI admissions in Medicare claims data to </w:t>
      </w:r>
      <w:r w:rsidR="00D22170">
        <w:t xml:space="preserve">derive cohorts for </w:t>
      </w:r>
      <w:r w:rsidR="00676CAA">
        <w:t>development using</w:t>
      </w:r>
      <w:r>
        <w:t xml:space="preserve"> </w:t>
      </w:r>
      <w:r w:rsidRPr="00A42493">
        <w:t>probabili</w:t>
      </w:r>
      <w:r>
        <w:t xml:space="preserve">stic matching methodology. </w:t>
      </w:r>
      <w:r>
        <w:rPr>
          <w:rFonts w:cstheme="minorHAnsi"/>
          <w:bCs/>
        </w:rPr>
        <w:t>There were 128</w:t>
      </w:r>
      <w:r w:rsidR="00D22170">
        <w:rPr>
          <w:rFonts w:cstheme="minorHAnsi"/>
          <w:bCs/>
        </w:rPr>
        <w:t>,</w:t>
      </w:r>
      <w:r>
        <w:rPr>
          <w:rFonts w:cstheme="minorHAnsi"/>
          <w:bCs/>
        </w:rPr>
        <w:t>745 cases discharged from the 766 hospitals in the validation sample.</w:t>
      </w:r>
      <w:r w:rsidRPr="00A42493">
        <w:rPr>
          <w:rFonts w:cstheme="minorHAnsi"/>
          <w:bCs/>
        </w:rPr>
        <w:t xml:space="preserve"> </w:t>
      </w:r>
      <w:r>
        <w:rPr>
          <w:rFonts w:cstheme="minorHAnsi"/>
          <w:bCs/>
        </w:rPr>
        <w:t>This development sample had a crude readmission rate of 11.1%</w:t>
      </w:r>
    </w:p>
    <w:p w14:paraId="665CA77D" w14:textId="77777777" w:rsidR="00AD2D14" w:rsidRDefault="00AD2D14" w:rsidP="00A4249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0B9249EB" w14:textId="157C3EF5" w:rsidR="00AD2D14" w:rsidRDefault="00AD2D14" w:rsidP="00A4249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u w:val="single"/>
        </w:rPr>
      </w:pPr>
      <w:r w:rsidRPr="00F15170">
        <w:rPr>
          <w:rFonts w:cstheme="minorHAnsi"/>
          <w:u w:val="single"/>
        </w:rPr>
        <w:t>For testing to identify meaningful differences in performance (Section 2b5)</w:t>
      </w:r>
    </w:p>
    <w:p w14:paraId="56E5D193" w14:textId="78C9337C" w:rsidR="00F15170" w:rsidRPr="00F15170" w:rsidRDefault="00F15170" w:rsidP="00A4249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AC7273">
        <w:rPr>
          <w:rFonts w:cstheme="minorHAnsi"/>
          <w:bCs/>
        </w:rPr>
        <w:t>The measure reliability dataset linked the CathPCI and Medicare Part A claims data from 2010-2011</w:t>
      </w:r>
      <w:r>
        <w:rPr>
          <w:rFonts w:cstheme="minorHAnsi"/>
          <w:bCs/>
        </w:rPr>
        <w:t>. The combined two-year sample</w:t>
      </w:r>
      <w:r w:rsidRPr="00AC7273">
        <w:rPr>
          <w:rFonts w:cstheme="minorHAnsi"/>
          <w:bCs/>
        </w:rPr>
        <w:t xml:space="preserve"> included </w:t>
      </w:r>
      <w:r>
        <w:rPr>
          <w:rFonts w:cstheme="minorHAnsi"/>
          <w:bCs/>
        </w:rPr>
        <w:t>277,512</w:t>
      </w:r>
      <w:r w:rsidRPr="00AC7273">
        <w:rPr>
          <w:rFonts w:cstheme="minorHAnsi"/>
          <w:bCs/>
        </w:rPr>
        <w:t xml:space="preserve"> to 1,1</w:t>
      </w:r>
      <w:r>
        <w:rPr>
          <w:rFonts w:cstheme="minorHAnsi"/>
          <w:bCs/>
        </w:rPr>
        <w:t>97</w:t>
      </w:r>
      <w:r w:rsidRPr="00AC7273">
        <w:rPr>
          <w:rFonts w:cstheme="minorHAnsi"/>
          <w:bCs/>
        </w:rPr>
        <w:t xml:space="preserve"> hospitals </w:t>
      </w:r>
      <w:r w:rsidRPr="00AC7273">
        <w:rPr>
          <w:rFonts w:cs="Calibri"/>
        </w:rPr>
        <w:t xml:space="preserve">with </w:t>
      </w:r>
      <w:r>
        <w:rPr>
          <w:rFonts w:cs="Calibri"/>
        </w:rPr>
        <w:t>138,756</w:t>
      </w:r>
      <w:r w:rsidRPr="00AC7273">
        <w:rPr>
          <w:rFonts w:cs="Calibri"/>
        </w:rPr>
        <w:t xml:space="preserve"> admissions to </w:t>
      </w:r>
      <w:r>
        <w:rPr>
          <w:rFonts w:cs="Calibri"/>
        </w:rPr>
        <w:t>1,190</w:t>
      </w:r>
      <w:r w:rsidRPr="00AC7273">
        <w:rPr>
          <w:rFonts w:cs="Calibri"/>
        </w:rPr>
        <w:t xml:space="preserve"> </w:t>
      </w:r>
      <w:r w:rsidRPr="00AC7273">
        <w:rPr>
          <w:rFonts w:cs="Calibri"/>
        </w:rPr>
        <w:lastRenderedPageBreak/>
        <w:t xml:space="preserve">hospitals in one randomly selected sample </w:t>
      </w:r>
      <w:r>
        <w:rPr>
          <w:rFonts w:cs="Calibri"/>
        </w:rPr>
        <w:t>and 138,756</w:t>
      </w:r>
      <w:r w:rsidRPr="00AC7273">
        <w:rPr>
          <w:rFonts w:cs="Calibri"/>
        </w:rPr>
        <w:t xml:space="preserve"> admissions to 1,1</w:t>
      </w:r>
      <w:r>
        <w:rPr>
          <w:rFonts w:cs="Calibri"/>
        </w:rPr>
        <w:t xml:space="preserve">93 </w:t>
      </w:r>
      <w:r w:rsidRPr="00AC7273">
        <w:rPr>
          <w:rFonts w:cs="Calibri"/>
        </w:rPr>
        <w:t xml:space="preserve">hospitals in the remaining sample </w:t>
      </w:r>
      <w:r w:rsidRPr="00AC7273">
        <w:rPr>
          <w:rFonts w:cstheme="minorHAnsi"/>
          <w:bCs/>
        </w:rPr>
        <w:t xml:space="preserve">for patients aged 65 years and older. After excluding hospitals with fewer than 25 cases in each sample, the first sample contained </w:t>
      </w:r>
      <w:r>
        <w:rPr>
          <w:rFonts w:cstheme="minorHAnsi"/>
          <w:bCs/>
        </w:rPr>
        <w:t>970</w:t>
      </w:r>
      <w:r w:rsidRPr="00AC7273">
        <w:rPr>
          <w:rFonts w:cstheme="minorHAnsi"/>
          <w:bCs/>
        </w:rPr>
        <w:t xml:space="preserve"> hospitals and the second </w:t>
      </w:r>
      <w:r>
        <w:rPr>
          <w:rFonts w:cstheme="minorHAnsi"/>
          <w:bCs/>
        </w:rPr>
        <w:t>sample</w:t>
      </w:r>
      <w:r w:rsidRPr="00AC7273">
        <w:rPr>
          <w:rFonts w:cstheme="minorHAnsi"/>
          <w:bCs/>
        </w:rPr>
        <w:t xml:space="preserve"> contained </w:t>
      </w:r>
      <w:r>
        <w:rPr>
          <w:rFonts w:cstheme="minorHAnsi"/>
          <w:bCs/>
        </w:rPr>
        <w:t xml:space="preserve">969 hospitals. In addition to being used for reliability testing, </w:t>
      </w:r>
      <w:r w:rsidRPr="005C0FD7">
        <w:rPr>
          <w:rFonts w:cstheme="minorHAnsi"/>
          <w:bCs/>
        </w:rPr>
        <w:t>the linked dataset was used for</w:t>
      </w:r>
      <w:r>
        <w:rPr>
          <w:rFonts w:cstheme="minorHAnsi"/>
          <w:bCs/>
        </w:rPr>
        <w:t xml:space="preserve"> m</w:t>
      </w:r>
      <w:r w:rsidRPr="005C0FD7">
        <w:rPr>
          <w:rFonts w:cstheme="minorHAnsi"/>
          <w:bCs/>
        </w:rPr>
        <w:t>easure exclusions testing (Section 2b3)</w:t>
      </w:r>
      <w:r>
        <w:rPr>
          <w:rFonts w:cstheme="minorHAnsi"/>
          <w:bCs/>
        </w:rPr>
        <w:t>.</w:t>
      </w:r>
    </w:p>
    <w:p w14:paraId="096E46B7"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669B9C31"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7AC3E91A"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48D27A77" w14:textId="77777777" w:rsidR="008C54A9" w:rsidRPr="00A25024" w:rsidRDefault="008C54A9" w:rsidP="00DB3627">
      <w:pPr>
        <w:autoSpaceDE w:val="0"/>
        <w:autoSpaceDN w:val="0"/>
        <w:adjustRightInd w:val="0"/>
        <w:spacing w:after="0" w:line="240" w:lineRule="auto"/>
        <w:rPr>
          <w:rFonts w:cstheme="minorHAnsi"/>
          <w:b/>
          <w:bCs/>
        </w:rPr>
      </w:pPr>
    </w:p>
    <w:p w14:paraId="17F37EB3" w14:textId="263D5EF0" w:rsidR="0064677C" w:rsidRPr="00DA5AB4" w:rsidRDefault="00092566" w:rsidP="00C8458C">
      <w:pPr>
        <w:autoSpaceDE w:val="0"/>
        <w:autoSpaceDN w:val="0"/>
        <w:adjustRightInd w:val="0"/>
        <w:spacing w:after="12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メイリオ"/>
            <w14:uncheckedState w14:val="2610" w14:font="メイリオ"/>
          </w14:checkbox>
        </w:sdtPr>
        <w:sdtContent>
          <w:r w:rsidR="00882F4A">
            <w:rPr>
              <w:rFonts w:ascii="Meiryo" w:eastAsia="Meiryo" w:hAnsi="Meiryo" w:cs="Meiryo"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メイリオ"/>
            <w14:uncheckedState w14:val="2610" w14:font="メイリオ"/>
          </w14:checkbox>
        </w:sdtPr>
        <w:sdtContent>
          <w:r w:rsidR="001E7ADF">
            <w:rPr>
              <w:rFonts w:ascii="Meiryo" w:eastAsia="Meiryo" w:hAnsi="Meiryo" w:cs="Meiryo"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73505EEF" w14:textId="77777777" w:rsidR="001E7ADF" w:rsidRPr="00E94D72" w:rsidRDefault="001E7ADF" w:rsidP="001E7AD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u w:val="single"/>
        </w:rPr>
      </w:pPr>
      <w:r w:rsidRPr="00E94D72">
        <w:rPr>
          <w:rFonts w:cstheme="minorHAnsi"/>
          <w:bCs/>
          <w:u w:val="single"/>
        </w:rPr>
        <w:t>Data Element Reliability</w:t>
      </w:r>
    </w:p>
    <w:p w14:paraId="0595A4B5" w14:textId="77777777" w:rsidR="00C9564B" w:rsidRDefault="00C9564B" w:rsidP="00C9564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C9564B">
        <w:rPr>
          <w:rFonts w:cstheme="minorHAnsi"/>
          <w:bCs/>
        </w:rPr>
        <w:t>In constructing the measure we aim to utilize only those data elements from the claims that have both face validity and reliability. We avoid the use of fields that are thought to be coded inconsistently across hospitals or providers. Specifically, we use fields that are consequential for payment and which are audited. We identify such variables through empiric analyses and our understanding of CMS auditing and billing policies and seek to avoid variables which do not meet this standard. For example, “discharge disposition” is a variable in Medicare claims data that is not thought to be a reliable variable for identifying a transfer between two acute care facilities. Thus, we derive a variable using admission and discharge dates as a surrogate for “discharge disposition” to identify hospital admissions involving transfers. This allows us to identify these admissions using variables in the claims data which have greater reliability than the “discharge disposition” variable. In addition, CMS has in place several hospital auditing programs used to assess overall claims code accuracy, to ensure appropriate billing, and for overpayment recoupment. CMS routinely conducts data analysis to identify potential problem areas and detect fraud, and audits important data fields used in our measures, including diagnosis and procedure codes and other elements that are consequential to payment.</w:t>
      </w:r>
    </w:p>
    <w:p w14:paraId="19741F7D" w14:textId="77777777" w:rsidR="00C9564B" w:rsidRDefault="00C9564B" w:rsidP="00C9564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2B976EB3" w14:textId="1B6FEABE" w:rsidR="00C9564B" w:rsidRDefault="00C9564B" w:rsidP="00C9564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Pr>
          <w:rFonts w:cstheme="minorHAnsi"/>
          <w:bCs/>
        </w:rPr>
        <w:t>In addition, a</w:t>
      </w:r>
      <w:r w:rsidRPr="00C9564B">
        <w:rPr>
          <w:rFonts w:cstheme="minorHAnsi"/>
          <w:bCs/>
        </w:rPr>
        <w:t>s an example of some of the methods that could be used to ensure data quality, we describe the NCDR’s existing Data Quality Program (DQP). The two main component of the DQP are complementary and consist of the Data Quality Report (DQR) and the Data Audit Program (DAP). The DQR process assesses the completeness and vali</w:t>
      </w:r>
      <w:r w:rsidR="00764A3A">
        <w:rPr>
          <w:rFonts w:cstheme="minorHAnsi"/>
          <w:bCs/>
        </w:rPr>
        <w:t>dity of</w:t>
      </w:r>
      <w:r w:rsidRPr="00C9564B">
        <w:rPr>
          <w:rFonts w:cstheme="minorHAnsi"/>
          <w:bCs/>
        </w:rPr>
        <w:t xml:space="preserve"> the electronic data submitted by participating hospitals. Hospitals must achieve &gt;95% completeness of specific data elements identified as ‘core fields’ to be included in the registry’s data warehouse for analysis. The ‘core fields’ include the variables included in</w:t>
      </w:r>
      <w:r>
        <w:rPr>
          <w:rFonts w:cstheme="minorHAnsi"/>
          <w:bCs/>
        </w:rPr>
        <w:t xml:space="preserve"> </w:t>
      </w:r>
      <w:r w:rsidRPr="00C9564B">
        <w:rPr>
          <w:rFonts w:cstheme="minorHAnsi"/>
          <w:bCs/>
        </w:rPr>
        <w:t>25</w:t>
      </w:r>
      <w:r>
        <w:rPr>
          <w:rFonts w:cstheme="minorHAnsi"/>
          <w:bCs/>
        </w:rPr>
        <w:t xml:space="preserve"> </w:t>
      </w:r>
      <w:r w:rsidRPr="00C9564B">
        <w:rPr>
          <w:rFonts w:cstheme="minorHAnsi"/>
          <w:bCs/>
        </w:rPr>
        <w:t>our risk adjustment models. The process is iterative, providing hospitals with the opportunity to correct errors and resubmit data for review and acceptance into the data warehouse. The DAP consists of annual on-site chart review and data abstraction. Among participating hospitals that pass the DQ</w:t>
      </w:r>
      <w:r>
        <w:rPr>
          <w:rFonts w:cstheme="minorHAnsi"/>
          <w:bCs/>
        </w:rPr>
        <w:t xml:space="preserve"> </w:t>
      </w:r>
      <w:r w:rsidRPr="00C9564B">
        <w:rPr>
          <w:rFonts w:cstheme="minorHAnsi"/>
          <w:bCs/>
        </w:rPr>
        <w:t>random</w:t>
      </w:r>
      <w:r>
        <w:rPr>
          <w:rFonts w:cstheme="minorHAnsi"/>
          <w:bCs/>
        </w:rPr>
        <w:t xml:space="preserve"> </w:t>
      </w:r>
      <w:r w:rsidRPr="00C9564B">
        <w:rPr>
          <w:rFonts w:cstheme="minorHAnsi"/>
          <w:bCs/>
        </w:rPr>
        <w:t>charts of 10% of submitted cases. The CathPCI Registry audit focuses o</w:t>
      </w:r>
      <w:r>
        <w:rPr>
          <w:rFonts w:cstheme="minorHAnsi"/>
          <w:bCs/>
        </w:rPr>
        <w:t>n variables used</w:t>
      </w:r>
      <w:r w:rsidRPr="00C9564B">
        <w:rPr>
          <w:rFonts w:cstheme="minorHAnsi"/>
          <w:bCs/>
        </w:rPr>
        <w:t xml:space="preserve"> for the existing PCI mortality models.</w:t>
      </w:r>
      <w:r>
        <w:rPr>
          <w:rFonts w:cstheme="minorHAnsi"/>
          <w:bCs/>
        </w:rPr>
        <w:t xml:space="preserve"> </w:t>
      </w:r>
    </w:p>
    <w:p w14:paraId="2F8D2E6D" w14:textId="77777777" w:rsidR="00C8458C" w:rsidRPr="00C9564B" w:rsidRDefault="00C8458C" w:rsidP="00C9564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3803A779" w14:textId="52BE910D" w:rsidR="00C9564B" w:rsidRDefault="00C9564B" w:rsidP="00C9564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E94D72">
        <w:rPr>
          <w:rFonts w:cstheme="minorHAnsi"/>
          <w:bCs/>
        </w:rPr>
        <w:lastRenderedPageBreak/>
        <w:t xml:space="preserve">Finally, we assess the reliability of the data elements by comparing model variable </w:t>
      </w:r>
      <w:r w:rsidR="00C576CE">
        <w:rPr>
          <w:rFonts w:cstheme="minorHAnsi"/>
          <w:bCs/>
        </w:rPr>
        <w:t>frequencies and odds ratios in two</w:t>
      </w:r>
      <w:r w:rsidRPr="00E94D72">
        <w:rPr>
          <w:rFonts w:cstheme="minorHAnsi"/>
          <w:bCs/>
        </w:rPr>
        <w:t xml:space="preserve"> years of data.</w:t>
      </w:r>
    </w:p>
    <w:p w14:paraId="5D2727DF" w14:textId="77777777" w:rsidR="00C576CE" w:rsidRDefault="00C576CE" w:rsidP="00C9564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182B9414" w14:textId="77777777" w:rsidR="001E7ADF" w:rsidRDefault="001E7ADF" w:rsidP="001E7AD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u w:val="single"/>
        </w:rPr>
      </w:pPr>
      <w:r w:rsidRPr="00DA5AB4">
        <w:rPr>
          <w:rFonts w:cstheme="minorHAnsi"/>
          <w:bCs/>
          <w:u w:val="single"/>
        </w:rPr>
        <w:t>Measure Score Reliability</w:t>
      </w:r>
    </w:p>
    <w:p w14:paraId="74D93C4B" w14:textId="3D903AAE" w:rsidR="004D5DAD" w:rsidRDefault="004D5DAD" w:rsidP="001E7AD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4D5DAD">
        <w:rPr>
          <w:rFonts w:cstheme="minorHAnsi"/>
          <w:bCs/>
        </w:rPr>
        <w:t>The reliability of a measurement is the degree to which repeated measurements of the same entity agree with each other. For measures of hospital performance, the measured entity is naturally the hospital, and reliability is the extent to which repeated measurements of the same hospital give similar results. In line with this thinking, our approach to asses reliability is to consider the extent to which assessments of a hospital using different</w:t>
      </w:r>
      <w:r>
        <w:rPr>
          <w:rFonts w:cstheme="minorHAnsi"/>
          <w:bCs/>
        </w:rPr>
        <w:t>,</w:t>
      </w:r>
      <w:r w:rsidRPr="004D5DAD">
        <w:rPr>
          <w:rFonts w:cstheme="minorHAnsi"/>
          <w:bCs/>
        </w:rPr>
        <w:t xml:space="preserve"> but randomly selected subsets of patients</w:t>
      </w:r>
      <w:r>
        <w:rPr>
          <w:rFonts w:cstheme="minorHAnsi"/>
          <w:bCs/>
        </w:rPr>
        <w:t>,</w:t>
      </w:r>
      <w:r w:rsidRPr="004D5DAD">
        <w:rPr>
          <w:rFonts w:cstheme="minorHAnsi"/>
          <w:bCs/>
        </w:rPr>
        <w:t xml:space="preserve"> produce similar measures of hospital performance. That is, we take a "test-retest" approach in which hospital performance is measured once using a random subset of patients, then measured again using a second random subset exclusive of the first, and finally comparing the agreement between the two resulting performance measures across hospitals (Rousson et al., 2002).</w:t>
      </w:r>
    </w:p>
    <w:p w14:paraId="231B6122" w14:textId="77777777" w:rsidR="00E94D72" w:rsidRDefault="00E94D72" w:rsidP="001E7AD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Calibri"/>
        </w:rPr>
      </w:pPr>
    </w:p>
    <w:p w14:paraId="6C6A0F6B" w14:textId="704B68FE" w:rsidR="00E94D72" w:rsidRDefault="00E94D72" w:rsidP="001E7AD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libri" w:hAnsi="Calibri"/>
          <w:color w:val="000000"/>
        </w:rPr>
      </w:pPr>
      <w:r w:rsidRPr="006F4BCB">
        <w:rPr>
          <w:rFonts w:ascii="Calibri" w:hAnsi="Calibri"/>
          <w:color w:val="000000"/>
        </w:rPr>
        <w:t>For test-retest reliability, we combined index admissions from successive measurement periods into one dataset</w:t>
      </w:r>
      <w:r>
        <w:rPr>
          <w:rFonts w:ascii="Calibri" w:hAnsi="Calibri"/>
          <w:color w:val="000000"/>
        </w:rPr>
        <w:t xml:space="preserve"> (2010 and 2011)</w:t>
      </w:r>
      <w:r w:rsidRPr="006F4BCB">
        <w:rPr>
          <w:rFonts w:ascii="Calibri" w:hAnsi="Calibri"/>
          <w:color w:val="000000"/>
        </w:rPr>
        <w:t xml:space="preserve">, randomly sampled half of patients within each hospital, calculated the measure for each hospital, and repeated the calculation using the second half. Thus, each hospital is measured twice, but each measurement is made using an entirely distinct set of patients. To the extent that the calculated measures of these two subsets agree, we have evidence that the measure is assessing an attribute of the hospital, not of the patients. As a metric of agreement we calculated the intra-class correlation coefficient (ICC) (Shrout and Fleiss, 1979), and assessed the values according to conventional standards (Landis and Koch, 1977). Specifically, we used </w:t>
      </w:r>
      <w:r>
        <w:rPr>
          <w:rFonts w:ascii="Calibri" w:hAnsi="Calibri"/>
          <w:color w:val="000000"/>
        </w:rPr>
        <w:t>the two data samples</w:t>
      </w:r>
      <w:r w:rsidRPr="006F4BCB">
        <w:rPr>
          <w:rFonts w:ascii="Calibri" w:hAnsi="Calibri"/>
          <w:color w:val="000000"/>
        </w:rPr>
        <w:t xml:space="preserve"> and calculated the </w:t>
      </w:r>
      <w:r w:rsidR="0008757D">
        <w:rPr>
          <w:rFonts w:ascii="Calibri" w:hAnsi="Calibri"/>
          <w:color w:val="000000"/>
        </w:rPr>
        <w:t>risk-standardized readmission rate (</w:t>
      </w:r>
      <w:r w:rsidRPr="006F4BCB">
        <w:rPr>
          <w:rFonts w:ascii="Calibri" w:hAnsi="Calibri"/>
          <w:color w:val="000000"/>
        </w:rPr>
        <w:t>RSRR</w:t>
      </w:r>
      <w:r w:rsidR="0008757D">
        <w:rPr>
          <w:rFonts w:ascii="Calibri" w:hAnsi="Calibri"/>
          <w:color w:val="000000"/>
        </w:rPr>
        <w:t>)</w:t>
      </w:r>
      <w:r w:rsidRPr="006F4BCB">
        <w:rPr>
          <w:rFonts w:ascii="Calibri" w:hAnsi="Calibri"/>
          <w:color w:val="000000"/>
        </w:rPr>
        <w:t xml:space="preserve"> for each hospital for each sample. The agreement of the two RSRRs was quantified for hospitals in each sample us</w:t>
      </w:r>
      <w:r w:rsidR="0008757D">
        <w:rPr>
          <w:rFonts w:ascii="Calibri" w:hAnsi="Calibri"/>
          <w:color w:val="000000"/>
        </w:rPr>
        <w:t xml:space="preserve">ing the intra-class correlation (ICC) </w:t>
      </w:r>
      <w:r w:rsidRPr="006F4BCB">
        <w:rPr>
          <w:rFonts w:ascii="Calibri" w:hAnsi="Calibri"/>
          <w:color w:val="000000"/>
        </w:rPr>
        <w:t>as defined by Shrout and Fleiss (1979).</w:t>
      </w:r>
    </w:p>
    <w:p w14:paraId="6929C5BF" w14:textId="77777777" w:rsidR="003A3C3A" w:rsidRDefault="003A3C3A" w:rsidP="001E7AD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libri" w:hAnsi="Calibri"/>
          <w:color w:val="000000"/>
        </w:rPr>
      </w:pPr>
    </w:p>
    <w:p w14:paraId="7D569045" w14:textId="0C424FB4" w:rsidR="008C54A9" w:rsidRDefault="003A3C3A" w:rsidP="001175D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Calibri"/>
        </w:rPr>
      </w:pPr>
      <w:r>
        <w:rPr>
          <w:rFonts w:ascii="Calibri" w:hAnsi="Calibri"/>
          <w:color w:val="000000"/>
        </w:rPr>
        <w:t xml:space="preserve">Using two independent samples provides an honest estimate of the measure’s reliability, compared with using two random, but potentially overlapping samples, which would exaggerate the agreement. Moreover, because our final measure is derived using hierarchical logistic regression, and a known property of hierarchical logistic regression models is that small volume hospitals contribute </w:t>
      </w:r>
      <w:r w:rsidR="001E7ADF" w:rsidRPr="00DA5AB4">
        <w:rPr>
          <w:rFonts w:cs="Calibri"/>
        </w:rPr>
        <w:t xml:space="preserve">less ´signal´. </w:t>
      </w:r>
      <w:r w:rsidR="001175D5" w:rsidRPr="001175D5">
        <w:rPr>
          <w:rFonts w:cs="Calibri"/>
        </w:rPr>
        <w:t>As such a split sample using a single measurement period likely introduces extra noise; potentially underestimating the actual test-retest reliability that would be achieved if the measures were reported using additional years of data. Furthermore, the measure is specified for the entire PCI population, but we tested it only in the subset of Medicare FFS patients for whom information about vital status was available. This reduced the cohort available for testing by approximately 40%.</w:t>
      </w:r>
    </w:p>
    <w:p w14:paraId="0244D48D" w14:textId="77777777" w:rsidR="004D5DAD" w:rsidRDefault="004D5DAD" w:rsidP="001175D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Calibri"/>
        </w:rPr>
      </w:pPr>
    </w:p>
    <w:p w14:paraId="083777F2" w14:textId="77777777" w:rsidR="004D5DAD" w:rsidRPr="004D5DAD" w:rsidRDefault="004D5DAD" w:rsidP="004D5DA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4D5DAD">
        <w:rPr>
          <w:rFonts w:cstheme="minorHAnsi"/>
          <w:bCs/>
        </w:rPr>
        <w:t>References:</w:t>
      </w:r>
    </w:p>
    <w:p w14:paraId="53012BA5" w14:textId="563AD64D" w:rsidR="004D5DAD" w:rsidRPr="004D5DAD" w:rsidRDefault="00C8458C" w:rsidP="004D5DA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Pr>
          <w:rFonts w:cstheme="minorHAnsi"/>
          <w:bCs/>
        </w:rPr>
        <w:t xml:space="preserve">1) </w:t>
      </w:r>
      <w:r w:rsidR="004D5DAD" w:rsidRPr="004D5DAD">
        <w:rPr>
          <w:rFonts w:cstheme="minorHAnsi"/>
          <w:bCs/>
        </w:rPr>
        <w:t>Rousson V, Gasser T, Seifert B. Assessing intrarater, interrater and test–retest reliability of continuous measurements. Statistics in Medicine 2002;21:3431-3446.</w:t>
      </w:r>
    </w:p>
    <w:p w14:paraId="6EF443A3" w14:textId="3336F048" w:rsidR="004D5DAD" w:rsidRDefault="00C8458C" w:rsidP="004D5DA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Pr>
          <w:rFonts w:cstheme="minorHAnsi"/>
          <w:bCs/>
        </w:rPr>
        <w:t xml:space="preserve">2) </w:t>
      </w:r>
      <w:r w:rsidR="004D5DAD" w:rsidRPr="004D5DAD">
        <w:rPr>
          <w:rFonts w:cstheme="minorHAnsi"/>
          <w:bCs/>
        </w:rPr>
        <w:t>Shrout P, Fleiss J. Intraclass correlations: uses in assessing rater reliability. Psychological Bulletin 1979;86:420-428.</w:t>
      </w:r>
    </w:p>
    <w:p w14:paraId="6A816D23" w14:textId="5DACBD11" w:rsidR="004D5DAD" w:rsidRPr="003A3C3A" w:rsidRDefault="00C8458C" w:rsidP="003A3C3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sectPr w:rsidR="004D5DAD" w:rsidRPr="003A3C3A" w:rsidSect="008505D1">
          <w:headerReference w:type="default" r:id="rId9"/>
          <w:footerReference w:type="default" r:id="rId10"/>
          <w:pgSz w:w="12240" w:h="15840"/>
          <w:pgMar w:top="1440" w:right="1440" w:bottom="1440" w:left="1440" w:header="720" w:footer="720" w:gutter="0"/>
          <w:cols w:space="720"/>
          <w:docGrid w:linePitch="360"/>
        </w:sectPr>
      </w:pPr>
      <w:r>
        <w:rPr>
          <w:rFonts w:ascii="Calibri" w:hAnsi="Calibri"/>
          <w:color w:val="000000"/>
        </w:rPr>
        <w:t xml:space="preserve">3) </w:t>
      </w:r>
      <w:r w:rsidR="003A3C3A" w:rsidRPr="009B4DE8">
        <w:rPr>
          <w:rFonts w:ascii="Calibri" w:hAnsi="Calibri"/>
          <w:color w:val="000000"/>
        </w:rPr>
        <w:t>Landis J, Koch G, The measurement of observer agreement for categorical data. Biometrics 1977;33:159-174.</w:t>
      </w:r>
    </w:p>
    <w:p w14:paraId="7CE98F53" w14:textId="3891D357" w:rsidR="006C74B8" w:rsidRDefault="00092566" w:rsidP="008C54A9">
      <w:pPr>
        <w:autoSpaceDE w:val="0"/>
        <w:autoSpaceDN w:val="0"/>
        <w:adjustRightInd w:val="0"/>
        <w:spacing w:after="0" w:line="240" w:lineRule="auto"/>
        <w:rPr>
          <w:rFonts w:cstheme="minorHAnsi"/>
          <w:bCs/>
        </w:rPr>
      </w:pPr>
      <w:r>
        <w:rPr>
          <w:rFonts w:cstheme="minorHAnsi"/>
          <w:b/>
          <w:bCs/>
        </w:rPr>
        <w:lastRenderedPageBreak/>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0AE3BD77" w14:textId="361A565C" w:rsidR="0085366C" w:rsidRPr="003158A5" w:rsidRDefault="0085366C" w:rsidP="00AD387C">
      <w:pPr>
        <w:pBdr>
          <w:top w:val="single" w:sz="8" w:space="1" w:color="000000"/>
          <w:left w:val="single" w:sz="8" w:space="4" w:color="000000"/>
          <w:bottom w:val="single" w:sz="8" w:space="1" w:color="000000"/>
          <w:right w:val="single" w:sz="8" w:space="4" w:color="000000"/>
        </w:pBdr>
        <w:autoSpaceDE w:val="0"/>
        <w:autoSpaceDN w:val="0"/>
        <w:adjustRightInd w:val="0"/>
        <w:spacing w:after="0" w:line="240" w:lineRule="auto"/>
        <w:rPr>
          <w:rFonts w:cstheme="minorHAnsi"/>
          <w:bCs/>
          <w:u w:val="single"/>
        </w:rPr>
      </w:pPr>
      <w:r w:rsidRPr="003158A5">
        <w:rPr>
          <w:rFonts w:cstheme="minorHAnsi"/>
          <w:bCs/>
          <w:u w:val="single"/>
        </w:rPr>
        <w:t>Data element reliability</w:t>
      </w:r>
      <w:r w:rsidR="00C37AA4">
        <w:rPr>
          <w:rFonts w:cstheme="minorHAnsi"/>
          <w:bCs/>
          <w:u w:val="single"/>
        </w:rPr>
        <w:t xml:space="preserve"> results</w:t>
      </w:r>
    </w:p>
    <w:p w14:paraId="5DE82498" w14:textId="6306EE4A" w:rsidR="0085366C" w:rsidRPr="0085366C" w:rsidRDefault="0085366C" w:rsidP="00AD387C">
      <w:pPr>
        <w:pBdr>
          <w:top w:val="single" w:sz="8" w:space="1" w:color="000000"/>
          <w:left w:val="single" w:sz="8" w:space="4" w:color="000000"/>
          <w:bottom w:val="single" w:sz="8" w:space="1" w:color="000000"/>
          <w:right w:val="single" w:sz="8" w:space="4" w:color="000000"/>
        </w:pBdr>
        <w:autoSpaceDE w:val="0"/>
        <w:autoSpaceDN w:val="0"/>
        <w:adjustRightInd w:val="0"/>
        <w:spacing w:after="0" w:line="240" w:lineRule="auto"/>
        <w:rPr>
          <w:rFonts w:cstheme="minorHAnsi"/>
          <w:bCs/>
        </w:rPr>
      </w:pPr>
      <w:r w:rsidRPr="003158A5">
        <w:rPr>
          <w:rFonts w:cstheme="minorHAnsi"/>
          <w:bCs/>
        </w:rPr>
        <w:t>Overall, r</w:t>
      </w:r>
      <w:r w:rsidR="008217C2" w:rsidRPr="003158A5">
        <w:rPr>
          <w:rFonts w:cstheme="minorHAnsi"/>
          <w:bCs/>
        </w:rPr>
        <w:t xml:space="preserve">isk factor frequencies changed </w:t>
      </w:r>
      <w:r w:rsidRPr="003158A5">
        <w:rPr>
          <w:rFonts w:cstheme="minorHAnsi"/>
          <w:bCs/>
        </w:rPr>
        <w:t xml:space="preserve">little </w:t>
      </w:r>
      <w:r w:rsidR="008217C2" w:rsidRPr="003158A5">
        <w:rPr>
          <w:rFonts w:cstheme="minorHAnsi"/>
          <w:bCs/>
        </w:rPr>
        <w:t>across years</w:t>
      </w:r>
      <w:r w:rsidRPr="003158A5">
        <w:rPr>
          <w:rFonts w:cstheme="minorHAnsi"/>
          <w:bCs/>
        </w:rPr>
        <w:t>, and there were no notable differences in the odds ratios across years of data</w:t>
      </w:r>
      <w:r w:rsidR="00573F81">
        <w:rPr>
          <w:rFonts w:cstheme="minorHAnsi"/>
          <w:bCs/>
        </w:rPr>
        <w:t xml:space="preserve"> (Table 1)</w:t>
      </w:r>
      <w:r w:rsidRPr="003158A5">
        <w:rPr>
          <w:rFonts w:cstheme="minorHAnsi"/>
          <w:bCs/>
        </w:rPr>
        <w:t>.</w:t>
      </w:r>
      <w:r w:rsidR="002D0729">
        <w:rPr>
          <w:rFonts w:cstheme="minorHAnsi"/>
          <w:bCs/>
        </w:rPr>
        <w:t xml:space="preserve"> </w:t>
      </w:r>
      <w:r w:rsidR="002D0729" w:rsidRPr="002D0729">
        <w:rPr>
          <w:rFonts w:cstheme="minorHAnsi"/>
          <w:bCs/>
        </w:rPr>
        <w:t>See the 2013 Measure Updates a</w:t>
      </w:r>
      <w:r w:rsidR="00072FA3">
        <w:rPr>
          <w:rFonts w:cstheme="minorHAnsi"/>
          <w:bCs/>
        </w:rPr>
        <w:t>nd Specifications Report in the attached Appendix for details.</w:t>
      </w:r>
    </w:p>
    <w:p w14:paraId="415B0773" w14:textId="35B1DE53" w:rsidR="004946D6" w:rsidRDefault="004946D6" w:rsidP="00C8458C">
      <w:pPr>
        <w:pStyle w:val="Caption"/>
        <w:spacing w:after="120"/>
      </w:pPr>
      <w:r>
        <w:t xml:space="preserve">Table </w:t>
      </w:r>
      <w:fldSimple w:instr=" SEQ Table \* ARABIC ">
        <w:r w:rsidR="00EC3DA5">
          <w:rPr>
            <w:noProof/>
          </w:rPr>
          <w:t>1</w:t>
        </w:r>
      </w:fldSimple>
      <w:r>
        <w:t xml:space="preserve">. </w:t>
      </w:r>
      <w:r w:rsidRPr="004946D6">
        <w:rPr>
          <w:b w:val="0"/>
        </w:rPr>
        <w:t>30-Day Readmission Model (GLM) Risk Factor Frequency by Year of Discharge</w:t>
      </w:r>
      <w:r w:rsidR="003158A5">
        <w:rPr>
          <w:b w:val="0"/>
        </w:rPr>
        <w:t xml:space="preserve"> (%)</w:t>
      </w:r>
    </w:p>
    <w:tbl>
      <w:tblPr>
        <w:tblW w:w="10458" w:type="dxa"/>
        <w:tblInd w:w="180"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3258"/>
        <w:gridCol w:w="2700"/>
        <w:gridCol w:w="2160"/>
        <w:gridCol w:w="2340"/>
      </w:tblGrid>
      <w:tr w:rsidR="003158A5" w14:paraId="2D62CBA1" w14:textId="2C888387" w:rsidTr="00B70BA8">
        <w:trPr>
          <w:cantSplit/>
          <w:trHeight w:val="727"/>
          <w:tblHeader/>
        </w:trPr>
        <w:tc>
          <w:tcPr>
            <w:tcW w:w="3258" w:type="dxa"/>
            <w:tcBorders>
              <w:top w:val="single" w:sz="8" w:space="0" w:color="000000"/>
              <w:left w:val="single" w:sz="8" w:space="0" w:color="000000"/>
              <w:bottom w:val="single" w:sz="8" w:space="0" w:color="000000"/>
              <w:right w:val="single" w:sz="8" w:space="0" w:color="000000"/>
            </w:tcBorders>
          </w:tcPr>
          <w:p w14:paraId="17AE6A53" w14:textId="77777777" w:rsidR="003158A5" w:rsidRPr="00AC4D0E" w:rsidRDefault="003158A5" w:rsidP="00E94D72">
            <w:pPr>
              <w:pStyle w:val="Default"/>
              <w:jc w:val="center"/>
              <w:rPr>
                <w:rFonts w:ascii="Calibri" w:hAnsi="Calibri"/>
                <w:sz w:val="22"/>
                <w:szCs w:val="22"/>
              </w:rPr>
            </w:pPr>
            <w:r w:rsidRPr="00AC4D0E">
              <w:rPr>
                <w:rFonts w:ascii="Calibri" w:hAnsi="Calibri"/>
                <w:b/>
                <w:bCs/>
                <w:sz w:val="22"/>
                <w:szCs w:val="22"/>
              </w:rPr>
              <w:t xml:space="preserve">Description </w:t>
            </w:r>
          </w:p>
        </w:tc>
        <w:tc>
          <w:tcPr>
            <w:tcW w:w="2700" w:type="dxa"/>
            <w:tcBorders>
              <w:top w:val="single" w:sz="8" w:space="0" w:color="000000"/>
              <w:left w:val="single" w:sz="6" w:space="0" w:color="000000"/>
              <w:bottom w:val="single" w:sz="8" w:space="0" w:color="000000"/>
              <w:right w:val="single" w:sz="6" w:space="0" w:color="000000"/>
            </w:tcBorders>
          </w:tcPr>
          <w:p w14:paraId="1931C134" w14:textId="77777777" w:rsidR="003158A5" w:rsidRPr="00AC4D0E" w:rsidRDefault="003158A5" w:rsidP="00E94D72">
            <w:pPr>
              <w:pStyle w:val="Default"/>
              <w:jc w:val="center"/>
              <w:rPr>
                <w:rFonts w:ascii="Calibri" w:hAnsi="Calibri"/>
                <w:b/>
                <w:bCs/>
                <w:sz w:val="22"/>
                <w:szCs w:val="22"/>
              </w:rPr>
            </w:pPr>
            <w:r w:rsidRPr="00AC4D0E">
              <w:rPr>
                <w:rFonts w:ascii="Calibri" w:hAnsi="Calibri"/>
                <w:b/>
                <w:bCs/>
                <w:sz w:val="22"/>
                <w:szCs w:val="22"/>
              </w:rPr>
              <w:t xml:space="preserve">2006 </w:t>
            </w:r>
          </w:p>
          <w:p w14:paraId="24CDB392" w14:textId="77777777" w:rsidR="003158A5" w:rsidRPr="00AC4D0E" w:rsidRDefault="003158A5" w:rsidP="00E94D72">
            <w:pPr>
              <w:pStyle w:val="Default"/>
              <w:jc w:val="center"/>
              <w:rPr>
                <w:rFonts w:ascii="Calibri" w:hAnsi="Calibri"/>
                <w:sz w:val="22"/>
                <w:szCs w:val="22"/>
              </w:rPr>
            </w:pPr>
            <w:r w:rsidRPr="00AC4D0E">
              <w:rPr>
                <w:rFonts w:ascii="Calibri" w:hAnsi="Calibri"/>
                <w:b/>
                <w:bCs/>
                <w:sz w:val="22"/>
                <w:szCs w:val="22"/>
              </w:rPr>
              <w:t xml:space="preserve">(Validation) </w:t>
            </w:r>
          </w:p>
          <w:p w14:paraId="026EAD0D" w14:textId="77777777" w:rsidR="003158A5" w:rsidRPr="00AC4D0E" w:rsidRDefault="003158A5" w:rsidP="00E94D72">
            <w:pPr>
              <w:pStyle w:val="Default"/>
              <w:jc w:val="center"/>
              <w:rPr>
                <w:rFonts w:ascii="Calibri" w:hAnsi="Calibri"/>
                <w:sz w:val="22"/>
                <w:szCs w:val="22"/>
              </w:rPr>
            </w:pPr>
            <w:r w:rsidRPr="00AC4D0E">
              <w:rPr>
                <w:rFonts w:ascii="Calibri" w:hAnsi="Calibri"/>
                <w:b/>
                <w:bCs/>
                <w:sz w:val="22"/>
                <w:szCs w:val="22"/>
              </w:rPr>
              <w:t xml:space="preserve">N=117,375 in 618 Hospitals </w:t>
            </w:r>
          </w:p>
        </w:tc>
        <w:tc>
          <w:tcPr>
            <w:tcW w:w="2160" w:type="dxa"/>
            <w:tcBorders>
              <w:top w:val="single" w:sz="8" w:space="0" w:color="000000"/>
              <w:left w:val="single" w:sz="8" w:space="0" w:color="000000"/>
              <w:bottom w:val="single" w:sz="8" w:space="0" w:color="000000"/>
              <w:right w:val="single" w:sz="8" w:space="0" w:color="000000"/>
            </w:tcBorders>
          </w:tcPr>
          <w:p w14:paraId="6AF18A5C" w14:textId="77777777" w:rsidR="003158A5" w:rsidRPr="00AC4D0E" w:rsidRDefault="003158A5" w:rsidP="00E94D72">
            <w:pPr>
              <w:pStyle w:val="Default"/>
              <w:jc w:val="center"/>
              <w:rPr>
                <w:rFonts w:ascii="Calibri" w:hAnsi="Calibri"/>
                <w:sz w:val="22"/>
                <w:szCs w:val="22"/>
              </w:rPr>
            </w:pPr>
            <w:r w:rsidRPr="00AC4D0E">
              <w:rPr>
                <w:rFonts w:ascii="Calibri" w:hAnsi="Calibri"/>
                <w:b/>
                <w:bCs/>
                <w:sz w:val="22"/>
                <w:szCs w:val="22"/>
              </w:rPr>
              <w:t xml:space="preserve">2007 (Development) </w:t>
            </w:r>
          </w:p>
          <w:p w14:paraId="4F55E5EE" w14:textId="77777777" w:rsidR="003158A5" w:rsidRPr="00AC4D0E" w:rsidRDefault="003158A5" w:rsidP="00E94D72">
            <w:pPr>
              <w:pStyle w:val="Default"/>
              <w:jc w:val="center"/>
              <w:rPr>
                <w:rFonts w:ascii="Calibri" w:hAnsi="Calibri"/>
                <w:sz w:val="22"/>
                <w:szCs w:val="22"/>
              </w:rPr>
            </w:pPr>
            <w:r w:rsidRPr="00AC4D0E">
              <w:rPr>
                <w:rFonts w:ascii="Calibri" w:hAnsi="Calibri"/>
                <w:b/>
                <w:bCs/>
                <w:sz w:val="22"/>
                <w:szCs w:val="22"/>
              </w:rPr>
              <w:t xml:space="preserve">N=128,745 in 766 Hospitals </w:t>
            </w:r>
          </w:p>
        </w:tc>
        <w:tc>
          <w:tcPr>
            <w:tcW w:w="2340" w:type="dxa"/>
            <w:tcBorders>
              <w:top w:val="single" w:sz="8" w:space="0" w:color="000000"/>
              <w:left w:val="single" w:sz="8" w:space="0" w:color="000000"/>
              <w:bottom w:val="single" w:sz="8" w:space="0" w:color="000000"/>
              <w:right w:val="single" w:sz="8" w:space="0" w:color="000000"/>
            </w:tcBorders>
          </w:tcPr>
          <w:p w14:paraId="4E5CDD52" w14:textId="77777777" w:rsidR="003158A5" w:rsidRPr="008217C2" w:rsidRDefault="003158A5" w:rsidP="00E94D72">
            <w:pPr>
              <w:pStyle w:val="Default"/>
              <w:jc w:val="center"/>
              <w:rPr>
                <w:rFonts w:asciiTheme="minorHAnsi" w:hAnsiTheme="minorHAnsi"/>
                <w:b/>
                <w:bCs/>
                <w:sz w:val="22"/>
                <w:szCs w:val="22"/>
              </w:rPr>
            </w:pPr>
            <w:r w:rsidRPr="008217C2">
              <w:rPr>
                <w:rFonts w:asciiTheme="minorHAnsi" w:hAnsiTheme="minorHAnsi"/>
                <w:b/>
                <w:bCs/>
                <w:sz w:val="22"/>
                <w:szCs w:val="22"/>
              </w:rPr>
              <w:t>2010-2011</w:t>
            </w:r>
          </w:p>
          <w:p w14:paraId="53F4ED8F" w14:textId="6634A0B2" w:rsidR="003158A5" w:rsidRPr="008217C2" w:rsidRDefault="003158A5" w:rsidP="008217C2">
            <w:pPr>
              <w:pStyle w:val="Default"/>
              <w:jc w:val="center"/>
              <w:rPr>
                <w:rFonts w:asciiTheme="minorHAnsi" w:hAnsiTheme="minorHAnsi"/>
                <w:b/>
                <w:bCs/>
                <w:sz w:val="22"/>
                <w:szCs w:val="22"/>
              </w:rPr>
            </w:pPr>
            <w:r w:rsidRPr="008217C2">
              <w:rPr>
                <w:rFonts w:asciiTheme="minorHAnsi" w:hAnsiTheme="minorHAnsi" w:cstheme="minorHAnsi"/>
                <w:b/>
                <w:bCs/>
                <w:sz w:val="22"/>
                <w:szCs w:val="22"/>
              </w:rPr>
              <w:t>N=277,512 in 1,197 Hospitals</w:t>
            </w:r>
          </w:p>
        </w:tc>
      </w:tr>
      <w:tr w:rsidR="003158A5" w14:paraId="24370186" w14:textId="59B24A0F" w:rsidTr="00B70BA8">
        <w:trPr>
          <w:trHeight w:val="131"/>
        </w:trPr>
        <w:tc>
          <w:tcPr>
            <w:tcW w:w="3258" w:type="dxa"/>
            <w:tcBorders>
              <w:top w:val="single" w:sz="6" w:space="0" w:color="000000"/>
              <w:left w:val="single" w:sz="8" w:space="0" w:color="000000"/>
              <w:bottom w:val="single" w:sz="6" w:space="0" w:color="000000"/>
              <w:right w:val="single" w:sz="8" w:space="0" w:color="000000"/>
            </w:tcBorders>
          </w:tcPr>
          <w:p w14:paraId="422AB61B" w14:textId="6F62A070" w:rsidR="003158A5" w:rsidRPr="00AC4D0E" w:rsidRDefault="003158A5" w:rsidP="00E94D72">
            <w:pPr>
              <w:pStyle w:val="Default"/>
              <w:rPr>
                <w:rFonts w:ascii="Calibri" w:hAnsi="Calibri"/>
                <w:sz w:val="22"/>
                <w:szCs w:val="22"/>
              </w:rPr>
            </w:pPr>
            <w:r w:rsidRPr="00AC4D0E">
              <w:rPr>
                <w:rFonts w:ascii="Calibri" w:hAnsi="Calibri"/>
                <w:sz w:val="22"/>
                <w:szCs w:val="22"/>
              </w:rPr>
              <w:t xml:space="preserve">Age/10 </w:t>
            </w:r>
            <w:r>
              <w:rPr>
                <w:rFonts w:ascii="Calibri" w:hAnsi="Calibri"/>
                <w:sz w:val="22"/>
                <w:szCs w:val="22"/>
              </w:rPr>
              <w:t>(SD)</w:t>
            </w:r>
          </w:p>
        </w:tc>
        <w:tc>
          <w:tcPr>
            <w:tcW w:w="2700" w:type="dxa"/>
            <w:tcBorders>
              <w:top w:val="single" w:sz="8" w:space="0" w:color="000000"/>
              <w:left w:val="single" w:sz="6" w:space="0" w:color="000000"/>
              <w:bottom w:val="single" w:sz="6" w:space="0" w:color="000000"/>
              <w:right w:val="single" w:sz="6" w:space="0" w:color="000000"/>
            </w:tcBorders>
          </w:tcPr>
          <w:p w14:paraId="7B9902BF"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74.7 (6.5) </w:t>
            </w:r>
          </w:p>
        </w:tc>
        <w:tc>
          <w:tcPr>
            <w:tcW w:w="2160" w:type="dxa"/>
            <w:tcBorders>
              <w:top w:val="single" w:sz="8" w:space="0" w:color="000000"/>
              <w:left w:val="single" w:sz="8" w:space="0" w:color="000000"/>
              <w:bottom w:val="single" w:sz="6" w:space="0" w:color="000000"/>
              <w:right w:val="single" w:sz="8" w:space="0" w:color="000000"/>
            </w:tcBorders>
          </w:tcPr>
          <w:p w14:paraId="380B4A87"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74.7 (6.6) </w:t>
            </w:r>
          </w:p>
        </w:tc>
        <w:tc>
          <w:tcPr>
            <w:tcW w:w="2340" w:type="dxa"/>
            <w:tcBorders>
              <w:top w:val="single" w:sz="8" w:space="0" w:color="000000"/>
              <w:left w:val="single" w:sz="8" w:space="0" w:color="000000"/>
              <w:bottom w:val="single" w:sz="6" w:space="0" w:color="000000"/>
              <w:right w:val="single" w:sz="8" w:space="0" w:color="000000"/>
            </w:tcBorders>
          </w:tcPr>
          <w:p w14:paraId="1F1F4F2B" w14:textId="03AAF6BD" w:rsidR="003158A5" w:rsidRPr="008217C2" w:rsidRDefault="003158A5" w:rsidP="00E94D72">
            <w:pPr>
              <w:pStyle w:val="Default"/>
              <w:jc w:val="center"/>
              <w:rPr>
                <w:rFonts w:asciiTheme="minorHAnsi" w:hAnsiTheme="minorHAnsi"/>
                <w:sz w:val="22"/>
                <w:szCs w:val="22"/>
              </w:rPr>
            </w:pPr>
            <w:r>
              <w:rPr>
                <w:rFonts w:asciiTheme="minorHAnsi" w:hAnsiTheme="minorHAnsi"/>
                <w:sz w:val="22"/>
                <w:szCs w:val="22"/>
              </w:rPr>
              <w:t>75.12 (6.9)</w:t>
            </w:r>
          </w:p>
        </w:tc>
      </w:tr>
      <w:tr w:rsidR="003158A5" w14:paraId="79032178" w14:textId="74AB0C3A" w:rsidTr="00B70BA8">
        <w:trPr>
          <w:trHeight w:val="131"/>
        </w:trPr>
        <w:tc>
          <w:tcPr>
            <w:tcW w:w="3258" w:type="dxa"/>
            <w:tcBorders>
              <w:top w:val="single" w:sz="6" w:space="0" w:color="000000"/>
              <w:left w:val="single" w:sz="8" w:space="0" w:color="000000"/>
              <w:bottom w:val="single" w:sz="6" w:space="0" w:color="000000"/>
              <w:right w:val="single" w:sz="8" w:space="0" w:color="000000"/>
            </w:tcBorders>
          </w:tcPr>
          <w:p w14:paraId="6D423B68" w14:textId="77777777" w:rsidR="003158A5" w:rsidRPr="00AC4D0E" w:rsidRDefault="003158A5" w:rsidP="00E94D72">
            <w:pPr>
              <w:pStyle w:val="Default"/>
              <w:rPr>
                <w:rFonts w:ascii="Calibri" w:hAnsi="Calibri"/>
                <w:sz w:val="22"/>
                <w:szCs w:val="22"/>
              </w:rPr>
            </w:pPr>
            <w:r w:rsidRPr="00AC4D0E">
              <w:rPr>
                <w:rFonts w:ascii="Calibri" w:hAnsi="Calibri"/>
                <w:sz w:val="22"/>
                <w:szCs w:val="22"/>
              </w:rPr>
              <w:t xml:space="preserve">Female </w:t>
            </w:r>
          </w:p>
        </w:tc>
        <w:tc>
          <w:tcPr>
            <w:tcW w:w="2700" w:type="dxa"/>
            <w:tcBorders>
              <w:top w:val="single" w:sz="6" w:space="0" w:color="000000"/>
              <w:left w:val="single" w:sz="6" w:space="0" w:color="000000"/>
              <w:bottom w:val="single" w:sz="6" w:space="0" w:color="000000"/>
              <w:right w:val="single" w:sz="6" w:space="0" w:color="000000"/>
            </w:tcBorders>
          </w:tcPr>
          <w:p w14:paraId="20EDFACC"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41.8 </w:t>
            </w:r>
          </w:p>
        </w:tc>
        <w:tc>
          <w:tcPr>
            <w:tcW w:w="2160" w:type="dxa"/>
            <w:tcBorders>
              <w:top w:val="single" w:sz="6" w:space="0" w:color="000000"/>
              <w:left w:val="single" w:sz="8" w:space="0" w:color="000000"/>
              <w:bottom w:val="single" w:sz="6" w:space="0" w:color="000000"/>
              <w:right w:val="single" w:sz="8" w:space="0" w:color="000000"/>
            </w:tcBorders>
          </w:tcPr>
          <w:p w14:paraId="64BB1AE1"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41.2 </w:t>
            </w:r>
          </w:p>
        </w:tc>
        <w:tc>
          <w:tcPr>
            <w:tcW w:w="2340" w:type="dxa"/>
            <w:tcBorders>
              <w:top w:val="single" w:sz="6" w:space="0" w:color="000000"/>
              <w:left w:val="single" w:sz="8" w:space="0" w:color="000000"/>
              <w:bottom w:val="single" w:sz="6" w:space="0" w:color="000000"/>
              <w:right w:val="single" w:sz="8" w:space="0" w:color="000000"/>
            </w:tcBorders>
          </w:tcPr>
          <w:p w14:paraId="48EEEBC9" w14:textId="50C8694E" w:rsidR="003158A5" w:rsidRPr="00AC4D0E" w:rsidRDefault="003158A5" w:rsidP="00E94D72">
            <w:pPr>
              <w:pStyle w:val="Default"/>
              <w:jc w:val="center"/>
              <w:rPr>
                <w:rFonts w:ascii="Calibri" w:hAnsi="Calibri"/>
                <w:sz w:val="22"/>
                <w:szCs w:val="22"/>
              </w:rPr>
            </w:pPr>
            <w:r>
              <w:rPr>
                <w:rFonts w:ascii="Calibri" w:hAnsi="Calibri"/>
                <w:sz w:val="22"/>
                <w:szCs w:val="22"/>
              </w:rPr>
              <w:t>39.9</w:t>
            </w:r>
          </w:p>
        </w:tc>
      </w:tr>
      <w:tr w:rsidR="003158A5" w14:paraId="0201AA88" w14:textId="0069E7FA" w:rsidTr="00B70BA8">
        <w:trPr>
          <w:trHeight w:val="119"/>
        </w:trPr>
        <w:tc>
          <w:tcPr>
            <w:tcW w:w="8118" w:type="dxa"/>
            <w:gridSpan w:val="3"/>
            <w:tcBorders>
              <w:top w:val="single" w:sz="6" w:space="0" w:color="000000"/>
              <w:left w:val="single" w:sz="8" w:space="0" w:color="000000"/>
              <w:bottom w:val="single" w:sz="6" w:space="0" w:color="000000"/>
              <w:right w:val="single" w:sz="8" w:space="0" w:color="000000"/>
            </w:tcBorders>
          </w:tcPr>
          <w:p w14:paraId="082802D7" w14:textId="77777777" w:rsidR="003158A5" w:rsidRPr="00AC4D0E" w:rsidRDefault="003158A5" w:rsidP="00E94D72">
            <w:pPr>
              <w:pStyle w:val="Default"/>
              <w:rPr>
                <w:rFonts w:ascii="Calibri" w:hAnsi="Calibri"/>
                <w:sz w:val="22"/>
                <w:szCs w:val="22"/>
              </w:rPr>
            </w:pPr>
            <w:r w:rsidRPr="00AC4D0E">
              <w:rPr>
                <w:rFonts w:ascii="Calibri" w:hAnsi="Calibri"/>
                <w:sz w:val="22"/>
                <w:szCs w:val="22"/>
              </w:rPr>
              <w:t xml:space="preserve">BMI/5 </w:t>
            </w:r>
          </w:p>
        </w:tc>
        <w:tc>
          <w:tcPr>
            <w:tcW w:w="2340" w:type="dxa"/>
            <w:tcBorders>
              <w:top w:val="single" w:sz="6" w:space="0" w:color="000000"/>
              <w:left w:val="single" w:sz="8" w:space="0" w:color="000000"/>
              <w:bottom w:val="single" w:sz="6" w:space="0" w:color="000000"/>
              <w:right w:val="single" w:sz="8" w:space="0" w:color="000000"/>
            </w:tcBorders>
          </w:tcPr>
          <w:p w14:paraId="56422982" w14:textId="77777777" w:rsidR="003158A5" w:rsidRPr="00AC4D0E" w:rsidRDefault="003158A5" w:rsidP="00E94D72">
            <w:pPr>
              <w:pStyle w:val="Default"/>
              <w:rPr>
                <w:rFonts w:ascii="Calibri" w:hAnsi="Calibri"/>
                <w:sz w:val="22"/>
                <w:szCs w:val="22"/>
              </w:rPr>
            </w:pPr>
          </w:p>
        </w:tc>
      </w:tr>
      <w:tr w:rsidR="003158A5" w14:paraId="1B556EFF" w14:textId="498F7E2C" w:rsidTr="00B70BA8">
        <w:trPr>
          <w:trHeight w:val="131"/>
        </w:trPr>
        <w:tc>
          <w:tcPr>
            <w:tcW w:w="3258" w:type="dxa"/>
            <w:tcBorders>
              <w:top w:val="single" w:sz="6" w:space="0" w:color="000000"/>
              <w:left w:val="single" w:sz="8" w:space="0" w:color="000000"/>
              <w:bottom w:val="single" w:sz="6" w:space="0" w:color="000000"/>
              <w:right w:val="single" w:sz="8" w:space="0" w:color="000000"/>
            </w:tcBorders>
          </w:tcPr>
          <w:p w14:paraId="14F7CE45" w14:textId="77777777" w:rsidR="003158A5" w:rsidRPr="00AC4D0E" w:rsidRDefault="003158A5" w:rsidP="00E94D72">
            <w:pPr>
              <w:pStyle w:val="Default"/>
              <w:ind w:firstLine="360"/>
              <w:rPr>
                <w:rFonts w:ascii="Calibri" w:hAnsi="Calibri"/>
                <w:sz w:val="22"/>
                <w:szCs w:val="22"/>
              </w:rPr>
            </w:pPr>
            <w:r w:rsidRPr="00AC4D0E">
              <w:rPr>
                <w:rFonts w:ascii="Calibri" w:hAnsi="Calibri"/>
                <w:sz w:val="22"/>
                <w:szCs w:val="22"/>
              </w:rPr>
              <w:t xml:space="preserve">Unknown </w:t>
            </w:r>
          </w:p>
        </w:tc>
        <w:tc>
          <w:tcPr>
            <w:tcW w:w="2700" w:type="dxa"/>
            <w:tcBorders>
              <w:top w:val="single" w:sz="6" w:space="0" w:color="000000"/>
              <w:left w:val="single" w:sz="6" w:space="0" w:color="000000"/>
              <w:bottom w:val="single" w:sz="6" w:space="0" w:color="000000"/>
              <w:right w:val="single" w:sz="6" w:space="0" w:color="000000"/>
            </w:tcBorders>
          </w:tcPr>
          <w:p w14:paraId="01B0DCA7"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0.1 </w:t>
            </w:r>
          </w:p>
        </w:tc>
        <w:tc>
          <w:tcPr>
            <w:tcW w:w="2160" w:type="dxa"/>
            <w:tcBorders>
              <w:top w:val="single" w:sz="6" w:space="0" w:color="000000"/>
              <w:left w:val="single" w:sz="8" w:space="0" w:color="000000"/>
              <w:bottom w:val="single" w:sz="6" w:space="0" w:color="000000"/>
              <w:right w:val="single" w:sz="8" w:space="0" w:color="000000"/>
            </w:tcBorders>
          </w:tcPr>
          <w:p w14:paraId="790DA3E5"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0.1 </w:t>
            </w:r>
          </w:p>
        </w:tc>
        <w:tc>
          <w:tcPr>
            <w:tcW w:w="2340" w:type="dxa"/>
            <w:tcBorders>
              <w:top w:val="single" w:sz="6" w:space="0" w:color="000000"/>
              <w:left w:val="single" w:sz="8" w:space="0" w:color="000000"/>
              <w:bottom w:val="single" w:sz="6" w:space="0" w:color="000000"/>
              <w:right w:val="single" w:sz="8" w:space="0" w:color="000000"/>
            </w:tcBorders>
          </w:tcPr>
          <w:p w14:paraId="6C0AEB31" w14:textId="337CBB77" w:rsidR="003158A5" w:rsidRPr="00AC4D0E" w:rsidRDefault="003158A5" w:rsidP="00E94D72">
            <w:pPr>
              <w:pStyle w:val="Default"/>
              <w:jc w:val="center"/>
              <w:rPr>
                <w:rFonts w:ascii="Calibri" w:hAnsi="Calibri"/>
                <w:sz w:val="22"/>
                <w:szCs w:val="22"/>
              </w:rPr>
            </w:pPr>
            <w:r>
              <w:rPr>
                <w:rFonts w:ascii="Calibri" w:hAnsi="Calibri"/>
                <w:sz w:val="22"/>
                <w:szCs w:val="22"/>
              </w:rPr>
              <w:t>0.2</w:t>
            </w:r>
          </w:p>
        </w:tc>
      </w:tr>
      <w:tr w:rsidR="003158A5" w14:paraId="3C63F81D" w14:textId="0733F105" w:rsidTr="00B70BA8">
        <w:trPr>
          <w:trHeight w:val="131"/>
        </w:trPr>
        <w:tc>
          <w:tcPr>
            <w:tcW w:w="3258" w:type="dxa"/>
            <w:tcBorders>
              <w:top w:val="single" w:sz="6" w:space="0" w:color="000000"/>
              <w:left w:val="single" w:sz="8" w:space="0" w:color="000000"/>
              <w:bottom w:val="single" w:sz="6" w:space="0" w:color="000000"/>
              <w:right w:val="single" w:sz="8" w:space="0" w:color="000000"/>
            </w:tcBorders>
          </w:tcPr>
          <w:p w14:paraId="378FFF22" w14:textId="77777777" w:rsidR="003158A5" w:rsidRPr="00AC4D0E" w:rsidRDefault="003158A5" w:rsidP="00E94D72">
            <w:pPr>
              <w:pStyle w:val="Default"/>
              <w:ind w:firstLine="360"/>
              <w:rPr>
                <w:rFonts w:ascii="Calibri" w:hAnsi="Calibri"/>
                <w:sz w:val="22"/>
                <w:szCs w:val="22"/>
              </w:rPr>
            </w:pPr>
            <w:r w:rsidRPr="00AC4D0E">
              <w:rPr>
                <w:rFonts w:ascii="Calibri" w:hAnsi="Calibri"/>
                <w:sz w:val="22"/>
                <w:szCs w:val="22"/>
              </w:rPr>
              <w:t xml:space="preserve">Mean (SD) </w:t>
            </w:r>
          </w:p>
        </w:tc>
        <w:tc>
          <w:tcPr>
            <w:tcW w:w="2700" w:type="dxa"/>
            <w:tcBorders>
              <w:top w:val="single" w:sz="6" w:space="0" w:color="000000"/>
              <w:left w:val="single" w:sz="6" w:space="0" w:color="000000"/>
              <w:bottom w:val="single" w:sz="6" w:space="0" w:color="000000"/>
              <w:right w:val="single" w:sz="6" w:space="0" w:color="000000"/>
            </w:tcBorders>
          </w:tcPr>
          <w:p w14:paraId="2A3B94AB"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28.5 (5.7) </w:t>
            </w:r>
          </w:p>
        </w:tc>
        <w:tc>
          <w:tcPr>
            <w:tcW w:w="2160" w:type="dxa"/>
            <w:tcBorders>
              <w:top w:val="single" w:sz="6" w:space="0" w:color="000000"/>
              <w:left w:val="single" w:sz="8" w:space="0" w:color="000000"/>
              <w:bottom w:val="single" w:sz="6" w:space="0" w:color="000000"/>
              <w:right w:val="single" w:sz="8" w:space="0" w:color="000000"/>
            </w:tcBorders>
          </w:tcPr>
          <w:p w14:paraId="4AC32B61"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28.6 (5.8) </w:t>
            </w:r>
          </w:p>
        </w:tc>
        <w:tc>
          <w:tcPr>
            <w:tcW w:w="2340" w:type="dxa"/>
            <w:tcBorders>
              <w:top w:val="single" w:sz="6" w:space="0" w:color="000000"/>
              <w:left w:val="single" w:sz="8" w:space="0" w:color="000000"/>
              <w:bottom w:val="single" w:sz="6" w:space="0" w:color="000000"/>
              <w:right w:val="single" w:sz="8" w:space="0" w:color="000000"/>
            </w:tcBorders>
          </w:tcPr>
          <w:p w14:paraId="2A84ED4F" w14:textId="266C7B21" w:rsidR="003158A5" w:rsidRPr="00AC4D0E" w:rsidRDefault="003158A5" w:rsidP="003158A5">
            <w:pPr>
              <w:pStyle w:val="Default"/>
              <w:jc w:val="center"/>
              <w:rPr>
                <w:rFonts w:ascii="Calibri" w:hAnsi="Calibri"/>
                <w:sz w:val="22"/>
                <w:szCs w:val="22"/>
              </w:rPr>
            </w:pPr>
            <w:r>
              <w:rPr>
                <w:rFonts w:ascii="Calibri" w:hAnsi="Calibri"/>
                <w:sz w:val="22"/>
                <w:szCs w:val="22"/>
              </w:rPr>
              <w:t>(5.4)</w:t>
            </w:r>
          </w:p>
        </w:tc>
      </w:tr>
      <w:tr w:rsidR="003158A5" w14:paraId="65C028F3" w14:textId="3C1E61CD" w:rsidTr="00B70BA8">
        <w:trPr>
          <w:trHeight w:val="133"/>
        </w:trPr>
        <w:tc>
          <w:tcPr>
            <w:tcW w:w="3258" w:type="dxa"/>
            <w:tcBorders>
              <w:top w:val="single" w:sz="6" w:space="0" w:color="000000"/>
              <w:left w:val="single" w:sz="8" w:space="0" w:color="000000"/>
              <w:bottom w:val="single" w:sz="6" w:space="0" w:color="000000"/>
              <w:right w:val="single" w:sz="8" w:space="0" w:color="000000"/>
            </w:tcBorders>
          </w:tcPr>
          <w:p w14:paraId="62323C23" w14:textId="77777777" w:rsidR="003158A5" w:rsidRPr="00AC4D0E" w:rsidRDefault="003158A5" w:rsidP="00E94D72">
            <w:pPr>
              <w:pStyle w:val="Default"/>
              <w:rPr>
                <w:rFonts w:ascii="Calibri" w:hAnsi="Calibri"/>
                <w:sz w:val="22"/>
                <w:szCs w:val="22"/>
              </w:rPr>
            </w:pPr>
            <w:r w:rsidRPr="00AC4D0E">
              <w:rPr>
                <w:rFonts w:ascii="Calibri" w:hAnsi="Calibri"/>
                <w:sz w:val="22"/>
                <w:szCs w:val="22"/>
              </w:rPr>
              <w:t xml:space="preserve">Heart failure - previous history </w:t>
            </w:r>
          </w:p>
        </w:tc>
        <w:tc>
          <w:tcPr>
            <w:tcW w:w="2700" w:type="dxa"/>
            <w:tcBorders>
              <w:top w:val="single" w:sz="6" w:space="0" w:color="000000"/>
              <w:left w:val="single" w:sz="6" w:space="0" w:color="000000"/>
              <w:bottom w:val="single" w:sz="6" w:space="0" w:color="000000"/>
              <w:right w:val="single" w:sz="6" w:space="0" w:color="000000"/>
            </w:tcBorders>
          </w:tcPr>
          <w:p w14:paraId="3C39EF1F"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13.8 </w:t>
            </w:r>
          </w:p>
        </w:tc>
        <w:tc>
          <w:tcPr>
            <w:tcW w:w="2160" w:type="dxa"/>
            <w:tcBorders>
              <w:top w:val="single" w:sz="6" w:space="0" w:color="000000"/>
              <w:left w:val="single" w:sz="8" w:space="0" w:color="000000"/>
              <w:bottom w:val="single" w:sz="6" w:space="0" w:color="000000"/>
              <w:right w:val="single" w:sz="8" w:space="0" w:color="000000"/>
            </w:tcBorders>
          </w:tcPr>
          <w:p w14:paraId="15973B07"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13.8 </w:t>
            </w:r>
          </w:p>
        </w:tc>
        <w:tc>
          <w:tcPr>
            <w:tcW w:w="2340" w:type="dxa"/>
            <w:tcBorders>
              <w:top w:val="single" w:sz="6" w:space="0" w:color="000000"/>
              <w:left w:val="single" w:sz="8" w:space="0" w:color="000000"/>
              <w:bottom w:val="single" w:sz="6" w:space="0" w:color="000000"/>
              <w:right w:val="single" w:sz="8" w:space="0" w:color="000000"/>
            </w:tcBorders>
          </w:tcPr>
          <w:p w14:paraId="72C1E522" w14:textId="2ABC60E7" w:rsidR="003158A5" w:rsidRPr="00AC4D0E" w:rsidRDefault="003158A5" w:rsidP="00E94D72">
            <w:pPr>
              <w:pStyle w:val="Default"/>
              <w:jc w:val="center"/>
              <w:rPr>
                <w:rFonts w:ascii="Calibri" w:hAnsi="Calibri"/>
                <w:sz w:val="22"/>
                <w:szCs w:val="22"/>
              </w:rPr>
            </w:pPr>
            <w:r>
              <w:rPr>
                <w:rFonts w:ascii="Calibri" w:hAnsi="Calibri"/>
                <w:sz w:val="22"/>
                <w:szCs w:val="22"/>
              </w:rPr>
              <w:t>16.6</w:t>
            </w:r>
          </w:p>
        </w:tc>
      </w:tr>
      <w:tr w:rsidR="003158A5" w14:paraId="47618FE4" w14:textId="702D1775" w:rsidTr="00B70BA8">
        <w:trPr>
          <w:trHeight w:val="133"/>
        </w:trPr>
        <w:tc>
          <w:tcPr>
            <w:tcW w:w="3258" w:type="dxa"/>
            <w:tcBorders>
              <w:top w:val="single" w:sz="6" w:space="0" w:color="000000"/>
              <w:left w:val="single" w:sz="8" w:space="0" w:color="000000"/>
              <w:bottom w:val="single" w:sz="6" w:space="0" w:color="000000"/>
              <w:right w:val="single" w:sz="8" w:space="0" w:color="000000"/>
            </w:tcBorders>
          </w:tcPr>
          <w:p w14:paraId="17EFCEF7" w14:textId="77777777" w:rsidR="003158A5" w:rsidRPr="00AC4D0E" w:rsidRDefault="003158A5" w:rsidP="00E94D72">
            <w:pPr>
              <w:pStyle w:val="Default"/>
              <w:rPr>
                <w:rFonts w:ascii="Calibri" w:hAnsi="Calibri"/>
                <w:sz w:val="22"/>
                <w:szCs w:val="22"/>
              </w:rPr>
            </w:pPr>
            <w:r w:rsidRPr="00AC4D0E">
              <w:rPr>
                <w:rFonts w:ascii="Calibri" w:hAnsi="Calibri"/>
                <w:sz w:val="22"/>
                <w:szCs w:val="22"/>
              </w:rPr>
              <w:t xml:space="preserve">Previous valvular surgery </w:t>
            </w:r>
          </w:p>
        </w:tc>
        <w:tc>
          <w:tcPr>
            <w:tcW w:w="2700" w:type="dxa"/>
            <w:tcBorders>
              <w:top w:val="single" w:sz="6" w:space="0" w:color="000000"/>
              <w:left w:val="single" w:sz="6" w:space="0" w:color="000000"/>
              <w:bottom w:val="single" w:sz="6" w:space="0" w:color="000000"/>
              <w:right w:val="single" w:sz="6" w:space="0" w:color="000000"/>
            </w:tcBorders>
          </w:tcPr>
          <w:p w14:paraId="65E3A7A7"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1.6 </w:t>
            </w:r>
          </w:p>
        </w:tc>
        <w:tc>
          <w:tcPr>
            <w:tcW w:w="2160" w:type="dxa"/>
            <w:tcBorders>
              <w:top w:val="single" w:sz="6" w:space="0" w:color="000000"/>
              <w:left w:val="single" w:sz="8" w:space="0" w:color="000000"/>
              <w:bottom w:val="single" w:sz="6" w:space="0" w:color="000000"/>
              <w:right w:val="single" w:sz="8" w:space="0" w:color="000000"/>
            </w:tcBorders>
          </w:tcPr>
          <w:p w14:paraId="69A3AE46"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1.7 </w:t>
            </w:r>
          </w:p>
        </w:tc>
        <w:tc>
          <w:tcPr>
            <w:tcW w:w="2340" w:type="dxa"/>
            <w:tcBorders>
              <w:top w:val="single" w:sz="6" w:space="0" w:color="000000"/>
              <w:left w:val="single" w:sz="8" w:space="0" w:color="000000"/>
              <w:bottom w:val="single" w:sz="6" w:space="0" w:color="000000"/>
              <w:right w:val="single" w:sz="8" w:space="0" w:color="000000"/>
            </w:tcBorders>
          </w:tcPr>
          <w:p w14:paraId="3AACA8AE" w14:textId="17DE5570" w:rsidR="003158A5" w:rsidRPr="00AC4D0E" w:rsidRDefault="003158A5" w:rsidP="00E94D72">
            <w:pPr>
              <w:pStyle w:val="Default"/>
              <w:jc w:val="center"/>
              <w:rPr>
                <w:rFonts w:ascii="Calibri" w:hAnsi="Calibri"/>
                <w:sz w:val="22"/>
                <w:szCs w:val="22"/>
              </w:rPr>
            </w:pPr>
            <w:r>
              <w:rPr>
                <w:rFonts w:ascii="Calibri" w:hAnsi="Calibri"/>
                <w:sz w:val="22"/>
                <w:szCs w:val="22"/>
              </w:rPr>
              <w:t>2.2</w:t>
            </w:r>
          </w:p>
        </w:tc>
      </w:tr>
      <w:tr w:rsidR="003158A5" w14:paraId="51ECD8F2" w14:textId="0405262D" w:rsidTr="00B70BA8">
        <w:trPr>
          <w:trHeight w:val="133"/>
        </w:trPr>
        <w:tc>
          <w:tcPr>
            <w:tcW w:w="3258" w:type="dxa"/>
            <w:tcBorders>
              <w:top w:val="single" w:sz="6" w:space="0" w:color="000000"/>
              <w:left w:val="single" w:sz="8" w:space="0" w:color="000000"/>
              <w:bottom w:val="single" w:sz="6" w:space="0" w:color="000000"/>
              <w:right w:val="single" w:sz="8" w:space="0" w:color="000000"/>
            </w:tcBorders>
          </w:tcPr>
          <w:p w14:paraId="04D9FD37" w14:textId="77777777" w:rsidR="003158A5" w:rsidRPr="00AC4D0E" w:rsidRDefault="003158A5" w:rsidP="00E94D72">
            <w:pPr>
              <w:pStyle w:val="Default"/>
              <w:rPr>
                <w:rFonts w:ascii="Calibri" w:hAnsi="Calibri"/>
                <w:sz w:val="22"/>
                <w:szCs w:val="22"/>
              </w:rPr>
            </w:pPr>
            <w:r w:rsidRPr="00AC4D0E">
              <w:rPr>
                <w:rFonts w:ascii="Calibri" w:hAnsi="Calibri"/>
                <w:sz w:val="22"/>
                <w:szCs w:val="22"/>
              </w:rPr>
              <w:t xml:space="preserve">Cerebrovascular Disease </w:t>
            </w:r>
          </w:p>
        </w:tc>
        <w:tc>
          <w:tcPr>
            <w:tcW w:w="2700" w:type="dxa"/>
            <w:tcBorders>
              <w:top w:val="single" w:sz="6" w:space="0" w:color="000000"/>
              <w:left w:val="single" w:sz="6" w:space="0" w:color="000000"/>
              <w:bottom w:val="single" w:sz="6" w:space="0" w:color="000000"/>
              <w:right w:val="single" w:sz="6" w:space="0" w:color="000000"/>
            </w:tcBorders>
          </w:tcPr>
          <w:p w14:paraId="39D3E339"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16.0 </w:t>
            </w:r>
          </w:p>
        </w:tc>
        <w:tc>
          <w:tcPr>
            <w:tcW w:w="2160" w:type="dxa"/>
            <w:tcBorders>
              <w:top w:val="single" w:sz="6" w:space="0" w:color="000000"/>
              <w:left w:val="single" w:sz="8" w:space="0" w:color="000000"/>
              <w:bottom w:val="single" w:sz="6" w:space="0" w:color="000000"/>
              <w:right w:val="single" w:sz="8" w:space="0" w:color="000000"/>
            </w:tcBorders>
          </w:tcPr>
          <w:p w14:paraId="10C0DD0C"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16.0 </w:t>
            </w:r>
          </w:p>
        </w:tc>
        <w:tc>
          <w:tcPr>
            <w:tcW w:w="2340" w:type="dxa"/>
            <w:tcBorders>
              <w:top w:val="single" w:sz="6" w:space="0" w:color="000000"/>
              <w:left w:val="single" w:sz="8" w:space="0" w:color="000000"/>
              <w:bottom w:val="single" w:sz="6" w:space="0" w:color="000000"/>
              <w:right w:val="single" w:sz="8" w:space="0" w:color="000000"/>
            </w:tcBorders>
          </w:tcPr>
          <w:p w14:paraId="1F9CF50C" w14:textId="47806328" w:rsidR="003158A5" w:rsidRPr="00AC4D0E" w:rsidRDefault="003158A5" w:rsidP="00E94D72">
            <w:pPr>
              <w:pStyle w:val="Default"/>
              <w:jc w:val="center"/>
              <w:rPr>
                <w:rFonts w:ascii="Calibri" w:hAnsi="Calibri"/>
                <w:sz w:val="22"/>
                <w:szCs w:val="22"/>
              </w:rPr>
            </w:pPr>
            <w:r>
              <w:rPr>
                <w:rFonts w:ascii="Calibri" w:hAnsi="Calibri"/>
                <w:sz w:val="22"/>
                <w:szCs w:val="22"/>
              </w:rPr>
              <w:t>17.8</w:t>
            </w:r>
          </w:p>
        </w:tc>
      </w:tr>
      <w:tr w:rsidR="003158A5" w14:paraId="6E473FBE" w14:textId="247723AE" w:rsidTr="00B70BA8">
        <w:trPr>
          <w:trHeight w:val="133"/>
        </w:trPr>
        <w:tc>
          <w:tcPr>
            <w:tcW w:w="3258" w:type="dxa"/>
            <w:tcBorders>
              <w:top w:val="single" w:sz="6" w:space="0" w:color="000000"/>
              <w:left w:val="single" w:sz="8" w:space="0" w:color="000000"/>
              <w:bottom w:val="single" w:sz="6" w:space="0" w:color="000000"/>
              <w:right w:val="single" w:sz="8" w:space="0" w:color="000000"/>
            </w:tcBorders>
          </w:tcPr>
          <w:p w14:paraId="064B8F9D" w14:textId="77777777" w:rsidR="003158A5" w:rsidRPr="00AC4D0E" w:rsidRDefault="003158A5" w:rsidP="00E94D72">
            <w:pPr>
              <w:pStyle w:val="Default"/>
              <w:rPr>
                <w:rFonts w:ascii="Calibri" w:hAnsi="Calibri"/>
                <w:sz w:val="22"/>
                <w:szCs w:val="22"/>
              </w:rPr>
            </w:pPr>
            <w:r w:rsidRPr="00AC4D0E">
              <w:rPr>
                <w:rFonts w:ascii="Calibri" w:hAnsi="Calibri"/>
                <w:sz w:val="22"/>
                <w:szCs w:val="22"/>
              </w:rPr>
              <w:t xml:space="preserve">Peripheral Vascular Disease </w:t>
            </w:r>
          </w:p>
        </w:tc>
        <w:tc>
          <w:tcPr>
            <w:tcW w:w="2700" w:type="dxa"/>
            <w:tcBorders>
              <w:top w:val="single" w:sz="6" w:space="0" w:color="000000"/>
              <w:left w:val="single" w:sz="6" w:space="0" w:color="000000"/>
              <w:bottom w:val="single" w:sz="6" w:space="0" w:color="000000"/>
              <w:right w:val="single" w:sz="6" w:space="0" w:color="000000"/>
            </w:tcBorders>
          </w:tcPr>
          <w:p w14:paraId="1BD12964"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15.6 </w:t>
            </w:r>
          </w:p>
        </w:tc>
        <w:tc>
          <w:tcPr>
            <w:tcW w:w="2160" w:type="dxa"/>
            <w:tcBorders>
              <w:top w:val="single" w:sz="6" w:space="0" w:color="000000"/>
              <w:left w:val="single" w:sz="8" w:space="0" w:color="000000"/>
              <w:bottom w:val="single" w:sz="6" w:space="0" w:color="000000"/>
              <w:right w:val="single" w:sz="8" w:space="0" w:color="000000"/>
            </w:tcBorders>
          </w:tcPr>
          <w:p w14:paraId="422DB360"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15.6 </w:t>
            </w:r>
          </w:p>
        </w:tc>
        <w:tc>
          <w:tcPr>
            <w:tcW w:w="2340" w:type="dxa"/>
            <w:tcBorders>
              <w:top w:val="single" w:sz="6" w:space="0" w:color="000000"/>
              <w:left w:val="single" w:sz="8" w:space="0" w:color="000000"/>
              <w:bottom w:val="single" w:sz="6" w:space="0" w:color="000000"/>
              <w:right w:val="single" w:sz="8" w:space="0" w:color="000000"/>
            </w:tcBorders>
          </w:tcPr>
          <w:p w14:paraId="14544453" w14:textId="2368DB96" w:rsidR="003158A5" w:rsidRPr="00AC4D0E" w:rsidRDefault="003158A5" w:rsidP="00E94D72">
            <w:pPr>
              <w:pStyle w:val="Default"/>
              <w:jc w:val="center"/>
              <w:rPr>
                <w:rFonts w:ascii="Calibri" w:hAnsi="Calibri"/>
                <w:sz w:val="22"/>
                <w:szCs w:val="22"/>
              </w:rPr>
            </w:pPr>
            <w:r>
              <w:rPr>
                <w:rFonts w:ascii="Calibri" w:hAnsi="Calibri"/>
                <w:sz w:val="22"/>
                <w:szCs w:val="22"/>
              </w:rPr>
              <w:t>16.8</w:t>
            </w:r>
          </w:p>
        </w:tc>
      </w:tr>
      <w:tr w:rsidR="003158A5" w14:paraId="5E1B0B6F" w14:textId="6CF43B41" w:rsidTr="00B70BA8">
        <w:trPr>
          <w:trHeight w:val="133"/>
        </w:trPr>
        <w:tc>
          <w:tcPr>
            <w:tcW w:w="3258" w:type="dxa"/>
            <w:tcBorders>
              <w:top w:val="single" w:sz="6" w:space="0" w:color="000000"/>
              <w:left w:val="single" w:sz="8" w:space="0" w:color="000000"/>
              <w:bottom w:val="single" w:sz="6" w:space="0" w:color="000000"/>
              <w:right w:val="single" w:sz="8" w:space="0" w:color="000000"/>
            </w:tcBorders>
          </w:tcPr>
          <w:p w14:paraId="3E653C02" w14:textId="77777777" w:rsidR="003158A5" w:rsidRPr="00AC4D0E" w:rsidRDefault="003158A5" w:rsidP="00E94D72">
            <w:pPr>
              <w:pStyle w:val="Default"/>
              <w:rPr>
                <w:rFonts w:ascii="Calibri" w:hAnsi="Calibri"/>
                <w:sz w:val="22"/>
                <w:szCs w:val="22"/>
              </w:rPr>
            </w:pPr>
            <w:r w:rsidRPr="00AC4D0E">
              <w:rPr>
                <w:rFonts w:ascii="Calibri" w:hAnsi="Calibri"/>
                <w:sz w:val="22"/>
                <w:szCs w:val="22"/>
              </w:rPr>
              <w:t xml:space="preserve">Chronic Lung Disease </w:t>
            </w:r>
          </w:p>
        </w:tc>
        <w:tc>
          <w:tcPr>
            <w:tcW w:w="2700" w:type="dxa"/>
            <w:tcBorders>
              <w:top w:val="single" w:sz="6" w:space="0" w:color="000000"/>
              <w:left w:val="single" w:sz="6" w:space="0" w:color="000000"/>
              <w:bottom w:val="single" w:sz="6" w:space="0" w:color="000000"/>
              <w:right w:val="single" w:sz="6" w:space="0" w:color="000000"/>
            </w:tcBorders>
          </w:tcPr>
          <w:p w14:paraId="4CBBE66D"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18.6 </w:t>
            </w:r>
          </w:p>
        </w:tc>
        <w:tc>
          <w:tcPr>
            <w:tcW w:w="2160" w:type="dxa"/>
            <w:tcBorders>
              <w:top w:val="single" w:sz="6" w:space="0" w:color="000000"/>
              <w:left w:val="single" w:sz="8" w:space="0" w:color="000000"/>
              <w:bottom w:val="single" w:sz="6" w:space="0" w:color="000000"/>
              <w:right w:val="single" w:sz="8" w:space="0" w:color="000000"/>
            </w:tcBorders>
          </w:tcPr>
          <w:p w14:paraId="5F83CB4C"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18.6 </w:t>
            </w:r>
          </w:p>
        </w:tc>
        <w:tc>
          <w:tcPr>
            <w:tcW w:w="2340" w:type="dxa"/>
            <w:tcBorders>
              <w:top w:val="single" w:sz="6" w:space="0" w:color="000000"/>
              <w:left w:val="single" w:sz="8" w:space="0" w:color="000000"/>
              <w:bottom w:val="single" w:sz="6" w:space="0" w:color="000000"/>
              <w:right w:val="single" w:sz="8" w:space="0" w:color="000000"/>
            </w:tcBorders>
          </w:tcPr>
          <w:p w14:paraId="1557BE5D" w14:textId="08BCCC1B" w:rsidR="003158A5" w:rsidRPr="00AC4D0E" w:rsidRDefault="003158A5" w:rsidP="00E94D72">
            <w:pPr>
              <w:pStyle w:val="Default"/>
              <w:jc w:val="center"/>
              <w:rPr>
                <w:rFonts w:ascii="Calibri" w:hAnsi="Calibri"/>
                <w:sz w:val="22"/>
                <w:szCs w:val="22"/>
              </w:rPr>
            </w:pPr>
            <w:r>
              <w:rPr>
                <w:rFonts w:ascii="Calibri" w:hAnsi="Calibri"/>
                <w:sz w:val="22"/>
                <w:szCs w:val="22"/>
              </w:rPr>
              <w:t>18.9</w:t>
            </w:r>
          </w:p>
        </w:tc>
      </w:tr>
      <w:tr w:rsidR="003158A5" w14:paraId="6535644C" w14:textId="30139F06" w:rsidTr="00B70BA8">
        <w:trPr>
          <w:trHeight w:val="133"/>
        </w:trPr>
        <w:tc>
          <w:tcPr>
            <w:tcW w:w="8118" w:type="dxa"/>
            <w:gridSpan w:val="3"/>
            <w:tcBorders>
              <w:top w:val="single" w:sz="6" w:space="0" w:color="000000"/>
              <w:left w:val="single" w:sz="8" w:space="0" w:color="000000"/>
              <w:bottom w:val="single" w:sz="6" w:space="0" w:color="000000"/>
              <w:right w:val="single" w:sz="8" w:space="0" w:color="000000"/>
            </w:tcBorders>
          </w:tcPr>
          <w:p w14:paraId="4E927F95" w14:textId="77777777" w:rsidR="003158A5" w:rsidRPr="00AC4D0E" w:rsidRDefault="003158A5" w:rsidP="00E94D72">
            <w:pPr>
              <w:pStyle w:val="Default"/>
              <w:rPr>
                <w:rFonts w:ascii="Calibri" w:hAnsi="Calibri"/>
                <w:sz w:val="22"/>
                <w:szCs w:val="22"/>
              </w:rPr>
            </w:pPr>
            <w:r w:rsidRPr="00AC4D0E">
              <w:rPr>
                <w:rFonts w:ascii="Calibri" w:hAnsi="Calibri"/>
                <w:sz w:val="22"/>
                <w:szCs w:val="22"/>
              </w:rPr>
              <w:t>Diabetes</w:t>
            </w:r>
          </w:p>
        </w:tc>
        <w:tc>
          <w:tcPr>
            <w:tcW w:w="2340" w:type="dxa"/>
            <w:tcBorders>
              <w:top w:val="single" w:sz="6" w:space="0" w:color="000000"/>
              <w:left w:val="single" w:sz="8" w:space="0" w:color="000000"/>
              <w:bottom w:val="single" w:sz="6" w:space="0" w:color="000000"/>
              <w:right w:val="single" w:sz="8" w:space="0" w:color="000000"/>
            </w:tcBorders>
          </w:tcPr>
          <w:p w14:paraId="34B86EA6" w14:textId="77777777" w:rsidR="003158A5" w:rsidRPr="00AC4D0E" w:rsidRDefault="003158A5" w:rsidP="00E94D72">
            <w:pPr>
              <w:pStyle w:val="Default"/>
              <w:rPr>
                <w:rFonts w:ascii="Calibri" w:hAnsi="Calibri"/>
                <w:sz w:val="22"/>
                <w:szCs w:val="22"/>
              </w:rPr>
            </w:pPr>
          </w:p>
        </w:tc>
      </w:tr>
      <w:tr w:rsidR="003158A5" w14:paraId="3D883E5E" w14:textId="56E12248" w:rsidTr="00B70BA8">
        <w:trPr>
          <w:trHeight w:val="133"/>
        </w:trPr>
        <w:tc>
          <w:tcPr>
            <w:tcW w:w="3258" w:type="dxa"/>
            <w:tcBorders>
              <w:top w:val="single" w:sz="6" w:space="0" w:color="000000"/>
              <w:left w:val="single" w:sz="8" w:space="0" w:color="000000"/>
              <w:bottom w:val="single" w:sz="6" w:space="0" w:color="000000"/>
              <w:right w:val="single" w:sz="8" w:space="0" w:color="000000"/>
            </w:tcBorders>
          </w:tcPr>
          <w:p w14:paraId="4C55AA66" w14:textId="77777777" w:rsidR="003158A5" w:rsidRPr="00AC4D0E" w:rsidRDefault="003158A5" w:rsidP="00E94D72">
            <w:pPr>
              <w:pStyle w:val="Default"/>
              <w:ind w:firstLine="360"/>
              <w:rPr>
                <w:rFonts w:ascii="Calibri" w:hAnsi="Calibri"/>
                <w:sz w:val="22"/>
                <w:szCs w:val="22"/>
              </w:rPr>
            </w:pPr>
            <w:r w:rsidRPr="00AC4D0E">
              <w:rPr>
                <w:rFonts w:ascii="Calibri" w:hAnsi="Calibri"/>
                <w:sz w:val="22"/>
                <w:szCs w:val="22"/>
              </w:rPr>
              <w:t xml:space="preserve">Non-Insulin diabetes </w:t>
            </w:r>
          </w:p>
        </w:tc>
        <w:tc>
          <w:tcPr>
            <w:tcW w:w="2700" w:type="dxa"/>
            <w:tcBorders>
              <w:top w:val="single" w:sz="6" w:space="0" w:color="000000"/>
              <w:left w:val="single" w:sz="6" w:space="0" w:color="000000"/>
              <w:bottom w:val="single" w:sz="6" w:space="0" w:color="000000"/>
              <w:right w:val="single" w:sz="6" w:space="0" w:color="000000"/>
            </w:tcBorders>
          </w:tcPr>
          <w:p w14:paraId="0D76EF63"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22.4 </w:t>
            </w:r>
          </w:p>
        </w:tc>
        <w:tc>
          <w:tcPr>
            <w:tcW w:w="2160" w:type="dxa"/>
            <w:tcBorders>
              <w:top w:val="single" w:sz="6" w:space="0" w:color="000000"/>
              <w:left w:val="single" w:sz="8" w:space="0" w:color="000000"/>
              <w:bottom w:val="single" w:sz="6" w:space="0" w:color="000000"/>
              <w:right w:val="single" w:sz="8" w:space="0" w:color="000000"/>
            </w:tcBorders>
          </w:tcPr>
          <w:p w14:paraId="26CA64C2"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22.6 </w:t>
            </w:r>
          </w:p>
        </w:tc>
        <w:tc>
          <w:tcPr>
            <w:tcW w:w="2340" w:type="dxa"/>
            <w:tcBorders>
              <w:top w:val="single" w:sz="6" w:space="0" w:color="000000"/>
              <w:left w:val="single" w:sz="8" w:space="0" w:color="000000"/>
              <w:bottom w:val="single" w:sz="6" w:space="0" w:color="000000"/>
              <w:right w:val="single" w:sz="8" w:space="0" w:color="000000"/>
            </w:tcBorders>
          </w:tcPr>
          <w:p w14:paraId="2FE05EB4" w14:textId="4DEEEDA4" w:rsidR="003158A5" w:rsidRPr="00AC4D0E" w:rsidRDefault="003158A5" w:rsidP="00E94D72">
            <w:pPr>
              <w:pStyle w:val="Default"/>
              <w:jc w:val="center"/>
              <w:rPr>
                <w:rFonts w:ascii="Calibri" w:hAnsi="Calibri"/>
                <w:sz w:val="22"/>
                <w:szCs w:val="22"/>
              </w:rPr>
            </w:pPr>
            <w:r>
              <w:rPr>
                <w:rFonts w:ascii="Calibri" w:hAnsi="Calibri"/>
                <w:sz w:val="22"/>
                <w:szCs w:val="22"/>
              </w:rPr>
              <w:t>22.9</w:t>
            </w:r>
          </w:p>
        </w:tc>
      </w:tr>
      <w:tr w:rsidR="003158A5" w14:paraId="4CBB883B" w14:textId="3EE1BC6E" w:rsidTr="00B70BA8">
        <w:trPr>
          <w:trHeight w:val="133"/>
        </w:trPr>
        <w:tc>
          <w:tcPr>
            <w:tcW w:w="3258" w:type="dxa"/>
            <w:tcBorders>
              <w:top w:val="single" w:sz="6" w:space="0" w:color="000000"/>
              <w:left w:val="single" w:sz="8" w:space="0" w:color="000000"/>
              <w:bottom w:val="single" w:sz="6" w:space="0" w:color="000000"/>
              <w:right w:val="single" w:sz="8" w:space="0" w:color="000000"/>
            </w:tcBorders>
          </w:tcPr>
          <w:p w14:paraId="2ECD7876" w14:textId="77777777" w:rsidR="003158A5" w:rsidRPr="00AC4D0E" w:rsidRDefault="003158A5" w:rsidP="00E94D72">
            <w:pPr>
              <w:pStyle w:val="Default"/>
              <w:ind w:firstLine="360"/>
              <w:rPr>
                <w:rFonts w:ascii="Calibri" w:hAnsi="Calibri"/>
                <w:sz w:val="22"/>
                <w:szCs w:val="22"/>
              </w:rPr>
            </w:pPr>
            <w:r w:rsidRPr="00AC4D0E">
              <w:rPr>
                <w:rFonts w:ascii="Calibri" w:hAnsi="Calibri"/>
                <w:sz w:val="22"/>
                <w:szCs w:val="22"/>
              </w:rPr>
              <w:t xml:space="preserve">Insulin diabetes </w:t>
            </w:r>
          </w:p>
        </w:tc>
        <w:tc>
          <w:tcPr>
            <w:tcW w:w="2700" w:type="dxa"/>
            <w:tcBorders>
              <w:top w:val="single" w:sz="6" w:space="0" w:color="000000"/>
              <w:left w:val="single" w:sz="6" w:space="0" w:color="000000"/>
              <w:bottom w:val="single" w:sz="6" w:space="0" w:color="000000"/>
              <w:right w:val="single" w:sz="6" w:space="0" w:color="000000"/>
            </w:tcBorders>
          </w:tcPr>
          <w:p w14:paraId="1B931851"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9.8 </w:t>
            </w:r>
          </w:p>
        </w:tc>
        <w:tc>
          <w:tcPr>
            <w:tcW w:w="2160" w:type="dxa"/>
            <w:tcBorders>
              <w:top w:val="single" w:sz="6" w:space="0" w:color="000000"/>
              <w:left w:val="single" w:sz="8" w:space="0" w:color="000000"/>
              <w:bottom w:val="single" w:sz="6" w:space="0" w:color="000000"/>
              <w:right w:val="single" w:sz="8" w:space="0" w:color="000000"/>
            </w:tcBorders>
          </w:tcPr>
          <w:p w14:paraId="75189FE8"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10.1 </w:t>
            </w:r>
          </w:p>
        </w:tc>
        <w:tc>
          <w:tcPr>
            <w:tcW w:w="2340" w:type="dxa"/>
            <w:tcBorders>
              <w:top w:val="single" w:sz="6" w:space="0" w:color="000000"/>
              <w:left w:val="single" w:sz="8" w:space="0" w:color="000000"/>
              <w:bottom w:val="single" w:sz="6" w:space="0" w:color="000000"/>
              <w:right w:val="single" w:sz="8" w:space="0" w:color="000000"/>
            </w:tcBorders>
          </w:tcPr>
          <w:p w14:paraId="3E1EF8BF" w14:textId="701DF566" w:rsidR="003158A5" w:rsidRPr="00AC4D0E" w:rsidRDefault="003158A5" w:rsidP="00E94D72">
            <w:pPr>
              <w:pStyle w:val="Default"/>
              <w:jc w:val="center"/>
              <w:rPr>
                <w:rFonts w:ascii="Calibri" w:hAnsi="Calibri"/>
                <w:sz w:val="22"/>
                <w:szCs w:val="22"/>
              </w:rPr>
            </w:pPr>
            <w:r>
              <w:rPr>
                <w:rFonts w:ascii="Calibri" w:hAnsi="Calibri"/>
                <w:sz w:val="22"/>
                <w:szCs w:val="22"/>
              </w:rPr>
              <w:t>13.1</w:t>
            </w:r>
          </w:p>
        </w:tc>
      </w:tr>
      <w:tr w:rsidR="003158A5" w14:paraId="585F7C02" w14:textId="1BC77825" w:rsidTr="00B70BA8">
        <w:trPr>
          <w:trHeight w:val="133"/>
        </w:trPr>
        <w:tc>
          <w:tcPr>
            <w:tcW w:w="8118" w:type="dxa"/>
            <w:gridSpan w:val="3"/>
            <w:tcBorders>
              <w:top w:val="single" w:sz="6" w:space="0" w:color="000000"/>
              <w:left w:val="single" w:sz="8" w:space="0" w:color="000000"/>
              <w:bottom w:val="single" w:sz="6" w:space="0" w:color="000000"/>
              <w:right w:val="single" w:sz="8" w:space="0" w:color="000000"/>
            </w:tcBorders>
          </w:tcPr>
          <w:p w14:paraId="51663080" w14:textId="77777777" w:rsidR="003158A5" w:rsidRPr="00AC4D0E" w:rsidRDefault="003158A5" w:rsidP="00E94D72">
            <w:pPr>
              <w:pStyle w:val="Default"/>
              <w:rPr>
                <w:rFonts w:ascii="Calibri" w:hAnsi="Calibri"/>
                <w:sz w:val="22"/>
                <w:szCs w:val="22"/>
              </w:rPr>
            </w:pPr>
            <w:r w:rsidRPr="00AC4D0E">
              <w:rPr>
                <w:rFonts w:ascii="Calibri" w:hAnsi="Calibri"/>
                <w:sz w:val="22"/>
                <w:szCs w:val="22"/>
              </w:rPr>
              <w:t>Glomerular Filtration Rate (GFR)</w:t>
            </w:r>
          </w:p>
        </w:tc>
        <w:tc>
          <w:tcPr>
            <w:tcW w:w="2340" w:type="dxa"/>
            <w:tcBorders>
              <w:top w:val="single" w:sz="6" w:space="0" w:color="000000"/>
              <w:left w:val="single" w:sz="8" w:space="0" w:color="000000"/>
              <w:bottom w:val="single" w:sz="6" w:space="0" w:color="000000"/>
              <w:right w:val="single" w:sz="8" w:space="0" w:color="000000"/>
            </w:tcBorders>
          </w:tcPr>
          <w:p w14:paraId="4D31A7FB" w14:textId="77777777" w:rsidR="003158A5" w:rsidRPr="00AC4D0E" w:rsidRDefault="003158A5" w:rsidP="00E94D72">
            <w:pPr>
              <w:pStyle w:val="Default"/>
              <w:rPr>
                <w:rFonts w:ascii="Calibri" w:hAnsi="Calibri"/>
                <w:sz w:val="22"/>
                <w:szCs w:val="22"/>
              </w:rPr>
            </w:pPr>
          </w:p>
        </w:tc>
      </w:tr>
      <w:tr w:rsidR="003158A5" w14:paraId="52D9C7CE" w14:textId="4441E420" w:rsidTr="00B70BA8">
        <w:trPr>
          <w:trHeight w:val="133"/>
        </w:trPr>
        <w:tc>
          <w:tcPr>
            <w:tcW w:w="3258" w:type="dxa"/>
            <w:tcBorders>
              <w:top w:val="single" w:sz="6" w:space="0" w:color="000000"/>
              <w:left w:val="single" w:sz="8" w:space="0" w:color="000000"/>
              <w:bottom w:val="single" w:sz="6" w:space="0" w:color="000000"/>
              <w:right w:val="single" w:sz="8" w:space="0" w:color="000000"/>
            </w:tcBorders>
          </w:tcPr>
          <w:p w14:paraId="62254CF0" w14:textId="77777777" w:rsidR="003158A5" w:rsidRPr="00AC4D0E" w:rsidRDefault="003158A5" w:rsidP="00E94D72">
            <w:pPr>
              <w:pStyle w:val="Default"/>
              <w:ind w:firstLine="360"/>
              <w:rPr>
                <w:rFonts w:ascii="Calibri" w:hAnsi="Calibri"/>
                <w:sz w:val="22"/>
                <w:szCs w:val="22"/>
              </w:rPr>
            </w:pPr>
            <w:r w:rsidRPr="00AC4D0E">
              <w:rPr>
                <w:rFonts w:ascii="Calibri" w:hAnsi="Calibri"/>
                <w:sz w:val="22"/>
                <w:szCs w:val="22"/>
              </w:rPr>
              <w:t xml:space="preserve">GFR: 0=Not measured </w:t>
            </w:r>
          </w:p>
        </w:tc>
        <w:tc>
          <w:tcPr>
            <w:tcW w:w="2700" w:type="dxa"/>
            <w:tcBorders>
              <w:top w:val="single" w:sz="6" w:space="0" w:color="000000"/>
              <w:left w:val="single" w:sz="6" w:space="0" w:color="000000"/>
              <w:bottom w:val="single" w:sz="6" w:space="0" w:color="000000"/>
              <w:right w:val="single" w:sz="6" w:space="0" w:color="000000"/>
            </w:tcBorders>
          </w:tcPr>
          <w:p w14:paraId="4C0588D3"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4.0 </w:t>
            </w:r>
          </w:p>
        </w:tc>
        <w:tc>
          <w:tcPr>
            <w:tcW w:w="2160" w:type="dxa"/>
            <w:tcBorders>
              <w:top w:val="single" w:sz="6" w:space="0" w:color="000000"/>
              <w:left w:val="single" w:sz="8" w:space="0" w:color="000000"/>
              <w:bottom w:val="single" w:sz="6" w:space="0" w:color="000000"/>
              <w:right w:val="single" w:sz="8" w:space="0" w:color="000000"/>
            </w:tcBorders>
          </w:tcPr>
          <w:p w14:paraId="0B5EE73D"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3.7 </w:t>
            </w:r>
          </w:p>
        </w:tc>
        <w:tc>
          <w:tcPr>
            <w:tcW w:w="2340" w:type="dxa"/>
            <w:tcBorders>
              <w:top w:val="single" w:sz="6" w:space="0" w:color="000000"/>
              <w:left w:val="single" w:sz="8" w:space="0" w:color="000000"/>
              <w:bottom w:val="single" w:sz="6" w:space="0" w:color="000000"/>
              <w:right w:val="single" w:sz="8" w:space="0" w:color="000000"/>
            </w:tcBorders>
          </w:tcPr>
          <w:p w14:paraId="5A732DE6" w14:textId="485C4DB4" w:rsidR="003158A5" w:rsidRPr="00AC4D0E" w:rsidRDefault="003158A5" w:rsidP="00E94D72">
            <w:pPr>
              <w:pStyle w:val="Default"/>
              <w:jc w:val="center"/>
              <w:rPr>
                <w:rFonts w:ascii="Calibri" w:hAnsi="Calibri"/>
                <w:sz w:val="22"/>
                <w:szCs w:val="22"/>
              </w:rPr>
            </w:pPr>
            <w:r>
              <w:rPr>
                <w:rFonts w:ascii="Calibri" w:hAnsi="Calibri"/>
                <w:sz w:val="22"/>
                <w:szCs w:val="22"/>
              </w:rPr>
              <w:t>5.7</w:t>
            </w:r>
          </w:p>
        </w:tc>
      </w:tr>
      <w:tr w:rsidR="003158A5" w14:paraId="18A5D73C" w14:textId="67FE9CEF" w:rsidTr="00B70BA8">
        <w:trPr>
          <w:trHeight w:val="133"/>
        </w:trPr>
        <w:tc>
          <w:tcPr>
            <w:tcW w:w="3258" w:type="dxa"/>
            <w:tcBorders>
              <w:top w:val="single" w:sz="6" w:space="0" w:color="000000"/>
              <w:left w:val="single" w:sz="8" w:space="0" w:color="000000"/>
              <w:bottom w:val="single" w:sz="6" w:space="0" w:color="000000"/>
              <w:right w:val="single" w:sz="8" w:space="0" w:color="000000"/>
            </w:tcBorders>
          </w:tcPr>
          <w:p w14:paraId="07D30FF8" w14:textId="77777777" w:rsidR="003158A5" w:rsidRPr="00AC4D0E" w:rsidRDefault="003158A5" w:rsidP="00E94D72">
            <w:pPr>
              <w:pStyle w:val="Default"/>
              <w:ind w:firstLine="360"/>
              <w:rPr>
                <w:rFonts w:ascii="Calibri" w:hAnsi="Calibri"/>
                <w:sz w:val="22"/>
                <w:szCs w:val="22"/>
              </w:rPr>
            </w:pPr>
            <w:r w:rsidRPr="00AC4D0E">
              <w:rPr>
                <w:rFonts w:ascii="Calibri" w:hAnsi="Calibri"/>
                <w:sz w:val="22"/>
                <w:szCs w:val="22"/>
              </w:rPr>
              <w:t xml:space="preserve">GFR: 1="0&lt;=GFR&lt;30" </w:t>
            </w:r>
          </w:p>
        </w:tc>
        <w:tc>
          <w:tcPr>
            <w:tcW w:w="2700" w:type="dxa"/>
            <w:tcBorders>
              <w:top w:val="single" w:sz="6" w:space="0" w:color="000000"/>
              <w:left w:val="single" w:sz="6" w:space="0" w:color="000000"/>
              <w:bottom w:val="single" w:sz="6" w:space="0" w:color="000000"/>
              <w:right w:val="single" w:sz="6" w:space="0" w:color="000000"/>
            </w:tcBorders>
          </w:tcPr>
          <w:p w14:paraId="4718404F"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4.0 </w:t>
            </w:r>
          </w:p>
        </w:tc>
        <w:tc>
          <w:tcPr>
            <w:tcW w:w="2160" w:type="dxa"/>
            <w:tcBorders>
              <w:top w:val="single" w:sz="6" w:space="0" w:color="000000"/>
              <w:left w:val="single" w:sz="8" w:space="0" w:color="000000"/>
              <w:bottom w:val="single" w:sz="6" w:space="0" w:color="000000"/>
              <w:right w:val="single" w:sz="8" w:space="0" w:color="000000"/>
            </w:tcBorders>
          </w:tcPr>
          <w:p w14:paraId="0867FEC7"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4.3 </w:t>
            </w:r>
          </w:p>
        </w:tc>
        <w:tc>
          <w:tcPr>
            <w:tcW w:w="2340" w:type="dxa"/>
            <w:tcBorders>
              <w:top w:val="single" w:sz="6" w:space="0" w:color="000000"/>
              <w:left w:val="single" w:sz="8" w:space="0" w:color="000000"/>
              <w:bottom w:val="single" w:sz="6" w:space="0" w:color="000000"/>
              <w:right w:val="single" w:sz="8" w:space="0" w:color="000000"/>
            </w:tcBorders>
          </w:tcPr>
          <w:p w14:paraId="21B1AE17" w14:textId="181DD1C7" w:rsidR="003158A5" w:rsidRPr="00AC4D0E" w:rsidRDefault="003158A5" w:rsidP="00E94D72">
            <w:pPr>
              <w:pStyle w:val="Default"/>
              <w:jc w:val="center"/>
              <w:rPr>
                <w:rFonts w:ascii="Calibri" w:hAnsi="Calibri"/>
                <w:sz w:val="22"/>
                <w:szCs w:val="22"/>
              </w:rPr>
            </w:pPr>
            <w:r>
              <w:rPr>
                <w:rFonts w:ascii="Calibri" w:hAnsi="Calibri"/>
                <w:sz w:val="22"/>
                <w:szCs w:val="22"/>
              </w:rPr>
              <w:t>5.1</w:t>
            </w:r>
          </w:p>
        </w:tc>
      </w:tr>
      <w:tr w:rsidR="003158A5" w14:paraId="3DECA4FD" w14:textId="3E04114D" w:rsidTr="00B70BA8">
        <w:trPr>
          <w:trHeight w:val="133"/>
        </w:trPr>
        <w:tc>
          <w:tcPr>
            <w:tcW w:w="3258" w:type="dxa"/>
            <w:tcBorders>
              <w:top w:val="single" w:sz="6" w:space="0" w:color="000000"/>
              <w:left w:val="single" w:sz="8" w:space="0" w:color="000000"/>
              <w:bottom w:val="single" w:sz="6" w:space="0" w:color="000000"/>
              <w:right w:val="single" w:sz="8" w:space="0" w:color="000000"/>
            </w:tcBorders>
          </w:tcPr>
          <w:p w14:paraId="2D3EE274" w14:textId="77777777" w:rsidR="003158A5" w:rsidRPr="00AC4D0E" w:rsidRDefault="003158A5" w:rsidP="00E94D72">
            <w:pPr>
              <w:pStyle w:val="Default"/>
              <w:ind w:firstLine="360"/>
              <w:rPr>
                <w:rFonts w:ascii="Calibri" w:hAnsi="Calibri"/>
                <w:sz w:val="22"/>
                <w:szCs w:val="22"/>
              </w:rPr>
            </w:pPr>
            <w:r w:rsidRPr="00AC4D0E">
              <w:rPr>
                <w:rFonts w:ascii="Calibri" w:hAnsi="Calibri"/>
                <w:sz w:val="22"/>
                <w:szCs w:val="22"/>
              </w:rPr>
              <w:t xml:space="preserve">GFR: 2="30&lt;=GFR&lt;60" </w:t>
            </w:r>
          </w:p>
        </w:tc>
        <w:tc>
          <w:tcPr>
            <w:tcW w:w="2700" w:type="dxa"/>
            <w:tcBorders>
              <w:top w:val="single" w:sz="6" w:space="0" w:color="000000"/>
              <w:left w:val="single" w:sz="6" w:space="0" w:color="000000"/>
              <w:bottom w:val="single" w:sz="6" w:space="0" w:color="000000"/>
              <w:right w:val="single" w:sz="6" w:space="0" w:color="000000"/>
            </w:tcBorders>
          </w:tcPr>
          <w:p w14:paraId="608244D2"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36.6 </w:t>
            </w:r>
          </w:p>
        </w:tc>
        <w:tc>
          <w:tcPr>
            <w:tcW w:w="2160" w:type="dxa"/>
            <w:tcBorders>
              <w:top w:val="single" w:sz="6" w:space="0" w:color="000000"/>
              <w:left w:val="single" w:sz="8" w:space="0" w:color="000000"/>
              <w:bottom w:val="single" w:sz="6" w:space="0" w:color="000000"/>
              <w:right w:val="single" w:sz="8" w:space="0" w:color="000000"/>
            </w:tcBorders>
          </w:tcPr>
          <w:p w14:paraId="00970D7A"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37.2 </w:t>
            </w:r>
          </w:p>
        </w:tc>
        <w:tc>
          <w:tcPr>
            <w:tcW w:w="2340" w:type="dxa"/>
            <w:tcBorders>
              <w:top w:val="single" w:sz="6" w:space="0" w:color="000000"/>
              <w:left w:val="single" w:sz="8" w:space="0" w:color="000000"/>
              <w:bottom w:val="single" w:sz="6" w:space="0" w:color="000000"/>
              <w:right w:val="single" w:sz="8" w:space="0" w:color="000000"/>
            </w:tcBorders>
          </w:tcPr>
          <w:p w14:paraId="4A26848D" w14:textId="23007FC2" w:rsidR="003158A5" w:rsidRPr="00AC4D0E" w:rsidRDefault="003158A5" w:rsidP="00E94D72">
            <w:pPr>
              <w:pStyle w:val="Default"/>
              <w:jc w:val="center"/>
              <w:rPr>
                <w:rFonts w:ascii="Calibri" w:hAnsi="Calibri"/>
                <w:sz w:val="22"/>
                <w:szCs w:val="22"/>
              </w:rPr>
            </w:pPr>
            <w:r>
              <w:rPr>
                <w:rFonts w:ascii="Calibri" w:hAnsi="Calibri"/>
                <w:sz w:val="22"/>
                <w:szCs w:val="22"/>
              </w:rPr>
              <w:t>32.8</w:t>
            </w:r>
          </w:p>
        </w:tc>
      </w:tr>
      <w:tr w:rsidR="003158A5" w14:paraId="7C55C3A8" w14:textId="7494B4EB" w:rsidTr="00B70BA8">
        <w:trPr>
          <w:trHeight w:val="133"/>
        </w:trPr>
        <w:tc>
          <w:tcPr>
            <w:tcW w:w="3258" w:type="dxa"/>
            <w:tcBorders>
              <w:top w:val="single" w:sz="6" w:space="0" w:color="000000"/>
              <w:left w:val="single" w:sz="8" w:space="0" w:color="000000"/>
              <w:bottom w:val="single" w:sz="6" w:space="0" w:color="000000"/>
              <w:right w:val="single" w:sz="8" w:space="0" w:color="000000"/>
            </w:tcBorders>
          </w:tcPr>
          <w:p w14:paraId="3A824312" w14:textId="77777777" w:rsidR="003158A5" w:rsidRPr="00AC4D0E" w:rsidRDefault="003158A5" w:rsidP="00E94D72">
            <w:pPr>
              <w:pStyle w:val="Default"/>
              <w:ind w:firstLine="360"/>
              <w:rPr>
                <w:rFonts w:ascii="Calibri" w:hAnsi="Calibri"/>
                <w:sz w:val="22"/>
                <w:szCs w:val="22"/>
              </w:rPr>
            </w:pPr>
            <w:r w:rsidRPr="00AC4D0E">
              <w:rPr>
                <w:rFonts w:ascii="Calibri" w:hAnsi="Calibri"/>
                <w:sz w:val="22"/>
                <w:szCs w:val="22"/>
              </w:rPr>
              <w:t xml:space="preserve">GFR: 4="GFR&gt;=90" </w:t>
            </w:r>
          </w:p>
        </w:tc>
        <w:tc>
          <w:tcPr>
            <w:tcW w:w="2700" w:type="dxa"/>
            <w:tcBorders>
              <w:top w:val="single" w:sz="6" w:space="0" w:color="000000"/>
              <w:left w:val="single" w:sz="6" w:space="0" w:color="000000"/>
              <w:bottom w:val="single" w:sz="6" w:space="0" w:color="000000"/>
              <w:right w:val="single" w:sz="6" w:space="0" w:color="000000"/>
            </w:tcBorders>
          </w:tcPr>
          <w:p w14:paraId="3253E195"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8.3 </w:t>
            </w:r>
          </w:p>
        </w:tc>
        <w:tc>
          <w:tcPr>
            <w:tcW w:w="2160" w:type="dxa"/>
            <w:tcBorders>
              <w:top w:val="single" w:sz="6" w:space="0" w:color="000000"/>
              <w:left w:val="single" w:sz="8" w:space="0" w:color="000000"/>
              <w:bottom w:val="single" w:sz="6" w:space="0" w:color="000000"/>
              <w:right w:val="single" w:sz="8" w:space="0" w:color="000000"/>
            </w:tcBorders>
          </w:tcPr>
          <w:p w14:paraId="5701D503"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8.3 </w:t>
            </w:r>
          </w:p>
        </w:tc>
        <w:tc>
          <w:tcPr>
            <w:tcW w:w="2340" w:type="dxa"/>
            <w:tcBorders>
              <w:top w:val="single" w:sz="6" w:space="0" w:color="000000"/>
              <w:left w:val="single" w:sz="8" w:space="0" w:color="000000"/>
              <w:bottom w:val="single" w:sz="6" w:space="0" w:color="000000"/>
              <w:right w:val="single" w:sz="8" w:space="0" w:color="000000"/>
            </w:tcBorders>
          </w:tcPr>
          <w:p w14:paraId="23F69A86" w14:textId="6532092B" w:rsidR="003158A5" w:rsidRPr="00AC4D0E" w:rsidRDefault="003158A5" w:rsidP="00E94D72">
            <w:pPr>
              <w:pStyle w:val="Default"/>
              <w:jc w:val="center"/>
              <w:rPr>
                <w:rFonts w:ascii="Calibri" w:hAnsi="Calibri"/>
                <w:sz w:val="22"/>
                <w:szCs w:val="22"/>
              </w:rPr>
            </w:pPr>
            <w:r>
              <w:rPr>
                <w:rFonts w:ascii="Calibri" w:hAnsi="Calibri"/>
                <w:sz w:val="22"/>
                <w:szCs w:val="22"/>
              </w:rPr>
              <w:t>11.8</w:t>
            </w:r>
          </w:p>
        </w:tc>
      </w:tr>
      <w:tr w:rsidR="003158A5" w14:paraId="22361484" w14:textId="404575DC" w:rsidTr="00B70BA8">
        <w:trPr>
          <w:trHeight w:val="119"/>
        </w:trPr>
        <w:tc>
          <w:tcPr>
            <w:tcW w:w="3258" w:type="dxa"/>
            <w:tcBorders>
              <w:top w:val="single" w:sz="6" w:space="0" w:color="000000"/>
              <w:left w:val="single" w:sz="8" w:space="0" w:color="000000"/>
              <w:bottom w:val="single" w:sz="6" w:space="0" w:color="000000"/>
              <w:right w:val="single" w:sz="8" w:space="0" w:color="000000"/>
            </w:tcBorders>
          </w:tcPr>
          <w:p w14:paraId="013FEFA2" w14:textId="77777777" w:rsidR="003158A5" w:rsidRPr="00AC4D0E" w:rsidRDefault="003158A5" w:rsidP="00E94D72">
            <w:pPr>
              <w:pStyle w:val="Default"/>
              <w:rPr>
                <w:rFonts w:ascii="Calibri" w:hAnsi="Calibri"/>
                <w:sz w:val="22"/>
                <w:szCs w:val="22"/>
              </w:rPr>
            </w:pPr>
            <w:r w:rsidRPr="00AC4D0E">
              <w:rPr>
                <w:rFonts w:ascii="Calibri" w:hAnsi="Calibri"/>
                <w:sz w:val="22"/>
                <w:szCs w:val="22"/>
              </w:rPr>
              <w:t xml:space="preserve">Renal Failure - Dialysis </w:t>
            </w:r>
          </w:p>
        </w:tc>
        <w:tc>
          <w:tcPr>
            <w:tcW w:w="2700" w:type="dxa"/>
            <w:tcBorders>
              <w:top w:val="single" w:sz="6" w:space="0" w:color="000000"/>
              <w:left w:val="single" w:sz="6" w:space="0" w:color="000000"/>
              <w:bottom w:val="single" w:sz="6" w:space="0" w:color="000000"/>
              <w:right w:val="single" w:sz="6" w:space="0" w:color="000000"/>
            </w:tcBorders>
          </w:tcPr>
          <w:p w14:paraId="0CD8C709"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1.6 </w:t>
            </w:r>
          </w:p>
        </w:tc>
        <w:tc>
          <w:tcPr>
            <w:tcW w:w="2160" w:type="dxa"/>
            <w:tcBorders>
              <w:top w:val="single" w:sz="6" w:space="0" w:color="000000"/>
              <w:left w:val="single" w:sz="8" w:space="0" w:color="000000"/>
              <w:bottom w:val="single" w:sz="6" w:space="0" w:color="000000"/>
              <w:right w:val="single" w:sz="8" w:space="0" w:color="000000"/>
            </w:tcBorders>
          </w:tcPr>
          <w:p w14:paraId="73586C0D"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1.9 </w:t>
            </w:r>
          </w:p>
        </w:tc>
        <w:tc>
          <w:tcPr>
            <w:tcW w:w="2340" w:type="dxa"/>
            <w:tcBorders>
              <w:top w:val="single" w:sz="6" w:space="0" w:color="000000"/>
              <w:left w:val="single" w:sz="8" w:space="0" w:color="000000"/>
              <w:bottom w:val="single" w:sz="6" w:space="0" w:color="000000"/>
              <w:right w:val="single" w:sz="8" w:space="0" w:color="000000"/>
            </w:tcBorders>
          </w:tcPr>
          <w:p w14:paraId="07C28DC6" w14:textId="4B96B2B4" w:rsidR="003158A5" w:rsidRPr="00AC4D0E" w:rsidRDefault="003158A5" w:rsidP="00E94D72">
            <w:pPr>
              <w:pStyle w:val="Default"/>
              <w:jc w:val="center"/>
              <w:rPr>
                <w:rFonts w:ascii="Calibri" w:hAnsi="Calibri"/>
                <w:sz w:val="22"/>
                <w:szCs w:val="22"/>
              </w:rPr>
            </w:pPr>
            <w:r>
              <w:rPr>
                <w:rFonts w:ascii="Calibri" w:hAnsi="Calibri"/>
                <w:sz w:val="22"/>
                <w:szCs w:val="22"/>
              </w:rPr>
              <w:t>2.7</w:t>
            </w:r>
          </w:p>
        </w:tc>
      </w:tr>
      <w:tr w:rsidR="003158A5" w14:paraId="05734398" w14:textId="4E3251DE" w:rsidTr="00B70BA8">
        <w:trPr>
          <w:trHeight w:val="119"/>
        </w:trPr>
        <w:tc>
          <w:tcPr>
            <w:tcW w:w="3258" w:type="dxa"/>
            <w:tcBorders>
              <w:top w:val="single" w:sz="6" w:space="0" w:color="000000"/>
              <w:left w:val="single" w:sz="8" w:space="0" w:color="000000"/>
              <w:bottom w:val="single" w:sz="6" w:space="0" w:color="000000"/>
              <w:right w:val="single" w:sz="8" w:space="0" w:color="000000"/>
            </w:tcBorders>
          </w:tcPr>
          <w:p w14:paraId="0FBDC953" w14:textId="77777777" w:rsidR="003158A5" w:rsidRPr="00AC4D0E" w:rsidRDefault="003158A5" w:rsidP="00E94D72">
            <w:pPr>
              <w:pStyle w:val="Default"/>
              <w:rPr>
                <w:rFonts w:ascii="Calibri" w:hAnsi="Calibri"/>
                <w:sz w:val="22"/>
                <w:szCs w:val="22"/>
              </w:rPr>
            </w:pPr>
            <w:r w:rsidRPr="00AC4D0E">
              <w:rPr>
                <w:rFonts w:ascii="Calibri" w:hAnsi="Calibri"/>
                <w:sz w:val="22"/>
                <w:szCs w:val="22"/>
              </w:rPr>
              <w:t xml:space="preserve">Hypertension </w:t>
            </w:r>
          </w:p>
        </w:tc>
        <w:tc>
          <w:tcPr>
            <w:tcW w:w="2700" w:type="dxa"/>
            <w:tcBorders>
              <w:top w:val="single" w:sz="6" w:space="0" w:color="000000"/>
              <w:left w:val="single" w:sz="6" w:space="0" w:color="000000"/>
              <w:bottom w:val="single" w:sz="6" w:space="0" w:color="000000"/>
              <w:right w:val="single" w:sz="6" w:space="0" w:color="000000"/>
            </w:tcBorders>
          </w:tcPr>
          <w:p w14:paraId="7EE11F8F"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81.8 </w:t>
            </w:r>
          </w:p>
        </w:tc>
        <w:tc>
          <w:tcPr>
            <w:tcW w:w="2160" w:type="dxa"/>
            <w:tcBorders>
              <w:top w:val="single" w:sz="6" w:space="0" w:color="000000"/>
              <w:left w:val="single" w:sz="8" w:space="0" w:color="000000"/>
              <w:bottom w:val="single" w:sz="6" w:space="0" w:color="000000"/>
              <w:right w:val="single" w:sz="8" w:space="0" w:color="000000"/>
            </w:tcBorders>
          </w:tcPr>
          <w:p w14:paraId="1D84A9D0"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82.9 </w:t>
            </w:r>
          </w:p>
        </w:tc>
        <w:tc>
          <w:tcPr>
            <w:tcW w:w="2340" w:type="dxa"/>
            <w:tcBorders>
              <w:top w:val="single" w:sz="6" w:space="0" w:color="000000"/>
              <w:left w:val="single" w:sz="8" w:space="0" w:color="000000"/>
              <w:bottom w:val="single" w:sz="6" w:space="0" w:color="000000"/>
              <w:right w:val="single" w:sz="8" w:space="0" w:color="000000"/>
            </w:tcBorders>
          </w:tcPr>
          <w:p w14:paraId="308B9E6B" w14:textId="6F52756F" w:rsidR="003158A5" w:rsidRPr="00AC4D0E" w:rsidRDefault="003158A5" w:rsidP="00E94D72">
            <w:pPr>
              <w:pStyle w:val="Default"/>
              <w:jc w:val="center"/>
              <w:rPr>
                <w:rFonts w:ascii="Calibri" w:hAnsi="Calibri"/>
                <w:sz w:val="22"/>
                <w:szCs w:val="22"/>
              </w:rPr>
            </w:pPr>
            <w:r>
              <w:rPr>
                <w:rFonts w:ascii="Calibri" w:hAnsi="Calibri"/>
                <w:sz w:val="22"/>
                <w:szCs w:val="22"/>
              </w:rPr>
              <w:t>86.9</w:t>
            </w:r>
          </w:p>
        </w:tc>
      </w:tr>
      <w:tr w:rsidR="003158A5" w14:paraId="4249D4A6" w14:textId="4FC81361" w:rsidTr="00B70BA8">
        <w:trPr>
          <w:trHeight w:val="119"/>
        </w:trPr>
        <w:tc>
          <w:tcPr>
            <w:tcW w:w="3258" w:type="dxa"/>
            <w:tcBorders>
              <w:top w:val="single" w:sz="6" w:space="0" w:color="000000"/>
              <w:left w:val="single" w:sz="8" w:space="0" w:color="000000"/>
              <w:bottom w:val="single" w:sz="6" w:space="0" w:color="000000"/>
              <w:right w:val="single" w:sz="8" w:space="0" w:color="000000"/>
            </w:tcBorders>
          </w:tcPr>
          <w:p w14:paraId="31F4C615" w14:textId="77777777" w:rsidR="003158A5" w:rsidRPr="00AC4D0E" w:rsidRDefault="003158A5" w:rsidP="00E94D72">
            <w:pPr>
              <w:pStyle w:val="Default"/>
              <w:rPr>
                <w:rFonts w:ascii="Calibri" w:hAnsi="Calibri"/>
                <w:sz w:val="22"/>
                <w:szCs w:val="22"/>
              </w:rPr>
            </w:pPr>
            <w:r w:rsidRPr="00AC4D0E">
              <w:rPr>
                <w:rFonts w:ascii="Calibri" w:hAnsi="Calibri"/>
                <w:sz w:val="22"/>
                <w:szCs w:val="22"/>
              </w:rPr>
              <w:t xml:space="preserve">History of Tobacco Use </w:t>
            </w:r>
          </w:p>
        </w:tc>
        <w:tc>
          <w:tcPr>
            <w:tcW w:w="2700" w:type="dxa"/>
            <w:tcBorders>
              <w:top w:val="single" w:sz="6" w:space="0" w:color="000000"/>
              <w:left w:val="single" w:sz="6" w:space="0" w:color="000000"/>
              <w:bottom w:val="single" w:sz="6" w:space="0" w:color="000000"/>
              <w:right w:val="single" w:sz="6" w:space="0" w:color="000000"/>
            </w:tcBorders>
          </w:tcPr>
          <w:p w14:paraId="165FDF62"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11.8 </w:t>
            </w:r>
          </w:p>
        </w:tc>
        <w:tc>
          <w:tcPr>
            <w:tcW w:w="2160" w:type="dxa"/>
            <w:tcBorders>
              <w:top w:val="single" w:sz="6" w:space="0" w:color="000000"/>
              <w:left w:val="single" w:sz="8" w:space="0" w:color="000000"/>
              <w:bottom w:val="single" w:sz="6" w:space="0" w:color="000000"/>
              <w:right w:val="single" w:sz="8" w:space="0" w:color="000000"/>
            </w:tcBorders>
          </w:tcPr>
          <w:p w14:paraId="77097E93"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11.9 </w:t>
            </w:r>
          </w:p>
        </w:tc>
        <w:tc>
          <w:tcPr>
            <w:tcW w:w="2340" w:type="dxa"/>
            <w:tcBorders>
              <w:top w:val="single" w:sz="6" w:space="0" w:color="000000"/>
              <w:left w:val="single" w:sz="8" w:space="0" w:color="000000"/>
              <w:bottom w:val="single" w:sz="6" w:space="0" w:color="000000"/>
              <w:right w:val="single" w:sz="8" w:space="0" w:color="000000"/>
            </w:tcBorders>
          </w:tcPr>
          <w:p w14:paraId="5234F741" w14:textId="49701F8E" w:rsidR="003158A5" w:rsidRPr="00AC4D0E" w:rsidRDefault="003158A5" w:rsidP="00E94D72">
            <w:pPr>
              <w:pStyle w:val="Default"/>
              <w:jc w:val="center"/>
              <w:rPr>
                <w:rFonts w:ascii="Calibri" w:hAnsi="Calibri"/>
                <w:sz w:val="22"/>
                <w:szCs w:val="22"/>
              </w:rPr>
            </w:pPr>
            <w:r>
              <w:rPr>
                <w:rFonts w:ascii="Calibri" w:hAnsi="Calibri"/>
                <w:sz w:val="22"/>
                <w:szCs w:val="22"/>
              </w:rPr>
              <w:t>13.6</w:t>
            </w:r>
          </w:p>
        </w:tc>
      </w:tr>
      <w:tr w:rsidR="003158A5" w14:paraId="6B89EC20" w14:textId="0E8A53A5" w:rsidTr="00B70BA8">
        <w:trPr>
          <w:trHeight w:val="119"/>
        </w:trPr>
        <w:tc>
          <w:tcPr>
            <w:tcW w:w="3258" w:type="dxa"/>
            <w:tcBorders>
              <w:top w:val="single" w:sz="6" w:space="0" w:color="000000"/>
              <w:left w:val="single" w:sz="8" w:space="0" w:color="000000"/>
              <w:bottom w:val="single" w:sz="6" w:space="0" w:color="000000"/>
              <w:right w:val="single" w:sz="8" w:space="0" w:color="000000"/>
            </w:tcBorders>
          </w:tcPr>
          <w:p w14:paraId="256FB8E7" w14:textId="77777777" w:rsidR="003158A5" w:rsidRPr="00AC4D0E" w:rsidRDefault="003158A5" w:rsidP="00E94D72">
            <w:pPr>
              <w:pStyle w:val="Default"/>
              <w:rPr>
                <w:rFonts w:ascii="Calibri" w:hAnsi="Calibri"/>
                <w:sz w:val="22"/>
                <w:szCs w:val="22"/>
              </w:rPr>
            </w:pPr>
            <w:r w:rsidRPr="00AC4D0E">
              <w:rPr>
                <w:rFonts w:ascii="Calibri" w:hAnsi="Calibri"/>
                <w:sz w:val="22"/>
                <w:szCs w:val="22"/>
              </w:rPr>
              <w:t xml:space="preserve">Previous PCI </w:t>
            </w:r>
          </w:p>
        </w:tc>
        <w:tc>
          <w:tcPr>
            <w:tcW w:w="2700" w:type="dxa"/>
            <w:tcBorders>
              <w:top w:val="single" w:sz="6" w:space="0" w:color="000000"/>
              <w:left w:val="single" w:sz="6" w:space="0" w:color="000000"/>
              <w:bottom w:val="single" w:sz="6" w:space="0" w:color="000000"/>
              <w:right w:val="single" w:sz="6" w:space="0" w:color="000000"/>
            </w:tcBorders>
          </w:tcPr>
          <w:p w14:paraId="4A152C2A"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35.9 </w:t>
            </w:r>
          </w:p>
        </w:tc>
        <w:tc>
          <w:tcPr>
            <w:tcW w:w="2160" w:type="dxa"/>
            <w:tcBorders>
              <w:top w:val="single" w:sz="6" w:space="0" w:color="000000"/>
              <w:left w:val="single" w:sz="8" w:space="0" w:color="000000"/>
              <w:bottom w:val="single" w:sz="6" w:space="0" w:color="000000"/>
              <w:right w:val="single" w:sz="8" w:space="0" w:color="000000"/>
            </w:tcBorders>
          </w:tcPr>
          <w:p w14:paraId="294C3494"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37.2 </w:t>
            </w:r>
          </w:p>
        </w:tc>
        <w:tc>
          <w:tcPr>
            <w:tcW w:w="2340" w:type="dxa"/>
            <w:tcBorders>
              <w:top w:val="single" w:sz="6" w:space="0" w:color="000000"/>
              <w:left w:val="single" w:sz="8" w:space="0" w:color="000000"/>
              <w:bottom w:val="single" w:sz="6" w:space="0" w:color="000000"/>
              <w:right w:val="single" w:sz="8" w:space="0" w:color="000000"/>
            </w:tcBorders>
          </w:tcPr>
          <w:p w14:paraId="3B18848A" w14:textId="6D776A91" w:rsidR="003158A5" w:rsidRPr="00AC4D0E" w:rsidRDefault="003158A5" w:rsidP="00E94D72">
            <w:pPr>
              <w:pStyle w:val="Default"/>
              <w:jc w:val="center"/>
              <w:rPr>
                <w:rFonts w:ascii="Calibri" w:hAnsi="Calibri"/>
                <w:sz w:val="22"/>
                <w:szCs w:val="22"/>
              </w:rPr>
            </w:pPr>
            <w:r>
              <w:rPr>
                <w:rFonts w:ascii="Calibri" w:hAnsi="Calibri"/>
                <w:sz w:val="22"/>
                <w:szCs w:val="22"/>
              </w:rPr>
              <w:t>40.7</w:t>
            </w:r>
          </w:p>
        </w:tc>
      </w:tr>
      <w:tr w:rsidR="003158A5" w14:paraId="4F4552B7" w14:textId="7CBA1F0F" w:rsidTr="00B70BA8">
        <w:trPr>
          <w:trHeight w:val="133"/>
        </w:trPr>
        <w:tc>
          <w:tcPr>
            <w:tcW w:w="3258" w:type="dxa"/>
            <w:tcBorders>
              <w:top w:val="single" w:sz="6" w:space="0" w:color="000000"/>
              <w:left w:val="single" w:sz="8" w:space="0" w:color="000000"/>
              <w:bottom w:val="single" w:sz="6" w:space="0" w:color="000000"/>
              <w:right w:val="single" w:sz="8" w:space="0" w:color="000000"/>
            </w:tcBorders>
          </w:tcPr>
          <w:p w14:paraId="25348A14" w14:textId="77777777" w:rsidR="003158A5" w:rsidRPr="00AC4D0E" w:rsidRDefault="003158A5" w:rsidP="00E94D72">
            <w:pPr>
              <w:pStyle w:val="Default"/>
              <w:rPr>
                <w:rFonts w:ascii="Calibri" w:hAnsi="Calibri"/>
                <w:sz w:val="22"/>
                <w:szCs w:val="22"/>
              </w:rPr>
            </w:pPr>
            <w:r w:rsidRPr="00AC4D0E">
              <w:rPr>
                <w:rFonts w:ascii="Calibri" w:hAnsi="Calibri"/>
                <w:sz w:val="22"/>
                <w:szCs w:val="22"/>
              </w:rPr>
              <w:t xml:space="preserve">Heart failure - current status </w:t>
            </w:r>
          </w:p>
        </w:tc>
        <w:tc>
          <w:tcPr>
            <w:tcW w:w="2700" w:type="dxa"/>
            <w:tcBorders>
              <w:top w:val="single" w:sz="6" w:space="0" w:color="000000"/>
              <w:left w:val="single" w:sz="6" w:space="0" w:color="000000"/>
              <w:bottom w:val="single" w:sz="6" w:space="0" w:color="000000"/>
              <w:right w:val="single" w:sz="6" w:space="0" w:color="000000"/>
            </w:tcBorders>
          </w:tcPr>
          <w:p w14:paraId="6BA1DDE1"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12.0 </w:t>
            </w:r>
          </w:p>
        </w:tc>
        <w:tc>
          <w:tcPr>
            <w:tcW w:w="2160" w:type="dxa"/>
            <w:tcBorders>
              <w:top w:val="single" w:sz="6" w:space="0" w:color="000000"/>
              <w:left w:val="single" w:sz="8" w:space="0" w:color="000000"/>
              <w:bottom w:val="single" w:sz="6" w:space="0" w:color="000000"/>
              <w:right w:val="single" w:sz="8" w:space="0" w:color="000000"/>
            </w:tcBorders>
          </w:tcPr>
          <w:p w14:paraId="3BC9FEEB"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11.9 </w:t>
            </w:r>
          </w:p>
        </w:tc>
        <w:tc>
          <w:tcPr>
            <w:tcW w:w="2340" w:type="dxa"/>
            <w:tcBorders>
              <w:top w:val="single" w:sz="6" w:space="0" w:color="000000"/>
              <w:left w:val="single" w:sz="8" w:space="0" w:color="000000"/>
              <w:bottom w:val="single" w:sz="6" w:space="0" w:color="000000"/>
              <w:right w:val="single" w:sz="8" w:space="0" w:color="000000"/>
            </w:tcBorders>
          </w:tcPr>
          <w:p w14:paraId="69AB2D52" w14:textId="194030AB" w:rsidR="003158A5" w:rsidRPr="00AC4D0E" w:rsidRDefault="003158A5" w:rsidP="00E94D72">
            <w:pPr>
              <w:pStyle w:val="Default"/>
              <w:jc w:val="center"/>
              <w:rPr>
                <w:rFonts w:ascii="Calibri" w:hAnsi="Calibri"/>
                <w:sz w:val="22"/>
                <w:szCs w:val="22"/>
              </w:rPr>
            </w:pPr>
            <w:r>
              <w:rPr>
                <w:rFonts w:ascii="Calibri" w:hAnsi="Calibri"/>
                <w:sz w:val="22"/>
                <w:szCs w:val="22"/>
              </w:rPr>
              <w:t>13.4</w:t>
            </w:r>
          </w:p>
        </w:tc>
      </w:tr>
      <w:tr w:rsidR="003158A5" w14:paraId="0B7212D6" w14:textId="27B678F5" w:rsidTr="00B70BA8">
        <w:trPr>
          <w:trHeight w:val="133"/>
        </w:trPr>
        <w:tc>
          <w:tcPr>
            <w:tcW w:w="8118" w:type="dxa"/>
            <w:gridSpan w:val="3"/>
            <w:tcBorders>
              <w:top w:val="single" w:sz="6" w:space="0" w:color="000000"/>
              <w:left w:val="single" w:sz="8" w:space="0" w:color="000000"/>
              <w:bottom w:val="single" w:sz="6" w:space="0" w:color="000000"/>
              <w:right w:val="single" w:sz="8" w:space="0" w:color="000000"/>
            </w:tcBorders>
          </w:tcPr>
          <w:p w14:paraId="31830C0D" w14:textId="77777777" w:rsidR="003158A5" w:rsidRPr="00AC4D0E" w:rsidRDefault="003158A5" w:rsidP="00E94D72">
            <w:pPr>
              <w:pStyle w:val="Default"/>
              <w:rPr>
                <w:rFonts w:ascii="Calibri" w:hAnsi="Calibri"/>
                <w:sz w:val="22"/>
                <w:szCs w:val="22"/>
              </w:rPr>
            </w:pPr>
            <w:r w:rsidRPr="00AC4D0E">
              <w:rPr>
                <w:rFonts w:ascii="Calibri" w:hAnsi="Calibri"/>
                <w:sz w:val="22"/>
                <w:szCs w:val="22"/>
              </w:rPr>
              <w:t>Symptoms present on admission</w:t>
            </w:r>
          </w:p>
        </w:tc>
        <w:tc>
          <w:tcPr>
            <w:tcW w:w="2340" w:type="dxa"/>
            <w:tcBorders>
              <w:top w:val="single" w:sz="6" w:space="0" w:color="000000"/>
              <w:left w:val="single" w:sz="8" w:space="0" w:color="000000"/>
              <w:bottom w:val="single" w:sz="6" w:space="0" w:color="000000"/>
              <w:right w:val="single" w:sz="8" w:space="0" w:color="000000"/>
            </w:tcBorders>
          </w:tcPr>
          <w:p w14:paraId="1B6DE343" w14:textId="77777777" w:rsidR="003158A5" w:rsidRPr="00AC4D0E" w:rsidRDefault="003158A5" w:rsidP="00E94D72">
            <w:pPr>
              <w:pStyle w:val="Default"/>
              <w:rPr>
                <w:rFonts w:ascii="Calibri" w:hAnsi="Calibri"/>
                <w:sz w:val="22"/>
                <w:szCs w:val="22"/>
              </w:rPr>
            </w:pPr>
          </w:p>
        </w:tc>
      </w:tr>
      <w:tr w:rsidR="003158A5" w14:paraId="3EA56341" w14:textId="3FB64E54" w:rsidTr="00B70BA8">
        <w:trPr>
          <w:trHeight w:val="133"/>
        </w:trPr>
        <w:tc>
          <w:tcPr>
            <w:tcW w:w="3258" w:type="dxa"/>
            <w:tcBorders>
              <w:top w:val="single" w:sz="6" w:space="0" w:color="000000"/>
              <w:left w:val="single" w:sz="8" w:space="0" w:color="000000"/>
              <w:bottom w:val="single" w:sz="6" w:space="0" w:color="000000"/>
              <w:right w:val="single" w:sz="8" w:space="0" w:color="000000"/>
            </w:tcBorders>
          </w:tcPr>
          <w:p w14:paraId="3249537D" w14:textId="77777777" w:rsidR="003158A5" w:rsidRPr="00AC4D0E" w:rsidRDefault="003158A5" w:rsidP="00E94D72">
            <w:pPr>
              <w:pStyle w:val="Default"/>
              <w:ind w:firstLine="360"/>
              <w:rPr>
                <w:rFonts w:ascii="Calibri" w:hAnsi="Calibri"/>
                <w:sz w:val="22"/>
                <w:szCs w:val="22"/>
              </w:rPr>
            </w:pPr>
            <w:r w:rsidRPr="00AC4D0E">
              <w:rPr>
                <w:rFonts w:ascii="Calibri" w:hAnsi="Calibri"/>
                <w:sz w:val="22"/>
                <w:szCs w:val="22"/>
              </w:rPr>
              <w:t xml:space="preserve">No MI on admission </w:t>
            </w:r>
          </w:p>
        </w:tc>
        <w:tc>
          <w:tcPr>
            <w:tcW w:w="2700" w:type="dxa"/>
            <w:tcBorders>
              <w:top w:val="single" w:sz="6" w:space="0" w:color="000000"/>
              <w:left w:val="single" w:sz="6" w:space="0" w:color="000000"/>
              <w:bottom w:val="single" w:sz="6" w:space="0" w:color="000000"/>
              <w:right w:val="single" w:sz="6" w:space="0" w:color="000000"/>
            </w:tcBorders>
          </w:tcPr>
          <w:p w14:paraId="4214C1A5"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75.4 </w:t>
            </w:r>
          </w:p>
        </w:tc>
        <w:tc>
          <w:tcPr>
            <w:tcW w:w="2160" w:type="dxa"/>
            <w:tcBorders>
              <w:top w:val="single" w:sz="6" w:space="0" w:color="000000"/>
              <w:left w:val="single" w:sz="8" w:space="0" w:color="000000"/>
              <w:bottom w:val="single" w:sz="6" w:space="0" w:color="000000"/>
              <w:right w:val="single" w:sz="8" w:space="0" w:color="000000"/>
            </w:tcBorders>
          </w:tcPr>
          <w:p w14:paraId="3155AB9D"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73.5 </w:t>
            </w:r>
          </w:p>
        </w:tc>
        <w:tc>
          <w:tcPr>
            <w:tcW w:w="2340" w:type="dxa"/>
            <w:tcBorders>
              <w:top w:val="single" w:sz="6" w:space="0" w:color="000000"/>
              <w:left w:val="single" w:sz="8" w:space="0" w:color="000000"/>
              <w:bottom w:val="single" w:sz="6" w:space="0" w:color="000000"/>
              <w:right w:val="single" w:sz="8" w:space="0" w:color="000000"/>
            </w:tcBorders>
          </w:tcPr>
          <w:p w14:paraId="5D0F9CEB" w14:textId="4E97CA7D" w:rsidR="003158A5" w:rsidRPr="00AC4D0E" w:rsidRDefault="003158A5" w:rsidP="00E94D72">
            <w:pPr>
              <w:pStyle w:val="Default"/>
              <w:jc w:val="center"/>
              <w:rPr>
                <w:rFonts w:ascii="Calibri" w:hAnsi="Calibri"/>
                <w:sz w:val="22"/>
                <w:szCs w:val="22"/>
              </w:rPr>
            </w:pPr>
            <w:r>
              <w:rPr>
                <w:rFonts w:ascii="Calibri" w:hAnsi="Calibri"/>
                <w:sz w:val="22"/>
                <w:szCs w:val="22"/>
              </w:rPr>
              <w:t>64.6</w:t>
            </w:r>
          </w:p>
        </w:tc>
      </w:tr>
      <w:tr w:rsidR="003158A5" w14:paraId="2824011F" w14:textId="09AE82DD" w:rsidTr="00B70BA8">
        <w:trPr>
          <w:trHeight w:val="133"/>
        </w:trPr>
        <w:tc>
          <w:tcPr>
            <w:tcW w:w="3258" w:type="dxa"/>
            <w:tcBorders>
              <w:top w:val="single" w:sz="6" w:space="0" w:color="000000"/>
              <w:left w:val="single" w:sz="8" w:space="0" w:color="000000"/>
              <w:bottom w:val="single" w:sz="6" w:space="0" w:color="000000"/>
              <w:right w:val="single" w:sz="8" w:space="0" w:color="000000"/>
            </w:tcBorders>
          </w:tcPr>
          <w:p w14:paraId="69DD7772" w14:textId="77777777" w:rsidR="003158A5" w:rsidRPr="00AC4D0E" w:rsidRDefault="003158A5" w:rsidP="00E94D72">
            <w:pPr>
              <w:pStyle w:val="Default"/>
              <w:ind w:firstLine="360"/>
              <w:rPr>
                <w:rFonts w:ascii="Calibri" w:hAnsi="Calibri"/>
                <w:sz w:val="22"/>
                <w:szCs w:val="22"/>
              </w:rPr>
            </w:pPr>
            <w:r w:rsidRPr="00AC4D0E">
              <w:rPr>
                <w:rFonts w:ascii="Calibri" w:hAnsi="Calibri"/>
                <w:sz w:val="22"/>
                <w:szCs w:val="22"/>
              </w:rPr>
              <w:t xml:space="preserve">MI after 24 hours on </w:t>
            </w:r>
          </w:p>
          <w:p w14:paraId="703C5183" w14:textId="77777777" w:rsidR="003158A5" w:rsidRPr="00AC4D0E" w:rsidRDefault="003158A5" w:rsidP="00E94D72">
            <w:pPr>
              <w:pStyle w:val="Default"/>
              <w:ind w:firstLine="360"/>
              <w:rPr>
                <w:rFonts w:ascii="Calibri" w:hAnsi="Calibri"/>
                <w:sz w:val="22"/>
                <w:szCs w:val="22"/>
              </w:rPr>
            </w:pPr>
            <w:r w:rsidRPr="00AC4D0E">
              <w:rPr>
                <w:rFonts w:ascii="Calibri" w:hAnsi="Calibri"/>
                <w:sz w:val="22"/>
                <w:szCs w:val="22"/>
              </w:rPr>
              <w:t xml:space="preserve">admission </w:t>
            </w:r>
          </w:p>
        </w:tc>
        <w:tc>
          <w:tcPr>
            <w:tcW w:w="2700" w:type="dxa"/>
            <w:tcBorders>
              <w:top w:val="single" w:sz="6" w:space="0" w:color="000000"/>
              <w:left w:val="single" w:sz="6" w:space="0" w:color="000000"/>
              <w:bottom w:val="single" w:sz="6" w:space="0" w:color="000000"/>
              <w:right w:val="single" w:sz="6" w:space="0" w:color="000000"/>
            </w:tcBorders>
          </w:tcPr>
          <w:p w14:paraId="55100D84"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5.7 </w:t>
            </w:r>
          </w:p>
        </w:tc>
        <w:tc>
          <w:tcPr>
            <w:tcW w:w="2160" w:type="dxa"/>
            <w:tcBorders>
              <w:top w:val="single" w:sz="6" w:space="0" w:color="000000"/>
              <w:left w:val="single" w:sz="8" w:space="0" w:color="000000"/>
              <w:bottom w:val="single" w:sz="6" w:space="0" w:color="000000"/>
              <w:right w:val="single" w:sz="8" w:space="0" w:color="000000"/>
            </w:tcBorders>
          </w:tcPr>
          <w:p w14:paraId="63E3759D"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6.0 </w:t>
            </w:r>
          </w:p>
        </w:tc>
        <w:tc>
          <w:tcPr>
            <w:tcW w:w="2340" w:type="dxa"/>
            <w:tcBorders>
              <w:top w:val="single" w:sz="6" w:space="0" w:color="000000"/>
              <w:left w:val="single" w:sz="8" w:space="0" w:color="000000"/>
              <w:bottom w:val="single" w:sz="6" w:space="0" w:color="000000"/>
              <w:right w:val="single" w:sz="8" w:space="0" w:color="000000"/>
            </w:tcBorders>
          </w:tcPr>
          <w:p w14:paraId="1C97EE99" w14:textId="30400A5B" w:rsidR="003158A5" w:rsidRPr="00AC4D0E" w:rsidRDefault="003158A5" w:rsidP="00E94D72">
            <w:pPr>
              <w:pStyle w:val="Default"/>
              <w:jc w:val="center"/>
              <w:rPr>
                <w:rFonts w:ascii="Calibri" w:hAnsi="Calibri"/>
                <w:sz w:val="22"/>
                <w:szCs w:val="22"/>
              </w:rPr>
            </w:pPr>
            <w:r>
              <w:rPr>
                <w:rFonts w:ascii="Calibri" w:hAnsi="Calibri"/>
                <w:sz w:val="22"/>
                <w:szCs w:val="22"/>
              </w:rPr>
              <w:t>2.5</w:t>
            </w:r>
          </w:p>
        </w:tc>
      </w:tr>
      <w:tr w:rsidR="003158A5" w14:paraId="5E95C227" w14:textId="365FE32D" w:rsidTr="00B70BA8">
        <w:trPr>
          <w:trHeight w:val="133"/>
        </w:trPr>
        <w:tc>
          <w:tcPr>
            <w:tcW w:w="8118" w:type="dxa"/>
            <w:gridSpan w:val="3"/>
            <w:tcBorders>
              <w:top w:val="single" w:sz="6" w:space="0" w:color="000000"/>
              <w:left w:val="single" w:sz="8" w:space="0" w:color="000000"/>
              <w:bottom w:val="single" w:sz="6" w:space="0" w:color="000000"/>
              <w:right w:val="single" w:sz="8" w:space="0" w:color="000000"/>
            </w:tcBorders>
          </w:tcPr>
          <w:p w14:paraId="084BCA1F" w14:textId="77777777" w:rsidR="003158A5" w:rsidRPr="00AC4D0E" w:rsidRDefault="003158A5" w:rsidP="00E94D72">
            <w:pPr>
              <w:pStyle w:val="Default"/>
              <w:rPr>
                <w:rFonts w:ascii="Calibri" w:hAnsi="Calibri"/>
                <w:sz w:val="22"/>
                <w:szCs w:val="22"/>
              </w:rPr>
            </w:pPr>
            <w:r w:rsidRPr="00AC4D0E">
              <w:rPr>
                <w:rFonts w:ascii="Calibri" w:hAnsi="Calibri"/>
                <w:sz w:val="22"/>
                <w:szCs w:val="22"/>
              </w:rPr>
              <w:t>Ejection Fraction (EF) Percentage</w:t>
            </w:r>
          </w:p>
        </w:tc>
        <w:tc>
          <w:tcPr>
            <w:tcW w:w="2340" w:type="dxa"/>
            <w:tcBorders>
              <w:top w:val="single" w:sz="6" w:space="0" w:color="000000"/>
              <w:left w:val="single" w:sz="8" w:space="0" w:color="000000"/>
              <w:bottom w:val="single" w:sz="6" w:space="0" w:color="000000"/>
              <w:right w:val="single" w:sz="8" w:space="0" w:color="000000"/>
            </w:tcBorders>
          </w:tcPr>
          <w:p w14:paraId="72DA959E" w14:textId="77777777" w:rsidR="003158A5" w:rsidRPr="00AC4D0E" w:rsidRDefault="003158A5" w:rsidP="00E94D72">
            <w:pPr>
              <w:pStyle w:val="Default"/>
              <w:rPr>
                <w:rFonts w:ascii="Calibri" w:hAnsi="Calibri"/>
                <w:sz w:val="22"/>
                <w:szCs w:val="22"/>
              </w:rPr>
            </w:pPr>
          </w:p>
        </w:tc>
      </w:tr>
      <w:tr w:rsidR="003158A5" w14:paraId="15071788" w14:textId="310D2858" w:rsidTr="00B70BA8">
        <w:trPr>
          <w:trHeight w:val="133"/>
        </w:trPr>
        <w:tc>
          <w:tcPr>
            <w:tcW w:w="3258" w:type="dxa"/>
            <w:tcBorders>
              <w:top w:val="single" w:sz="6" w:space="0" w:color="000000"/>
              <w:left w:val="single" w:sz="8" w:space="0" w:color="000000"/>
              <w:bottom w:val="single" w:sz="6" w:space="0" w:color="000000"/>
              <w:right w:val="single" w:sz="8" w:space="0" w:color="000000"/>
            </w:tcBorders>
          </w:tcPr>
          <w:p w14:paraId="32464988" w14:textId="77777777" w:rsidR="003158A5" w:rsidRPr="00AC4D0E" w:rsidRDefault="003158A5" w:rsidP="00E94D72">
            <w:pPr>
              <w:pStyle w:val="Default"/>
              <w:ind w:firstLine="360"/>
              <w:rPr>
                <w:rFonts w:ascii="Calibri" w:hAnsi="Calibri"/>
                <w:sz w:val="22"/>
                <w:szCs w:val="22"/>
              </w:rPr>
            </w:pPr>
            <w:r w:rsidRPr="00AC4D0E">
              <w:rPr>
                <w:rFonts w:ascii="Calibri" w:hAnsi="Calibri"/>
                <w:sz w:val="22"/>
                <w:szCs w:val="22"/>
              </w:rPr>
              <w:t xml:space="preserve">EFP: 1=Not measured </w:t>
            </w:r>
          </w:p>
        </w:tc>
        <w:tc>
          <w:tcPr>
            <w:tcW w:w="2700" w:type="dxa"/>
            <w:tcBorders>
              <w:top w:val="single" w:sz="6" w:space="0" w:color="000000"/>
              <w:left w:val="single" w:sz="6" w:space="0" w:color="000000"/>
              <w:bottom w:val="single" w:sz="6" w:space="0" w:color="000000"/>
              <w:right w:val="single" w:sz="6" w:space="0" w:color="000000"/>
            </w:tcBorders>
          </w:tcPr>
          <w:p w14:paraId="4D7FA772"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28.3 </w:t>
            </w:r>
          </w:p>
        </w:tc>
        <w:tc>
          <w:tcPr>
            <w:tcW w:w="2160" w:type="dxa"/>
            <w:tcBorders>
              <w:top w:val="single" w:sz="6" w:space="0" w:color="000000"/>
              <w:left w:val="single" w:sz="8" w:space="0" w:color="000000"/>
              <w:bottom w:val="single" w:sz="6" w:space="0" w:color="000000"/>
              <w:right w:val="single" w:sz="8" w:space="0" w:color="000000"/>
            </w:tcBorders>
          </w:tcPr>
          <w:p w14:paraId="35478D5E"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28.5 </w:t>
            </w:r>
          </w:p>
        </w:tc>
        <w:tc>
          <w:tcPr>
            <w:tcW w:w="2340" w:type="dxa"/>
            <w:tcBorders>
              <w:top w:val="single" w:sz="6" w:space="0" w:color="000000"/>
              <w:left w:val="single" w:sz="8" w:space="0" w:color="000000"/>
              <w:bottom w:val="single" w:sz="6" w:space="0" w:color="000000"/>
              <w:right w:val="single" w:sz="8" w:space="0" w:color="000000"/>
            </w:tcBorders>
          </w:tcPr>
          <w:p w14:paraId="1DB9EA40" w14:textId="23DA22F2" w:rsidR="003158A5" w:rsidRPr="00AC4D0E" w:rsidRDefault="003158A5" w:rsidP="00E94D72">
            <w:pPr>
              <w:pStyle w:val="Default"/>
              <w:jc w:val="center"/>
              <w:rPr>
                <w:rFonts w:ascii="Calibri" w:hAnsi="Calibri"/>
                <w:sz w:val="22"/>
                <w:szCs w:val="22"/>
              </w:rPr>
            </w:pPr>
            <w:r>
              <w:rPr>
                <w:rFonts w:ascii="Calibri" w:hAnsi="Calibri"/>
                <w:sz w:val="22"/>
                <w:szCs w:val="22"/>
              </w:rPr>
              <w:t>29.7</w:t>
            </w:r>
          </w:p>
        </w:tc>
      </w:tr>
      <w:tr w:rsidR="003158A5" w14:paraId="7A668B45" w14:textId="6399DAF2" w:rsidTr="00B70BA8">
        <w:trPr>
          <w:trHeight w:val="133"/>
        </w:trPr>
        <w:tc>
          <w:tcPr>
            <w:tcW w:w="3258" w:type="dxa"/>
            <w:tcBorders>
              <w:top w:val="single" w:sz="6" w:space="0" w:color="000000"/>
              <w:left w:val="single" w:sz="8" w:space="0" w:color="000000"/>
              <w:bottom w:val="single" w:sz="6" w:space="0" w:color="000000"/>
              <w:right w:val="single" w:sz="8" w:space="0" w:color="000000"/>
            </w:tcBorders>
          </w:tcPr>
          <w:p w14:paraId="4C1E81B7" w14:textId="77777777" w:rsidR="003158A5" w:rsidRPr="00AC4D0E" w:rsidRDefault="003158A5" w:rsidP="00E94D72">
            <w:pPr>
              <w:pStyle w:val="Default"/>
              <w:ind w:firstLine="360"/>
              <w:rPr>
                <w:rFonts w:ascii="Calibri" w:hAnsi="Calibri"/>
                <w:sz w:val="22"/>
                <w:szCs w:val="22"/>
              </w:rPr>
            </w:pPr>
            <w:r w:rsidRPr="00AC4D0E">
              <w:rPr>
                <w:rFonts w:ascii="Calibri" w:hAnsi="Calibri"/>
                <w:sz w:val="22"/>
                <w:szCs w:val="22"/>
              </w:rPr>
              <w:t xml:space="preserve">EFP: 2="0&lt;=EFP&lt;30" </w:t>
            </w:r>
          </w:p>
        </w:tc>
        <w:tc>
          <w:tcPr>
            <w:tcW w:w="2700" w:type="dxa"/>
            <w:tcBorders>
              <w:top w:val="single" w:sz="6" w:space="0" w:color="000000"/>
              <w:left w:val="single" w:sz="6" w:space="0" w:color="000000"/>
              <w:bottom w:val="single" w:sz="6" w:space="0" w:color="000000"/>
              <w:right w:val="single" w:sz="6" w:space="0" w:color="000000"/>
            </w:tcBorders>
          </w:tcPr>
          <w:p w14:paraId="496323FE"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3.9 </w:t>
            </w:r>
          </w:p>
        </w:tc>
        <w:tc>
          <w:tcPr>
            <w:tcW w:w="2160" w:type="dxa"/>
            <w:tcBorders>
              <w:top w:val="single" w:sz="6" w:space="0" w:color="000000"/>
              <w:left w:val="single" w:sz="8" w:space="0" w:color="000000"/>
              <w:bottom w:val="single" w:sz="6" w:space="0" w:color="000000"/>
              <w:right w:val="single" w:sz="8" w:space="0" w:color="000000"/>
            </w:tcBorders>
          </w:tcPr>
          <w:p w14:paraId="7B68B14B"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3.9 </w:t>
            </w:r>
          </w:p>
        </w:tc>
        <w:tc>
          <w:tcPr>
            <w:tcW w:w="2340" w:type="dxa"/>
            <w:tcBorders>
              <w:top w:val="single" w:sz="6" w:space="0" w:color="000000"/>
              <w:left w:val="single" w:sz="8" w:space="0" w:color="000000"/>
              <w:bottom w:val="single" w:sz="6" w:space="0" w:color="000000"/>
              <w:right w:val="single" w:sz="8" w:space="0" w:color="000000"/>
            </w:tcBorders>
          </w:tcPr>
          <w:p w14:paraId="74CF3580" w14:textId="027B683F" w:rsidR="003158A5" w:rsidRPr="00AC4D0E" w:rsidRDefault="003158A5" w:rsidP="00E94D72">
            <w:pPr>
              <w:pStyle w:val="Default"/>
              <w:jc w:val="center"/>
              <w:rPr>
                <w:rFonts w:ascii="Calibri" w:hAnsi="Calibri"/>
                <w:sz w:val="22"/>
                <w:szCs w:val="22"/>
              </w:rPr>
            </w:pPr>
            <w:r>
              <w:rPr>
                <w:rFonts w:ascii="Calibri" w:hAnsi="Calibri"/>
                <w:sz w:val="22"/>
                <w:szCs w:val="22"/>
              </w:rPr>
              <w:t>4.6</w:t>
            </w:r>
          </w:p>
        </w:tc>
      </w:tr>
      <w:tr w:rsidR="003158A5" w14:paraId="56CF4688" w14:textId="395D6AA2" w:rsidTr="00B70BA8">
        <w:trPr>
          <w:trHeight w:val="133"/>
        </w:trPr>
        <w:tc>
          <w:tcPr>
            <w:tcW w:w="3258" w:type="dxa"/>
            <w:tcBorders>
              <w:top w:val="single" w:sz="6" w:space="0" w:color="000000"/>
              <w:left w:val="single" w:sz="8" w:space="0" w:color="000000"/>
              <w:bottom w:val="single" w:sz="6" w:space="0" w:color="000000"/>
              <w:right w:val="single" w:sz="8" w:space="0" w:color="000000"/>
            </w:tcBorders>
          </w:tcPr>
          <w:p w14:paraId="4AF9CE07" w14:textId="77777777" w:rsidR="003158A5" w:rsidRPr="00AC4D0E" w:rsidRDefault="003158A5" w:rsidP="00E94D72">
            <w:pPr>
              <w:pStyle w:val="Default"/>
              <w:ind w:firstLine="360"/>
              <w:rPr>
                <w:rFonts w:ascii="Calibri" w:hAnsi="Calibri"/>
                <w:sz w:val="22"/>
                <w:szCs w:val="22"/>
              </w:rPr>
            </w:pPr>
            <w:r w:rsidRPr="00AC4D0E">
              <w:rPr>
                <w:rFonts w:ascii="Calibri" w:hAnsi="Calibri"/>
                <w:sz w:val="22"/>
                <w:szCs w:val="22"/>
              </w:rPr>
              <w:t xml:space="preserve">EFP: 3="30&lt;=EFP&lt;45" </w:t>
            </w:r>
          </w:p>
        </w:tc>
        <w:tc>
          <w:tcPr>
            <w:tcW w:w="2700" w:type="dxa"/>
            <w:tcBorders>
              <w:top w:val="single" w:sz="6" w:space="0" w:color="000000"/>
              <w:left w:val="single" w:sz="6" w:space="0" w:color="000000"/>
              <w:bottom w:val="single" w:sz="6" w:space="0" w:color="000000"/>
              <w:right w:val="single" w:sz="6" w:space="0" w:color="000000"/>
            </w:tcBorders>
          </w:tcPr>
          <w:p w14:paraId="6C61B509"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11.9 </w:t>
            </w:r>
          </w:p>
        </w:tc>
        <w:tc>
          <w:tcPr>
            <w:tcW w:w="2160" w:type="dxa"/>
            <w:tcBorders>
              <w:top w:val="single" w:sz="6" w:space="0" w:color="000000"/>
              <w:left w:val="single" w:sz="8" w:space="0" w:color="000000"/>
              <w:bottom w:val="single" w:sz="6" w:space="0" w:color="000000"/>
              <w:right w:val="single" w:sz="8" w:space="0" w:color="000000"/>
            </w:tcBorders>
          </w:tcPr>
          <w:p w14:paraId="7B6B19F2"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11.9 </w:t>
            </w:r>
          </w:p>
        </w:tc>
        <w:tc>
          <w:tcPr>
            <w:tcW w:w="2340" w:type="dxa"/>
            <w:tcBorders>
              <w:top w:val="single" w:sz="6" w:space="0" w:color="000000"/>
              <w:left w:val="single" w:sz="8" w:space="0" w:color="000000"/>
              <w:bottom w:val="single" w:sz="6" w:space="0" w:color="000000"/>
              <w:right w:val="single" w:sz="8" w:space="0" w:color="000000"/>
            </w:tcBorders>
          </w:tcPr>
          <w:p w14:paraId="76B52102" w14:textId="535AF38E" w:rsidR="003158A5" w:rsidRPr="00AC4D0E" w:rsidRDefault="003158A5" w:rsidP="00E94D72">
            <w:pPr>
              <w:pStyle w:val="Default"/>
              <w:jc w:val="center"/>
              <w:rPr>
                <w:rFonts w:ascii="Calibri" w:hAnsi="Calibri"/>
                <w:sz w:val="22"/>
                <w:szCs w:val="22"/>
              </w:rPr>
            </w:pPr>
            <w:r>
              <w:rPr>
                <w:rFonts w:ascii="Calibri" w:hAnsi="Calibri"/>
                <w:sz w:val="22"/>
                <w:szCs w:val="22"/>
              </w:rPr>
              <w:t>12.1</w:t>
            </w:r>
          </w:p>
        </w:tc>
      </w:tr>
      <w:tr w:rsidR="003158A5" w14:paraId="529AF66A" w14:textId="13B5FE30" w:rsidTr="00B70BA8">
        <w:trPr>
          <w:trHeight w:val="133"/>
        </w:trPr>
        <w:tc>
          <w:tcPr>
            <w:tcW w:w="8118" w:type="dxa"/>
            <w:gridSpan w:val="3"/>
            <w:tcBorders>
              <w:top w:val="single" w:sz="6" w:space="0" w:color="000000"/>
              <w:left w:val="single" w:sz="8" w:space="0" w:color="000000"/>
              <w:bottom w:val="single" w:sz="6" w:space="0" w:color="000000"/>
              <w:right w:val="single" w:sz="8" w:space="0" w:color="000000"/>
            </w:tcBorders>
          </w:tcPr>
          <w:p w14:paraId="68D1C5B7" w14:textId="77777777" w:rsidR="003158A5" w:rsidRPr="00AC4D0E" w:rsidRDefault="003158A5" w:rsidP="00E94D72">
            <w:pPr>
              <w:pStyle w:val="Default"/>
              <w:rPr>
                <w:rFonts w:ascii="Calibri" w:hAnsi="Calibri"/>
                <w:sz w:val="22"/>
                <w:szCs w:val="22"/>
              </w:rPr>
            </w:pPr>
            <w:r w:rsidRPr="00AC4D0E">
              <w:rPr>
                <w:rFonts w:ascii="Calibri" w:hAnsi="Calibri"/>
                <w:sz w:val="22"/>
                <w:szCs w:val="22"/>
              </w:rPr>
              <w:t>PCI status</w:t>
            </w:r>
          </w:p>
        </w:tc>
        <w:tc>
          <w:tcPr>
            <w:tcW w:w="2340" w:type="dxa"/>
            <w:tcBorders>
              <w:top w:val="single" w:sz="6" w:space="0" w:color="000000"/>
              <w:left w:val="single" w:sz="8" w:space="0" w:color="000000"/>
              <w:bottom w:val="single" w:sz="6" w:space="0" w:color="000000"/>
              <w:right w:val="single" w:sz="8" w:space="0" w:color="000000"/>
            </w:tcBorders>
          </w:tcPr>
          <w:p w14:paraId="748DA4E1" w14:textId="77777777" w:rsidR="003158A5" w:rsidRPr="00AC4D0E" w:rsidRDefault="003158A5" w:rsidP="00E94D72">
            <w:pPr>
              <w:pStyle w:val="Default"/>
              <w:rPr>
                <w:rFonts w:ascii="Calibri" w:hAnsi="Calibri"/>
                <w:sz w:val="22"/>
                <w:szCs w:val="22"/>
              </w:rPr>
            </w:pPr>
          </w:p>
        </w:tc>
      </w:tr>
      <w:tr w:rsidR="003158A5" w14:paraId="5F5D38C6" w14:textId="40D9A015" w:rsidTr="00C8458C">
        <w:trPr>
          <w:trHeight w:val="48"/>
        </w:trPr>
        <w:tc>
          <w:tcPr>
            <w:tcW w:w="3258" w:type="dxa"/>
            <w:tcBorders>
              <w:top w:val="single" w:sz="6" w:space="0" w:color="000000"/>
              <w:left w:val="single" w:sz="8" w:space="0" w:color="000000"/>
              <w:bottom w:val="single" w:sz="6" w:space="0" w:color="000000"/>
              <w:right w:val="single" w:sz="8" w:space="0" w:color="000000"/>
            </w:tcBorders>
          </w:tcPr>
          <w:p w14:paraId="1DEC20CB" w14:textId="77777777" w:rsidR="003158A5" w:rsidRPr="00AC4D0E" w:rsidRDefault="003158A5" w:rsidP="00E94D72">
            <w:pPr>
              <w:pStyle w:val="Default"/>
              <w:ind w:firstLine="360"/>
              <w:rPr>
                <w:rFonts w:ascii="Calibri" w:hAnsi="Calibri"/>
                <w:sz w:val="22"/>
                <w:szCs w:val="22"/>
              </w:rPr>
            </w:pPr>
            <w:r w:rsidRPr="00AC4D0E">
              <w:rPr>
                <w:rFonts w:ascii="Calibri" w:hAnsi="Calibri"/>
                <w:sz w:val="22"/>
                <w:szCs w:val="22"/>
              </w:rPr>
              <w:t xml:space="preserve">PCI status: 2=Urgent </w:t>
            </w:r>
          </w:p>
        </w:tc>
        <w:tc>
          <w:tcPr>
            <w:tcW w:w="2700" w:type="dxa"/>
            <w:tcBorders>
              <w:top w:val="single" w:sz="6" w:space="0" w:color="000000"/>
              <w:left w:val="single" w:sz="6" w:space="0" w:color="000000"/>
              <w:bottom w:val="single" w:sz="6" w:space="0" w:color="000000"/>
              <w:right w:val="single" w:sz="6" w:space="0" w:color="000000"/>
            </w:tcBorders>
          </w:tcPr>
          <w:p w14:paraId="06B2CEE3"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36.0 </w:t>
            </w:r>
          </w:p>
        </w:tc>
        <w:tc>
          <w:tcPr>
            <w:tcW w:w="2160" w:type="dxa"/>
            <w:tcBorders>
              <w:top w:val="single" w:sz="6" w:space="0" w:color="000000"/>
              <w:left w:val="single" w:sz="8" w:space="0" w:color="000000"/>
              <w:bottom w:val="single" w:sz="6" w:space="0" w:color="000000"/>
              <w:right w:val="single" w:sz="8" w:space="0" w:color="000000"/>
            </w:tcBorders>
          </w:tcPr>
          <w:p w14:paraId="14B7845A"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36.4 </w:t>
            </w:r>
          </w:p>
        </w:tc>
        <w:tc>
          <w:tcPr>
            <w:tcW w:w="2340" w:type="dxa"/>
            <w:tcBorders>
              <w:top w:val="single" w:sz="6" w:space="0" w:color="000000"/>
              <w:left w:val="single" w:sz="8" w:space="0" w:color="000000"/>
              <w:bottom w:val="single" w:sz="6" w:space="0" w:color="000000"/>
              <w:right w:val="single" w:sz="8" w:space="0" w:color="000000"/>
            </w:tcBorders>
          </w:tcPr>
          <w:p w14:paraId="5C35875E" w14:textId="633E710B" w:rsidR="003158A5" w:rsidRPr="00AC4D0E" w:rsidRDefault="003158A5" w:rsidP="00E94D72">
            <w:pPr>
              <w:pStyle w:val="Default"/>
              <w:jc w:val="center"/>
              <w:rPr>
                <w:rFonts w:ascii="Calibri" w:hAnsi="Calibri"/>
                <w:sz w:val="22"/>
                <w:szCs w:val="22"/>
              </w:rPr>
            </w:pPr>
            <w:r>
              <w:rPr>
                <w:rFonts w:ascii="Calibri" w:hAnsi="Calibri"/>
                <w:sz w:val="22"/>
                <w:szCs w:val="22"/>
              </w:rPr>
              <w:t>44.4</w:t>
            </w:r>
          </w:p>
        </w:tc>
      </w:tr>
      <w:tr w:rsidR="003158A5" w14:paraId="4F33E518" w14:textId="43688B8E" w:rsidTr="00B70BA8">
        <w:trPr>
          <w:trHeight w:val="133"/>
        </w:trPr>
        <w:tc>
          <w:tcPr>
            <w:tcW w:w="3258" w:type="dxa"/>
            <w:tcBorders>
              <w:top w:val="single" w:sz="6" w:space="0" w:color="000000"/>
              <w:left w:val="single" w:sz="8" w:space="0" w:color="000000"/>
              <w:bottom w:val="single" w:sz="6" w:space="0" w:color="000000"/>
              <w:right w:val="single" w:sz="8" w:space="0" w:color="000000"/>
            </w:tcBorders>
          </w:tcPr>
          <w:p w14:paraId="1657FA18" w14:textId="77777777" w:rsidR="003158A5" w:rsidRPr="00AC4D0E" w:rsidRDefault="003158A5" w:rsidP="00E94D72">
            <w:pPr>
              <w:pStyle w:val="Default"/>
              <w:ind w:firstLine="360"/>
              <w:rPr>
                <w:rFonts w:ascii="Calibri" w:hAnsi="Calibri"/>
                <w:sz w:val="22"/>
                <w:szCs w:val="22"/>
              </w:rPr>
            </w:pPr>
            <w:r w:rsidRPr="00AC4D0E">
              <w:rPr>
                <w:rFonts w:ascii="Calibri" w:hAnsi="Calibri"/>
                <w:sz w:val="22"/>
                <w:szCs w:val="22"/>
              </w:rPr>
              <w:t xml:space="preserve">PCI status: 3=Emergency </w:t>
            </w:r>
          </w:p>
        </w:tc>
        <w:tc>
          <w:tcPr>
            <w:tcW w:w="2700" w:type="dxa"/>
            <w:tcBorders>
              <w:top w:val="single" w:sz="6" w:space="0" w:color="000000"/>
              <w:left w:val="single" w:sz="6" w:space="0" w:color="000000"/>
              <w:bottom w:val="single" w:sz="6" w:space="0" w:color="000000"/>
              <w:right w:val="single" w:sz="6" w:space="0" w:color="000000"/>
            </w:tcBorders>
          </w:tcPr>
          <w:p w14:paraId="48222F5A"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11.1 </w:t>
            </w:r>
          </w:p>
        </w:tc>
        <w:tc>
          <w:tcPr>
            <w:tcW w:w="2160" w:type="dxa"/>
            <w:tcBorders>
              <w:top w:val="single" w:sz="6" w:space="0" w:color="000000"/>
              <w:left w:val="single" w:sz="8" w:space="0" w:color="000000"/>
              <w:bottom w:val="single" w:sz="6" w:space="0" w:color="000000"/>
              <w:right w:val="single" w:sz="8" w:space="0" w:color="000000"/>
            </w:tcBorders>
          </w:tcPr>
          <w:p w14:paraId="627F7838"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12.2 </w:t>
            </w:r>
          </w:p>
        </w:tc>
        <w:tc>
          <w:tcPr>
            <w:tcW w:w="2340" w:type="dxa"/>
            <w:tcBorders>
              <w:top w:val="single" w:sz="6" w:space="0" w:color="000000"/>
              <w:left w:val="single" w:sz="8" w:space="0" w:color="000000"/>
              <w:bottom w:val="single" w:sz="6" w:space="0" w:color="000000"/>
              <w:right w:val="single" w:sz="8" w:space="0" w:color="000000"/>
            </w:tcBorders>
          </w:tcPr>
          <w:p w14:paraId="18DC79ED" w14:textId="6D839766" w:rsidR="003158A5" w:rsidRPr="00AC4D0E" w:rsidRDefault="003158A5" w:rsidP="00E94D72">
            <w:pPr>
              <w:pStyle w:val="Default"/>
              <w:jc w:val="center"/>
              <w:rPr>
                <w:rFonts w:ascii="Calibri" w:hAnsi="Calibri"/>
                <w:sz w:val="22"/>
                <w:szCs w:val="22"/>
              </w:rPr>
            </w:pPr>
            <w:r>
              <w:rPr>
                <w:rFonts w:ascii="Calibri" w:hAnsi="Calibri"/>
                <w:sz w:val="22"/>
                <w:szCs w:val="22"/>
              </w:rPr>
              <w:t>14.9</w:t>
            </w:r>
          </w:p>
        </w:tc>
      </w:tr>
      <w:tr w:rsidR="003158A5" w14:paraId="113A7E81" w14:textId="56235E08" w:rsidTr="00B70BA8">
        <w:trPr>
          <w:trHeight w:val="133"/>
        </w:trPr>
        <w:tc>
          <w:tcPr>
            <w:tcW w:w="3258" w:type="dxa"/>
            <w:tcBorders>
              <w:top w:val="single" w:sz="6" w:space="0" w:color="000000"/>
              <w:left w:val="single" w:sz="8" w:space="0" w:color="000000"/>
              <w:bottom w:val="single" w:sz="6" w:space="0" w:color="000000"/>
              <w:right w:val="single" w:sz="8" w:space="0" w:color="000000"/>
            </w:tcBorders>
          </w:tcPr>
          <w:p w14:paraId="14E8A103" w14:textId="77777777" w:rsidR="003158A5" w:rsidRPr="00AC4D0E" w:rsidRDefault="003158A5" w:rsidP="00E94D72">
            <w:pPr>
              <w:pStyle w:val="Default"/>
              <w:ind w:firstLine="360"/>
              <w:rPr>
                <w:rFonts w:ascii="Calibri" w:hAnsi="Calibri"/>
                <w:sz w:val="22"/>
                <w:szCs w:val="22"/>
              </w:rPr>
            </w:pPr>
            <w:r w:rsidRPr="00AC4D0E">
              <w:rPr>
                <w:rFonts w:ascii="Calibri" w:hAnsi="Calibri"/>
                <w:sz w:val="22"/>
                <w:szCs w:val="22"/>
              </w:rPr>
              <w:lastRenderedPageBreak/>
              <w:t xml:space="preserve">PCI status: 4=Salvage </w:t>
            </w:r>
          </w:p>
        </w:tc>
        <w:tc>
          <w:tcPr>
            <w:tcW w:w="2700" w:type="dxa"/>
            <w:tcBorders>
              <w:top w:val="single" w:sz="6" w:space="0" w:color="000000"/>
              <w:left w:val="single" w:sz="6" w:space="0" w:color="000000"/>
              <w:bottom w:val="single" w:sz="6" w:space="0" w:color="000000"/>
              <w:right w:val="single" w:sz="6" w:space="0" w:color="000000"/>
            </w:tcBorders>
          </w:tcPr>
          <w:p w14:paraId="3B75BB05"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0.1 </w:t>
            </w:r>
          </w:p>
        </w:tc>
        <w:tc>
          <w:tcPr>
            <w:tcW w:w="2160" w:type="dxa"/>
            <w:tcBorders>
              <w:top w:val="single" w:sz="6" w:space="0" w:color="000000"/>
              <w:left w:val="single" w:sz="8" w:space="0" w:color="000000"/>
              <w:bottom w:val="single" w:sz="6" w:space="0" w:color="000000"/>
              <w:right w:val="single" w:sz="8" w:space="0" w:color="000000"/>
            </w:tcBorders>
          </w:tcPr>
          <w:p w14:paraId="2E947ADF"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0.1 </w:t>
            </w:r>
          </w:p>
        </w:tc>
        <w:tc>
          <w:tcPr>
            <w:tcW w:w="2340" w:type="dxa"/>
            <w:tcBorders>
              <w:top w:val="single" w:sz="6" w:space="0" w:color="000000"/>
              <w:left w:val="single" w:sz="8" w:space="0" w:color="000000"/>
              <w:bottom w:val="single" w:sz="6" w:space="0" w:color="000000"/>
              <w:right w:val="single" w:sz="8" w:space="0" w:color="000000"/>
            </w:tcBorders>
          </w:tcPr>
          <w:p w14:paraId="390C695D" w14:textId="6C540D2D" w:rsidR="003158A5" w:rsidRPr="00AC4D0E" w:rsidRDefault="003158A5" w:rsidP="00E94D72">
            <w:pPr>
              <w:pStyle w:val="Default"/>
              <w:jc w:val="center"/>
              <w:rPr>
                <w:rFonts w:ascii="Calibri" w:hAnsi="Calibri"/>
                <w:sz w:val="22"/>
                <w:szCs w:val="22"/>
              </w:rPr>
            </w:pPr>
            <w:r>
              <w:rPr>
                <w:rFonts w:ascii="Calibri" w:hAnsi="Calibri"/>
                <w:sz w:val="22"/>
                <w:szCs w:val="22"/>
              </w:rPr>
              <w:t>0.1</w:t>
            </w:r>
          </w:p>
        </w:tc>
      </w:tr>
      <w:tr w:rsidR="003158A5" w14:paraId="6D758192" w14:textId="649B620A" w:rsidTr="00B70BA8">
        <w:trPr>
          <w:trHeight w:val="133"/>
        </w:trPr>
        <w:tc>
          <w:tcPr>
            <w:tcW w:w="8118" w:type="dxa"/>
            <w:gridSpan w:val="3"/>
            <w:tcBorders>
              <w:top w:val="single" w:sz="6" w:space="0" w:color="000000"/>
              <w:left w:val="single" w:sz="8" w:space="0" w:color="000000"/>
              <w:bottom w:val="single" w:sz="6" w:space="0" w:color="000000"/>
              <w:right w:val="single" w:sz="8" w:space="0" w:color="000000"/>
            </w:tcBorders>
          </w:tcPr>
          <w:p w14:paraId="0C13C4E7" w14:textId="77777777" w:rsidR="003158A5" w:rsidRPr="00AC4D0E" w:rsidRDefault="003158A5" w:rsidP="00E94D72">
            <w:pPr>
              <w:pStyle w:val="Default"/>
              <w:rPr>
                <w:rFonts w:ascii="Calibri" w:hAnsi="Calibri"/>
                <w:sz w:val="22"/>
                <w:szCs w:val="22"/>
              </w:rPr>
            </w:pPr>
            <w:r w:rsidRPr="00AC4D0E">
              <w:rPr>
                <w:rFonts w:ascii="Calibri" w:hAnsi="Calibri"/>
                <w:sz w:val="22"/>
                <w:szCs w:val="22"/>
              </w:rPr>
              <w:t>Highest Risk Lesion – location</w:t>
            </w:r>
          </w:p>
        </w:tc>
        <w:tc>
          <w:tcPr>
            <w:tcW w:w="2340" w:type="dxa"/>
            <w:tcBorders>
              <w:top w:val="single" w:sz="6" w:space="0" w:color="000000"/>
              <w:left w:val="single" w:sz="8" w:space="0" w:color="000000"/>
              <w:bottom w:val="single" w:sz="6" w:space="0" w:color="000000"/>
              <w:right w:val="single" w:sz="8" w:space="0" w:color="000000"/>
            </w:tcBorders>
          </w:tcPr>
          <w:p w14:paraId="3721D702" w14:textId="77777777" w:rsidR="003158A5" w:rsidRPr="00AC4D0E" w:rsidRDefault="003158A5" w:rsidP="00E94D72">
            <w:pPr>
              <w:pStyle w:val="Default"/>
              <w:rPr>
                <w:rFonts w:ascii="Calibri" w:hAnsi="Calibri"/>
                <w:sz w:val="22"/>
                <w:szCs w:val="22"/>
              </w:rPr>
            </w:pPr>
          </w:p>
        </w:tc>
      </w:tr>
      <w:tr w:rsidR="003158A5" w14:paraId="394D5B3A" w14:textId="686E8661" w:rsidTr="00B70BA8">
        <w:trPr>
          <w:trHeight w:val="133"/>
        </w:trPr>
        <w:tc>
          <w:tcPr>
            <w:tcW w:w="3258" w:type="dxa"/>
            <w:tcBorders>
              <w:top w:val="single" w:sz="6" w:space="0" w:color="000000"/>
              <w:left w:val="single" w:sz="8" w:space="0" w:color="000000"/>
              <w:bottom w:val="single" w:sz="6" w:space="0" w:color="000000"/>
              <w:right w:val="single" w:sz="8" w:space="0" w:color="000000"/>
            </w:tcBorders>
          </w:tcPr>
          <w:p w14:paraId="4FF8ABF5" w14:textId="77777777" w:rsidR="003158A5" w:rsidRPr="00AC4D0E" w:rsidRDefault="003158A5" w:rsidP="00E94D72">
            <w:pPr>
              <w:pStyle w:val="Default"/>
              <w:ind w:firstLine="360"/>
              <w:rPr>
                <w:rFonts w:ascii="Calibri" w:hAnsi="Calibri"/>
                <w:sz w:val="22"/>
                <w:szCs w:val="22"/>
              </w:rPr>
            </w:pPr>
            <w:r w:rsidRPr="00AC4D0E">
              <w:rPr>
                <w:rFonts w:ascii="Calibri" w:hAnsi="Calibri"/>
                <w:sz w:val="22"/>
                <w:szCs w:val="22"/>
              </w:rPr>
              <w:t xml:space="preserve">pRCA/mLAD/pCIRC </w:t>
            </w:r>
          </w:p>
        </w:tc>
        <w:tc>
          <w:tcPr>
            <w:tcW w:w="2700" w:type="dxa"/>
            <w:tcBorders>
              <w:top w:val="single" w:sz="6" w:space="0" w:color="000000"/>
              <w:left w:val="single" w:sz="6" w:space="0" w:color="000000"/>
              <w:bottom w:val="single" w:sz="6" w:space="0" w:color="000000"/>
              <w:right w:val="single" w:sz="6" w:space="0" w:color="000000"/>
            </w:tcBorders>
          </w:tcPr>
          <w:p w14:paraId="11E9C1D4"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38.2 </w:t>
            </w:r>
          </w:p>
        </w:tc>
        <w:tc>
          <w:tcPr>
            <w:tcW w:w="2160" w:type="dxa"/>
            <w:tcBorders>
              <w:top w:val="single" w:sz="6" w:space="0" w:color="000000"/>
              <w:left w:val="single" w:sz="8" w:space="0" w:color="000000"/>
              <w:bottom w:val="single" w:sz="6" w:space="0" w:color="000000"/>
              <w:right w:val="single" w:sz="8" w:space="0" w:color="000000"/>
            </w:tcBorders>
          </w:tcPr>
          <w:p w14:paraId="4FBDA41A"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37.9 </w:t>
            </w:r>
          </w:p>
        </w:tc>
        <w:tc>
          <w:tcPr>
            <w:tcW w:w="2340" w:type="dxa"/>
            <w:tcBorders>
              <w:top w:val="single" w:sz="6" w:space="0" w:color="000000"/>
              <w:left w:val="single" w:sz="8" w:space="0" w:color="000000"/>
              <w:bottom w:val="single" w:sz="6" w:space="0" w:color="000000"/>
              <w:right w:val="single" w:sz="8" w:space="0" w:color="000000"/>
            </w:tcBorders>
          </w:tcPr>
          <w:p w14:paraId="0E95837A" w14:textId="6F8A718E" w:rsidR="003158A5" w:rsidRPr="00AC4D0E" w:rsidRDefault="003158A5" w:rsidP="00E94D72">
            <w:pPr>
              <w:pStyle w:val="Default"/>
              <w:jc w:val="center"/>
              <w:rPr>
                <w:rFonts w:ascii="Calibri" w:hAnsi="Calibri"/>
                <w:sz w:val="22"/>
                <w:szCs w:val="22"/>
              </w:rPr>
            </w:pPr>
            <w:r>
              <w:rPr>
                <w:rFonts w:ascii="Calibri" w:hAnsi="Calibri"/>
                <w:sz w:val="22"/>
                <w:szCs w:val="22"/>
              </w:rPr>
              <w:t>37.9</w:t>
            </w:r>
          </w:p>
        </w:tc>
      </w:tr>
      <w:tr w:rsidR="003158A5" w14:paraId="2930D969" w14:textId="19CE16E2" w:rsidTr="00B70BA8">
        <w:trPr>
          <w:trHeight w:val="133"/>
        </w:trPr>
        <w:tc>
          <w:tcPr>
            <w:tcW w:w="3258" w:type="dxa"/>
            <w:tcBorders>
              <w:top w:val="single" w:sz="6" w:space="0" w:color="000000"/>
              <w:left w:val="single" w:sz="8" w:space="0" w:color="000000"/>
              <w:bottom w:val="single" w:sz="6" w:space="0" w:color="000000"/>
              <w:right w:val="single" w:sz="8" w:space="0" w:color="000000"/>
            </w:tcBorders>
          </w:tcPr>
          <w:p w14:paraId="67B19B7B" w14:textId="77777777" w:rsidR="003158A5" w:rsidRPr="00AC4D0E" w:rsidRDefault="003158A5" w:rsidP="00E94D72">
            <w:pPr>
              <w:pStyle w:val="Default"/>
              <w:ind w:firstLine="360"/>
              <w:rPr>
                <w:rFonts w:ascii="Calibri" w:hAnsi="Calibri"/>
                <w:sz w:val="22"/>
                <w:szCs w:val="22"/>
              </w:rPr>
            </w:pPr>
            <w:r w:rsidRPr="00AC4D0E">
              <w:rPr>
                <w:rFonts w:ascii="Calibri" w:hAnsi="Calibri"/>
                <w:sz w:val="22"/>
                <w:szCs w:val="22"/>
              </w:rPr>
              <w:t xml:space="preserve">pLAD </w:t>
            </w:r>
          </w:p>
        </w:tc>
        <w:tc>
          <w:tcPr>
            <w:tcW w:w="2700" w:type="dxa"/>
            <w:tcBorders>
              <w:top w:val="single" w:sz="6" w:space="0" w:color="000000"/>
              <w:left w:val="single" w:sz="6" w:space="0" w:color="000000"/>
              <w:bottom w:val="single" w:sz="6" w:space="0" w:color="000000"/>
              <w:right w:val="single" w:sz="6" w:space="0" w:color="000000"/>
            </w:tcBorders>
          </w:tcPr>
          <w:p w14:paraId="23A6AE9A"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17.6 </w:t>
            </w:r>
          </w:p>
        </w:tc>
        <w:tc>
          <w:tcPr>
            <w:tcW w:w="2160" w:type="dxa"/>
            <w:tcBorders>
              <w:top w:val="single" w:sz="6" w:space="0" w:color="000000"/>
              <w:left w:val="single" w:sz="8" w:space="0" w:color="000000"/>
              <w:bottom w:val="single" w:sz="6" w:space="0" w:color="000000"/>
              <w:right w:val="single" w:sz="8" w:space="0" w:color="000000"/>
            </w:tcBorders>
          </w:tcPr>
          <w:p w14:paraId="4C851985"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17.3 </w:t>
            </w:r>
          </w:p>
        </w:tc>
        <w:tc>
          <w:tcPr>
            <w:tcW w:w="2340" w:type="dxa"/>
            <w:tcBorders>
              <w:top w:val="single" w:sz="6" w:space="0" w:color="000000"/>
              <w:left w:val="single" w:sz="8" w:space="0" w:color="000000"/>
              <w:bottom w:val="single" w:sz="6" w:space="0" w:color="000000"/>
              <w:right w:val="single" w:sz="8" w:space="0" w:color="000000"/>
            </w:tcBorders>
          </w:tcPr>
          <w:p w14:paraId="1EFD827A" w14:textId="2D333851" w:rsidR="003158A5" w:rsidRPr="00AC4D0E" w:rsidRDefault="003158A5" w:rsidP="00E94D72">
            <w:pPr>
              <w:pStyle w:val="Default"/>
              <w:jc w:val="center"/>
              <w:rPr>
                <w:rFonts w:ascii="Calibri" w:hAnsi="Calibri"/>
                <w:sz w:val="22"/>
                <w:szCs w:val="22"/>
              </w:rPr>
            </w:pPr>
            <w:r>
              <w:rPr>
                <w:rFonts w:ascii="Calibri" w:hAnsi="Calibri"/>
                <w:sz w:val="22"/>
                <w:szCs w:val="22"/>
              </w:rPr>
              <w:t>16.9</w:t>
            </w:r>
          </w:p>
        </w:tc>
      </w:tr>
      <w:tr w:rsidR="003158A5" w14:paraId="17C9E3E8" w14:textId="3AC5CE3A" w:rsidTr="00B70BA8">
        <w:trPr>
          <w:trHeight w:val="133"/>
        </w:trPr>
        <w:tc>
          <w:tcPr>
            <w:tcW w:w="3258" w:type="dxa"/>
            <w:tcBorders>
              <w:top w:val="single" w:sz="6" w:space="0" w:color="000000"/>
              <w:left w:val="single" w:sz="8" w:space="0" w:color="000000"/>
              <w:bottom w:val="single" w:sz="6" w:space="0" w:color="000000"/>
              <w:right w:val="single" w:sz="8" w:space="0" w:color="000000"/>
            </w:tcBorders>
          </w:tcPr>
          <w:p w14:paraId="52115FAB" w14:textId="77777777" w:rsidR="003158A5" w:rsidRPr="00AC4D0E" w:rsidRDefault="003158A5" w:rsidP="00E94D72">
            <w:pPr>
              <w:pStyle w:val="Default"/>
              <w:ind w:firstLine="360"/>
              <w:rPr>
                <w:rFonts w:ascii="Calibri" w:hAnsi="Calibri"/>
                <w:sz w:val="22"/>
                <w:szCs w:val="22"/>
              </w:rPr>
            </w:pPr>
            <w:r w:rsidRPr="00AC4D0E">
              <w:rPr>
                <w:rFonts w:ascii="Calibri" w:hAnsi="Calibri"/>
                <w:sz w:val="22"/>
                <w:szCs w:val="22"/>
              </w:rPr>
              <w:t xml:space="preserve">Left main </w:t>
            </w:r>
          </w:p>
        </w:tc>
        <w:tc>
          <w:tcPr>
            <w:tcW w:w="2700" w:type="dxa"/>
            <w:tcBorders>
              <w:top w:val="single" w:sz="6" w:space="0" w:color="000000"/>
              <w:left w:val="single" w:sz="6" w:space="0" w:color="000000"/>
              <w:bottom w:val="single" w:sz="6" w:space="0" w:color="000000"/>
              <w:right w:val="single" w:sz="6" w:space="0" w:color="000000"/>
            </w:tcBorders>
          </w:tcPr>
          <w:p w14:paraId="7F900ABE"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2.4 </w:t>
            </w:r>
          </w:p>
        </w:tc>
        <w:tc>
          <w:tcPr>
            <w:tcW w:w="2160" w:type="dxa"/>
            <w:tcBorders>
              <w:top w:val="single" w:sz="6" w:space="0" w:color="000000"/>
              <w:left w:val="single" w:sz="8" w:space="0" w:color="000000"/>
              <w:bottom w:val="single" w:sz="6" w:space="0" w:color="000000"/>
              <w:right w:val="single" w:sz="8" w:space="0" w:color="000000"/>
            </w:tcBorders>
          </w:tcPr>
          <w:p w14:paraId="53F9233E"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2.4 </w:t>
            </w:r>
          </w:p>
        </w:tc>
        <w:tc>
          <w:tcPr>
            <w:tcW w:w="2340" w:type="dxa"/>
            <w:tcBorders>
              <w:top w:val="single" w:sz="6" w:space="0" w:color="000000"/>
              <w:left w:val="single" w:sz="8" w:space="0" w:color="000000"/>
              <w:bottom w:val="single" w:sz="6" w:space="0" w:color="000000"/>
              <w:right w:val="single" w:sz="8" w:space="0" w:color="000000"/>
            </w:tcBorders>
          </w:tcPr>
          <w:p w14:paraId="0BB65925" w14:textId="21044C47" w:rsidR="003158A5" w:rsidRPr="00AC4D0E" w:rsidRDefault="003158A5" w:rsidP="00E94D72">
            <w:pPr>
              <w:pStyle w:val="Default"/>
              <w:jc w:val="center"/>
              <w:rPr>
                <w:rFonts w:ascii="Calibri" w:hAnsi="Calibri"/>
                <w:sz w:val="22"/>
                <w:szCs w:val="22"/>
              </w:rPr>
            </w:pPr>
            <w:r>
              <w:rPr>
                <w:rFonts w:ascii="Calibri" w:hAnsi="Calibri"/>
                <w:sz w:val="22"/>
                <w:szCs w:val="22"/>
              </w:rPr>
              <w:t>3.2</w:t>
            </w:r>
          </w:p>
        </w:tc>
      </w:tr>
      <w:tr w:rsidR="003158A5" w14:paraId="0922B8B1" w14:textId="045F6245" w:rsidTr="00B70BA8">
        <w:trPr>
          <w:trHeight w:val="131"/>
        </w:trPr>
        <w:tc>
          <w:tcPr>
            <w:tcW w:w="3258" w:type="dxa"/>
            <w:tcBorders>
              <w:top w:val="single" w:sz="6" w:space="0" w:color="000000"/>
              <w:left w:val="single" w:sz="8" w:space="0" w:color="000000"/>
              <w:bottom w:val="single" w:sz="8" w:space="0" w:color="000000"/>
              <w:right w:val="single" w:sz="8" w:space="0" w:color="000000"/>
            </w:tcBorders>
          </w:tcPr>
          <w:p w14:paraId="373901B7" w14:textId="77777777" w:rsidR="003158A5" w:rsidRPr="00AC4D0E" w:rsidRDefault="003158A5" w:rsidP="00E94D72">
            <w:pPr>
              <w:pStyle w:val="Default"/>
              <w:rPr>
                <w:rFonts w:ascii="Calibri" w:hAnsi="Calibri"/>
                <w:sz w:val="22"/>
                <w:szCs w:val="22"/>
              </w:rPr>
            </w:pPr>
            <w:r w:rsidRPr="00AC4D0E">
              <w:rPr>
                <w:rFonts w:ascii="Calibri" w:hAnsi="Calibri"/>
                <w:sz w:val="22"/>
                <w:szCs w:val="22"/>
              </w:rPr>
              <w:t xml:space="preserve">Highest Pre-Procedure TIMI Flow: None </w:t>
            </w:r>
          </w:p>
        </w:tc>
        <w:tc>
          <w:tcPr>
            <w:tcW w:w="2700" w:type="dxa"/>
            <w:tcBorders>
              <w:top w:val="single" w:sz="6" w:space="0" w:color="000000"/>
              <w:left w:val="single" w:sz="6" w:space="0" w:color="000000"/>
              <w:bottom w:val="single" w:sz="8" w:space="0" w:color="000000"/>
              <w:right w:val="single" w:sz="6" w:space="0" w:color="000000"/>
            </w:tcBorders>
          </w:tcPr>
          <w:p w14:paraId="2103996E"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7.8 </w:t>
            </w:r>
          </w:p>
        </w:tc>
        <w:tc>
          <w:tcPr>
            <w:tcW w:w="2160" w:type="dxa"/>
            <w:tcBorders>
              <w:top w:val="single" w:sz="6" w:space="0" w:color="000000"/>
              <w:left w:val="single" w:sz="8" w:space="0" w:color="000000"/>
              <w:bottom w:val="single" w:sz="8" w:space="0" w:color="000000"/>
              <w:right w:val="single" w:sz="8" w:space="0" w:color="000000"/>
            </w:tcBorders>
          </w:tcPr>
          <w:p w14:paraId="2221E389" w14:textId="77777777" w:rsidR="003158A5" w:rsidRPr="00AC4D0E" w:rsidRDefault="003158A5" w:rsidP="00E94D72">
            <w:pPr>
              <w:pStyle w:val="Default"/>
              <w:jc w:val="center"/>
              <w:rPr>
                <w:rFonts w:ascii="Calibri" w:hAnsi="Calibri"/>
                <w:sz w:val="22"/>
                <w:szCs w:val="22"/>
              </w:rPr>
            </w:pPr>
            <w:r w:rsidRPr="00AC4D0E">
              <w:rPr>
                <w:rFonts w:ascii="Calibri" w:hAnsi="Calibri"/>
                <w:sz w:val="22"/>
                <w:szCs w:val="22"/>
              </w:rPr>
              <w:t xml:space="preserve">8.7 </w:t>
            </w:r>
          </w:p>
        </w:tc>
        <w:tc>
          <w:tcPr>
            <w:tcW w:w="2340" w:type="dxa"/>
            <w:tcBorders>
              <w:top w:val="single" w:sz="6" w:space="0" w:color="000000"/>
              <w:left w:val="single" w:sz="8" w:space="0" w:color="000000"/>
              <w:bottom w:val="single" w:sz="8" w:space="0" w:color="000000"/>
              <w:right w:val="single" w:sz="8" w:space="0" w:color="000000"/>
            </w:tcBorders>
          </w:tcPr>
          <w:p w14:paraId="60BCDAD5" w14:textId="3CEEF2E5" w:rsidR="003158A5" w:rsidRPr="00AC4D0E" w:rsidRDefault="003158A5" w:rsidP="00E94D72">
            <w:pPr>
              <w:pStyle w:val="Default"/>
              <w:jc w:val="center"/>
              <w:rPr>
                <w:rFonts w:ascii="Calibri" w:hAnsi="Calibri"/>
                <w:sz w:val="22"/>
                <w:szCs w:val="22"/>
              </w:rPr>
            </w:pPr>
            <w:r>
              <w:rPr>
                <w:rFonts w:ascii="Calibri" w:hAnsi="Calibri"/>
                <w:sz w:val="22"/>
                <w:szCs w:val="22"/>
              </w:rPr>
              <w:t>11.3</w:t>
            </w:r>
          </w:p>
        </w:tc>
      </w:tr>
    </w:tbl>
    <w:p w14:paraId="7F707110" w14:textId="77777777" w:rsidR="00642F59" w:rsidRDefault="00642F59" w:rsidP="00DB3627">
      <w:pPr>
        <w:autoSpaceDE w:val="0"/>
        <w:autoSpaceDN w:val="0"/>
        <w:adjustRightInd w:val="0"/>
        <w:spacing w:after="0" w:line="240" w:lineRule="auto"/>
        <w:rPr>
          <w:rFonts w:cstheme="minorHAnsi"/>
          <w:b/>
          <w:bCs/>
        </w:rPr>
      </w:pPr>
    </w:p>
    <w:p w14:paraId="72C7F718" w14:textId="2B6FE190" w:rsidR="00AD387C" w:rsidRPr="00AD387C" w:rsidRDefault="00AD387C" w:rsidP="00AD387C">
      <w:pPr>
        <w:pBdr>
          <w:top w:val="single" w:sz="8" w:space="1" w:color="000000"/>
          <w:left w:val="single" w:sz="8" w:space="4" w:color="000000"/>
          <w:bottom w:val="single" w:sz="8" w:space="1" w:color="000000"/>
          <w:right w:val="single" w:sz="8" w:space="0" w:color="000000"/>
        </w:pBdr>
        <w:autoSpaceDE w:val="0"/>
        <w:autoSpaceDN w:val="0"/>
        <w:adjustRightInd w:val="0"/>
        <w:spacing w:after="0" w:line="240" w:lineRule="auto"/>
        <w:rPr>
          <w:rFonts w:cstheme="minorHAnsi"/>
          <w:bCs/>
          <w:u w:val="single"/>
        </w:rPr>
      </w:pPr>
      <w:r w:rsidRPr="00AD387C">
        <w:rPr>
          <w:rFonts w:cstheme="minorHAnsi"/>
          <w:bCs/>
          <w:u w:val="single"/>
        </w:rPr>
        <w:t>Measure score reliability</w:t>
      </w:r>
      <w:r w:rsidR="00C37AA4">
        <w:rPr>
          <w:rFonts w:cstheme="minorHAnsi"/>
          <w:bCs/>
          <w:u w:val="single"/>
        </w:rPr>
        <w:t xml:space="preserve"> results</w:t>
      </w:r>
    </w:p>
    <w:p w14:paraId="5EB39A2B" w14:textId="7B87E600" w:rsidR="00AD387C" w:rsidRDefault="00AD387C" w:rsidP="00AD387C">
      <w:pPr>
        <w:pBdr>
          <w:top w:val="single" w:sz="8" w:space="1" w:color="000000"/>
          <w:left w:val="single" w:sz="8" w:space="4" w:color="000000"/>
          <w:bottom w:val="single" w:sz="8" w:space="1" w:color="000000"/>
          <w:right w:val="single" w:sz="8" w:space="0" w:color="000000"/>
        </w:pBdr>
        <w:autoSpaceDE w:val="0"/>
        <w:autoSpaceDN w:val="0"/>
        <w:adjustRightInd w:val="0"/>
        <w:spacing w:after="0" w:line="240" w:lineRule="auto"/>
        <w:rPr>
          <w:rFonts w:cstheme="minorHAnsi"/>
          <w:bCs/>
        </w:rPr>
      </w:pPr>
      <w:r>
        <w:rPr>
          <w:rFonts w:cstheme="minorHAnsi"/>
          <w:bCs/>
        </w:rPr>
        <w:t>In the most recent years of data (2010-2011), t</w:t>
      </w:r>
      <w:r w:rsidRPr="00AD387C">
        <w:rPr>
          <w:rFonts w:cstheme="minorHAnsi"/>
          <w:bCs/>
        </w:rPr>
        <w:t xml:space="preserve">here were </w:t>
      </w:r>
      <w:r>
        <w:rPr>
          <w:rFonts w:cstheme="minorHAnsi"/>
          <w:bCs/>
        </w:rPr>
        <w:t>277,512</w:t>
      </w:r>
      <w:r w:rsidRPr="00AD387C">
        <w:rPr>
          <w:rFonts w:cstheme="minorHAnsi"/>
          <w:bCs/>
        </w:rPr>
        <w:t xml:space="preserve"> admissions in the combined </w:t>
      </w:r>
      <w:r>
        <w:rPr>
          <w:rFonts w:cstheme="minorHAnsi"/>
          <w:bCs/>
        </w:rPr>
        <w:t>two</w:t>
      </w:r>
      <w:r w:rsidRPr="00AD387C">
        <w:rPr>
          <w:rFonts w:cstheme="minorHAnsi"/>
          <w:bCs/>
        </w:rPr>
        <w:t xml:space="preserve">-year sample, with </w:t>
      </w:r>
      <w:r>
        <w:rPr>
          <w:rFonts w:cstheme="minorHAnsi"/>
          <w:bCs/>
        </w:rPr>
        <w:t xml:space="preserve">138,756 admissions to 1,190 </w:t>
      </w:r>
      <w:r w:rsidR="009644C5">
        <w:rPr>
          <w:rFonts w:cstheme="minorHAnsi"/>
          <w:bCs/>
        </w:rPr>
        <w:t xml:space="preserve">hospitals in the first randomly </w:t>
      </w:r>
      <w:r>
        <w:rPr>
          <w:rFonts w:cstheme="minorHAnsi"/>
          <w:bCs/>
        </w:rPr>
        <w:t>selected sample</w:t>
      </w:r>
      <w:r w:rsidR="00C53547">
        <w:rPr>
          <w:rFonts w:cstheme="minorHAnsi"/>
          <w:bCs/>
        </w:rPr>
        <w:t xml:space="preserve"> (mean RSRR 12.5%)</w:t>
      </w:r>
      <w:r>
        <w:rPr>
          <w:rFonts w:cstheme="minorHAnsi"/>
          <w:bCs/>
        </w:rPr>
        <w:t>, and 138,756 admissions to 1,193 hospitals in the second randomly-selected sample</w:t>
      </w:r>
      <w:r w:rsidR="00C53547">
        <w:rPr>
          <w:rFonts w:cstheme="minorHAnsi"/>
          <w:bCs/>
        </w:rPr>
        <w:t xml:space="preserve"> (mean RSRR 12.1%)</w:t>
      </w:r>
      <w:r>
        <w:rPr>
          <w:rFonts w:cstheme="minorHAnsi"/>
          <w:bCs/>
        </w:rPr>
        <w:t xml:space="preserve">. </w:t>
      </w:r>
      <w:r w:rsidRPr="00AD387C">
        <w:rPr>
          <w:rFonts w:cstheme="minorHAnsi"/>
          <w:bCs/>
        </w:rPr>
        <w:t xml:space="preserve"> The agreement between the two RSRRs for each hospital was 0.3</w:t>
      </w:r>
      <w:r>
        <w:rPr>
          <w:rFonts w:cstheme="minorHAnsi"/>
          <w:bCs/>
        </w:rPr>
        <w:t>711</w:t>
      </w:r>
      <w:r w:rsidRPr="00AD387C">
        <w:rPr>
          <w:rFonts w:cstheme="minorHAnsi"/>
          <w:bCs/>
        </w:rPr>
        <w:t xml:space="preserve">, which according to the conventional interpretation is “fair” (Landis &amp; Koch, 1977). The intra-class correlation coefficient is based on a split sample of </w:t>
      </w:r>
      <w:r>
        <w:rPr>
          <w:rFonts w:cstheme="minorHAnsi"/>
          <w:bCs/>
        </w:rPr>
        <w:t xml:space="preserve">2 </w:t>
      </w:r>
      <w:r w:rsidRPr="00AD387C">
        <w:rPr>
          <w:rFonts w:cstheme="minorHAnsi"/>
          <w:bCs/>
        </w:rPr>
        <w:t xml:space="preserve">years of data, resulting in a volume of patients in each sample equivalent to only </w:t>
      </w:r>
      <w:r>
        <w:rPr>
          <w:rFonts w:cstheme="minorHAnsi"/>
          <w:bCs/>
        </w:rPr>
        <w:t>1 year</w:t>
      </w:r>
      <w:r w:rsidRPr="00AD387C">
        <w:rPr>
          <w:rFonts w:cstheme="minorHAnsi"/>
          <w:bCs/>
        </w:rPr>
        <w:t xml:space="preserve"> of data, whereas the measure is likely to be reported with a full </w:t>
      </w:r>
      <w:r>
        <w:rPr>
          <w:rFonts w:cstheme="minorHAnsi"/>
          <w:bCs/>
        </w:rPr>
        <w:t>two years of data</w:t>
      </w:r>
    </w:p>
    <w:p w14:paraId="287A03B9" w14:textId="77777777" w:rsidR="00AD387C" w:rsidRDefault="00AD387C" w:rsidP="00AD387C">
      <w:pPr>
        <w:pBdr>
          <w:top w:val="single" w:sz="8" w:space="1" w:color="000000"/>
          <w:left w:val="single" w:sz="8" w:space="4" w:color="000000"/>
          <w:bottom w:val="single" w:sz="8" w:space="1" w:color="000000"/>
          <w:right w:val="single" w:sz="8" w:space="0" w:color="000000"/>
        </w:pBdr>
        <w:autoSpaceDE w:val="0"/>
        <w:autoSpaceDN w:val="0"/>
        <w:adjustRightInd w:val="0"/>
        <w:spacing w:after="0" w:line="240" w:lineRule="auto"/>
        <w:rPr>
          <w:rFonts w:cstheme="minorHAnsi"/>
          <w:bCs/>
        </w:rPr>
      </w:pPr>
    </w:p>
    <w:p w14:paraId="7C5F3F50" w14:textId="6BED899A" w:rsidR="00AD387C" w:rsidRPr="00AD387C" w:rsidRDefault="00AD387C" w:rsidP="00AD387C">
      <w:pPr>
        <w:pBdr>
          <w:top w:val="single" w:sz="8" w:space="1" w:color="000000"/>
          <w:left w:val="single" w:sz="8" w:space="4" w:color="000000"/>
          <w:bottom w:val="single" w:sz="8" w:space="1" w:color="000000"/>
          <w:right w:val="single" w:sz="8" w:space="0" w:color="000000"/>
        </w:pBdr>
        <w:autoSpaceDE w:val="0"/>
        <w:autoSpaceDN w:val="0"/>
        <w:adjustRightInd w:val="0"/>
        <w:spacing w:after="0" w:line="240" w:lineRule="auto"/>
        <w:rPr>
          <w:rFonts w:cstheme="minorHAnsi"/>
          <w:bCs/>
        </w:rPr>
      </w:pPr>
      <w:r>
        <w:rPr>
          <w:rFonts w:cstheme="minorHAnsi"/>
          <w:bCs/>
        </w:rPr>
        <w:t>Reference</w:t>
      </w:r>
      <w:r w:rsidRPr="00AD387C">
        <w:rPr>
          <w:rFonts w:cstheme="minorHAnsi"/>
          <w:bCs/>
        </w:rPr>
        <w:t xml:space="preserve">. </w:t>
      </w:r>
    </w:p>
    <w:p w14:paraId="414126DB" w14:textId="6D0CD9F8" w:rsidR="00AD387C" w:rsidRPr="00AD387C" w:rsidRDefault="00AD387C" w:rsidP="00AD387C">
      <w:pPr>
        <w:pBdr>
          <w:top w:val="single" w:sz="8" w:space="1" w:color="000000"/>
          <w:left w:val="single" w:sz="8" w:space="4" w:color="000000"/>
          <w:bottom w:val="single" w:sz="8" w:space="1" w:color="000000"/>
          <w:right w:val="single" w:sz="8" w:space="0" w:color="000000"/>
        </w:pBdr>
        <w:autoSpaceDE w:val="0"/>
        <w:autoSpaceDN w:val="0"/>
        <w:adjustRightInd w:val="0"/>
        <w:spacing w:after="0" w:line="240" w:lineRule="auto"/>
        <w:rPr>
          <w:rFonts w:cstheme="minorHAnsi"/>
          <w:bCs/>
        </w:rPr>
      </w:pPr>
      <w:r w:rsidRPr="00AD387C">
        <w:rPr>
          <w:rFonts w:cstheme="minorHAnsi"/>
          <w:bCs/>
        </w:rPr>
        <w:t>Landis J, Koch G. The measurement of observer agreement for categorical data, Biometrics 1977;33:159-174..</w:t>
      </w:r>
    </w:p>
    <w:p w14:paraId="0839744D" w14:textId="77777777" w:rsidR="006C74B8" w:rsidRDefault="00092566" w:rsidP="00C8458C">
      <w:pPr>
        <w:autoSpaceDE w:val="0"/>
        <w:autoSpaceDN w:val="0"/>
        <w:adjustRightInd w:val="0"/>
        <w:spacing w:before="120"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6FB1B682" w14:textId="140035CE" w:rsidR="00E34087" w:rsidRDefault="008A689F" w:rsidP="006C74B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Calibri"/>
        </w:rPr>
      </w:pPr>
      <w:r w:rsidRPr="008A689F">
        <w:rPr>
          <w:rFonts w:cs="Calibri"/>
        </w:rPr>
        <w:t xml:space="preserve">The stability over time of the risk factor frequencies and odds ratios indicate that the underlying data elements are reliable. Additionally, the ICC score demonstrates fair agreement across samples using a “strict” approach to assessment </w:t>
      </w:r>
      <w:r w:rsidR="002B3FDA">
        <w:rPr>
          <w:rFonts w:cs="Calibri"/>
        </w:rPr>
        <w:t>that</w:t>
      </w:r>
      <w:r w:rsidRPr="008A689F">
        <w:rPr>
          <w:rFonts w:cs="Calibri"/>
        </w:rPr>
        <w:t xml:space="preserve"> would likely improve with greater sample size.</w:t>
      </w:r>
    </w:p>
    <w:p w14:paraId="671CE37E" w14:textId="77777777" w:rsidR="002B3FDA" w:rsidRDefault="002B3FDA" w:rsidP="00882F4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Calibri"/>
        </w:rPr>
      </w:pPr>
    </w:p>
    <w:p w14:paraId="4DA054EE" w14:textId="77777777" w:rsidR="00882F4A" w:rsidRPr="00DA5AB4" w:rsidRDefault="00882F4A" w:rsidP="00882F4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Calibri"/>
        </w:rPr>
      </w:pPr>
      <w:r w:rsidRPr="00DA5AB4">
        <w:rPr>
          <w:rFonts w:cs="Calibri"/>
        </w:rPr>
        <w:t>References</w:t>
      </w:r>
    </w:p>
    <w:p w14:paraId="1AE71B69" w14:textId="77777777" w:rsidR="00882F4A" w:rsidRPr="00DA5AB4" w:rsidRDefault="00882F4A" w:rsidP="006C74B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Calibri"/>
        </w:rPr>
      </w:pPr>
      <w:r w:rsidRPr="00DA5AB4">
        <w:rPr>
          <w:rFonts w:cs="Calibri"/>
        </w:rPr>
        <w:t>Landis JR, Koch GG. The measurement of observer agreement for categorical data. Biometrics. Mar 1977;33(1):159-174.</w:t>
      </w:r>
    </w:p>
    <w:p w14:paraId="10F16474"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17A770D0" w14:textId="77777777"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14:paraId="0D9F97A9" w14:textId="77777777"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メイリオ"/>
            <w14:uncheckedState w14:val="2610" w14:font="メイリオ"/>
          </w14:checkbox>
        </w:sdtPr>
        <w:sdtContent>
          <w:r w:rsidR="000651B0">
            <w:rPr>
              <w:rFonts w:ascii="Meiryo" w:eastAsia="Meiryo" w:hAnsi="Meiryo" w:cs="Meiryo"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3E89D56F" w14:textId="20413FFC" w:rsidR="00696262" w:rsidRPr="00A25024" w:rsidRDefault="0008757D"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メイリオ"/>
            <w14:uncheckedState w14:val="2610" w14:font="メイリオ"/>
          </w14:checkbox>
        </w:sdtPr>
        <w:sdtContent>
          <w:r w:rsidR="000D2D1D">
            <w:rPr>
              <w:rFonts w:ascii="Meiryo" w:eastAsia="Meiryo" w:hAnsi="Meiryo" w:cs="Meiryo"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48CDCF27" w14:textId="5A5059CC" w:rsidR="000574AB" w:rsidRPr="00A25024" w:rsidRDefault="0008757D"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メイリオ"/>
            <w14:uncheckedState w14:val="2610" w14:font="メイリオ"/>
          </w14:checkbox>
        </w:sdtPr>
        <w:sdtContent>
          <w:r w:rsidR="000D2D1D">
            <w:rPr>
              <w:rFonts w:ascii="Meiryo" w:eastAsia="Meiryo" w:hAnsi="Meiryo" w:cs="Meiryo"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0"/>
            <w14:checkedState w14:val="2612" w14:font="メイリオ"/>
            <w14:uncheckedState w14:val="2610" w14:font="メイリオ"/>
          </w14:checkbox>
        </w:sdtPr>
        <w:sdtContent>
          <w:r w:rsidR="008A689F">
            <w:rPr>
              <w:rFonts w:ascii="Meiryo" w:eastAsia="Meiryo" w:hAnsi="Meiryo" w:cs="Meiryo"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14:paraId="1A90DE1E" w14:textId="77777777" w:rsidR="00CA06D8" w:rsidRPr="00A25024" w:rsidRDefault="00CA06D8" w:rsidP="00DB3627">
      <w:pPr>
        <w:autoSpaceDE w:val="0"/>
        <w:autoSpaceDN w:val="0"/>
        <w:adjustRightInd w:val="0"/>
        <w:spacing w:after="0" w:line="240" w:lineRule="auto"/>
        <w:rPr>
          <w:rFonts w:cstheme="minorHAnsi"/>
        </w:rPr>
      </w:pPr>
    </w:p>
    <w:p w14:paraId="6FDAC780" w14:textId="6AFC0C00" w:rsidR="00833325" w:rsidRPr="000651B0" w:rsidRDefault="00092566" w:rsidP="00DB3627">
      <w:pPr>
        <w:autoSpaceDE w:val="0"/>
        <w:autoSpaceDN w:val="0"/>
        <w:adjustRightInd w:val="0"/>
        <w:spacing w:after="0" w:line="240" w:lineRule="auto"/>
        <w:rPr>
          <w:rFonts w:cstheme="minorHAnsi"/>
          <w:bCs/>
          <w:highlight w:val="yellow"/>
        </w:rPr>
      </w:pPr>
      <w:r w:rsidRPr="004912DD">
        <w:rPr>
          <w:rFonts w:cstheme="minorHAnsi"/>
          <w:b/>
          <w:bCs/>
        </w:rPr>
        <w:t>2b2.</w:t>
      </w:r>
      <w:r w:rsidR="007757CE" w:rsidRPr="004912DD">
        <w:rPr>
          <w:rFonts w:cstheme="minorHAnsi"/>
          <w:b/>
          <w:bCs/>
        </w:rPr>
        <w:t xml:space="preserve">2. For each level </w:t>
      </w:r>
      <w:r w:rsidR="008F7E67" w:rsidRPr="004912DD">
        <w:rPr>
          <w:rFonts w:cstheme="minorHAnsi"/>
          <w:b/>
          <w:bCs/>
        </w:rPr>
        <w:t xml:space="preserve">of testing </w:t>
      </w:r>
      <w:r w:rsidR="007757CE" w:rsidRPr="004912DD">
        <w:rPr>
          <w:rFonts w:cstheme="minorHAnsi"/>
          <w:b/>
          <w:bCs/>
        </w:rPr>
        <w:t>checked above, describe the method of validity testing and what it tests</w:t>
      </w:r>
      <w:r w:rsidR="00833325" w:rsidRPr="004912DD">
        <w:rPr>
          <w:rFonts w:cstheme="minorHAnsi"/>
          <w:bCs/>
        </w:rPr>
        <w:t xml:space="preserve"> (</w:t>
      </w:r>
      <w:r w:rsidR="007757CE" w:rsidRPr="004912DD">
        <w:rPr>
          <w:rFonts w:cstheme="minorHAnsi"/>
          <w:bCs/>
          <w:i/>
        </w:rPr>
        <w:t>describe the steps―</w:t>
      </w:r>
      <w:r w:rsidR="00696262" w:rsidRPr="004912DD">
        <w:rPr>
          <w:rFonts w:cstheme="minorHAnsi"/>
          <w:bCs/>
          <w:i/>
        </w:rPr>
        <w:t xml:space="preserve">do </w:t>
      </w:r>
      <w:r w:rsidR="00A25024" w:rsidRPr="004912DD">
        <w:rPr>
          <w:rFonts w:cstheme="minorHAnsi"/>
          <w:bCs/>
          <w:i/>
        </w:rPr>
        <w:t xml:space="preserve">not just name a method; what was </w:t>
      </w:r>
      <w:r w:rsidR="00696262" w:rsidRPr="004912DD">
        <w:rPr>
          <w:rFonts w:cstheme="minorHAnsi"/>
          <w:bCs/>
          <w:i/>
        </w:rPr>
        <w:t xml:space="preserve">tested, e.g., accuracy of data elements </w:t>
      </w:r>
      <w:r w:rsidR="00696262" w:rsidRPr="004912DD">
        <w:rPr>
          <w:rFonts w:cstheme="minorHAnsi"/>
          <w:bCs/>
          <w:i/>
        </w:rPr>
        <w:lastRenderedPageBreak/>
        <w:t>compared to authoritative source, relationship to a</w:t>
      </w:r>
      <w:r w:rsidR="0022691B" w:rsidRPr="004912DD">
        <w:rPr>
          <w:rFonts w:cstheme="minorHAnsi"/>
          <w:bCs/>
          <w:i/>
        </w:rPr>
        <w:t>nother measure as expected; what statistical analysis was used</w:t>
      </w:r>
      <w:r w:rsidR="00696262" w:rsidRPr="004912DD">
        <w:rPr>
          <w:rFonts w:cstheme="minorHAnsi"/>
          <w:bCs/>
          <w:i/>
        </w:rPr>
        <w:t>)</w:t>
      </w:r>
    </w:p>
    <w:p w14:paraId="27EC113A" w14:textId="2CEF1DC5" w:rsidR="00947639" w:rsidRDefault="00947639" w:rsidP="0094763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947639">
        <w:rPr>
          <w:rFonts w:cstheme="minorHAnsi"/>
          <w:bCs/>
        </w:rPr>
        <w:t>Measure validity is demonstrated through prior validity testing done on our other measures, through use of established measure development guidelines, by systematic assessment of measure face validity by a technical expert panel (TEP) of national experts and stakeholder organizations, and through registry data validation.</w:t>
      </w:r>
    </w:p>
    <w:p w14:paraId="732D860B" w14:textId="77777777" w:rsidR="00947639" w:rsidRPr="00947639" w:rsidRDefault="00947639" w:rsidP="0094763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372471FC" w14:textId="7162110C" w:rsidR="00FB69BA" w:rsidRPr="00B4743C" w:rsidRDefault="00650B2A" w:rsidP="00C2429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u w:val="single"/>
        </w:rPr>
      </w:pPr>
      <w:r>
        <w:rPr>
          <w:rFonts w:cstheme="minorHAnsi"/>
          <w:bCs/>
          <w:u w:val="single"/>
        </w:rPr>
        <w:t>Validity of Registry Data</w:t>
      </w:r>
    </w:p>
    <w:p w14:paraId="0C35AD63" w14:textId="58ABB789" w:rsidR="00C2429E" w:rsidRPr="00B4743C" w:rsidRDefault="000651B0" w:rsidP="00C2429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B4743C">
        <w:rPr>
          <w:rFonts w:cstheme="minorHAnsi"/>
          <w:bCs/>
        </w:rPr>
        <w:t>Data element validity testing was done on the specified measure by comparing</w:t>
      </w:r>
      <w:r w:rsidR="00D07FB3" w:rsidRPr="00B4743C">
        <w:rPr>
          <w:rFonts w:cstheme="minorHAnsi"/>
          <w:bCs/>
        </w:rPr>
        <w:t xml:space="preserve"> with</w:t>
      </w:r>
      <w:r w:rsidRPr="00B4743C">
        <w:rPr>
          <w:rFonts w:cstheme="minorHAnsi"/>
          <w:bCs/>
        </w:rPr>
        <w:t xml:space="preserve"> variables in the ACC audit program</w:t>
      </w:r>
      <w:r w:rsidR="00D07FB3" w:rsidRPr="00B4743C">
        <w:rPr>
          <w:rFonts w:cstheme="minorHAnsi"/>
          <w:bCs/>
        </w:rPr>
        <w:t>.</w:t>
      </w:r>
      <w:r w:rsidR="00C2429E" w:rsidRPr="00B4743C">
        <w:rPr>
          <w:rFonts w:ascii="Arial" w:hAnsi="Arial" w:cs="Arial"/>
          <w:sz w:val="23"/>
          <w:szCs w:val="23"/>
        </w:rPr>
        <w:t xml:space="preserve"> </w:t>
      </w:r>
      <w:r w:rsidR="00C2429E" w:rsidRPr="00B4743C">
        <w:rPr>
          <w:rFonts w:cstheme="minorHAnsi"/>
          <w:bCs/>
        </w:rPr>
        <w:t xml:space="preserve">The NCDR CathPCI Registry has an established </w:t>
      </w:r>
      <w:r w:rsidR="00F9218C" w:rsidRPr="00B4743C">
        <w:rPr>
          <w:rFonts w:cstheme="minorHAnsi"/>
          <w:bCs/>
        </w:rPr>
        <w:t>DQP</w:t>
      </w:r>
      <w:r w:rsidR="00C2429E" w:rsidRPr="00B4743C">
        <w:rPr>
          <w:rFonts w:cstheme="minorHAnsi"/>
          <w:bCs/>
        </w:rPr>
        <w:t xml:space="preserve"> that serves to assess and improve the quality of the data submitted to the registry. There are two complementary components to the Data Quality Program- the Data Quality Report (DQR) and the Data Audit Program (DAP). The DQR process assesses the completeness of the electronic data submitted by participating hospitals. Hospitals must achieve &gt;95% completeness of specific data elements identified as “core fields” to be included in the registry’s data warehouse for analysis. The “core fields” encompass the variables included in our risk adjustment models. The process is iterative, providing hospitals with the opportunity to correct errors and resubmit data for review and acceptance into the data warehouse. All data for this analysis passed the DQR completeness thresholds. </w:t>
      </w:r>
    </w:p>
    <w:p w14:paraId="02496478" w14:textId="77777777" w:rsidR="00C2429E" w:rsidRPr="00B4743C" w:rsidRDefault="00C2429E" w:rsidP="00C2429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17DC6FA6" w14:textId="3954B2F2" w:rsidR="00FB69BA" w:rsidRPr="00B4743C" w:rsidRDefault="00C2429E" w:rsidP="0057594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B4743C">
        <w:rPr>
          <w:rFonts w:cstheme="minorHAnsi"/>
          <w:bCs/>
        </w:rPr>
        <w:t xml:space="preserve">The DAP consists of annual on-site chart review and data abstraction. Among participating hospitals that pass the DQR for a minimum of two quarters, at least 5% are randomly selected to participate in the DAP. At individual sites, auditors review charts of 10% of submitted cases. The audits focus on variables that are used in the NCDR risk-adjusted in-hospital mortality model including demographics, comorbidities, cardiac status, coronary anatomy, and PCI status. </w:t>
      </w:r>
      <w:r w:rsidR="00676CAA" w:rsidRPr="00B4743C">
        <w:rPr>
          <w:rFonts w:cstheme="minorHAnsi"/>
          <w:bCs/>
        </w:rPr>
        <w:t xml:space="preserve">However, the scope of the audit could be expanded to include additional fields. </w:t>
      </w:r>
      <w:r w:rsidRPr="00B4743C">
        <w:rPr>
          <w:rFonts w:cstheme="minorHAnsi"/>
          <w:bCs/>
        </w:rPr>
        <w:t xml:space="preserve">The DAP includes an appeals process for hospitals to dispute the audit findings. The NCDR DAP was accepted by the National Quality Forum as part of its endorsement of the CathPCI Registry’s in-hospital risk-adjusted mortality measure. </w:t>
      </w:r>
    </w:p>
    <w:p w14:paraId="253835D5" w14:textId="77777777" w:rsidR="00947639" w:rsidRPr="00947639" w:rsidRDefault="00947639" w:rsidP="0057594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highlight w:val="yellow"/>
        </w:rPr>
      </w:pPr>
    </w:p>
    <w:p w14:paraId="49FD9F4B" w14:textId="68B9B77D" w:rsidR="000D2D1D" w:rsidRDefault="00BE2C81" w:rsidP="0057594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B4743C">
        <w:rPr>
          <w:rFonts w:cstheme="minorHAnsi"/>
          <w:bCs/>
        </w:rPr>
        <w:t>Additionally, w</w:t>
      </w:r>
      <w:r w:rsidR="000D2D1D" w:rsidRPr="00B4743C">
        <w:rPr>
          <w:rFonts w:cstheme="minorHAnsi"/>
          <w:bCs/>
        </w:rPr>
        <w:t>e compared the model performance in the development sample with its performance in a similarly derived sample from patients discharged in 2006 who had undergone PCI. There were 117,375 cases discharged from the 618 hospitals in the 2006 validation dataset. This validation sample had a crude readmission rate of 10.7%. The performance was not substantively different in this validation sample (ROC=0.663), as compared to the development sample (ROC=0.665). As the results in</w:t>
      </w:r>
      <w:r w:rsidR="00EC3DA5">
        <w:rPr>
          <w:rFonts w:cstheme="minorHAnsi"/>
          <w:bCs/>
        </w:rPr>
        <w:t xml:space="preserve"> </w:t>
      </w:r>
      <w:r w:rsidR="00EC3DA5">
        <w:rPr>
          <w:rFonts w:cstheme="minorHAnsi"/>
          <w:bCs/>
        </w:rPr>
        <w:fldChar w:fldCharType="begin"/>
      </w:r>
      <w:r w:rsidR="00EC3DA5">
        <w:rPr>
          <w:rFonts w:cstheme="minorHAnsi"/>
          <w:bCs/>
        </w:rPr>
        <w:instrText xml:space="preserve"> REF _Ref379202952 \h </w:instrText>
      </w:r>
      <w:r w:rsidR="00EC3DA5">
        <w:rPr>
          <w:rFonts w:cstheme="minorHAnsi"/>
          <w:bCs/>
        </w:rPr>
      </w:r>
      <w:r w:rsidR="00EC3DA5">
        <w:rPr>
          <w:rFonts w:cstheme="minorHAnsi"/>
          <w:bCs/>
        </w:rPr>
        <w:fldChar w:fldCharType="separate"/>
      </w:r>
      <w:r w:rsidR="00EC3DA5">
        <w:t xml:space="preserve">Table </w:t>
      </w:r>
      <w:r w:rsidR="00EC3DA5">
        <w:rPr>
          <w:noProof/>
        </w:rPr>
        <w:t>2</w:t>
      </w:r>
      <w:r w:rsidR="00EC3DA5">
        <w:rPr>
          <w:rFonts w:cstheme="minorHAnsi"/>
          <w:bCs/>
        </w:rPr>
        <w:fldChar w:fldCharType="end"/>
      </w:r>
      <w:r w:rsidR="00EC3DA5">
        <w:rPr>
          <w:rFonts w:cstheme="minorHAnsi"/>
          <w:bCs/>
        </w:rPr>
        <w:t xml:space="preserve"> show</w:t>
      </w:r>
      <w:r w:rsidR="000D2D1D" w:rsidRPr="00B4743C">
        <w:rPr>
          <w:rFonts w:cstheme="minorHAnsi"/>
          <w:bCs/>
        </w:rPr>
        <w:t>, the 2006 and 2007 models are similarly calibrated.</w:t>
      </w:r>
    </w:p>
    <w:p w14:paraId="53595761" w14:textId="77777777" w:rsidR="006C4E09" w:rsidRDefault="006C4E09" w:rsidP="0057594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0A916A3D" w14:textId="5E339B0A" w:rsidR="00EE6D43" w:rsidRDefault="00BE2C81" w:rsidP="0057594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B4743C">
        <w:rPr>
          <w:rFonts w:cstheme="minorHAnsi"/>
          <w:bCs/>
        </w:rPr>
        <w:t>W</w:t>
      </w:r>
      <w:r w:rsidR="00EE6D43" w:rsidRPr="00B4743C">
        <w:rPr>
          <w:rFonts w:cstheme="minorHAnsi"/>
          <w:bCs/>
        </w:rPr>
        <w:t xml:space="preserve">e also examined the temporal variation of the standardized estimates and frequencies of the variables in the development and validation models. </w:t>
      </w:r>
    </w:p>
    <w:p w14:paraId="66A8D180" w14:textId="77777777" w:rsidR="00EE6D43" w:rsidRDefault="00EE6D43" w:rsidP="0057594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7579F6C2" w14:textId="12086540" w:rsidR="00EE6D43" w:rsidRDefault="00EE6D43" w:rsidP="0057594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EE6D43">
        <w:rPr>
          <w:rFonts w:cstheme="minorHAnsi"/>
          <w:bCs/>
        </w:rPr>
        <w:t>To assess the predictive ability of the model, we grouped patients into deciles of predicted 30-day readmission</w:t>
      </w:r>
      <w:r w:rsidR="002C3456">
        <w:rPr>
          <w:rFonts w:cstheme="minorHAnsi"/>
          <w:bCs/>
        </w:rPr>
        <w:t xml:space="preserve"> and</w:t>
      </w:r>
      <w:r w:rsidRPr="00EE6D43">
        <w:rPr>
          <w:rFonts w:cstheme="minorHAnsi"/>
          <w:bCs/>
        </w:rPr>
        <w:t xml:space="preserve"> compared predicted readmission with observed readmission for each d</w:t>
      </w:r>
      <w:r w:rsidR="002C3456">
        <w:rPr>
          <w:rFonts w:cstheme="minorHAnsi"/>
          <w:bCs/>
        </w:rPr>
        <w:t>ecile in the derivation cohort.</w:t>
      </w:r>
    </w:p>
    <w:p w14:paraId="4C92E77A" w14:textId="77777777" w:rsidR="006C4E09" w:rsidRDefault="006C4E09" w:rsidP="006C4E0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3AC6FE66" w14:textId="77777777" w:rsidR="006C4E09" w:rsidRDefault="006C4E09" w:rsidP="006C4E0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6C4E09">
        <w:rPr>
          <w:rFonts w:cstheme="minorHAnsi"/>
          <w:bCs/>
        </w:rPr>
        <w:t xml:space="preserve">To evaluate model performance after the re-specification to Version 4 variables, we compared the odds ratios (OR) and c-statistics in 2008 Version 3 data and 2010 Version 4 data. </w:t>
      </w:r>
    </w:p>
    <w:p w14:paraId="03E1B906" w14:textId="77777777" w:rsidR="006C4E09" w:rsidRDefault="006C4E09" w:rsidP="0057594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2119A4C0" w14:textId="77777777" w:rsidR="003B704C" w:rsidRPr="00FC7091" w:rsidRDefault="003B704C" w:rsidP="003B704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u w:val="single"/>
        </w:rPr>
      </w:pPr>
      <w:r w:rsidRPr="00FC7091">
        <w:rPr>
          <w:rFonts w:cstheme="minorHAnsi"/>
          <w:bCs/>
          <w:u w:val="single"/>
        </w:rPr>
        <w:t>Validity as Assessed by External Groups</w:t>
      </w:r>
    </w:p>
    <w:p w14:paraId="61F92E1A" w14:textId="2F3D22A0" w:rsidR="00947639" w:rsidRDefault="00EA3757" w:rsidP="003B704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Pr>
          <w:rFonts w:cstheme="minorHAnsi"/>
          <w:bCs/>
        </w:rPr>
        <w:t xml:space="preserve">During original measure development and in </w:t>
      </w:r>
      <w:r w:rsidR="003B704C" w:rsidRPr="003B704C">
        <w:rPr>
          <w:rFonts w:cstheme="minorHAnsi"/>
          <w:bCs/>
        </w:rPr>
        <w:t xml:space="preserve">alignment with the CMS Measures Management System (MMS), we released a public call for nominations and convened a TEP when originally developing the </w:t>
      </w:r>
      <w:r w:rsidR="003B704C" w:rsidRPr="003B704C">
        <w:rPr>
          <w:rFonts w:cstheme="minorHAnsi"/>
          <w:bCs/>
        </w:rPr>
        <w:lastRenderedPageBreak/>
        <w:t>measure. The purpose of convening the TEP was to provide input and feedback during measure development from a group of recognized experts in relevant fields. The TEP represented physician, consumer, hospital, and purchaser perspectives, chosen to represent a diverse of perspectives and backgrounds. Please see the Appendix attachment for details.</w:t>
      </w:r>
    </w:p>
    <w:p w14:paraId="6CF28675" w14:textId="77777777" w:rsidR="003B704C" w:rsidRDefault="003B704C" w:rsidP="003B704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63E35A56" w14:textId="77777777" w:rsidR="00947639" w:rsidRPr="00947639" w:rsidRDefault="00947639" w:rsidP="0094763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u w:val="single"/>
        </w:rPr>
      </w:pPr>
      <w:r w:rsidRPr="00947639">
        <w:rPr>
          <w:rFonts w:cstheme="minorHAnsi"/>
          <w:bCs/>
          <w:u w:val="single"/>
        </w:rPr>
        <w:t>ICD-9 to ICD-10 Conversion</w:t>
      </w:r>
    </w:p>
    <w:p w14:paraId="330F22EE" w14:textId="77777777" w:rsidR="00947639" w:rsidRPr="00947639" w:rsidRDefault="00947639" w:rsidP="0094763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947639">
        <w:rPr>
          <w:rFonts w:cstheme="minorHAnsi"/>
          <w:bCs/>
        </w:rPr>
        <w:t>Statement of Intent</w:t>
      </w:r>
    </w:p>
    <w:p w14:paraId="66BBD921" w14:textId="77777777" w:rsidR="00947639" w:rsidRPr="00947639" w:rsidRDefault="00947639" w:rsidP="0094763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947639">
        <w:rPr>
          <w:rFonts w:cstheme="minorHAnsi"/>
          <w:bCs/>
        </w:rPr>
        <w:t xml:space="preserve">[X] Goal was to convert this measure to a new code set, fully consistent with the intent of the original measure. </w:t>
      </w:r>
    </w:p>
    <w:p w14:paraId="4F85AA91" w14:textId="77777777" w:rsidR="00947639" w:rsidRPr="00947639" w:rsidRDefault="00947639" w:rsidP="0094763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947639">
        <w:rPr>
          <w:rFonts w:cstheme="minorHAnsi"/>
          <w:bCs/>
        </w:rPr>
        <w:t xml:space="preserve">[ ] Goal was to take advantage of the more specific code set to form a new version of the measure, but fully consistent with the original intent. </w:t>
      </w:r>
    </w:p>
    <w:p w14:paraId="2F6A835F" w14:textId="55ED65E0" w:rsidR="00947639" w:rsidRDefault="00947639" w:rsidP="0094763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947639">
        <w:rPr>
          <w:rFonts w:cstheme="minorHAnsi"/>
          <w:bCs/>
        </w:rPr>
        <w:t>[ ] The intent of the measure has changed.</w:t>
      </w:r>
    </w:p>
    <w:p w14:paraId="124F45C0" w14:textId="77777777" w:rsidR="00947639" w:rsidRDefault="00947639" w:rsidP="0094763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17F52159" w14:textId="33337068" w:rsidR="00947639" w:rsidRPr="00EA3757" w:rsidRDefault="00947639" w:rsidP="0094763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i/>
        </w:rPr>
      </w:pPr>
      <w:r w:rsidRPr="00EA3757">
        <w:rPr>
          <w:rFonts w:cstheme="minorHAnsi"/>
          <w:bCs/>
          <w:i/>
        </w:rPr>
        <w:t>Process of Conversion</w:t>
      </w:r>
    </w:p>
    <w:p w14:paraId="320D150C" w14:textId="43ECE653" w:rsidR="00947639" w:rsidRDefault="00947639" w:rsidP="0094763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947639">
        <w:rPr>
          <w:rFonts w:cstheme="minorHAnsi"/>
          <w:bCs/>
        </w:rPr>
        <w:t xml:space="preserve">ICD-10 codes were initially identified using 2013 </w:t>
      </w:r>
      <w:r w:rsidR="000D7B3A">
        <w:rPr>
          <w:rFonts w:cstheme="minorHAnsi"/>
          <w:bCs/>
        </w:rPr>
        <w:t>General Equivalence Mapping</w:t>
      </w:r>
      <w:r w:rsidRPr="00947639">
        <w:rPr>
          <w:rFonts w:cstheme="minorHAnsi"/>
          <w:bCs/>
        </w:rPr>
        <w:t xml:space="preserve"> </w:t>
      </w:r>
      <w:r w:rsidR="000D7B3A">
        <w:rPr>
          <w:rFonts w:cstheme="minorHAnsi"/>
          <w:bCs/>
        </w:rPr>
        <w:t>(GEM)</w:t>
      </w:r>
      <w:r w:rsidRPr="00947639">
        <w:rPr>
          <w:rFonts w:cstheme="minorHAnsi"/>
          <w:bCs/>
        </w:rPr>
        <w:t xml:space="preserve"> software. We then enlisted the help of clinicians with expertise in relevant areas to select and evaluate which ICD-10 codes map to the ICD-9 codes currently in use for this measure.  An ICD-9 to ICD-10 cross</w:t>
      </w:r>
      <w:r w:rsidR="00A509FB">
        <w:rPr>
          <w:rFonts w:cstheme="minorHAnsi"/>
          <w:bCs/>
        </w:rPr>
        <w:t>walk is attached in field S.2b.</w:t>
      </w:r>
      <w:bookmarkStart w:id="11" w:name="_GoBack"/>
      <w:bookmarkEnd w:id="11"/>
      <w:r w:rsidRPr="00947639">
        <w:rPr>
          <w:rFonts w:cstheme="minorHAnsi"/>
          <w:bCs/>
        </w:rPr>
        <w:t xml:space="preserve">(Data Dictionary or Code Table).  </w:t>
      </w:r>
    </w:p>
    <w:p w14:paraId="575418FE" w14:textId="77777777" w:rsidR="003B704C" w:rsidRDefault="003B704C" w:rsidP="0094763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2E5B20B7" w14:textId="682E7DA4" w:rsidR="003B704C" w:rsidRPr="00EA3757" w:rsidRDefault="00EA3757" w:rsidP="003B704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i/>
        </w:rPr>
      </w:pPr>
      <w:r w:rsidRPr="00EA3757">
        <w:rPr>
          <w:rFonts w:cstheme="minorHAnsi"/>
          <w:bCs/>
          <w:i/>
        </w:rPr>
        <w:t>Lead clinical expert</w:t>
      </w:r>
    </w:p>
    <w:p w14:paraId="7902EAE3" w14:textId="77777777" w:rsidR="003B704C" w:rsidRPr="00947639" w:rsidRDefault="003B704C" w:rsidP="003B704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3B704C">
        <w:rPr>
          <w:rFonts w:cstheme="minorHAnsi"/>
          <w:bCs/>
        </w:rPr>
        <w:t>Jeptha Curtis, M.D., Associate Professor of Medicine, Section of Cardiovascular Disease, Yale University</w:t>
      </w:r>
    </w:p>
    <w:p w14:paraId="7EB3FC48" w14:textId="77777777" w:rsidR="00833325" w:rsidRDefault="00833325" w:rsidP="00DB3627">
      <w:pPr>
        <w:autoSpaceDE w:val="0"/>
        <w:autoSpaceDN w:val="0"/>
        <w:adjustRightInd w:val="0"/>
        <w:spacing w:after="0" w:line="240" w:lineRule="auto"/>
        <w:rPr>
          <w:rFonts w:cstheme="minorHAnsi"/>
          <w:bCs/>
        </w:rPr>
      </w:pPr>
    </w:p>
    <w:p w14:paraId="1864B77F" w14:textId="30BC8A4F" w:rsidR="00EC3DA5" w:rsidRDefault="00EC3DA5" w:rsidP="00EC3DA5">
      <w:pPr>
        <w:pStyle w:val="Caption"/>
        <w:spacing w:after="0"/>
      </w:pPr>
      <w:bookmarkStart w:id="12" w:name="_Ref379202952"/>
      <w:r>
        <w:t xml:space="preserve">Table </w:t>
      </w:r>
      <w:fldSimple w:instr=" SEQ Table \* ARABIC ">
        <w:r>
          <w:rPr>
            <w:noProof/>
          </w:rPr>
          <w:t>2</w:t>
        </w:r>
      </w:fldSimple>
      <w:bookmarkEnd w:id="12"/>
      <w:r>
        <w:t>.</w:t>
      </w:r>
      <w:r>
        <w:rPr>
          <w:noProof/>
        </w:rPr>
        <w:t xml:space="preserve"> </w:t>
      </w:r>
      <w:r w:rsidRPr="00EC3DA5">
        <w:rPr>
          <w:b w:val="0"/>
          <w:noProof/>
        </w:rPr>
        <w:t>30-Day Readmission Model Performance: Results Based on the GLM</w:t>
      </w:r>
    </w:p>
    <w:tbl>
      <w:tblPr>
        <w:tblW w:w="10467" w:type="dxa"/>
        <w:tblInd w:w="5" w:type="dxa"/>
        <w:tblLayout w:type="fixed"/>
        <w:tblCellMar>
          <w:left w:w="0" w:type="dxa"/>
          <w:right w:w="0" w:type="dxa"/>
        </w:tblCellMar>
        <w:tblLook w:val="0000" w:firstRow="0" w:lastRow="0" w:firstColumn="0" w:lastColumn="0" w:noHBand="0" w:noVBand="0"/>
      </w:tblPr>
      <w:tblGrid>
        <w:gridCol w:w="6289"/>
        <w:gridCol w:w="2239"/>
        <w:gridCol w:w="1939"/>
      </w:tblGrid>
      <w:tr w:rsidR="00EC3DA5" w:rsidRPr="00EC3DA5" w14:paraId="42C4F41E" w14:textId="77777777" w:rsidTr="00EC3DA5">
        <w:trPr>
          <w:trHeight w:hRule="exact" w:val="240"/>
        </w:trPr>
        <w:tc>
          <w:tcPr>
            <w:tcW w:w="6289" w:type="dxa"/>
            <w:tcBorders>
              <w:top w:val="single" w:sz="4" w:space="0" w:color="000000"/>
              <w:left w:val="single" w:sz="4" w:space="0" w:color="000000"/>
              <w:bottom w:val="single" w:sz="4" w:space="0" w:color="000000"/>
              <w:right w:val="single" w:sz="4" w:space="0" w:color="000000"/>
            </w:tcBorders>
          </w:tcPr>
          <w:p w14:paraId="2D574EF6" w14:textId="77777777" w:rsidR="00EC3DA5" w:rsidRPr="00EC3DA5" w:rsidRDefault="00EC3DA5" w:rsidP="00EA3757">
            <w:pPr>
              <w:autoSpaceDE w:val="0"/>
              <w:autoSpaceDN w:val="0"/>
              <w:adjustRightInd w:val="0"/>
              <w:spacing w:line="227" w:lineRule="exact"/>
              <w:ind w:left="102" w:right="-20"/>
              <w:rPr>
                <w:rFonts w:ascii="Calibri" w:hAnsi="Calibri"/>
              </w:rPr>
            </w:pPr>
            <w:r w:rsidRPr="00EC3DA5">
              <w:rPr>
                <w:rFonts w:ascii="Calibri" w:hAnsi="Calibri" w:cs="Arial"/>
                <w:b/>
                <w:bCs/>
              </w:rPr>
              <w:t>Indices</w:t>
            </w:r>
          </w:p>
        </w:tc>
        <w:tc>
          <w:tcPr>
            <w:tcW w:w="2239" w:type="dxa"/>
            <w:tcBorders>
              <w:top w:val="single" w:sz="4" w:space="0" w:color="000000"/>
              <w:left w:val="single" w:sz="4" w:space="0" w:color="000000"/>
              <w:bottom w:val="single" w:sz="4" w:space="0" w:color="000000"/>
              <w:right w:val="single" w:sz="4" w:space="0" w:color="000000"/>
            </w:tcBorders>
          </w:tcPr>
          <w:p w14:paraId="097CF8E8" w14:textId="77777777" w:rsidR="00EC3DA5" w:rsidRPr="00EC3DA5" w:rsidRDefault="00EC3DA5" w:rsidP="00EA3757">
            <w:pPr>
              <w:autoSpaceDE w:val="0"/>
              <w:autoSpaceDN w:val="0"/>
              <w:adjustRightInd w:val="0"/>
              <w:spacing w:line="227" w:lineRule="exact"/>
              <w:ind w:left="102" w:right="-20"/>
              <w:rPr>
                <w:rFonts w:ascii="Calibri" w:hAnsi="Calibri"/>
              </w:rPr>
            </w:pPr>
            <w:r w:rsidRPr="00EC3DA5">
              <w:rPr>
                <w:rFonts w:ascii="Calibri" w:hAnsi="Calibri" w:cs="Arial"/>
                <w:b/>
                <w:bCs/>
              </w:rPr>
              <w:t>De</w:t>
            </w:r>
            <w:r w:rsidRPr="00EC3DA5">
              <w:rPr>
                <w:rFonts w:ascii="Calibri" w:hAnsi="Calibri" w:cs="Arial"/>
                <w:b/>
                <w:bCs/>
                <w:spacing w:val="-2"/>
              </w:rPr>
              <w:t>v</w:t>
            </w:r>
            <w:r w:rsidRPr="00EC3DA5">
              <w:rPr>
                <w:rFonts w:ascii="Calibri" w:hAnsi="Calibri" w:cs="Arial"/>
                <w:b/>
                <w:bCs/>
              </w:rPr>
              <w:t>elopment Sample</w:t>
            </w:r>
          </w:p>
        </w:tc>
        <w:tc>
          <w:tcPr>
            <w:tcW w:w="1939" w:type="dxa"/>
            <w:tcBorders>
              <w:top w:val="single" w:sz="4" w:space="0" w:color="000000"/>
              <w:left w:val="single" w:sz="4" w:space="0" w:color="000000"/>
              <w:bottom w:val="single" w:sz="4" w:space="0" w:color="000000"/>
              <w:right w:val="single" w:sz="4" w:space="0" w:color="000000"/>
            </w:tcBorders>
          </w:tcPr>
          <w:p w14:paraId="1A657EFA" w14:textId="77777777" w:rsidR="00EC3DA5" w:rsidRPr="00EC3DA5" w:rsidRDefault="00EC3DA5" w:rsidP="00EA3757">
            <w:pPr>
              <w:autoSpaceDE w:val="0"/>
              <w:autoSpaceDN w:val="0"/>
              <w:adjustRightInd w:val="0"/>
              <w:spacing w:line="227" w:lineRule="exact"/>
              <w:ind w:left="101" w:right="-20"/>
              <w:rPr>
                <w:rFonts w:ascii="Calibri" w:hAnsi="Calibri"/>
              </w:rPr>
            </w:pPr>
            <w:r w:rsidRPr="00EC3DA5">
              <w:rPr>
                <w:rFonts w:ascii="Calibri" w:hAnsi="Calibri" w:cs="Arial"/>
                <w:b/>
                <w:bCs/>
              </w:rPr>
              <w:t>Validation Sample</w:t>
            </w:r>
          </w:p>
        </w:tc>
      </w:tr>
      <w:tr w:rsidR="00EC3DA5" w:rsidRPr="00EC3DA5" w14:paraId="0155F891" w14:textId="77777777" w:rsidTr="00EC3DA5">
        <w:trPr>
          <w:trHeight w:hRule="exact" w:val="240"/>
        </w:trPr>
        <w:tc>
          <w:tcPr>
            <w:tcW w:w="6289" w:type="dxa"/>
            <w:tcBorders>
              <w:top w:val="single" w:sz="4" w:space="0" w:color="000000"/>
              <w:left w:val="single" w:sz="4" w:space="0" w:color="000000"/>
              <w:bottom w:val="single" w:sz="4" w:space="0" w:color="000000"/>
              <w:right w:val="single" w:sz="4" w:space="0" w:color="000000"/>
            </w:tcBorders>
          </w:tcPr>
          <w:p w14:paraId="18D5FEB0" w14:textId="77777777" w:rsidR="00EC3DA5" w:rsidRPr="00EC3DA5" w:rsidRDefault="00EC3DA5" w:rsidP="00EA3757">
            <w:pPr>
              <w:autoSpaceDE w:val="0"/>
              <w:autoSpaceDN w:val="0"/>
              <w:adjustRightInd w:val="0"/>
              <w:spacing w:line="226" w:lineRule="exact"/>
              <w:ind w:left="102" w:right="-20"/>
              <w:rPr>
                <w:rFonts w:ascii="Calibri" w:hAnsi="Calibri"/>
              </w:rPr>
            </w:pPr>
            <w:r w:rsidRPr="00EC3DA5">
              <w:rPr>
                <w:rFonts w:ascii="Calibri" w:hAnsi="Calibri" w:cs="Arial"/>
              </w:rPr>
              <w:t>Year</w:t>
            </w:r>
          </w:p>
        </w:tc>
        <w:tc>
          <w:tcPr>
            <w:tcW w:w="2239" w:type="dxa"/>
            <w:tcBorders>
              <w:top w:val="single" w:sz="4" w:space="0" w:color="000000"/>
              <w:left w:val="single" w:sz="4" w:space="0" w:color="000000"/>
              <w:bottom w:val="single" w:sz="4" w:space="0" w:color="000000"/>
              <w:right w:val="single" w:sz="4" w:space="0" w:color="000000"/>
            </w:tcBorders>
          </w:tcPr>
          <w:p w14:paraId="64986CF8" w14:textId="77777777" w:rsidR="00EC3DA5" w:rsidRPr="00EC3DA5" w:rsidRDefault="00EC3DA5" w:rsidP="00EA3757">
            <w:pPr>
              <w:autoSpaceDE w:val="0"/>
              <w:autoSpaceDN w:val="0"/>
              <w:adjustRightInd w:val="0"/>
              <w:spacing w:line="226" w:lineRule="exact"/>
              <w:ind w:left="855" w:right="836"/>
              <w:jc w:val="center"/>
              <w:rPr>
                <w:rFonts w:ascii="Calibri" w:hAnsi="Calibri"/>
              </w:rPr>
            </w:pPr>
            <w:r w:rsidRPr="00EC3DA5">
              <w:rPr>
                <w:rFonts w:ascii="Calibri" w:hAnsi="Calibri" w:cs="Arial"/>
              </w:rPr>
              <w:t>2007</w:t>
            </w:r>
          </w:p>
        </w:tc>
        <w:tc>
          <w:tcPr>
            <w:tcW w:w="1939" w:type="dxa"/>
            <w:tcBorders>
              <w:top w:val="single" w:sz="4" w:space="0" w:color="000000"/>
              <w:left w:val="single" w:sz="4" w:space="0" w:color="000000"/>
              <w:bottom w:val="single" w:sz="4" w:space="0" w:color="000000"/>
              <w:right w:val="single" w:sz="4" w:space="0" w:color="000000"/>
            </w:tcBorders>
          </w:tcPr>
          <w:p w14:paraId="4699476D" w14:textId="77777777" w:rsidR="00EC3DA5" w:rsidRPr="00EC3DA5" w:rsidRDefault="00EC3DA5" w:rsidP="00EA3757">
            <w:pPr>
              <w:autoSpaceDE w:val="0"/>
              <w:autoSpaceDN w:val="0"/>
              <w:adjustRightInd w:val="0"/>
              <w:spacing w:line="226" w:lineRule="exact"/>
              <w:ind w:left="705" w:right="686"/>
              <w:jc w:val="center"/>
              <w:rPr>
                <w:rFonts w:ascii="Calibri" w:hAnsi="Calibri"/>
              </w:rPr>
            </w:pPr>
            <w:r w:rsidRPr="00EC3DA5">
              <w:rPr>
                <w:rFonts w:ascii="Calibri" w:hAnsi="Calibri" w:cs="Arial"/>
              </w:rPr>
              <w:t>2006</w:t>
            </w:r>
          </w:p>
        </w:tc>
      </w:tr>
      <w:tr w:rsidR="00EC3DA5" w:rsidRPr="00EC3DA5" w14:paraId="314B9820" w14:textId="77777777" w:rsidTr="00EC3DA5">
        <w:trPr>
          <w:trHeight w:hRule="exact" w:val="240"/>
        </w:trPr>
        <w:tc>
          <w:tcPr>
            <w:tcW w:w="6289" w:type="dxa"/>
            <w:tcBorders>
              <w:top w:val="single" w:sz="4" w:space="0" w:color="000000"/>
              <w:left w:val="single" w:sz="4" w:space="0" w:color="000000"/>
              <w:bottom w:val="single" w:sz="4" w:space="0" w:color="000000"/>
              <w:right w:val="single" w:sz="4" w:space="0" w:color="000000"/>
            </w:tcBorders>
          </w:tcPr>
          <w:p w14:paraId="5A2D8F97" w14:textId="77777777" w:rsidR="00EC3DA5" w:rsidRPr="00EC3DA5" w:rsidRDefault="00EC3DA5" w:rsidP="00EA3757">
            <w:pPr>
              <w:autoSpaceDE w:val="0"/>
              <w:autoSpaceDN w:val="0"/>
              <w:adjustRightInd w:val="0"/>
              <w:spacing w:line="226" w:lineRule="exact"/>
              <w:ind w:left="102" w:right="-20"/>
              <w:rPr>
                <w:rFonts w:ascii="Calibri" w:hAnsi="Calibri"/>
              </w:rPr>
            </w:pPr>
            <w:r w:rsidRPr="00EC3DA5">
              <w:rPr>
                <w:rFonts w:ascii="Calibri" w:hAnsi="Calibri" w:cs="Arial"/>
              </w:rPr>
              <w:t>N</w:t>
            </w:r>
          </w:p>
        </w:tc>
        <w:tc>
          <w:tcPr>
            <w:tcW w:w="2239" w:type="dxa"/>
            <w:tcBorders>
              <w:top w:val="single" w:sz="4" w:space="0" w:color="000000"/>
              <w:left w:val="single" w:sz="4" w:space="0" w:color="000000"/>
              <w:bottom w:val="single" w:sz="4" w:space="0" w:color="000000"/>
              <w:right w:val="single" w:sz="4" w:space="0" w:color="000000"/>
            </w:tcBorders>
          </w:tcPr>
          <w:p w14:paraId="20EA878C" w14:textId="77777777" w:rsidR="00EC3DA5" w:rsidRPr="00EC3DA5" w:rsidRDefault="00EC3DA5" w:rsidP="00EA3757">
            <w:pPr>
              <w:autoSpaceDE w:val="0"/>
              <w:autoSpaceDN w:val="0"/>
              <w:adjustRightInd w:val="0"/>
              <w:spacing w:line="226" w:lineRule="exact"/>
              <w:ind w:left="744" w:right="725"/>
              <w:jc w:val="center"/>
              <w:rPr>
                <w:rFonts w:ascii="Calibri" w:hAnsi="Calibri"/>
              </w:rPr>
            </w:pPr>
            <w:r w:rsidRPr="00EC3DA5">
              <w:rPr>
                <w:rFonts w:ascii="Calibri" w:hAnsi="Calibri" w:cs="Arial"/>
              </w:rPr>
              <w:t>128</w:t>
            </w:r>
            <w:r w:rsidRPr="00EC3DA5">
              <w:rPr>
                <w:rFonts w:ascii="Calibri" w:hAnsi="Calibri" w:cs="Arial"/>
                <w:spacing w:val="-1"/>
              </w:rPr>
              <w:t>7</w:t>
            </w:r>
            <w:r w:rsidRPr="00EC3DA5">
              <w:rPr>
                <w:rFonts w:ascii="Calibri" w:hAnsi="Calibri" w:cs="Arial"/>
              </w:rPr>
              <w:t>45</w:t>
            </w:r>
          </w:p>
        </w:tc>
        <w:tc>
          <w:tcPr>
            <w:tcW w:w="1939" w:type="dxa"/>
            <w:tcBorders>
              <w:top w:val="single" w:sz="4" w:space="0" w:color="000000"/>
              <w:left w:val="single" w:sz="4" w:space="0" w:color="000000"/>
              <w:bottom w:val="single" w:sz="4" w:space="0" w:color="000000"/>
              <w:right w:val="single" w:sz="4" w:space="0" w:color="000000"/>
            </w:tcBorders>
          </w:tcPr>
          <w:p w14:paraId="605ED62E" w14:textId="77777777" w:rsidR="00EC3DA5" w:rsidRPr="00EC3DA5" w:rsidRDefault="00EC3DA5" w:rsidP="00EA3757">
            <w:pPr>
              <w:autoSpaceDE w:val="0"/>
              <w:autoSpaceDN w:val="0"/>
              <w:adjustRightInd w:val="0"/>
              <w:spacing w:line="226" w:lineRule="exact"/>
              <w:ind w:left="629" w:right="-20"/>
              <w:rPr>
                <w:rFonts w:ascii="Calibri" w:hAnsi="Calibri"/>
              </w:rPr>
            </w:pPr>
            <w:r w:rsidRPr="00EC3DA5">
              <w:rPr>
                <w:rFonts w:ascii="Calibri" w:hAnsi="Calibri" w:cs="Arial"/>
              </w:rPr>
              <w:t>117</w:t>
            </w:r>
            <w:r w:rsidRPr="00EC3DA5">
              <w:rPr>
                <w:rFonts w:ascii="Calibri" w:hAnsi="Calibri" w:cs="Arial"/>
                <w:spacing w:val="-1"/>
              </w:rPr>
              <w:t>3</w:t>
            </w:r>
            <w:r w:rsidRPr="00EC3DA5">
              <w:rPr>
                <w:rFonts w:ascii="Calibri" w:hAnsi="Calibri" w:cs="Arial"/>
              </w:rPr>
              <w:t>75</w:t>
            </w:r>
          </w:p>
        </w:tc>
      </w:tr>
      <w:tr w:rsidR="00EC3DA5" w:rsidRPr="00EC3DA5" w14:paraId="5567509A" w14:textId="77777777" w:rsidTr="00EC3DA5">
        <w:trPr>
          <w:trHeight w:hRule="exact" w:val="220"/>
        </w:trPr>
        <w:tc>
          <w:tcPr>
            <w:tcW w:w="6289" w:type="dxa"/>
            <w:tcBorders>
              <w:top w:val="single" w:sz="4" w:space="0" w:color="000000"/>
              <w:left w:val="single" w:sz="4" w:space="0" w:color="000000"/>
              <w:bottom w:val="nil"/>
              <w:right w:val="single" w:sz="4" w:space="0" w:color="000000"/>
            </w:tcBorders>
          </w:tcPr>
          <w:p w14:paraId="3C17CF4E" w14:textId="77777777" w:rsidR="00EC3DA5" w:rsidRPr="00EC3DA5" w:rsidRDefault="00EC3DA5" w:rsidP="00EA3757">
            <w:pPr>
              <w:autoSpaceDE w:val="0"/>
              <w:autoSpaceDN w:val="0"/>
              <w:adjustRightInd w:val="0"/>
              <w:spacing w:line="220" w:lineRule="exact"/>
              <w:ind w:left="102" w:right="-20"/>
              <w:rPr>
                <w:rFonts w:ascii="Calibri" w:hAnsi="Calibri"/>
              </w:rPr>
            </w:pPr>
            <w:r w:rsidRPr="00EC3DA5">
              <w:rPr>
                <w:rFonts w:ascii="Calibri" w:hAnsi="Calibri" w:cs="Arial"/>
                <w:position w:val="-1"/>
              </w:rPr>
              <w:t>RR</w:t>
            </w:r>
          </w:p>
        </w:tc>
        <w:tc>
          <w:tcPr>
            <w:tcW w:w="2239" w:type="dxa"/>
            <w:tcBorders>
              <w:top w:val="single" w:sz="4" w:space="0" w:color="000000"/>
              <w:left w:val="single" w:sz="4" w:space="0" w:color="000000"/>
              <w:bottom w:val="nil"/>
              <w:right w:val="single" w:sz="4" w:space="0" w:color="000000"/>
            </w:tcBorders>
          </w:tcPr>
          <w:p w14:paraId="7878A857" w14:textId="77777777" w:rsidR="00EC3DA5" w:rsidRPr="00EC3DA5" w:rsidRDefault="00EC3DA5" w:rsidP="00EA3757">
            <w:pPr>
              <w:autoSpaceDE w:val="0"/>
              <w:autoSpaceDN w:val="0"/>
              <w:adjustRightInd w:val="0"/>
              <w:spacing w:line="220" w:lineRule="exact"/>
              <w:ind w:left="794" w:right="776"/>
              <w:jc w:val="center"/>
              <w:rPr>
                <w:rFonts w:ascii="Calibri" w:hAnsi="Calibri"/>
              </w:rPr>
            </w:pPr>
            <w:r w:rsidRPr="00EC3DA5">
              <w:rPr>
                <w:rFonts w:ascii="Calibri" w:hAnsi="Calibri" w:cs="Arial"/>
                <w:position w:val="-1"/>
              </w:rPr>
              <w:t>11.1%</w:t>
            </w:r>
          </w:p>
        </w:tc>
        <w:tc>
          <w:tcPr>
            <w:tcW w:w="1939" w:type="dxa"/>
            <w:tcBorders>
              <w:top w:val="single" w:sz="4" w:space="0" w:color="000000"/>
              <w:left w:val="single" w:sz="4" w:space="0" w:color="000000"/>
              <w:bottom w:val="nil"/>
              <w:right w:val="single" w:sz="4" w:space="0" w:color="000000"/>
            </w:tcBorders>
          </w:tcPr>
          <w:p w14:paraId="47DF1CF9" w14:textId="77777777" w:rsidR="00EC3DA5" w:rsidRPr="00EC3DA5" w:rsidRDefault="00EC3DA5" w:rsidP="00EA3757">
            <w:pPr>
              <w:autoSpaceDE w:val="0"/>
              <w:autoSpaceDN w:val="0"/>
              <w:adjustRightInd w:val="0"/>
              <w:spacing w:line="220" w:lineRule="exact"/>
              <w:ind w:left="644" w:right="626"/>
              <w:jc w:val="center"/>
              <w:rPr>
                <w:rFonts w:ascii="Calibri" w:hAnsi="Calibri"/>
              </w:rPr>
            </w:pPr>
            <w:r w:rsidRPr="00EC3DA5">
              <w:rPr>
                <w:rFonts w:ascii="Calibri" w:hAnsi="Calibri" w:cs="Arial"/>
                <w:position w:val="-1"/>
              </w:rPr>
              <w:t>10.7%</w:t>
            </w:r>
          </w:p>
        </w:tc>
      </w:tr>
      <w:tr w:rsidR="00EC3DA5" w:rsidRPr="00EC3DA5" w14:paraId="052D4693" w14:textId="77777777" w:rsidTr="00EC3DA5">
        <w:trPr>
          <w:trHeight w:hRule="exact" w:val="260"/>
        </w:trPr>
        <w:tc>
          <w:tcPr>
            <w:tcW w:w="6289" w:type="dxa"/>
            <w:tcBorders>
              <w:top w:val="nil"/>
              <w:left w:val="single" w:sz="4" w:space="0" w:color="000000"/>
              <w:bottom w:val="single" w:sz="4" w:space="0" w:color="000000"/>
              <w:right w:val="single" w:sz="4" w:space="0" w:color="000000"/>
            </w:tcBorders>
          </w:tcPr>
          <w:p w14:paraId="778BFD1B" w14:textId="77777777" w:rsidR="00EC3DA5" w:rsidRPr="00EC3DA5" w:rsidRDefault="00EC3DA5" w:rsidP="00EA3757">
            <w:pPr>
              <w:autoSpaceDE w:val="0"/>
              <w:autoSpaceDN w:val="0"/>
              <w:adjustRightInd w:val="0"/>
              <w:spacing w:line="246" w:lineRule="exact"/>
              <w:ind w:left="102" w:right="-20"/>
              <w:rPr>
                <w:rFonts w:ascii="Calibri" w:hAnsi="Calibri"/>
              </w:rPr>
            </w:pPr>
            <w:r w:rsidRPr="00EC3DA5">
              <w:rPr>
                <w:rFonts w:ascii="Calibri" w:hAnsi="Calibri" w:cs="Arial"/>
                <w:position w:val="-1"/>
              </w:rPr>
              <w:t>Calibration</w:t>
            </w:r>
            <w:r w:rsidRPr="00EC3DA5">
              <w:rPr>
                <w:rFonts w:ascii="Calibri" w:hAnsi="Calibri" w:cs="Arial"/>
                <w:spacing w:val="-2"/>
                <w:position w:val="-1"/>
              </w:rPr>
              <w:t xml:space="preserve"> </w:t>
            </w:r>
            <w:r w:rsidRPr="00EC3DA5">
              <w:rPr>
                <w:rFonts w:ascii="Calibri" w:hAnsi="Calibri" w:cs="Arial"/>
                <w:position w:val="-1"/>
              </w:rPr>
              <w:t>(</w:t>
            </w:r>
            <w:r w:rsidRPr="00EC3DA5">
              <w:rPr>
                <w:rFonts w:ascii="Calibri" w:hAnsi="Calibri" w:cs="Arial"/>
                <w:spacing w:val="-1"/>
                <w:position w:val="-1"/>
              </w:rPr>
              <w:t>γ</w:t>
            </w:r>
            <w:r w:rsidRPr="00EC3DA5">
              <w:rPr>
                <w:rFonts w:ascii="Calibri" w:hAnsi="Calibri" w:cs="Arial"/>
                <w:position w:val="-1"/>
              </w:rPr>
              <w:t xml:space="preserve">0, </w:t>
            </w:r>
            <w:r w:rsidRPr="00EC3DA5">
              <w:rPr>
                <w:rFonts w:ascii="Calibri" w:hAnsi="Calibri" w:cs="Arial"/>
                <w:spacing w:val="1"/>
                <w:position w:val="-1"/>
              </w:rPr>
              <w:t>γ</w:t>
            </w:r>
            <w:r w:rsidRPr="00EC3DA5">
              <w:rPr>
                <w:rFonts w:ascii="Calibri" w:hAnsi="Calibri" w:cs="Arial"/>
                <w:position w:val="-1"/>
              </w:rPr>
              <w:t>1</w:t>
            </w:r>
            <w:r w:rsidRPr="00EC3DA5">
              <w:rPr>
                <w:rFonts w:ascii="Calibri" w:hAnsi="Calibri" w:cs="Arial"/>
                <w:spacing w:val="10"/>
                <w:position w:val="-1"/>
              </w:rPr>
              <w:t>)</w:t>
            </w:r>
            <w:r w:rsidRPr="00EC3DA5">
              <w:rPr>
                <w:rFonts w:ascii="Calibri" w:hAnsi="Calibri" w:cs="Arial"/>
                <w:position w:val="9"/>
              </w:rPr>
              <w:t>1</w:t>
            </w:r>
          </w:p>
        </w:tc>
        <w:tc>
          <w:tcPr>
            <w:tcW w:w="2239" w:type="dxa"/>
            <w:tcBorders>
              <w:top w:val="nil"/>
              <w:left w:val="single" w:sz="4" w:space="0" w:color="000000"/>
              <w:bottom w:val="single" w:sz="4" w:space="0" w:color="000000"/>
              <w:right w:val="single" w:sz="4" w:space="0" w:color="000000"/>
            </w:tcBorders>
          </w:tcPr>
          <w:p w14:paraId="5079FADB" w14:textId="77777777" w:rsidR="00EC3DA5" w:rsidRPr="00EC3DA5" w:rsidRDefault="00EC3DA5" w:rsidP="00EA3757">
            <w:pPr>
              <w:autoSpaceDE w:val="0"/>
              <w:autoSpaceDN w:val="0"/>
              <w:adjustRightInd w:val="0"/>
              <w:spacing w:before="15"/>
              <w:ind w:left="601" w:right="-20"/>
              <w:rPr>
                <w:rFonts w:ascii="Calibri" w:hAnsi="Calibri"/>
              </w:rPr>
            </w:pPr>
            <w:r w:rsidRPr="00EC3DA5">
              <w:rPr>
                <w:rFonts w:ascii="Calibri" w:hAnsi="Calibri" w:cs="Arial"/>
              </w:rPr>
              <w:t>(0.00, 1.0</w:t>
            </w:r>
            <w:r w:rsidRPr="00EC3DA5">
              <w:rPr>
                <w:rFonts w:ascii="Calibri" w:hAnsi="Calibri" w:cs="Arial"/>
                <w:spacing w:val="-1"/>
              </w:rPr>
              <w:t>0</w:t>
            </w:r>
            <w:r w:rsidRPr="00EC3DA5">
              <w:rPr>
                <w:rFonts w:ascii="Calibri" w:hAnsi="Calibri" w:cs="Arial"/>
              </w:rPr>
              <w:t>)</w:t>
            </w:r>
          </w:p>
        </w:tc>
        <w:tc>
          <w:tcPr>
            <w:tcW w:w="1939" w:type="dxa"/>
            <w:tcBorders>
              <w:top w:val="nil"/>
              <w:left w:val="single" w:sz="4" w:space="0" w:color="000000"/>
              <w:bottom w:val="single" w:sz="4" w:space="0" w:color="000000"/>
              <w:right w:val="single" w:sz="4" w:space="0" w:color="000000"/>
            </w:tcBorders>
          </w:tcPr>
          <w:p w14:paraId="72997BBF" w14:textId="77777777" w:rsidR="00EC3DA5" w:rsidRPr="00EC3DA5" w:rsidRDefault="00EC3DA5" w:rsidP="00EA3757">
            <w:pPr>
              <w:autoSpaceDE w:val="0"/>
              <w:autoSpaceDN w:val="0"/>
              <w:adjustRightInd w:val="0"/>
              <w:spacing w:before="15"/>
              <w:ind w:left="418" w:right="-20"/>
              <w:rPr>
                <w:rFonts w:ascii="Calibri" w:hAnsi="Calibri"/>
              </w:rPr>
            </w:pPr>
            <w:r w:rsidRPr="00EC3DA5">
              <w:rPr>
                <w:rFonts w:ascii="Calibri" w:hAnsi="Calibri" w:cs="Arial"/>
              </w:rPr>
              <w:t>(-0.</w:t>
            </w:r>
            <w:r w:rsidRPr="00EC3DA5">
              <w:rPr>
                <w:rFonts w:ascii="Calibri" w:hAnsi="Calibri" w:cs="Arial"/>
                <w:spacing w:val="-1"/>
              </w:rPr>
              <w:t>0</w:t>
            </w:r>
            <w:r w:rsidRPr="00EC3DA5">
              <w:rPr>
                <w:rFonts w:ascii="Calibri" w:hAnsi="Calibri" w:cs="Arial"/>
              </w:rPr>
              <w:t>6, 0.99)</w:t>
            </w:r>
          </w:p>
        </w:tc>
      </w:tr>
      <w:tr w:rsidR="00EC3DA5" w:rsidRPr="00EC3DA5" w14:paraId="1616347F" w14:textId="77777777" w:rsidTr="00EC3DA5">
        <w:trPr>
          <w:trHeight w:hRule="exact" w:val="270"/>
        </w:trPr>
        <w:tc>
          <w:tcPr>
            <w:tcW w:w="6289" w:type="dxa"/>
            <w:tcBorders>
              <w:top w:val="single" w:sz="4" w:space="0" w:color="000000"/>
              <w:left w:val="single" w:sz="4" w:space="0" w:color="000000"/>
              <w:bottom w:val="single" w:sz="4" w:space="0" w:color="000000"/>
              <w:right w:val="single" w:sz="4" w:space="0" w:color="000000"/>
            </w:tcBorders>
          </w:tcPr>
          <w:p w14:paraId="34F9365E" w14:textId="77777777" w:rsidR="00EC3DA5" w:rsidRPr="00EC3DA5" w:rsidRDefault="00EC3DA5" w:rsidP="00EA3757">
            <w:pPr>
              <w:autoSpaceDE w:val="0"/>
              <w:autoSpaceDN w:val="0"/>
              <w:adjustRightInd w:val="0"/>
              <w:spacing w:line="256" w:lineRule="exact"/>
              <w:ind w:left="102" w:right="-20"/>
              <w:rPr>
                <w:rFonts w:ascii="Calibri" w:hAnsi="Calibri"/>
              </w:rPr>
            </w:pPr>
            <w:r w:rsidRPr="00EC3DA5">
              <w:rPr>
                <w:rFonts w:ascii="Calibri" w:hAnsi="Calibri" w:cs="Arial"/>
                <w:position w:val="-1"/>
              </w:rPr>
              <w:t>Discr</w:t>
            </w:r>
            <w:r w:rsidRPr="00EC3DA5">
              <w:rPr>
                <w:rFonts w:ascii="Calibri" w:hAnsi="Calibri" w:cs="Arial"/>
                <w:spacing w:val="-1"/>
                <w:position w:val="-1"/>
              </w:rPr>
              <w:t>i</w:t>
            </w:r>
            <w:r w:rsidRPr="00EC3DA5">
              <w:rPr>
                <w:rFonts w:ascii="Calibri" w:hAnsi="Calibri" w:cs="Arial"/>
                <w:position w:val="-1"/>
              </w:rPr>
              <w:t>minati</w:t>
            </w:r>
            <w:r w:rsidRPr="00EC3DA5">
              <w:rPr>
                <w:rFonts w:ascii="Calibri" w:hAnsi="Calibri" w:cs="Arial"/>
                <w:spacing w:val="-1"/>
                <w:position w:val="-1"/>
              </w:rPr>
              <w:t>o</w:t>
            </w:r>
            <w:r w:rsidRPr="00EC3DA5">
              <w:rPr>
                <w:rFonts w:ascii="Calibri" w:hAnsi="Calibri" w:cs="Arial"/>
                <w:position w:val="-1"/>
              </w:rPr>
              <w:t>n- Adj</w:t>
            </w:r>
            <w:r w:rsidRPr="00EC3DA5">
              <w:rPr>
                <w:rFonts w:ascii="Calibri" w:hAnsi="Calibri" w:cs="Arial"/>
                <w:spacing w:val="-1"/>
                <w:position w:val="-1"/>
              </w:rPr>
              <w:t>u</w:t>
            </w:r>
            <w:r w:rsidRPr="00EC3DA5">
              <w:rPr>
                <w:rFonts w:ascii="Calibri" w:hAnsi="Calibri" w:cs="Arial"/>
                <w:position w:val="-1"/>
              </w:rPr>
              <w:t>sted R-Squ</w:t>
            </w:r>
            <w:r w:rsidRPr="00EC3DA5">
              <w:rPr>
                <w:rFonts w:ascii="Calibri" w:hAnsi="Calibri" w:cs="Arial"/>
                <w:spacing w:val="-1"/>
                <w:position w:val="-1"/>
              </w:rPr>
              <w:t>a</w:t>
            </w:r>
            <w:r w:rsidRPr="00EC3DA5">
              <w:rPr>
                <w:rFonts w:ascii="Calibri" w:hAnsi="Calibri" w:cs="Arial"/>
                <w:position w:val="-1"/>
              </w:rPr>
              <w:t>r</w:t>
            </w:r>
            <w:r w:rsidRPr="00EC3DA5">
              <w:rPr>
                <w:rFonts w:ascii="Calibri" w:hAnsi="Calibri" w:cs="Arial"/>
                <w:spacing w:val="10"/>
                <w:position w:val="-1"/>
              </w:rPr>
              <w:t>e</w:t>
            </w:r>
            <w:r w:rsidRPr="00EC3DA5">
              <w:rPr>
                <w:rFonts w:ascii="Calibri" w:hAnsi="Calibri" w:cs="Arial"/>
                <w:position w:val="9"/>
              </w:rPr>
              <w:t>2</w:t>
            </w:r>
          </w:p>
        </w:tc>
        <w:tc>
          <w:tcPr>
            <w:tcW w:w="2239" w:type="dxa"/>
            <w:tcBorders>
              <w:top w:val="single" w:sz="4" w:space="0" w:color="000000"/>
              <w:left w:val="single" w:sz="4" w:space="0" w:color="000000"/>
              <w:bottom w:val="single" w:sz="4" w:space="0" w:color="000000"/>
              <w:right w:val="single" w:sz="4" w:space="0" w:color="000000"/>
            </w:tcBorders>
          </w:tcPr>
          <w:p w14:paraId="57A77A21" w14:textId="77777777" w:rsidR="00EC3DA5" w:rsidRPr="00EC3DA5" w:rsidRDefault="00EC3DA5" w:rsidP="00EA3757">
            <w:pPr>
              <w:autoSpaceDE w:val="0"/>
              <w:autoSpaceDN w:val="0"/>
              <w:adjustRightInd w:val="0"/>
              <w:spacing w:before="26"/>
              <w:ind w:left="883" w:right="864"/>
              <w:jc w:val="center"/>
              <w:rPr>
                <w:rFonts w:ascii="Calibri" w:hAnsi="Calibri"/>
              </w:rPr>
            </w:pPr>
            <w:r w:rsidRPr="00EC3DA5">
              <w:rPr>
                <w:rFonts w:ascii="Calibri" w:hAnsi="Calibri" w:cs="Arial"/>
              </w:rPr>
              <w:t>0.07</w:t>
            </w:r>
          </w:p>
        </w:tc>
        <w:tc>
          <w:tcPr>
            <w:tcW w:w="1939" w:type="dxa"/>
            <w:tcBorders>
              <w:top w:val="single" w:sz="4" w:space="0" w:color="000000"/>
              <w:left w:val="single" w:sz="4" w:space="0" w:color="000000"/>
              <w:bottom w:val="single" w:sz="4" w:space="0" w:color="000000"/>
              <w:right w:val="single" w:sz="4" w:space="0" w:color="000000"/>
            </w:tcBorders>
          </w:tcPr>
          <w:p w14:paraId="4F0536DA" w14:textId="77777777" w:rsidR="00EC3DA5" w:rsidRPr="00EC3DA5" w:rsidRDefault="00EC3DA5" w:rsidP="00EA3757">
            <w:pPr>
              <w:autoSpaceDE w:val="0"/>
              <w:autoSpaceDN w:val="0"/>
              <w:adjustRightInd w:val="0"/>
              <w:spacing w:before="26"/>
              <w:ind w:left="730" w:right="711"/>
              <w:jc w:val="center"/>
              <w:rPr>
                <w:rFonts w:ascii="Calibri" w:hAnsi="Calibri"/>
              </w:rPr>
            </w:pPr>
            <w:r w:rsidRPr="00EC3DA5">
              <w:rPr>
                <w:rFonts w:ascii="Calibri" w:hAnsi="Calibri" w:cs="Arial"/>
              </w:rPr>
              <w:t>0.06</w:t>
            </w:r>
          </w:p>
        </w:tc>
      </w:tr>
      <w:tr w:rsidR="00EC3DA5" w:rsidRPr="00EC3DA5" w14:paraId="56838D05" w14:textId="77777777" w:rsidTr="00EC3DA5">
        <w:trPr>
          <w:trHeight w:hRule="exact" w:val="270"/>
        </w:trPr>
        <w:tc>
          <w:tcPr>
            <w:tcW w:w="6289" w:type="dxa"/>
            <w:tcBorders>
              <w:top w:val="single" w:sz="4" w:space="0" w:color="000000"/>
              <w:left w:val="single" w:sz="4" w:space="0" w:color="000000"/>
              <w:bottom w:val="single" w:sz="4" w:space="0" w:color="000000"/>
              <w:right w:val="single" w:sz="4" w:space="0" w:color="000000"/>
            </w:tcBorders>
          </w:tcPr>
          <w:p w14:paraId="6CE8A3CE" w14:textId="77777777" w:rsidR="00EC3DA5" w:rsidRPr="00EC3DA5" w:rsidRDefault="00EC3DA5" w:rsidP="00EA3757">
            <w:pPr>
              <w:autoSpaceDE w:val="0"/>
              <w:autoSpaceDN w:val="0"/>
              <w:adjustRightInd w:val="0"/>
              <w:spacing w:line="256" w:lineRule="exact"/>
              <w:ind w:left="102" w:right="-20"/>
              <w:rPr>
                <w:rFonts w:ascii="Calibri" w:hAnsi="Calibri"/>
              </w:rPr>
            </w:pPr>
            <w:r w:rsidRPr="00EC3DA5">
              <w:rPr>
                <w:rFonts w:ascii="Calibri" w:hAnsi="Calibri" w:cs="Arial"/>
                <w:position w:val="-1"/>
              </w:rPr>
              <w:t>Discr</w:t>
            </w:r>
            <w:r w:rsidRPr="00EC3DA5">
              <w:rPr>
                <w:rFonts w:ascii="Calibri" w:hAnsi="Calibri" w:cs="Arial"/>
                <w:spacing w:val="-2"/>
                <w:position w:val="-1"/>
              </w:rPr>
              <w:t>i</w:t>
            </w:r>
            <w:r w:rsidRPr="00EC3DA5">
              <w:rPr>
                <w:rFonts w:ascii="Calibri" w:hAnsi="Calibri" w:cs="Arial"/>
                <w:position w:val="-1"/>
              </w:rPr>
              <w:t>mination -Pred</w:t>
            </w:r>
            <w:r w:rsidRPr="00EC3DA5">
              <w:rPr>
                <w:rFonts w:ascii="Calibri" w:hAnsi="Calibri" w:cs="Arial"/>
                <w:spacing w:val="-2"/>
                <w:position w:val="-1"/>
              </w:rPr>
              <w:t>i</w:t>
            </w:r>
            <w:r w:rsidRPr="00EC3DA5">
              <w:rPr>
                <w:rFonts w:ascii="Calibri" w:hAnsi="Calibri" w:cs="Arial"/>
                <w:position w:val="-1"/>
              </w:rPr>
              <w:t>ctive Abilit</w:t>
            </w:r>
            <w:r w:rsidRPr="00EC3DA5">
              <w:rPr>
                <w:rFonts w:ascii="Calibri" w:hAnsi="Calibri" w:cs="Arial"/>
                <w:spacing w:val="10"/>
                <w:position w:val="-1"/>
              </w:rPr>
              <w:t>y</w:t>
            </w:r>
            <w:r w:rsidRPr="00EC3DA5">
              <w:rPr>
                <w:rFonts w:ascii="Calibri" w:hAnsi="Calibri" w:cs="Arial"/>
                <w:position w:val="9"/>
              </w:rPr>
              <w:t>3</w:t>
            </w:r>
            <w:r w:rsidRPr="00EC3DA5">
              <w:rPr>
                <w:rFonts w:ascii="Calibri" w:hAnsi="Calibri" w:cs="Arial"/>
                <w:spacing w:val="29"/>
                <w:position w:val="9"/>
              </w:rPr>
              <w:t xml:space="preserve"> </w:t>
            </w:r>
            <w:r w:rsidRPr="00EC3DA5">
              <w:rPr>
                <w:rFonts w:ascii="Calibri" w:hAnsi="Calibri" w:cs="Arial"/>
                <w:position w:val="-1"/>
              </w:rPr>
              <w:t>(low</w:t>
            </w:r>
            <w:r w:rsidRPr="00EC3DA5">
              <w:rPr>
                <w:rFonts w:ascii="Calibri" w:hAnsi="Calibri" w:cs="Arial"/>
                <w:spacing w:val="-1"/>
                <w:position w:val="-1"/>
              </w:rPr>
              <w:t>e</w:t>
            </w:r>
            <w:r w:rsidRPr="00EC3DA5">
              <w:rPr>
                <w:rFonts w:ascii="Calibri" w:hAnsi="Calibri" w:cs="Arial"/>
                <w:spacing w:val="1"/>
                <w:position w:val="-1"/>
              </w:rPr>
              <w:t>s</w:t>
            </w:r>
            <w:r w:rsidRPr="00EC3DA5">
              <w:rPr>
                <w:rFonts w:ascii="Calibri" w:hAnsi="Calibri" w:cs="Arial"/>
                <w:position w:val="-1"/>
              </w:rPr>
              <w:t>t deci</w:t>
            </w:r>
            <w:r w:rsidRPr="00EC3DA5">
              <w:rPr>
                <w:rFonts w:ascii="Calibri" w:hAnsi="Calibri" w:cs="Arial"/>
                <w:spacing w:val="-1"/>
                <w:position w:val="-1"/>
              </w:rPr>
              <w:t>l</w:t>
            </w:r>
            <w:r w:rsidRPr="00EC3DA5">
              <w:rPr>
                <w:rFonts w:ascii="Calibri" w:hAnsi="Calibri" w:cs="Arial"/>
                <w:position w:val="-1"/>
              </w:rPr>
              <w:t>e %, high</w:t>
            </w:r>
            <w:r w:rsidRPr="00EC3DA5">
              <w:rPr>
                <w:rFonts w:ascii="Calibri" w:hAnsi="Calibri" w:cs="Arial"/>
                <w:spacing w:val="-1"/>
                <w:position w:val="-1"/>
              </w:rPr>
              <w:t>e</w:t>
            </w:r>
            <w:r w:rsidRPr="00EC3DA5">
              <w:rPr>
                <w:rFonts w:ascii="Calibri" w:hAnsi="Calibri" w:cs="Arial"/>
                <w:position w:val="-1"/>
              </w:rPr>
              <w:t>st deci</w:t>
            </w:r>
            <w:r w:rsidRPr="00EC3DA5">
              <w:rPr>
                <w:rFonts w:ascii="Calibri" w:hAnsi="Calibri" w:cs="Arial"/>
                <w:spacing w:val="-1"/>
                <w:position w:val="-1"/>
              </w:rPr>
              <w:t>l</w:t>
            </w:r>
            <w:r w:rsidRPr="00EC3DA5">
              <w:rPr>
                <w:rFonts w:ascii="Calibri" w:hAnsi="Calibri" w:cs="Arial"/>
                <w:position w:val="-1"/>
              </w:rPr>
              <w:t>e %)</w:t>
            </w:r>
          </w:p>
        </w:tc>
        <w:tc>
          <w:tcPr>
            <w:tcW w:w="2239" w:type="dxa"/>
            <w:tcBorders>
              <w:top w:val="single" w:sz="4" w:space="0" w:color="000000"/>
              <w:left w:val="single" w:sz="4" w:space="0" w:color="000000"/>
              <w:bottom w:val="single" w:sz="4" w:space="0" w:color="000000"/>
              <w:right w:val="single" w:sz="4" w:space="0" w:color="000000"/>
            </w:tcBorders>
          </w:tcPr>
          <w:p w14:paraId="33E11477" w14:textId="77777777" w:rsidR="00EC3DA5" w:rsidRPr="00EC3DA5" w:rsidRDefault="00EC3DA5" w:rsidP="00EA3757">
            <w:pPr>
              <w:autoSpaceDE w:val="0"/>
              <w:autoSpaceDN w:val="0"/>
              <w:adjustRightInd w:val="0"/>
              <w:spacing w:before="26"/>
              <w:ind w:left="543" w:right="-20"/>
              <w:rPr>
                <w:rFonts w:ascii="Calibri" w:hAnsi="Calibri"/>
              </w:rPr>
            </w:pPr>
            <w:r w:rsidRPr="00EC3DA5">
              <w:rPr>
                <w:rFonts w:ascii="Calibri" w:hAnsi="Calibri" w:cs="Arial"/>
              </w:rPr>
              <w:t>(4.05, 25.0</w:t>
            </w:r>
            <w:r w:rsidRPr="00EC3DA5">
              <w:rPr>
                <w:rFonts w:ascii="Calibri" w:hAnsi="Calibri" w:cs="Arial"/>
                <w:spacing w:val="-1"/>
              </w:rPr>
              <w:t>8</w:t>
            </w:r>
            <w:r w:rsidRPr="00EC3DA5">
              <w:rPr>
                <w:rFonts w:ascii="Calibri" w:hAnsi="Calibri" w:cs="Arial"/>
              </w:rPr>
              <w:t>)</w:t>
            </w:r>
          </w:p>
        </w:tc>
        <w:tc>
          <w:tcPr>
            <w:tcW w:w="1939" w:type="dxa"/>
            <w:tcBorders>
              <w:top w:val="single" w:sz="4" w:space="0" w:color="000000"/>
              <w:left w:val="single" w:sz="4" w:space="0" w:color="000000"/>
              <w:bottom w:val="single" w:sz="4" w:space="0" w:color="000000"/>
              <w:right w:val="single" w:sz="4" w:space="0" w:color="000000"/>
            </w:tcBorders>
          </w:tcPr>
          <w:p w14:paraId="5CDAF205" w14:textId="77777777" w:rsidR="00EC3DA5" w:rsidRPr="00EC3DA5" w:rsidRDefault="00EC3DA5" w:rsidP="00EA3757">
            <w:pPr>
              <w:autoSpaceDE w:val="0"/>
              <w:autoSpaceDN w:val="0"/>
              <w:adjustRightInd w:val="0"/>
              <w:spacing w:before="26"/>
              <w:ind w:left="393" w:right="-20"/>
              <w:rPr>
                <w:rFonts w:ascii="Calibri" w:hAnsi="Calibri"/>
              </w:rPr>
            </w:pPr>
            <w:r w:rsidRPr="00EC3DA5">
              <w:rPr>
                <w:rFonts w:ascii="Calibri" w:hAnsi="Calibri" w:cs="Arial"/>
              </w:rPr>
              <w:t>(3.80, 23.8</w:t>
            </w:r>
            <w:r w:rsidRPr="00EC3DA5">
              <w:rPr>
                <w:rFonts w:ascii="Calibri" w:hAnsi="Calibri" w:cs="Arial"/>
                <w:spacing w:val="-1"/>
              </w:rPr>
              <w:t>0</w:t>
            </w:r>
            <w:r w:rsidRPr="00EC3DA5">
              <w:rPr>
                <w:rFonts w:ascii="Calibri" w:hAnsi="Calibri" w:cs="Arial"/>
              </w:rPr>
              <w:t>)</w:t>
            </w:r>
          </w:p>
        </w:tc>
      </w:tr>
      <w:tr w:rsidR="00EC3DA5" w:rsidRPr="00EC3DA5" w14:paraId="71348BFA" w14:textId="77777777" w:rsidTr="00EC3DA5">
        <w:trPr>
          <w:trHeight w:hRule="exact" w:val="240"/>
        </w:trPr>
        <w:tc>
          <w:tcPr>
            <w:tcW w:w="6289" w:type="dxa"/>
            <w:tcBorders>
              <w:top w:val="single" w:sz="4" w:space="0" w:color="000000"/>
              <w:left w:val="single" w:sz="4" w:space="0" w:color="000000"/>
              <w:bottom w:val="single" w:sz="4" w:space="0" w:color="000000"/>
              <w:right w:val="single" w:sz="4" w:space="0" w:color="000000"/>
            </w:tcBorders>
          </w:tcPr>
          <w:p w14:paraId="0FC5E58A" w14:textId="77777777" w:rsidR="00EC3DA5" w:rsidRPr="00EC3DA5" w:rsidRDefault="00EC3DA5" w:rsidP="00EA3757">
            <w:pPr>
              <w:autoSpaceDE w:val="0"/>
              <w:autoSpaceDN w:val="0"/>
              <w:adjustRightInd w:val="0"/>
              <w:spacing w:line="226" w:lineRule="exact"/>
              <w:ind w:left="102" w:right="-20"/>
              <w:rPr>
                <w:rFonts w:ascii="Calibri" w:hAnsi="Calibri"/>
              </w:rPr>
            </w:pPr>
            <w:r w:rsidRPr="00EC3DA5">
              <w:rPr>
                <w:rFonts w:ascii="Calibri" w:hAnsi="Calibri" w:cs="Arial"/>
              </w:rPr>
              <w:t>Discr</w:t>
            </w:r>
            <w:r w:rsidRPr="00EC3DA5">
              <w:rPr>
                <w:rFonts w:ascii="Calibri" w:hAnsi="Calibri" w:cs="Arial"/>
                <w:spacing w:val="-1"/>
              </w:rPr>
              <w:t>i</w:t>
            </w:r>
            <w:r w:rsidRPr="00EC3DA5">
              <w:rPr>
                <w:rFonts w:ascii="Calibri" w:hAnsi="Calibri" w:cs="Arial"/>
              </w:rPr>
              <w:t>minati</w:t>
            </w:r>
            <w:r w:rsidRPr="00EC3DA5">
              <w:rPr>
                <w:rFonts w:ascii="Calibri" w:hAnsi="Calibri" w:cs="Arial"/>
                <w:spacing w:val="-1"/>
              </w:rPr>
              <w:t>o</w:t>
            </w:r>
            <w:r w:rsidRPr="00EC3DA5">
              <w:rPr>
                <w:rFonts w:ascii="Calibri" w:hAnsi="Calibri" w:cs="Arial"/>
              </w:rPr>
              <w:t>n – R</w:t>
            </w:r>
            <w:r w:rsidRPr="00EC3DA5">
              <w:rPr>
                <w:rFonts w:ascii="Calibri" w:hAnsi="Calibri" w:cs="Arial"/>
                <w:spacing w:val="-1"/>
              </w:rPr>
              <w:t>O</w:t>
            </w:r>
            <w:r w:rsidRPr="00EC3DA5">
              <w:rPr>
                <w:rFonts w:ascii="Calibri" w:hAnsi="Calibri" w:cs="Arial"/>
              </w:rPr>
              <w:t>C</w:t>
            </w:r>
          </w:p>
        </w:tc>
        <w:tc>
          <w:tcPr>
            <w:tcW w:w="2239" w:type="dxa"/>
            <w:tcBorders>
              <w:top w:val="single" w:sz="4" w:space="0" w:color="000000"/>
              <w:left w:val="single" w:sz="4" w:space="0" w:color="000000"/>
              <w:bottom w:val="single" w:sz="4" w:space="0" w:color="000000"/>
              <w:right w:val="single" w:sz="4" w:space="0" w:color="000000"/>
            </w:tcBorders>
          </w:tcPr>
          <w:p w14:paraId="3603A81D" w14:textId="77777777" w:rsidR="00EC3DA5" w:rsidRPr="00EC3DA5" w:rsidRDefault="00EC3DA5" w:rsidP="00EA3757">
            <w:pPr>
              <w:autoSpaceDE w:val="0"/>
              <w:autoSpaceDN w:val="0"/>
              <w:adjustRightInd w:val="0"/>
              <w:spacing w:line="226" w:lineRule="exact"/>
              <w:ind w:left="828" w:right="808"/>
              <w:jc w:val="center"/>
              <w:rPr>
                <w:rFonts w:ascii="Calibri" w:hAnsi="Calibri"/>
              </w:rPr>
            </w:pPr>
            <w:r w:rsidRPr="00EC3DA5">
              <w:rPr>
                <w:rFonts w:ascii="Calibri" w:hAnsi="Calibri" w:cs="Arial"/>
              </w:rPr>
              <w:t>0.665</w:t>
            </w:r>
          </w:p>
        </w:tc>
        <w:tc>
          <w:tcPr>
            <w:tcW w:w="1939" w:type="dxa"/>
            <w:tcBorders>
              <w:top w:val="single" w:sz="4" w:space="0" w:color="000000"/>
              <w:left w:val="single" w:sz="4" w:space="0" w:color="000000"/>
              <w:bottom w:val="single" w:sz="4" w:space="0" w:color="000000"/>
              <w:right w:val="single" w:sz="4" w:space="0" w:color="000000"/>
            </w:tcBorders>
          </w:tcPr>
          <w:p w14:paraId="4555373A" w14:textId="77777777" w:rsidR="00EC3DA5" w:rsidRPr="00EC3DA5" w:rsidRDefault="00EC3DA5" w:rsidP="00EA3757">
            <w:pPr>
              <w:autoSpaceDE w:val="0"/>
              <w:autoSpaceDN w:val="0"/>
              <w:adjustRightInd w:val="0"/>
              <w:spacing w:line="226" w:lineRule="exact"/>
              <w:ind w:left="678" w:right="658"/>
              <w:jc w:val="center"/>
              <w:rPr>
                <w:rFonts w:ascii="Calibri" w:hAnsi="Calibri"/>
              </w:rPr>
            </w:pPr>
            <w:r w:rsidRPr="00EC3DA5">
              <w:rPr>
                <w:rFonts w:ascii="Calibri" w:hAnsi="Calibri" w:cs="Arial"/>
              </w:rPr>
              <w:t>0.663</w:t>
            </w:r>
          </w:p>
        </w:tc>
      </w:tr>
      <w:tr w:rsidR="00EC3DA5" w:rsidRPr="00EC3DA5" w14:paraId="3EE0EFB3" w14:textId="77777777" w:rsidTr="00EC3DA5">
        <w:trPr>
          <w:trHeight w:hRule="exact" w:val="240"/>
        </w:trPr>
        <w:tc>
          <w:tcPr>
            <w:tcW w:w="6289" w:type="dxa"/>
            <w:tcBorders>
              <w:top w:val="single" w:sz="4" w:space="0" w:color="000000"/>
              <w:left w:val="single" w:sz="4" w:space="0" w:color="000000"/>
              <w:bottom w:val="single" w:sz="4" w:space="0" w:color="000000"/>
              <w:right w:val="single" w:sz="4" w:space="0" w:color="000000"/>
            </w:tcBorders>
          </w:tcPr>
          <w:p w14:paraId="07EAE2D8" w14:textId="77777777" w:rsidR="00EC3DA5" w:rsidRPr="00EC3DA5" w:rsidRDefault="00EC3DA5" w:rsidP="00EA3757">
            <w:pPr>
              <w:autoSpaceDE w:val="0"/>
              <w:autoSpaceDN w:val="0"/>
              <w:adjustRightInd w:val="0"/>
              <w:spacing w:line="226" w:lineRule="exact"/>
              <w:ind w:left="102" w:right="-20"/>
              <w:rPr>
                <w:rFonts w:ascii="Calibri" w:hAnsi="Calibri"/>
              </w:rPr>
            </w:pPr>
            <w:r w:rsidRPr="00EC3DA5">
              <w:rPr>
                <w:rFonts w:ascii="Calibri" w:hAnsi="Calibri" w:cs="Arial"/>
              </w:rPr>
              <w:t>R</w:t>
            </w:r>
            <w:r w:rsidRPr="00EC3DA5">
              <w:rPr>
                <w:rFonts w:ascii="Calibri" w:hAnsi="Calibri" w:cs="Arial"/>
                <w:spacing w:val="-1"/>
              </w:rPr>
              <w:t>e</w:t>
            </w:r>
            <w:r w:rsidRPr="00EC3DA5">
              <w:rPr>
                <w:rFonts w:ascii="Calibri" w:hAnsi="Calibri" w:cs="Arial"/>
              </w:rPr>
              <w:t>sid</w:t>
            </w:r>
            <w:r w:rsidRPr="00EC3DA5">
              <w:rPr>
                <w:rFonts w:ascii="Calibri" w:hAnsi="Calibri" w:cs="Arial"/>
                <w:spacing w:val="-1"/>
              </w:rPr>
              <w:t>u</w:t>
            </w:r>
            <w:r w:rsidRPr="00EC3DA5">
              <w:rPr>
                <w:rFonts w:ascii="Calibri" w:hAnsi="Calibri" w:cs="Arial"/>
              </w:rPr>
              <w:t>als L</w:t>
            </w:r>
            <w:r w:rsidRPr="00EC3DA5">
              <w:rPr>
                <w:rFonts w:ascii="Calibri" w:hAnsi="Calibri" w:cs="Arial"/>
                <w:spacing w:val="-1"/>
              </w:rPr>
              <w:t>a</w:t>
            </w:r>
            <w:r w:rsidRPr="00EC3DA5">
              <w:rPr>
                <w:rFonts w:ascii="Calibri" w:hAnsi="Calibri" w:cs="Arial"/>
              </w:rPr>
              <w:t>ck of Fit (Pe</w:t>
            </w:r>
            <w:r w:rsidRPr="00EC3DA5">
              <w:rPr>
                <w:rFonts w:ascii="Calibri" w:hAnsi="Calibri" w:cs="Arial"/>
                <w:spacing w:val="-1"/>
              </w:rPr>
              <w:t>a</w:t>
            </w:r>
            <w:r w:rsidRPr="00EC3DA5">
              <w:rPr>
                <w:rFonts w:ascii="Calibri" w:hAnsi="Calibri" w:cs="Arial"/>
              </w:rPr>
              <w:t>rs</w:t>
            </w:r>
            <w:r w:rsidRPr="00EC3DA5">
              <w:rPr>
                <w:rFonts w:ascii="Calibri" w:hAnsi="Calibri" w:cs="Arial"/>
                <w:spacing w:val="-1"/>
              </w:rPr>
              <w:t>o</w:t>
            </w:r>
            <w:r w:rsidRPr="00EC3DA5">
              <w:rPr>
                <w:rFonts w:ascii="Calibri" w:hAnsi="Calibri" w:cs="Arial"/>
              </w:rPr>
              <w:t>n R</w:t>
            </w:r>
            <w:r w:rsidRPr="00EC3DA5">
              <w:rPr>
                <w:rFonts w:ascii="Calibri" w:hAnsi="Calibri" w:cs="Arial"/>
                <w:spacing w:val="-1"/>
              </w:rPr>
              <w:t>e</w:t>
            </w:r>
            <w:r w:rsidRPr="00EC3DA5">
              <w:rPr>
                <w:rFonts w:ascii="Calibri" w:hAnsi="Calibri" w:cs="Arial"/>
              </w:rPr>
              <w:t>si</w:t>
            </w:r>
            <w:r w:rsidRPr="00EC3DA5">
              <w:rPr>
                <w:rFonts w:ascii="Calibri" w:hAnsi="Calibri" w:cs="Arial"/>
                <w:spacing w:val="-1"/>
              </w:rPr>
              <w:t>d</w:t>
            </w:r>
            <w:r w:rsidRPr="00EC3DA5">
              <w:rPr>
                <w:rFonts w:ascii="Calibri" w:hAnsi="Calibri" w:cs="Arial"/>
              </w:rPr>
              <w:t>ual</w:t>
            </w:r>
            <w:r w:rsidRPr="00EC3DA5">
              <w:rPr>
                <w:rFonts w:ascii="Calibri" w:hAnsi="Calibri" w:cs="Arial"/>
                <w:spacing w:val="-2"/>
              </w:rPr>
              <w:t xml:space="preserve"> </w:t>
            </w:r>
            <w:r w:rsidRPr="00EC3DA5">
              <w:rPr>
                <w:rFonts w:ascii="Calibri" w:hAnsi="Calibri" w:cs="Arial"/>
              </w:rPr>
              <w:t>Fall %)</w:t>
            </w:r>
          </w:p>
        </w:tc>
        <w:tc>
          <w:tcPr>
            <w:tcW w:w="2239" w:type="dxa"/>
            <w:tcBorders>
              <w:top w:val="single" w:sz="4" w:space="0" w:color="000000"/>
              <w:left w:val="single" w:sz="4" w:space="0" w:color="000000"/>
              <w:bottom w:val="single" w:sz="4" w:space="0" w:color="000000"/>
              <w:right w:val="single" w:sz="4" w:space="0" w:color="000000"/>
            </w:tcBorders>
          </w:tcPr>
          <w:p w14:paraId="590D3708" w14:textId="77777777" w:rsidR="00EC3DA5" w:rsidRPr="00EC3DA5" w:rsidRDefault="00EC3DA5" w:rsidP="00EA3757">
            <w:pPr>
              <w:autoSpaceDE w:val="0"/>
              <w:autoSpaceDN w:val="0"/>
              <w:adjustRightInd w:val="0"/>
              <w:rPr>
                <w:rFonts w:ascii="Calibri" w:hAnsi="Calibri"/>
              </w:rPr>
            </w:pPr>
          </w:p>
        </w:tc>
        <w:tc>
          <w:tcPr>
            <w:tcW w:w="1939" w:type="dxa"/>
            <w:tcBorders>
              <w:top w:val="single" w:sz="4" w:space="0" w:color="000000"/>
              <w:left w:val="single" w:sz="4" w:space="0" w:color="000000"/>
              <w:bottom w:val="single" w:sz="4" w:space="0" w:color="000000"/>
              <w:right w:val="single" w:sz="4" w:space="0" w:color="000000"/>
            </w:tcBorders>
          </w:tcPr>
          <w:p w14:paraId="6B052172" w14:textId="77777777" w:rsidR="00EC3DA5" w:rsidRPr="00EC3DA5" w:rsidRDefault="00EC3DA5" w:rsidP="00EA3757">
            <w:pPr>
              <w:autoSpaceDE w:val="0"/>
              <w:autoSpaceDN w:val="0"/>
              <w:adjustRightInd w:val="0"/>
              <w:rPr>
                <w:rFonts w:ascii="Calibri" w:hAnsi="Calibri"/>
              </w:rPr>
            </w:pPr>
          </w:p>
        </w:tc>
      </w:tr>
      <w:tr w:rsidR="00EC3DA5" w:rsidRPr="00EC3DA5" w14:paraId="69D659F0" w14:textId="77777777" w:rsidTr="00EC3DA5">
        <w:trPr>
          <w:trHeight w:hRule="exact" w:val="240"/>
        </w:trPr>
        <w:tc>
          <w:tcPr>
            <w:tcW w:w="6289" w:type="dxa"/>
            <w:tcBorders>
              <w:top w:val="single" w:sz="4" w:space="0" w:color="000000"/>
              <w:left w:val="single" w:sz="4" w:space="0" w:color="000000"/>
              <w:bottom w:val="single" w:sz="4" w:space="0" w:color="000000"/>
              <w:right w:val="single" w:sz="4" w:space="0" w:color="000000"/>
            </w:tcBorders>
          </w:tcPr>
          <w:p w14:paraId="56588569" w14:textId="77777777" w:rsidR="00EC3DA5" w:rsidRPr="00EC3DA5" w:rsidRDefault="00EC3DA5" w:rsidP="00EA3757">
            <w:pPr>
              <w:autoSpaceDE w:val="0"/>
              <w:autoSpaceDN w:val="0"/>
              <w:adjustRightInd w:val="0"/>
              <w:spacing w:line="226" w:lineRule="exact"/>
              <w:ind w:left="462" w:right="-20"/>
              <w:rPr>
                <w:rFonts w:ascii="Calibri" w:hAnsi="Calibri"/>
              </w:rPr>
            </w:pPr>
            <w:r w:rsidRPr="00EC3DA5">
              <w:rPr>
                <w:rFonts w:ascii="Calibri" w:hAnsi="Calibri" w:cs="Arial"/>
              </w:rPr>
              <w:t>&lt;-2</w:t>
            </w:r>
          </w:p>
        </w:tc>
        <w:tc>
          <w:tcPr>
            <w:tcW w:w="2239" w:type="dxa"/>
            <w:tcBorders>
              <w:top w:val="single" w:sz="4" w:space="0" w:color="000000"/>
              <w:left w:val="single" w:sz="4" w:space="0" w:color="000000"/>
              <w:bottom w:val="single" w:sz="4" w:space="0" w:color="000000"/>
              <w:right w:val="single" w:sz="4" w:space="0" w:color="000000"/>
            </w:tcBorders>
          </w:tcPr>
          <w:p w14:paraId="1D02EFC1" w14:textId="77777777" w:rsidR="00EC3DA5" w:rsidRPr="00EC3DA5" w:rsidRDefault="00EC3DA5" w:rsidP="00EA3757">
            <w:pPr>
              <w:autoSpaceDE w:val="0"/>
              <w:autoSpaceDN w:val="0"/>
              <w:adjustRightInd w:val="0"/>
              <w:spacing w:line="226" w:lineRule="exact"/>
              <w:ind w:left="882" w:right="865"/>
              <w:jc w:val="center"/>
              <w:rPr>
                <w:rFonts w:ascii="Calibri" w:hAnsi="Calibri"/>
              </w:rPr>
            </w:pPr>
            <w:r w:rsidRPr="00EC3DA5">
              <w:rPr>
                <w:rFonts w:ascii="Calibri" w:hAnsi="Calibri" w:cs="Arial"/>
              </w:rPr>
              <w:t>0.00</w:t>
            </w:r>
          </w:p>
        </w:tc>
        <w:tc>
          <w:tcPr>
            <w:tcW w:w="1939" w:type="dxa"/>
            <w:tcBorders>
              <w:top w:val="single" w:sz="4" w:space="0" w:color="000000"/>
              <w:left w:val="single" w:sz="4" w:space="0" w:color="000000"/>
              <w:bottom w:val="single" w:sz="4" w:space="0" w:color="000000"/>
              <w:right w:val="single" w:sz="4" w:space="0" w:color="000000"/>
            </w:tcBorders>
          </w:tcPr>
          <w:p w14:paraId="14B47417" w14:textId="77777777" w:rsidR="00EC3DA5" w:rsidRPr="00EC3DA5" w:rsidRDefault="00EC3DA5" w:rsidP="00EA3757">
            <w:pPr>
              <w:autoSpaceDE w:val="0"/>
              <w:autoSpaceDN w:val="0"/>
              <w:adjustRightInd w:val="0"/>
              <w:spacing w:line="226" w:lineRule="exact"/>
              <w:ind w:left="733" w:right="714"/>
              <w:jc w:val="center"/>
              <w:rPr>
                <w:rFonts w:ascii="Calibri" w:hAnsi="Calibri"/>
              </w:rPr>
            </w:pPr>
            <w:r w:rsidRPr="00EC3DA5">
              <w:rPr>
                <w:rFonts w:ascii="Calibri" w:hAnsi="Calibri" w:cs="Arial"/>
              </w:rPr>
              <w:t>0.00</w:t>
            </w:r>
          </w:p>
        </w:tc>
      </w:tr>
      <w:tr w:rsidR="00EC3DA5" w:rsidRPr="00EC3DA5" w14:paraId="6E302900" w14:textId="77777777" w:rsidTr="00EC3DA5">
        <w:trPr>
          <w:trHeight w:hRule="exact" w:val="240"/>
        </w:trPr>
        <w:tc>
          <w:tcPr>
            <w:tcW w:w="6289" w:type="dxa"/>
            <w:tcBorders>
              <w:top w:val="single" w:sz="4" w:space="0" w:color="000000"/>
              <w:left w:val="single" w:sz="4" w:space="0" w:color="000000"/>
              <w:bottom w:val="single" w:sz="4" w:space="0" w:color="000000"/>
              <w:right w:val="single" w:sz="4" w:space="0" w:color="000000"/>
            </w:tcBorders>
          </w:tcPr>
          <w:p w14:paraId="5F45463E" w14:textId="77777777" w:rsidR="00EC3DA5" w:rsidRPr="00EC3DA5" w:rsidRDefault="00EC3DA5" w:rsidP="00EA3757">
            <w:pPr>
              <w:autoSpaceDE w:val="0"/>
              <w:autoSpaceDN w:val="0"/>
              <w:adjustRightInd w:val="0"/>
              <w:spacing w:line="226" w:lineRule="exact"/>
              <w:ind w:left="462" w:right="-20"/>
              <w:rPr>
                <w:rFonts w:ascii="Calibri" w:hAnsi="Calibri"/>
              </w:rPr>
            </w:pPr>
            <w:r w:rsidRPr="00EC3DA5">
              <w:rPr>
                <w:rFonts w:ascii="Calibri" w:hAnsi="Calibri" w:cs="Arial"/>
              </w:rPr>
              <w:t>[-2, 0)</w:t>
            </w:r>
          </w:p>
        </w:tc>
        <w:tc>
          <w:tcPr>
            <w:tcW w:w="2239" w:type="dxa"/>
            <w:tcBorders>
              <w:top w:val="single" w:sz="4" w:space="0" w:color="000000"/>
              <w:left w:val="single" w:sz="4" w:space="0" w:color="000000"/>
              <w:bottom w:val="single" w:sz="4" w:space="0" w:color="000000"/>
              <w:right w:val="single" w:sz="4" w:space="0" w:color="000000"/>
            </w:tcBorders>
          </w:tcPr>
          <w:p w14:paraId="7FA4B49A" w14:textId="77777777" w:rsidR="00EC3DA5" w:rsidRPr="00EC3DA5" w:rsidRDefault="00EC3DA5" w:rsidP="00EA3757">
            <w:pPr>
              <w:autoSpaceDE w:val="0"/>
              <w:autoSpaceDN w:val="0"/>
              <w:adjustRightInd w:val="0"/>
              <w:spacing w:line="226" w:lineRule="exact"/>
              <w:ind w:left="828" w:right="808"/>
              <w:jc w:val="center"/>
              <w:rPr>
                <w:rFonts w:ascii="Calibri" w:hAnsi="Calibri"/>
              </w:rPr>
            </w:pPr>
            <w:r w:rsidRPr="00EC3DA5">
              <w:rPr>
                <w:rFonts w:ascii="Calibri" w:hAnsi="Calibri" w:cs="Arial"/>
              </w:rPr>
              <w:t>88.86</w:t>
            </w:r>
          </w:p>
        </w:tc>
        <w:tc>
          <w:tcPr>
            <w:tcW w:w="1939" w:type="dxa"/>
            <w:tcBorders>
              <w:top w:val="single" w:sz="4" w:space="0" w:color="000000"/>
              <w:left w:val="single" w:sz="4" w:space="0" w:color="000000"/>
              <w:bottom w:val="single" w:sz="4" w:space="0" w:color="000000"/>
              <w:right w:val="single" w:sz="4" w:space="0" w:color="000000"/>
            </w:tcBorders>
          </w:tcPr>
          <w:p w14:paraId="6CB1705A" w14:textId="77777777" w:rsidR="00EC3DA5" w:rsidRPr="00EC3DA5" w:rsidRDefault="00EC3DA5" w:rsidP="00EA3757">
            <w:pPr>
              <w:autoSpaceDE w:val="0"/>
              <w:autoSpaceDN w:val="0"/>
              <w:adjustRightInd w:val="0"/>
              <w:spacing w:line="226" w:lineRule="exact"/>
              <w:ind w:left="678" w:right="658"/>
              <w:jc w:val="center"/>
              <w:rPr>
                <w:rFonts w:ascii="Calibri" w:hAnsi="Calibri"/>
              </w:rPr>
            </w:pPr>
            <w:r w:rsidRPr="00EC3DA5">
              <w:rPr>
                <w:rFonts w:ascii="Calibri" w:hAnsi="Calibri" w:cs="Arial"/>
              </w:rPr>
              <w:t>89.33</w:t>
            </w:r>
          </w:p>
        </w:tc>
      </w:tr>
      <w:tr w:rsidR="00EC3DA5" w:rsidRPr="00EC3DA5" w14:paraId="30607B61" w14:textId="77777777" w:rsidTr="00EC3DA5">
        <w:trPr>
          <w:trHeight w:hRule="exact" w:val="240"/>
        </w:trPr>
        <w:tc>
          <w:tcPr>
            <w:tcW w:w="6289" w:type="dxa"/>
            <w:tcBorders>
              <w:top w:val="single" w:sz="4" w:space="0" w:color="000000"/>
              <w:left w:val="single" w:sz="4" w:space="0" w:color="000000"/>
              <w:bottom w:val="single" w:sz="4" w:space="0" w:color="000000"/>
              <w:right w:val="single" w:sz="4" w:space="0" w:color="000000"/>
            </w:tcBorders>
          </w:tcPr>
          <w:p w14:paraId="48A1CC07" w14:textId="77777777" w:rsidR="00EC3DA5" w:rsidRPr="00EC3DA5" w:rsidRDefault="00EC3DA5" w:rsidP="00EA3757">
            <w:pPr>
              <w:autoSpaceDE w:val="0"/>
              <w:autoSpaceDN w:val="0"/>
              <w:adjustRightInd w:val="0"/>
              <w:spacing w:line="226" w:lineRule="exact"/>
              <w:ind w:left="462" w:right="-20"/>
              <w:rPr>
                <w:rFonts w:ascii="Calibri" w:hAnsi="Calibri"/>
              </w:rPr>
            </w:pPr>
            <w:r w:rsidRPr="00EC3DA5">
              <w:rPr>
                <w:rFonts w:ascii="Calibri" w:hAnsi="Calibri" w:cs="Arial"/>
              </w:rPr>
              <w:t>[0, 2)</w:t>
            </w:r>
          </w:p>
        </w:tc>
        <w:tc>
          <w:tcPr>
            <w:tcW w:w="2239" w:type="dxa"/>
            <w:tcBorders>
              <w:top w:val="single" w:sz="4" w:space="0" w:color="000000"/>
              <w:left w:val="single" w:sz="4" w:space="0" w:color="000000"/>
              <w:bottom w:val="single" w:sz="4" w:space="0" w:color="000000"/>
              <w:right w:val="single" w:sz="4" w:space="0" w:color="000000"/>
            </w:tcBorders>
          </w:tcPr>
          <w:p w14:paraId="021CF918" w14:textId="77777777" w:rsidR="00EC3DA5" w:rsidRPr="00EC3DA5" w:rsidRDefault="00EC3DA5" w:rsidP="00EA3757">
            <w:pPr>
              <w:autoSpaceDE w:val="0"/>
              <w:autoSpaceDN w:val="0"/>
              <w:adjustRightInd w:val="0"/>
              <w:spacing w:line="226" w:lineRule="exact"/>
              <w:ind w:left="883" w:right="864"/>
              <w:jc w:val="center"/>
              <w:rPr>
                <w:rFonts w:ascii="Calibri" w:hAnsi="Calibri"/>
              </w:rPr>
            </w:pPr>
            <w:r w:rsidRPr="00EC3DA5">
              <w:rPr>
                <w:rFonts w:ascii="Calibri" w:hAnsi="Calibri" w:cs="Arial"/>
              </w:rPr>
              <w:t>2.21</w:t>
            </w:r>
          </w:p>
        </w:tc>
        <w:tc>
          <w:tcPr>
            <w:tcW w:w="1939" w:type="dxa"/>
            <w:tcBorders>
              <w:top w:val="single" w:sz="4" w:space="0" w:color="000000"/>
              <w:left w:val="single" w:sz="4" w:space="0" w:color="000000"/>
              <w:bottom w:val="single" w:sz="4" w:space="0" w:color="000000"/>
              <w:right w:val="single" w:sz="4" w:space="0" w:color="000000"/>
            </w:tcBorders>
          </w:tcPr>
          <w:p w14:paraId="2C8CCB50" w14:textId="77777777" w:rsidR="00EC3DA5" w:rsidRPr="00EC3DA5" w:rsidRDefault="00EC3DA5" w:rsidP="00EA3757">
            <w:pPr>
              <w:autoSpaceDE w:val="0"/>
              <w:autoSpaceDN w:val="0"/>
              <w:adjustRightInd w:val="0"/>
              <w:spacing w:line="226" w:lineRule="exact"/>
              <w:ind w:left="733" w:right="715"/>
              <w:jc w:val="center"/>
              <w:rPr>
                <w:rFonts w:ascii="Calibri" w:hAnsi="Calibri"/>
              </w:rPr>
            </w:pPr>
            <w:r w:rsidRPr="00EC3DA5">
              <w:rPr>
                <w:rFonts w:ascii="Calibri" w:hAnsi="Calibri" w:cs="Arial"/>
              </w:rPr>
              <w:t>1.85</w:t>
            </w:r>
          </w:p>
        </w:tc>
      </w:tr>
      <w:tr w:rsidR="00EC3DA5" w:rsidRPr="00EC3DA5" w14:paraId="1DF90A6A" w14:textId="77777777" w:rsidTr="00EC3DA5">
        <w:trPr>
          <w:trHeight w:hRule="exact" w:val="240"/>
        </w:trPr>
        <w:tc>
          <w:tcPr>
            <w:tcW w:w="6289" w:type="dxa"/>
            <w:tcBorders>
              <w:top w:val="single" w:sz="4" w:space="0" w:color="000000"/>
              <w:left w:val="single" w:sz="4" w:space="0" w:color="000000"/>
              <w:bottom w:val="single" w:sz="4" w:space="0" w:color="000000"/>
              <w:right w:val="single" w:sz="4" w:space="0" w:color="000000"/>
            </w:tcBorders>
          </w:tcPr>
          <w:p w14:paraId="006A1561" w14:textId="77777777" w:rsidR="00EC3DA5" w:rsidRPr="00EC3DA5" w:rsidRDefault="00EC3DA5" w:rsidP="00EA3757">
            <w:pPr>
              <w:autoSpaceDE w:val="0"/>
              <w:autoSpaceDN w:val="0"/>
              <w:adjustRightInd w:val="0"/>
              <w:spacing w:line="226" w:lineRule="exact"/>
              <w:ind w:left="462" w:right="-20"/>
              <w:rPr>
                <w:rFonts w:ascii="Calibri" w:hAnsi="Calibri"/>
              </w:rPr>
            </w:pPr>
            <w:r w:rsidRPr="00EC3DA5">
              <w:rPr>
                <w:rFonts w:ascii="Calibri" w:hAnsi="Calibri" w:cs="Arial"/>
              </w:rPr>
              <w:t>[2+</w:t>
            </w:r>
          </w:p>
        </w:tc>
        <w:tc>
          <w:tcPr>
            <w:tcW w:w="2239" w:type="dxa"/>
            <w:tcBorders>
              <w:top w:val="single" w:sz="4" w:space="0" w:color="000000"/>
              <w:left w:val="single" w:sz="4" w:space="0" w:color="000000"/>
              <w:bottom w:val="single" w:sz="4" w:space="0" w:color="000000"/>
              <w:right w:val="single" w:sz="4" w:space="0" w:color="000000"/>
            </w:tcBorders>
          </w:tcPr>
          <w:p w14:paraId="00C2D540" w14:textId="77777777" w:rsidR="00EC3DA5" w:rsidRPr="00EC3DA5" w:rsidRDefault="00EC3DA5" w:rsidP="00EA3757">
            <w:pPr>
              <w:autoSpaceDE w:val="0"/>
              <w:autoSpaceDN w:val="0"/>
              <w:adjustRightInd w:val="0"/>
              <w:spacing w:line="226" w:lineRule="exact"/>
              <w:ind w:left="883" w:right="864"/>
              <w:jc w:val="center"/>
              <w:rPr>
                <w:rFonts w:ascii="Calibri" w:hAnsi="Calibri"/>
              </w:rPr>
            </w:pPr>
            <w:r w:rsidRPr="00EC3DA5">
              <w:rPr>
                <w:rFonts w:ascii="Calibri" w:hAnsi="Calibri" w:cs="Arial"/>
              </w:rPr>
              <w:t>8.93</w:t>
            </w:r>
          </w:p>
        </w:tc>
        <w:tc>
          <w:tcPr>
            <w:tcW w:w="1939" w:type="dxa"/>
            <w:tcBorders>
              <w:top w:val="single" w:sz="4" w:space="0" w:color="000000"/>
              <w:left w:val="single" w:sz="4" w:space="0" w:color="000000"/>
              <w:bottom w:val="single" w:sz="4" w:space="0" w:color="000000"/>
              <w:right w:val="single" w:sz="4" w:space="0" w:color="000000"/>
            </w:tcBorders>
          </w:tcPr>
          <w:p w14:paraId="4D7BB5C4" w14:textId="77777777" w:rsidR="00EC3DA5" w:rsidRPr="00EC3DA5" w:rsidRDefault="00EC3DA5" w:rsidP="00EA3757">
            <w:pPr>
              <w:autoSpaceDE w:val="0"/>
              <w:autoSpaceDN w:val="0"/>
              <w:adjustRightInd w:val="0"/>
              <w:spacing w:line="226" w:lineRule="exact"/>
              <w:ind w:left="733" w:right="714"/>
              <w:jc w:val="center"/>
              <w:rPr>
                <w:rFonts w:ascii="Calibri" w:hAnsi="Calibri"/>
              </w:rPr>
            </w:pPr>
            <w:r w:rsidRPr="00EC3DA5">
              <w:rPr>
                <w:rFonts w:ascii="Calibri" w:hAnsi="Calibri" w:cs="Arial"/>
              </w:rPr>
              <w:t>8.82</w:t>
            </w:r>
          </w:p>
        </w:tc>
      </w:tr>
      <w:tr w:rsidR="00EC3DA5" w:rsidRPr="00EC3DA5" w14:paraId="097F8A88" w14:textId="77777777" w:rsidTr="00EC3DA5">
        <w:trPr>
          <w:trHeight w:hRule="exact" w:val="244"/>
        </w:trPr>
        <w:tc>
          <w:tcPr>
            <w:tcW w:w="6289" w:type="dxa"/>
            <w:tcBorders>
              <w:top w:val="single" w:sz="4" w:space="0" w:color="000000"/>
              <w:left w:val="single" w:sz="4" w:space="0" w:color="000000"/>
              <w:bottom w:val="single" w:sz="4" w:space="0" w:color="000000"/>
              <w:right w:val="single" w:sz="4" w:space="0" w:color="000000"/>
            </w:tcBorders>
          </w:tcPr>
          <w:p w14:paraId="76114671" w14:textId="77777777" w:rsidR="00EC3DA5" w:rsidRPr="00EC3DA5" w:rsidRDefault="00EC3DA5" w:rsidP="00EA3757">
            <w:pPr>
              <w:autoSpaceDE w:val="0"/>
              <w:autoSpaceDN w:val="0"/>
              <w:adjustRightInd w:val="0"/>
              <w:spacing w:line="230" w:lineRule="exact"/>
              <w:ind w:left="102" w:right="-20"/>
              <w:rPr>
                <w:rFonts w:ascii="Calibri" w:hAnsi="Calibri"/>
              </w:rPr>
            </w:pPr>
            <w:r w:rsidRPr="00EC3DA5">
              <w:rPr>
                <w:rFonts w:ascii="Calibri" w:hAnsi="Calibri" w:cs="Arial"/>
              </w:rPr>
              <w:t>Model χ</w:t>
            </w:r>
            <w:r w:rsidRPr="00EC3DA5">
              <w:rPr>
                <w:rFonts w:ascii="Calibri" w:hAnsi="Calibri" w:cs="Arial"/>
                <w:position w:val="10"/>
              </w:rPr>
              <w:t>2</w:t>
            </w:r>
            <w:r w:rsidRPr="00EC3DA5">
              <w:rPr>
                <w:rFonts w:ascii="Calibri" w:hAnsi="Calibri" w:cs="Arial"/>
                <w:spacing w:val="18"/>
                <w:position w:val="10"/>
              </w:rPr>
              <w:t xml:space="preserve"> </w:t>
            </w:r>
            <w:r w:rsidRPr="00EC3DA5">
              <w:rPr>
                <w:rFonts w:ascii="Calibri" w:hAnsi="Calibri" w:cs="Arial"/>
              </w:rPr>
              <w:t>[N</w:t>
            </w:r>
            <w:r w:rsidRPr="00EC3DA5">
              <w:rPr>
                <w:rFonts w:ascii="Calibri" w:hAnsi="Calibri" w:cs="Arial"/>
                <w:spacing w:val="-1"/>
              </w:rPr>
              <w:t>u</w:t>
            </w:r>
            <w:r w:rsidRPr="00EC3DA5">
              <w:rPr>
                <w:rFonts w:ascii="Calibri" w:hAnsi="Calibri" w:cs="Arial"/>
              </w:rPr>
              <w:t>mber of Cov</w:t>
            </w:r>
            <w:r w:rsidRPr="00EC3DA5">
              <w:rPr>
                <w:rFonts w:ascii="Calibri" w:hAnsi="Calibri" w:cs="Arial"/>
                <w:spacing w:val="-1"/>
              </w:rPr>
              <w:t>a</w:t>
            </w:r>
            <w:r w:rsidRPr="00EC3DA5">
              <w:rPr>
                <w:rFonts w:ascii="Calibri" w:hAnsi="Calibri" w:cs="Arial"/>
              </w:rPr>
              <w:t>riates</w:t>
            </w:r>
            <w:r w:rsidRPr="00EC3DA5">
              <w:rPr>
                <w:rFonts w:ascii="Calibri" w:hAnsi="Calibri" w:cs="Arial"/>
                <w:spacing w:val="11"/>
              </w:rPr>
              <w:t>]</w:t>
            </w:r>
            <w:r w:rsidRPr="00EC3DA5">
              <w:rPr>
                <w:rFonts w:ascii="Calibri" w:hAnsi="Calibri" w:cs="Arial"/>
                <w:position w:val="10"/>
              </w:rPr>
              <w:t>4</w:t>
            </w:r>
          </w:p>
        </w:tc>
        <w:tc>
          <w:tcPr>
            <w:tcW w:w="2239" w:type="dxa"/>
            <w:tcBorders>
              <w:top w:val="single" w:sz="4" w:space="0" w:color="000000"/>
              <w:left w:val="single" w:sz="4" w:space="0" w:color="000000"/>
              <w:bottom w:val="single" w:sz="4" w:space="0" w:color="000000"/>
              <w:right w:val="single" w:sz="4" w:space="0" w:color="000000"/>
            </w:tcBorders>
          </w:tcPr>
          <w:p w14:paraId="0FC85743" w14:textId="77777777" w:rsidR="00EC3DA5" w:rsidRPr="00EC3DA5" w:rsidRDefault="00EC3DA5" w:rsidP="00EA3757">
            <w:pPr>
              <w:autoSpaceDE w:val="0"/>
              <w:autoSpaceDN w:val="0"/>
              <w:adjustRightInd w:val="0"/>
              <w:ind w:left="557" w:right="-20"/>
              <w:rPr>
                <w:rFonts w:ascii="Calibri" w:hAnsi="Calibri"/>
              </w:rPr>
            </w:pPr>
            <w:r w:rsidRPr="00EC3DA5">
              <w:rPr>
                <w:rFonts w:ascii="Calibri" w:hAnsi="Calibri" w:cs="Arial"/>
              </w:rPr>
              <w:t>4448.</w:t>
            </w:r>
            <w:r w:rsidRPr="00EC3DA5">
              <w:rPr>
                <w:rFonts w:ascii="Calibri" w:hAnsi="Calibri" w:cs="Arial"/>
                <w:spacing w:val="-1"/>
              </w:rPr>
              <w:t>3</w:t>
            </w:r>
            <w:r w:rsidRPr="00EC3DA5">
              <w:rPr>
                <w:rFonts w:ascii="Calibri" w:hAnsi="Calibri" w:cs="Arial"/>
              </w:rPr>
              <w:t>6 [31]</w:t>
            </w:r>
          </w:p>
        </w:tc>
        <w:tc>
          <w:tcPr>
            <w:tcW w:w="1939" w:type="dxa"/>
            <w:tcBorders>
              <w:top w:val="single" w:sz="4" w:space="0" w:color="000000"/>
              <w:left w:val="single" w:sz="4" w:space="0" w:color="000000"/>
              <w:bottom w:val="single" w:sz="4" w:space="0" w:color="000000"/>
              <w:right w:val="single" w:sz="4" w:space="0" w:color="000000"/>
            </w:tcBorders>
          </w:tcPr>
          <w:p w14:paraId="13C862B6" w14:textId="77777777" w:rsidR="00EC3DA5" w:rsidRPr="00EC3DA5" w:rsidRDefault="00EC3DA5" w:rsidP="00EA3757">
            <w:pPr>
              <w:autoSpaceDE w:val="0"/>
              <w:autoSpaceDN w:val="0"/>
              <w:adjustRightInd w:val="0"/>
              <w:ind w:left="406" w:right="-20"/>
              <w:rPr>
                <w:rFonts w:ascii="Calibri" w:hAnsi="Calibri"/>
              </w:rPr>
            </w:pPr>
            <w:r w:rsidRPr="00EC3DA5">
              <w:rPr>
                <w:rFonts w:ascii="Calibri" w:hAnsi="Calibri" w:cs="Arial"/>
              </w:rPr>
              <w:t>3812.</w:t>
            </w:r>
            <w:r w:rsidRPr="00EC3DA5">
              <w:rPr>
                <w:rFonts w:ascii="Calibri" w:hAnsi="Calibri" w:cs="Arial"/>
                <w:spacing w:val="-1"/>
              </w:rPr>
              <w:t>6</w:t>
            </w:r>
            <w:r w:rsidRPr="00EC3DA5">
              <w:rPr>
                <w:rFonts w:ascii="Calibri" w:hAnsi="Calibri" w:cs="Arial"/>
              </w:rPr>
              <w:t>2 [31]</w:t>
            </w:r>
          </w:p>
        </w:tc>
      </w:tr>
    </w:tbl>
    <w:p w14:paraId="5B1F1079" w14:textId="77777777" w:rsidR="00BA53F6" w:rsidRDefault="00BA53F6" w:rsidP="00EE6D43">
      <w:pPr>
        <w:keepNext/>
        <w:autoSpaceDE w:val="0"/>
        <w:autoSpaceDN w:val="0"/>
        <w:adjustRightInd w:val="0"/>
        <w:spacing w:after="0" w:line="240" w:lineRule="auto"/>
      </w:pPr>
    </w:p>
    <w:p w14:paraId="59E25336" w14:textId="77777777" w:rsidR="007422FD" w:rsidRDefault="00092566" w:rsidP="00092566">
      <w:pPr>
        <w:autoSpaceDE w:val="0"/>
        <w:autoSpaceDN w:val="0"/>
        <w:adjustRightInd w:val="0"/>
        <w:spacing w:after="0" w:line="240" w:lineRule="auto"/>
        <w:rPr>
          <w:rFonts w:cstheme="minorHAnsi"/>
          <w:bCs/>
          <w:highlight w:val="yellow"/>
        </w:rPr>
      </w:pPr>
      <w:r w:rsidRPr="004912DD">
        <w:rPr>
          <w:rFonts w:cstheme="minorHAnsi"/>
          <w:b/>
          <w:bCs/>
        </w:rPr>
        <w:t>2b2.</w:t>
      </w:r>
      <w:r w:rsidR="007757CE" w:rsidRPr="004912DD">
        <w:rPr>
          <w:rFonts w:cstheme="minorHAnsi"/>
          <w:b/>
          <w:bCs/>
        </w:rPr>
        <w:t xml:space="preserve">3. </w:t>
      </w:r>
      <w:r w:rsidR="00833325" w:rsidRPr="004912DD">
        <w:rPr>
          <w:rFonts w:cstheme="minorHAnsi"/>
          <w:b/>
          <w:bCs/>
        </w:rPr>
        <w:t xml:space="preserve">What were the statistical results </w:t>
      </w:r>
      <w:r w:rsidR="007422FD" w:rsidRPr="004912DD">
        <w:rPr>
          <w:rFonts w:cstheme="minorHAnsi"/>
          <w:b/>
          <w:bCs/>
        </w:rPr>
        <w:t xml:space="preserve">from </w:t>
      </w:r>
      <w:r w:rsidR="00EC79DE" w:rsidRPr="004912DD">
        <w:rPr>
          <w:rFonts w:cstheme="minorHAnsi"/>
          <w:b/>
          <w:bCs/>
        </w:rPr>
        <w:t>validity</w:t>
      </w:r>
      <w:r w:rsidR="007422FD" w:rsidRPr="004912DD">
        <w:rPr>
          <w:rFonts w:cstheme="minorHAnsi"/>
          <w:b/>
          <w:bCs/>
        </w:rPr>
        <w:t xml:space="preserve"> testing</w:t>
      </w:r>
      <w:r w:rsidR="00833325" w:rsidRPr="004912DD">
        <w:rPr>
          <w:rFonts w:cstheme="minorHAnsi"/>
          <w:bCs/>
        </w:rPr>
        <w:t xml:space="preserve">? </w:t>
      </w:r>
      <w:r w:rsidR="00AA5213" w:rsidRPr="004912DD">
        <w:rPr>
          <w:rFonts w:cstheme="minorHAnsi"/>
          <w:bCs/>
        </w:rPr>
        <w:t>(</w:t>
      </w:r>
      <w:r w:rsidR="00AA5213" w:rsidRPr="004912DD">
        <w:rPr>
          <w:rFonts w:cstheme="minorHAnsi"/>
          <w:bCs/>
          <w:i/>
        </w:rPr>
        <w:t xml:space="preserve">e.g., correlation; </w:t>
      </w:r>
      <w:r w:rsidR="001F1DA1" w:rsidRPr="004912DD">
        <w:rPr>
          <w:rFonts w:cstheme="minorHAnsi"/>
          <w:bCs/>
          <w:i/>
        </w:rPr>
        <w:t>t-test</w:t>
      </w:r>
      <w:r w:rsidR="00AA5213" w:rsidRPr="004912DD">
        <w:rPr>
          <w:rFonts w:cstheme="minorHAnsi"/>
          <w:bCs/>
        </w:rPr>
        <w:t>)</w:t>
      </w:r>
      <w:r w:rsidR="00833325" w:rsidRPr="004912DD">
        <w:rPr>
          <w:rFonts w:cstheme="minorHAnsi"/>
          <w:bCs/>
        </w:rPr>
        <w:br/>
      </w:r>
    </w:p>
    <w:p w14:paraId="118957A2" w14:textId="0604A5A9" w:rsidR="002C3456" w:rsidRDefault="002C3456" w:rsidP="002C3456">
      <w:pPr>
        <w:pBdr>
          <w:top w:val="single" w:sz="4" w:space="1" w:color="auto"/>
          <w:left w:val="single" w:sz="4" w:space="4" w:color="auto"/>
          <w:bottom w:val="single" w:sz="4" w:space="1" w:color="auto"/>
          <w:right w:val="single" w:sz="4" w:space="4" w:color="auto"/>
        </w:pBdr>
        <w:shd w:val="clear" w:color="auto" w:fill="FFFFFF" w:themeFill="background1"/>
        <w:autoSpaceDE w:val="0"/>
        <w:autoSpaceDN w:val="0"/>
        <w:adjustRightInd w:val="0"/>
        <w:spacing w:after="0" w:line="240" w:lineRule="auto"/>
        <w:rPr>
          <w:rFonts w:cstheme="minorHAnsi"/>
          <w:bCs/>
        </w:rPr>
      </w:pPr>
      <w:r w:rsidRPr="002C3456">
        <w:rPr>
          <w:rFonts w:cstheme="minorHAnsi"/>
          <w:bCs/>
        </w:rPr>
        <w:t xml:space="preserve">The performance of the </w:t>
      </w:r>
      <w:r>
        <w:rPr>
          <w:rFonts w:cstheme="minorHAnsi"/>
          <w:bCs/>
        </w:rPr>
        <w:t>development and validation</w:t>
      </w:r>
      <w:r w:rsidRPr="002C3456">
        <w:rPr>
          <w:rFonts w:cstheme="minorHAnsi"/>
          <w:bCs/>
        </w:rPr>
        <w:t xml:space="preserve"> </w:t>
      </w:r>
      <w:r>
        <w:rPr>
          <w:rFonts w:cstheme="minorHAnsi"/>
          <w:bCs/>
        </w:rPr>
        <w:t xml:space="preserve">samples </w:t>
      </w:r>
      <w:r w:rsidRPr="002C3456">
        <w:rPr>
          <w:rFonts w:cstheme="minorHAnsi"/>
          <w:bCs/>
        </w:rPr>
        <w:t xml:space="preserve">is similar. The areas under the receiver operating characteristic (ROC) curve are </w:t>
      </w:r>
      <w:r>
        <w:rPr>
          <w:rFonts w:cstheme="minorHAnsi"/>
          <w:bCs/>
        </w:rPr>
        <w:t>0.665 and 0.663</w:t>
      </w:r>
      <w:r w:rsidRPr="002C3456">
        <w:rPr>
          <w:rFonts w:cstheme="minorHAnsi"/>
          <w:bCs/>
        </w:rPr>
        <w:t xml:space="preserve">, respectively, for the two </w:t>
      </w:r>
      <w:r w:rsidR="00EA3757">
        <w:rPr>
          <w:rFonts w:cstheme="minorHAnsi"/>
          <w:bCs/>
        </w:rPr>
        <w:t>samples</w:t>
      </w:r>
      <w:r w:rsidRPr="002C3456">
        <w:rPr>
          <w:rFonts w:cstheme="minorHAnsi"/>
          <w:bCs/>
        </w:rPr>
        <w:t xml:space="preserve">. In addition, they are similar with respect to predictive ability. For the </w:t>
      </w:r>
      <w:r>
        <w:rPr>
          <w:rFonts w:cstheme="minorHAnsi"/>
          <w:bCs/>
        </w:rPr>
        <w:t>development sample</w:t>
      </w:r>
      <w:r w:rsidRPr="002C3456">
        <w:rPr>
          <w:rFonts w:cstheme="minorHAnsi"/>
          <w:bCs/>
        </w:rPr>
        <w:t xml:space="preserve">, the predicted readmission rate ranges from </w:t>
      </w:r>
      <w:r>
        <w:rPr>
          <w:rFonts w:cstheme="minorHAnsi"/>
          <w:bCs/>
        </w:rPr>
        <w:t>4</w:t>
      </w:r>
      <w:r w:rsidRPr="002C3456">
        <w:rPr>
          <w:rFonts w:cstheme="minorHAnsi"/>
          <w:bCs/>
        </w:rPr>
        <w:t>% in t</w:t>
      </w:r>
      <w:r>
        <w:rPr>
          <w:rFonts w:cstheme="minorHAnsi"/>
          <w:bCs/>
        </w:rPr>
        <w:t>he lowest predicted decile to 25</w:t>
      </w:r>
      <w:r w:rsidRPr="002C3456">
        <w:rPr>
          <w:rFonts w:cstheme="minorHAnsi"/>
          <w:bCs/>
        </w:rPr>
        <w:t>% in the highest</w:t>
      </w:r>
      <w:r>
        <w:rPr>
          <w:rFonts w:cstheme="minorHAnsi"/>
          <w:bCs/>
        </w:rPr>
        <w:t xml:space="preserve"> predicted decile, a range of 21</w:t>
      </w:r>
      <w:r w:rsidRPr="002C3456">
        <w:rPr>
          <w:rFonts w:cstheme="minorHAnsi"/>
          <w:bCs/>
        </w:rPr>
        <w:t>%. For the</w:t>
      </w:r>
      <w:r>
        <w:rPr>
          <w:rFonts w:cstheme="minorHAnsi"/>
          <w:bCs/>
        </w:rPr>
        <w:t xml:space="preserve"> validation sample, the corresponding range is 4% to 24%, a range of 20</w:t>
      </w:r>
      <w:r w:rsidRPr="002C3456">
        <w:rPr>
          <w:rFonts w:cstheme="minorHAnsi"/>
          <w:bCs/>
        </w:rPr>
        <w:t>%.</w:t>
      </w:r>
    </w:p>
    <w:p w14:paraId="4CA60CC5" w14:textId="17C44F4B" w:rsidR="001818D1" w:rsidRDefault="002C3456" w:rsidP="002C3456">
      <w:pPr>
        <w:pBdr>
          <w:top w:val="single" w:sz="4" w:space="1" w:color="auto"/>
          <w:left w:val="single" w:sz="4" w:space="4" w:color="auto"/>
          <w:bottom w:val="single" w:sz="4" w:space="1" w:color="auto"/>
          <w:right w:val="single" w:sz="4" w:space="4" w:color="auto"/>
        </w:pBdr>
        <w:shd w:val="clear" w:color="auto" w:fill="FFFFFF" w:themeFill="background1"/>
        <w:autoSpaceDE w:val="0"/>
        <w:autoSpaceDN w:val="0"/>
        <w:adjustRightInd w:val="0"/>
        <w:spacing w:after="0" w:line="240" w:lineRule="auto"/>
        <w:rPr>
          <w:rFonts w:cstheme="minorHAnsi"/>
          <w:b/>
          <w:bCs/>
        </w:rPr>
      </w:pPr>
      <w:r>
        <w:rPr>
          <w:rFonts w:cstheme="minorHAnsi"/>
          <w:bCs/>
        </w:rPr>
        <w:t>Additionally, t</w:t>
      </w:r>
      <w:r w:rsidRPr="002C3456">
        <w:rPr>
          <w:rFonts w:cstheme="minorHAnsi"/>
          <w:bCs/>
        </w:rPr>
        <w:t>he frequencies and regression coefficients are fairly consis</w:t>
      </w:r>
      <w:r>
        <w:rPr>
          <w:rFonts w:cstheme="minorHAnsi"/>
          <w:bCs/>
        </w:rPr>
        <w:t xml:space="preserve">tent over the two years of data. Also, </w:t>
      </w:r>
      <w:r w:rsidRPr="002C3456">
        <w:rPr>
          <w:rFonts w:cstheme="minorHAnsi"/>
          <w:bCs/>
        </w:rPr>
        <w:t>there was excellent correlation between predicted and observed readmission.</w:t>
      </w:r>
      <w:r>
        <w:rPr>
          <w:rFonts w:cstheme="minorHAnsi"/>
          <w:b/>
          <w:bCs/>
          <w:highlight w:val="yellow"/>
        </w:rPr>
        <w:t xml:space="preserve"> </w:t>
      </w:r>
    </w:p>
    <w:p w14:paraId="6072AB02" w14:textId="77777777" w:rsidR="00EA3757" w:rsidRDefault="00EA3757" w:rsidP="002C3456">
      <w:pPr>
        <w:pBdr>
          <w:top w:val="single" w:sz="4" w:space="1" w:color="auto"/>
          <w:left w:val="single" w:sz="4" w:space="4" w:color="auto"/>
          <w:bottom w:val="single" w:sz="4" w:space="1" w:color="auto"/>
          <w:right w:val="single" w:sz="4" w:space="4" w:color="auto"/>
        </w:pBdr>
        <w:shd w:val="clear" w:color="auto" w:fill="FFFFFF" w:themeFill="background1"/>
        <w:autoSpaceDE w:val="0"/>
        <w:autoSpaceDN w:val="0"/>
        <w:adjustRightInd w:val="0"/>
        <w:spacing w:after="0" w:line="240" w:lineRule="auto"/>
        <w:rPr>
          <w:rFonts w:cstheme="minorHAnsi"/>
          <w:b/>
          <w:bCs/>
        </w:rPr>
      </w:pPr>
    </w:p>
    <w:p w14:paraId="2B345E85" w14:textId="5791DF12" w:rsidR="00EA3757" w:rsidRPr="00EA3757" w:rsidRDefault="00EA3757" w:rsidP="00EA3757">
      <w:pPr>
        <w:pBdr>
          <w:top w:val="single" w:sz="4" w:space="1" w:color="auto"/>
          <w:left w:val="single" w:sz="4" w:space="4" w:color="auto"/>
          <w:bottom w:val="single" w:sz="4" w:space="1" w:color="auto"/>
          <w:right w:val="single" w:sz="4" w:space="4" w:color="auto"/>
        </w:pBdr>
        <w:shd w:val="clear" w:color="auto" w:fill="FFFFFF" w:themeFill="background1"/>
        <w:autoSpaceDE w:val="0"/>
        <w:autoSpaceDN w:val="0"/>
        <w:adjustRightInd w:val="0"/>
        <w:spacing w:after="0" w:line="240" w:lineRule="auto"/>
        <w:rPr>
          <w:rFonts w:cstheme="minorHAnsi"/>
          <w:bCs/>
        </w:rPr>
      </w:pPr>
      <w:r w:rsidRPr="00EA3757">
        <w:rPr>
          <w:rFonts w:cstheme="minorHAnsi"/>
          <w:bCs/>
        </w:rPr>
        <w:lastRenderedPageBreak/>
        <w:t xml:space="preserve">We estimated hospital-level RSRRs using the corresponding hierarchical logistic regression </w:t>
      </w:r>
      <w:r>
        <w:rPr>
          <w:rFonts w:cstheme="minorHAnsi"/>
          <w:bCs/>
        </w:rPr>
        <w:t>samples</w:t>
      </w:r>
      <w:r w:rsidRPr="00EA3757">
        <w:rPr>
          <w:rFonts w:cstheme="minorHAnsi"/>
          <w:bCs/>
        </w:rPr>
        <w:t xml:space="preserve"> for the linked patient sample</w:t>
      </w:r>
      <w:r w:rsidR="002B3FDA">
        <w:rPr>
          <w:rFonts w:cstheme="minorHAnsi"/>
          <w:bCs/>
        </w:rPr>
        <w:t xml:space="preserve"> with cases performed in 2010-2011</w:t>
      </w:r>
      <w:r w:rsidRPr="00EA3757">
        <w:rPr>
          <w:rFonts w:cstheme="minorHAnsi"/>
          <w:bCs/>
        </w:rPr>
        <w:t>. We then examined the linear relationship between the two sets of estimates using regression techniques and weighting by the total number of cases in each hospital. The correlation coefficient of the standardized rates from the administrative and medical record models is 0.9</w:t>
      </w:r>
      <w:r>
        <w:rPr>
          <w:rFonts w:cstheme="minorHAnsi"/>
          <w:bCs/>
        </w:rPr>
        <w:t>99</w:t>
      </w:r>
      <w:r w:rsidRPr="00EA3757">
        <w:rPr>
          <w:rFonts w:cstheme="minorHAnsi"/>
          <w:bCs/>
        </w:rPr>
        <w:t>.</w:t>
      </w:r>
    </w:p>
    <w:p w14:paraId="131AE2FF" w14:textId="77777777" w:rsidR="00EA3757" w:rsidRDefault="00EA3757" w:rsidP="00C37AA4">
      <w:pPr>
        <w:pBdr>
          <w:top w:val="single" w:sz="4" w:space="1" w:color="auto"/>
          <w:left w:val="single" w:sz="4" w:space="4" w:color="auto"/>
          <w:bottom w:val="single" w:sz="4" w:space="1" w:color="auto"/>
          <w:right w:val="single" w:sz="4" w:space="4" w:color="auto"/>
        </w:pBdr>
        <w:shd w:val="clear" w:color="auto" w:fill="FFFFFF" w:themeFill="background1"/>
        <w:autoSpaceDE w:val="0"/>
        <w:autoSpaceDN w:val="0"/>
        <w:adjustRightInd w:val="0"/>
        <w:spacing w:after="0" w:line="240" w:lineRule="auto"/>
        <w:rPr>
          <w:rFonts w:cstheme="minorHAnsi"/>
          <w:bCs/>
        </w:rPr>
      </w:pPr>
    </w:p>
    <w:p w14:paraId="38988263" w14:textId="67240C72" w:rsidR="002C3456" w:rsidRPr="00C37AA4" w:rsidRDefault="006C4E09" w:rsidP="00C37AA4">
      <w:pPr>
        <w:pBdr>
          <w:top w:val="single" w:sz="4" w:space="1" w:color="auto"/>
          <w:left w:val="single" w:sz="4" w:space="4" w:color="auto"/>
          <w:bottom w:val="single" w:sz="4" w:space="1" w:color="auto"/>
          <w:right w:val="single" w:sz="4" w:space="4" w:color="auto"/>
        </w:pBdr>
        <w:shd w:val="clear" w:color="auto" w:fill="FFFFFF" w:themeFill="background1"/>
        <w:autoSpaceDE w:val="0"/>
        <w:autoSpaceDN w:val="0"/>
        <w:adjustRightInd w:val="0"/>
        <w:spacing w:after="0" w:line="240" w:lineRule="auto"/>
        <w:rPr>
          <w:rFonts w:cstheme="minorHAnsi"/>
          <w:bCs/>
        </w:rPr>
      </w:pPr>
      <w:r w:rsidRPr="006C4E09">
        <w:rPr>
          <w:rFonts w:cstheme="minorHAnsi"/>
          <w:bCs/>
        </w:rPr>
        <w:t>The c-statistic for the 2010, Version 4 model was 0.680. This is a negligible change from the 2008, Version 3 model, which had a c-statistic of 0.676. Odds ratios in both data years are comparable, further indicating that model performance was not significantly altered by re-specification to Version 4 variables. The current model can use the Version 4 registry data.</w:t>
      </w:r>
    </w:p>
    <w:p w14:paraId="5101B9B1" w14:textId="77777777" w:rsidR="002B5FF4" w:rsidRDefault="002B5FF4" w:rsidP="002C3456">
      <w:pPr>
        <w:keepNext/>
        <w:autoSpaceDE w:val="0"/>
        <w:autoSpaceDN w:val="0"/>
        <w:adjustRightInd w:val="0"/>
        <w:spacing w:after="0" w:line="240" w:lineRule="auto"/>
      </w:pPr>
    </w:p>
    <w:p w14:paraId="1944CE84" w14:textId="37C116C5" w:rsidR="007422FD" w:rsidRDefault="00092566" w:rsidP="00DB3627">
      <w:pPr>
        <w:autoSpaceDE w:val="0"/>
        <w:autoSpaceDN w:val="0"/>
        <w:adjustRightInd w:val="0"/>
        <w:spacing w:after="0" w:line="240" w:lineRule="auto"/>
        <w:rPr>
          <w:rFonts w:cstheme="minorHAnsi"/>
          <w:bCs/>
        </w:rPr>
      </w:pPr>
      <w:r w:rsidRPr="004912DD">
        <w:rPr>
          <w:rFonts w:cstheme="minorHAnsi"/>
          <w:b/>
          <w:bCs/>
        </w:rPr>
        <w:t>2b2.</w:t>
      </w:r>
      <w:r w:rsidR="007757CE" w:rsidRPr="004912DD">
        <w:rPr>
          <w:rFonts w:cstheme="minorHAnsi"/>
          <w:b/>
          <w:bCs/>
        </w:rPr>
        <w:t xml:space="preserve">4. </w:t>
      </w:r>
      <w:r w:rsidR="000B2DF7" w:rsidRPr="004912DD">
        <w:rPr>
          <w:rFonts w:cstheme="minorHAnsi"/>
          <w:b/>
          <w:bCs/>
        </w:rPr>
        <w:t xml:space="preserve">What is your interpretation of the results </w:t>
      </w:r>
      <w:r w:rsidR="007422FD" w:rsidRPr="004912DD">
        <w:rPr>
          <w:rFonts w:cstheme="minorHAnsi"/>
          <w:b/>
          <w:bCs/>
        </w:rPr>
        <w:t>in terms of demonstrating validity</w:t>
      </w:r>
      <w:r w:rsidR="007422FD" w:rsidRPr="004912DD">
        <w:rPr>
          <w:rFonts w:cstheme="minorHAnsi"/>
          <w:bCs/>
        </w:rPr>
        <w:t xml:space="preserve">? </w:t>
      </w:r>
      <w:r w:rsidR="000B2DF7" w:rsidRPr="004912DD">
        <w:rPr>
          <w:rFonts w:cstheme="minorHAnsi"/>
          <w:bCs/>
        </w:rPr>
        <w:t>(i</w:t>
      </w:r>
      <w:r w:rsidR="000B2DF7" w:rsidRPr="004912DD">
        <w:rPr>
          <w:rFonts w:cstheme="minorHAnsi"/>
          <w:bCs/>
          <w:i/>
        </w:rPr>
        <w:t>.e., what do the results mean and what are the norms for the test conducted</w:t>
      </w:r>
      <w:r w:rsidR="00A25024" w:rsidRPr="004912DD">
        <w:rPr>
          <w:rFonts w:cstheme="minorHAnsi"/>
          <w:bCs/>
          <w:i/>
        </w:rPr>
        <w:t>?</w:t>
      </w:r>
      <w:r w:rsidR="000B2DF7" w:rsidRPr="004912DD">
        <w:rPr>
          <w:rFonts w:cstheme="minorHAnsi"/>
          <w:bCs/>
        </w:rPr>
        <w:t>)</w:t>
      </w:r>
    </w:p>
    <w:p w14:paraId="1DE2F3A7" w14:textId="7CCFBC2D" w:rsidR="004912DD" w:rsidRDefault="004912DD" w:rsidP="001E7AD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BE571A">
        <w:rPr>
          <w:rFonts w:cstheme="minorHAnsi"/>
          <w:bCs/>
        </w:rPr>
        <w:t>The audits conducted by the ACC support the overall validity of the data elements  included in this measure. The data elements used for risk adjustment were consistently found for all patients and were accurately extracted from the medical record.</w:t>
      </w:r>
      <w:r w:rsidR="001F7ECC">
        <w:rPr>
          <w:rFonts w:cstheme="minorHAnsi"/>
          <w:bCs/>
        </w:rPr>
        <w:t xml:space="preserve"> </w:t>
      </w:r>
    </w:p>
    <w:p w14:paraId="37F6D318" w14:textId="77777777" w:rsidR="002B5FF4" w:rsidRDefault="002B5FF4" w:rsidP="001E7AD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130D1E35" w14:textId="79C535F7" w:rsidR="002B5FF4" w:rsidRPr="002B5FF4" w:rsidRDefault="002B5FF4" w:rsidP="001E7ADF">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rPr>
      </w:pPr>
      <w:r>
        <w:rPr>
          <w:rFonts w:cstheme="minorHAnsi"/>
        </w:rPr>
        <w:t>Additionally, t</w:t>
      </w:r>
      <w:r w:rsidRPr="00D0367A">
        <w:rPr>
          <w:rFonts w:cstheme="minorHAnsi"/>
        </w:rPr>
        <w:t>he</w:t>
      </w:r>
      <w:r w:rsidRPr="00D0367A">
        <w:rPr>
          <w:rFonts w:cstheme="minorHAnsi"/>
          <w:i/>
        </w:rPr>
        <w:t xml:space="preserve"> </w:t>
      </w:r>
      <w:r w:rsidRPr="00D0367A">
        <w:rPr>
          <w:rFonts w:cstheme="minorHAnsi"/>
        </w:rPr>
        <w:t xml:space="preserve">results between the </w:t>
      </w:r>
      <w:r>
        <w:rPr>
          <w:rFonts w:cstheme="minorHAnsi"/>
        </w:rPr>
        <w:t>development and validation samples</w:t>
      </w:r>
      <w:r w:rsidRPr="00D0367A">
        <w:rPr>
          <w:rFonts w:cstheme="minorHAnsi"/>
        </w:rPr>
        <w:t xml:space="preserve"> proved to be similar in each of the model testing that was performed. The RO</w:t>
      </w:r>
      <w:r>
        <w:rPr>
          <w:rFonts w:cstheme="minorHAnsi"/>
        </w:rPr>
        <w:t xml:space="preserve">C results were nearly identical. </w:t>
      </w:r>
      <w:r w:rsidRPr="00D0367A">
        <w:rPr>
          <w:rFonts w:cstheme="minorHAnsi"/>
        </w:rPr>
        <w:t>The correlation between the resulting RSRRs calculated from both models was 0.9</w:t>
      </w:r>
      <w:r>
        <w:rPr>
          <w:rFonts w:cstheme="minorHAnsi"/>
        </w:rPr>
        <w:t>99</w:t>
      </w:r>
      <w:r w:rsidRPr="00D0367A">
        <w:rPr>
          <w:rFonts w:cstheme="minorHAnsi"/>
        </w:rPr>
        <w:t xml:space="preserve"> which </w:t>
      </w:r>
      <w:r>
        <w:rPr>
          <w:rFonts w:cstheme="minorHAnsi"/>
        </w:rPr>
        <w:t>demonstrates observed readmission is similar to predicted readmission.</w:t>
      </w:r>
      <w:r w:rsidRPr="00D0367A">
        <w:rPr>
          <w:rFonts w:cstheme="minorHAnsi"/>
        </w:rPr>
        <w:t xml:space="preserve">  </w:t>
      </w:r>
    </w:p>
    <w:p w14:paraId="640EADB2"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222A796E" w14:textId="77777777" w:rsidR="00097012" w:rsidRPr="00912A31"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w:t>
      </w:r>
      <w:r w:rsidR="00356BAD" w:rsidRPr="00912A31">
        <w:rPr>
          <w:rFonts w:cstheme="minorHAnsi"/>
          <w:b/>
          <w:bCs/>
        </w:rPr>
        <w:t>ALYSIS</w:t>
      </w:r>
    </w:p>
    <w:p w14:paraId="52813CCA" w14:textId="77777777" w:rsidR="00B037BA" w:rsidRPr="00A25024" w:rsidRDefault="001E4DD4" w:rsidP="00DB3627">
      <w:pPr>
        <w:autoSpaceDE w:val="0"/>
        <w:autoSpaceDN w:val="0"/>
        <w:adjustRightInd w:val="0"/>
        <w:spacing w:after="0" w:line="240" w:lineRule="auto"/>
        <w:rPr>
          <w:rFonts w:cstheme="minorHAnsi"/>
          <w:b/>
          <w:bCs/>
        </w:rPr>
      </w:pPr>
      <w:r w:rsidRPr="00912A31">
        <w:rPr>
          <w:rFonts w:eastAsia="MS Gothic" w:cstheme="minorHAnsi"/>
          <w:b/>
          <w:bCs/>
        </w:rPr>
        <w:t>NA</w:t>
      </w:r>
      <w:r w:rsidRPr="00912A31">
        <w:rPr>
          <w:rFonts w:eastAsia="MS Gothic" w:cstheme="minorHAnsi"/>
          <w:b/>
          <w:bCs/>
          <w:color w:val="0000FF"/>
        </w:rPr>
        <w:t xml:space="preserve"> </w:t>
      </w:r>
      <w:sdt>
        <w:sdtPr>
          <w:rPr>
            <w:rFonts w:cstheme="minorHAnsi"/>
            <w:bCs/>
            <w:color w:val="0000FF"/>
          </w:rPr>
          <w:id w:val="854622499"/>
          <w14:checkbox>
            <w14:checked w14:val="0"/>
            <w14:checkedState w14:val="2612" w14:font="メイリオ"/>
            <w14:uncheckedState w14:val="2610" w14:font="メイリオ"/>
          </w14:checkbox>
        </w:sdtPr>
        <w:sdtContent>
          <w:r w:rsidR="00882F4A" w:rsidRPr="00912A31">
            <w:rPr>
              <w:rFonts w:ascii="Meiryo" w:eastAsia="Meiryo" w:hAnsi="Meiryo" w:cs="Meiryo" w:hint="eastAsia"/>
              <w:bCs/>
              <w:color w:val="0000FF"/>
            </w:rPr>
            <w:t>☐</w:t>
          </w:r>
        </w:sdtContent>
      </w:sdt>
      <w:r w:rsidRPr="00912A31">
        <w:rPr>
          <w:rFonts w:eastAsia="MS Gothic" w:cstheme="minorHAnsi"/>
          <w:b/>
          <w:bCs/>
          <w:color w:val="0000FF"/>
        </w:rPr>
        <w:t xml:space="preserve"> </w:t>
      </w:r>
      <w:r w:rsidR="00484120" w:rsidRPr="00912A31">
        <w:rPr>
          <w:rFonts w:cstheme="minorHAnsi"/>
          <w:b/>
          <w:bCs/>
        </w:rPr>
        <w:t>no exclusions</w:t>
      </w:r>
      <w:r w:rsidRPr="00912A31">
        <w:rPr>
          <w:rFonts w:cstheme="minorHAnsi"/>
          <w:b/>
          <w:bCs/>
        </w:rPr>
        <w:t xml:space="preserve"> </w:t>
      </w:r>
      <w:r w:rsidRPr="00912A31">
        <w:rPr>
          <w:rFonts w:eastAsia="MS Gothic" w:cstheme="minorHAnsi"/>
          <w:b/>
          <w:bCs/>
          <w:color w:val="0000FF"/>
        </w:rPr>
        <w:t>—</w:t>
      </w:r>
      <w:r w:rsidRPr="00912A31">
        <w:rPr>
          <w:rFonts w:cstheme="minorHAnsi"/>
          <w:b/>
          <w:bCs/>
          <w:i/>
        </w:rPr>
        <w:t xml:space="preserve"> </w:t>
      </w:r>
      <w:r w:rsidR="00B037BA" w:rsidRPr="00912A31">
        <w:rPr>
          <w:rFonts w:cstheme="minorHAnsi"/>
          <w:b/>
          <w:bCs/>
          <w:i/>
        </w:rPr>
        <w:t xml:space="preserve">skip </w:t>
      </w:r>
      <w:r w:rsidR="008A4C13" w:rsidRPr="00912A31">
        <w:rPr>
          <w:rFonts w:cstheme="minorHAnsi"/>
          <w:b/>
          <w:bCs/>
          <w:i/>
        </w:rPr>
        <w:t xml:space="preserve">to </w:t>
      </w:r>
      <w:r w:rsidR="00BE592D" w:rsidRPr="00912A31">
        <w:rPr>
          <w:rFonts w:cstheme="minorHAnsi"/>
          <w:b/>
          <w:bCs/>
          <w:i/>
        </w:rPr>
        <w:t xml:space="preserve">section </w:t>
      </w:r>
      <w:hyperlink w:anchor="section2b4" w:history="1">
        <w:r w:rsidR="00483E94" w:rsidRPr="00912A31">
          <w:rPr>
            <w:rStyle w:val="Hyperlink"/>
            <w:rFonts w:cstheme="minorHAnsi"/>
            <w:b/>
            <w:bCs/>
            <w:i/>
          </w:rPr>
          <w:t>2b</w:t>
        </w:r>
        <w:r w:rsidR="00AC1D8E" w:rsidRPr="00912A31">
          <w:rPr>
            <w:rStyle w:val="Hyperlink"/>
            <w:rFonts w:cstheme="minorHAnsi"/>
            <w:b/>
            <w:bCs/>
            <w:i/>
          </w:rPr>
          <w:t>4</w:t>
        </w:r>
      </w:hyperlink>
    </w:p>
    <w:p w14:paraId="54154747" w14:textId="77777777" w:rsidR="00882F4A"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p>
    <w:p w14:paraId="64F0C926" w14:textId="77777777" w:rsidR="00EA3757" w:rsidRPr="002057AD" w:rsidRDefault="00EA3757" w:rsidP="00EA3757">
      <w:pPr>
        <w:pBdr>
          <w:top w:val="single" w:sz="4" w:space="1" w:color="auto"/>
          <w:left w:val="single" w:sz="4" w:space="4" w:color="auto"/>
          <w:bottom w:val="single" w:sz="4" w:space="1" w:color="auto"/>
          <w:right w:val="single" w:sz="4" w:space="4" w:color="auto"/>
        </w:pBdr>
        <w:shd w:val="clear" w:color="auto" w:fill="FFFFFF"/>
        <w:spacing w:line="240" w:lineRule="auto"/>
        <w:contextualSpacing/>
        <w:rPr>
          <w:rFonts w:cstheme="minorHAnsi"/>
          <w:bCs/>
        </w:rPr>
      </w:pPr>
      <w:r w:rsidRPr="002057AD">
        <w:rPr>
          <w:rFonts w:cstheme="minorHAnsi"/>
          <w:bCs/>
        </w:rPr>
        <w:t xml:space="preserve">All exclusions were determined by careful clinical review and have been made based on clinically relevant decisions. </w:t>
      </w:r>
      <w:r w:rsidRPr="00DB215E">
        <w:rPr>
          <w:bCs/>
        </w:rPr>
        <w:t xml:space="preserve">To ascertain impact of exclusions on the cohort, we examined overall frequencies and proportions of the total cohort excluded for each exclusion criterion. </w:t>
      </w:r>
      <w:r w:rsidRPr="002057AD">
        <w:rPr>
          <w:rFonts w:cstheme="minorHAnsi"/>
          <w:bCs/>
        </w:rPr>
        <w:t>These exclusions are consistent with similar NQF-endorsed readmission measures.</w:t>
      </w:r>
      <w:r>
        <w:rPr>
          <w:rFonts w:cstheme="minorHAnsi"/>
          <w:bCs/>
        </w:rPr>
        <w:t xml:space="preserve"> </w:t>
      </w:r>
      <w:r w:rsidRPr="00DB215E">
        <w:rPr>
          <w:bCs/>
        </w:rPr>
        <w:t xml:space="preserve">Rationales for the exclusions are detailed in </w:t>
      </w:r>
      <w:r>
        <w:rPr>
          <w:bCs/>
        </w:rPr>
        <w:t>data field S.10 (</w:t>
      </w:r>
      <w:r w:rsidRPr="00DB215E">
        <w:rPr>
          <w:bCs/>
        </w:rPr>
        <w:t>Denominator Exclusions</w:t>
      </w:r>
      <w:r>
        <w:rPr>
          <w:bCs/>
        </w:rPr>
        <w:t>).</w:t>
      </w:r>
    </w:p>
    <w:p w14:paraId="219D8910" w14:textId="77777777" w:rsidR="00833325" w:rsidRPr="00A25024" w:rsidRDefault="00833325" w:rsidP="00DB3627">
      <w:pPr>
        <w:autoSpaceDE w:val="0"/>
        <w:autoSpaceDN w:val="0"/>
        <w:adjustRightInd w:val="0"/>
        <w:spacing w:after="0" w:line="240" w:lineRule="auto"/>
        <w:rPr>
          <w:rFonts w:cstheme="minorHAnsi"/>
          <w:bCs/>
        </w:rPr>
      </w:pPr>
    </w:p>
    <w:p w14:paraId="339FE149" w14:textId="77777777" w:rsidR="00346286" w:rsidRDefault="00092566" w:rsidP="00EC3DA5">
      <w:pPr>
        <w:spacing w:after="120" w:line="240" w:lineRule="auto"/>
        <w:rPr>
          <w:rFonts w:cstheme="minorHAnsi"/>
          <w:bCs/>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14:paraId="20417825" w14:textId="77A89211" w:rsidR="00116191" w:rsidRDefault="00116191" w:rsidP="00034DD7">
      <w:pPr>
        <w:pBdr>
          <w:top w:val="single" w:sz="4" w:space="1" w:color="auto"/>
          <w:left w:val="single" w:sz="4" w:space="4" w:color="auto"/>
          <w:bottom w:val="single" w:sz="4" w:space="1" w:color="auto"/>
          <w:right w:val="single" w:sz="4" w:space="4" w:color="auto"/>
        </w:pBdr>
        <w:spacing w:after="0" w:line="240" w:lineRule="auto"/>
        <w:rPr>
          <w:rFonts w:cstheme="minorHAnsi"/>
        </w:rPr>
      </w:pPr>
      <w:r>
        <w:rPr>
          <w:rFonts w:cstheme="minorHAnsi"/>
        </w:rPr>
        <w:t>We</w:t>
      </w:r>
      <w:r w:rsidRPr="00116191">
        <w:rPr>
          <w:rFonts w:cstheme="minorHAnsi"/>
        </w:rPr>
        <w:t xml:space="preserve"> examined overall frequencies and proportions of the admissions excluded for each exclusion criterion in </w:t>
      </w:r>
      <w:r>
        <w:rPr>
          <w:rFonts w:cstheme="minorHAnsi"/>
        </w:rPr>
        <w:t>the most recent data (2010-2011). The initial sample without exclusions included 395,665 admissions to 1,203 hospitals. After applying the exclusion criteria as outlined in</w:t>
      </w:r>
      <w:r w:rsidR="003B704C">
        <w:rPr>
          <w:rFonts w:cstheme="minorHAnsi"/>
        </w:rPr>
        <w:t xml:space="preserve"> </w:t>
      </w:r>
      <w:r w:rsidR="003B704C">
        <w:rPr>
          <w:rFonts w:cstheme="minorHAnsi"/>
        </w:rPr>
        <w:fldChar w:fldCharType="begin"/>
      </w:r>
      <w:r w:rsidR="003B704C">
        <w:rPr>
          <w:rFonts w:cstheme="minorHAnsi"/>
        </w:rPr>
        <w:instrText xml:space="preserve"> REF _Ref379201718 \h </w:instrText>
      </w:r>
      <w:r w:rsidR="003B704C">
        <w:rPr>
          <w:rFonts w:cstheme="minorHAnsi"/>
        </w:rPr>
      </w:r>
      <w:r w:rsidR="003B704C">
        <w:rPr>
          <w:rFonts w:cstheme="minorHAnsi"/>
        </w:rPr>
        <w:fldChar w:fldCharType="separate"/>
      </w:r>
      <w:r w:rsidR="003B704C">
        <w:t xml:space="preserve">Table </w:t>
      </w:r>
      <w:r w:rsidR="003B704C">
        <w:rPr>
          <w:noProof/>
        </w:rPr>
        <w:t>3</w:t>
      </w:r>
      <w:r w:rsidR="003B704C">
        <w:rPr>
          <w:rFonts w:cstheme="minorHAnsi"/>
        </w:rPr>
        <w:fldChar w:fldCharType="end"/>
      </w:r>
      <w:r>
        <w:rPr>
          <w:rFonts w:cstheme="minorHAnsi"/>
        </w:rPr>
        <w:t xml:space="preserve">, the 2010-2011 study sample included 277,212 patients admitted to 1,197 hospitals. </w:t>
      </w:r>
    </w:p>
    <w:p w14:paraId="337D3B7C" w14:textId="47C2257B" w:rsidR="00890CE3" w:rsidRDefault="00890CE3" w:rsidP="00EA3757">
      <w:pPr>
        <w:pStyle w:val="Caption"/>
        <w:spacing w:after="0"/>
      </w:pPr>
      <w:bookmarkStart w:id="13" w:name="_Ref379201718"/>
      <w:r>
        <w:t xml:space="preserve">Table </w:t>
      </w:r>
      <w:fldSimple w:instr=" SEQ Table \* ARABIC ">
        <w:r w:rsidR="00EC3DA5">
          <w:rPr>
            <w:noProof/>
          </w:rPr>
          <w:t>3</w:t>
        </w:r>
      </w:fldSimple>
      <w:bookmarkEnd w:id="13"/>
      <w:r>
        <w:t xml:space="preserve">. </w:t>
      </w:r>
      <w:r w:rsidRPr="00890CE3">
        <w:rPr>
          <w:b w:val="0"/>
        </w:rPr>
        <w:t xml:space="preserve">Exclusions from the target population for </w:t>
      </w:r>
      <w:r w:rsidR="009644C5">
        <w:rPr>
          <w:b w:val="0"/>
        </w:rPr>
        <w:t xml:space="preserve">the </w:t>
      </w:r>
      <w:r w:rsidRPr="00890CE3">
        <w:rPr>
          <w:b w:val="0"/>
        </w:rPr>
        <w:t>combined 2010-2011 study sample.</w:t>
      </w:r>
    </w:p>
    <w:tbl>
      <w:tblPr>
        <w:tblW w:w="10957"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
        <w:gridCol w:w="5865"/>
        <w:gridCol w:w="331"/>
        <w:gridCol w:w="583"/>
        <w:gridCol w:w="584"/>
        <w:gridCol w:w="572"/>
        <w:gridCol w:w="11"/>
        <w:gridCol w:w="583"/>
        <w:gridCol w:w="583"/>
        <w:gridCol w:w="583"/>
        <w:gridCol w:w="310"/>
        <w:gridCol w:w="274"/>
        <w:gridCol w:w="583"/>
        <w:gridCol w:w="80"/>
      </w:tblGrid>
      <w:tr w:rsidR="00B5408B" w:rsidRPr="00C8458C" w14:paraId="0F8B7333" w14:textId="77777777" w:rsidTr="00966EC9">
        <w:trPr>
          <w:gridBefore w:val="1"/>
          <w:gridAfter w:val="3"/>
          <w:wBefore w:w="15" w:type="dxa"/>
          <w:wAfter w:w="937" w:type="dxa"/>
          <w:trHeight w:val="255"/>
        </w:trPr>
        <w:tc>
          <w:tcPr>
            <w:tcW w:w="5865" w:type="dxa"/>
            <w:vMerge w:val="restart"/>
            <w:shd w:val="clear" w:color="auto" w:fill="D9D9D9" w:themeFill="background1" w:themeFillShade="D9"/>
            <w:noWrap/>
            <w:vAlign w:val="center"/>
            <w:hideMark/>
          </w:tcPr>
          <w:p w14:paraId="7E430D65" w14:textId="77777777" w:rsidR="00B5408B" w:rsidRPr="00C8458C" w:rsidRDefault="00B5408B" w:rsidP="0098496A">
            <w:pPr>
              <w:spacing w:after="0" w:line="240" w:lineRule="auto"/>
              <w:rPr>
                <w:rFonts w:ascii="Calibri" w:eastAsia="Times New Roman" w:hAnsi="Calibri" w:cs="Times New Roman"/>
                <w:b/>
                <w:bCs/>
              </w:rPr>
            </w:pPr>
            <w:r w:rsidRPr="00C8458C">
              <w:rPr>
                <w:rFonts w:ascii="Calibri" w:eastAsia="Times New Roman" w:hAnsi="Calibri" w:cs="Times New Roman"/>
                <w:b/>
                <w:bCs/>
              </w:rPr>
              <w:t>Exclusions</w:t>
            </w:r>
          </w:p>
        </w:tc>
        <w:tc>
          <w:tcPr>
            <w:tcW w:w="4140" w:type="dxa"/>
            <w:gridSpan w:val="9"/>
            <w:shd w:val="clear" w:color="auto" w:fill="D9D9D9" w:themeFill="background1" w:themeFillShade="D9"/>
            <w:noWrap/>
            <w:vAlign w:val="center"/>
            <w:hideMark/>
          </w:tcPr>
          <w:p w14:paraId="57DB34F5" w14:textId="2015314C" w:rsidR="00B5408B" w:rsidRPr="00C8458C" w:rsidRDefault="00B5408B" w:rsidP="0098496A">
            <w:pPr>
              <w:spacing w:after="0" w:line="240" w:lineRule="auto"/>
              <w:jc w:val="center"/>
              <w:rPr>
                <w:rFonts w:ascii="Calibri" w:eastAsia="Times New Roman" w:hAnsi="Calibri" w:cs="Times New Roman"/>
                <w:b/>
                <w:bCs/>
              </w:rPr>
            </w:pPr>
            <w:r w:rsidRPr="00C8458C">
              <w:rPr>
                <w:rFonts w:ascii="Calibri" w:eastAsia="Times New Roman" w:hAnsi="Calibri" w:cs="Times New Roman"/>
                <w:b/>
                <w:bCs/>
              </w:rPr>
              <w:t>2010-2011</w:t>
            </w:r>
          </w:p>
        </w:tc>
      </w:tr>
      <w:tr w:rsidR="00B5408B" w:rsidRPr="00C8458C" w14:paraId="56D8039F" w14:textId="77777777" w:rsidTr="00966EC9">
        <w:trPr>
          <w:gridBefore w:val="1"/>
          <w:gridAfter w:val="3"/>
          <w:wBefore w:w="15" w:type="dxa"/>
          <w:wAfter w:w="937" w:type="dxa"/>
          <w:trHeight w:val="255"/>
        </w:trPr>
        <w:tc>
          <w:tcPr>
            <w:tcW w:w="5865" w:type="dxa"/>
            <w:vMerge/>
            <w:shd w:val="clear" w:color="auto" w:fill="D9D9D9" w:themeFill="background1" w:themeFillShade="D9"/>
            <w:vAlign w:val="center"/>
            <w:hideMark/>
          </w:tcPr>
          <w:p w14:paraId="73CF16FC" w14:textId="77777777" w:rsidR="00B5408B" w:rsidRPr="00C8458C" w:rsidRDefault="00B5408B" w:rsidP="0098496A">
            <w:pPr>
              <w:spacing w:after="0" w:line="240" w:lineRule="auto"/>
              <w:rPr>
                <w:rFonts w:ascii="Calibri" w:eastAsia="Times New Roman" w:hAnsi="Calibri" w:cs="Times New Roman"/>
                <w:b/>
                <w:bCs/>
              </w:rPr>
            </w:pPr>
          </w:p>
        </w:tc>
        <w:tc>
          <w:tcPr>
            <w:tcW w:w="2070" w:type="dxa"/>
            <w:gridSpan w:val="4"/>
            <w:shd w:val="clear" w:color="auto" w:fill="D9D9D9" w:themeFill="background1" w:themeFillShade="D9"/>
            <w:noWrap/>
            <w:vAlign w:val="center"/>
            <w:hideMark/>
          </w:tcPr>
          <w:p w14:paraId="431CBE25" w14:textId="77777777" w:rsidR="00B5408B" w:rsidRPr="00C8458C" w:rsidRDefault="00B5408B" w:rsidP="0098496A">
            <w:pPr>
              <w:spacing w:after="0" w:line="240" w:lineRule="auto"/>
              <w:jc w:val="center"/>
              <w:rPr>
                <w:rFonts w:ascii="Calibri" w:eastAsia="Times New Roman" w:hAnsi="Calibri" w:cs="Times New Roman"/>
                <w:b/>
                <w:bCs/>
              </w:rPr>
            </w:pPr>
            <w:r w:rsidRPr="00C8458C">
              <w:rPr>
                <w:rFonts w:ascii="Calibri" w:eastAsia="Times New Roman" w:hAnsi="Calibri" w:cs="Times New Roman"/>
                <w:b/>
                <w:bCs/>
              </w:rPr>
              <w:t>Patient Stay</w:t>
            </w:r>
          </w:p>
        </w:tc>
        <w:tc>
          <w:tcPr>
            <w:tcW w:w="2070" w:type="dxa"/>
            <w:gridSpan w:val="5"/>
            <w:shd w:val="clear" w:color="auto" w:fill="D9D9D9" w:themeFill="background1" w:themeFillShade="D9"/>
            <w:noWrap/>
            <w:vAlign w:val="center"/>
            <w:hideMark/>
          </w:tcPr>
          <w:p w14:paraId="40B76630" w14:textId="77777777" w:rsidR="00B5408B" w:rsidRPr="00C8458C" w:rsidRDefault="00B5408B" w:rsidP="0098496A">
            <w:pPr>
              <w:spacing w:after="0" w:line="240" w:lineRule="auto"/>
              <w:jc w:val="center"/>
              <w:rPr>
                <w:rFonts w:ascii="Calibri" w:eastAsia="Times New Roman" w:hAnsi="Calibri" w:cs="Times New Roman"/>
                <w:b/>
                <w:bCs/>
              </w:rPr>
            </w:pPr>
            <w:r w:rsidRPr="00C8458C">
              <w:rPr>
                <w:rFonts w:ascii="Calibri" w:eastAsia="Times New Roman" w:hAnsi="Calibri" w:cs="Times New Roman"/>
                <w:b/>
                <w:bCs/>
              </w:rPr>
              <w:t>Hospitals</w:t>
            </w:r>
          </w:p>
        </w:tc>
      </w:tr>
      <w:tr w:rsidR="00B5408B" w:rsidRPr="00C8458C" w14:paraId="7BB8849E" w14:textId="77777777" w:rsidTr="00966EC9">
        <w:trPr>
          <w:gridBefore w:val="1"/>
          <w:gridAfter w:val="3"/>
          <w:wBefore w:w="15" w:type="dxa"/>
          <w:wAfter w:w="937" w:type="dxa"/>
          <w:trHeight w:val="255"/>
        </w:trPr>
        <w:tc>
          <w:tcPr>
            <w:tcW w:w="5865" w:type="dxa"/>
            <w:vMerge/>
            <w:shd w:val="clear" w:color="auto" w:fill="D9D9D9" w:themeFill="background1" w:themeFillShade="D9"/>
            <w:vAlign w:val="center"/>
            <w:hideMark/>
          </w:tcPr>
          <w:p w14:paraId="380FCFD7" w14:textId="77777777" w:rsidR="00B5408B" w:rsidRPr="00C8458C" w:rsidRDefault="00B5408B" w:rsidP="0098496A">
            <w:pPr>
              <w:spacing w:after="0" w:line="240" w:lineRule="auto"/>
              <w:rPr>
                <w:rFonts w:ascii="Calibri" w:eastAsia="Times New Roman" w:hAnsi="Calibri" w:cs="Times New Roman"/>
                <w:b/>
                <w:bCs/>
              </w:rPr>
            </w:pPr>
          </w:p>
        </w:tc>
        <w:tc>
          <w:tcPr>
            <w:tcW w:w="2070" w:type="dxa"/>
            <w:gridSpan w:val="4"/>
            <w:shd w:val="clear" w:color="auto" w:fill="D9D9D9" w:themeFill="background1" w:themeFillShade="D9"/>
            <w:noWrap/>
            <w:hideMark/>
          </w:tcPr>
          <w:p w14:paraId="5CD9174A" w14:textId="4EDDEC35" w:rsidR="00B5408B" w:rsidRPr="00C8458C" w:rsidRDefault="00B5408B" w:rsidP="00B5408B">
            <w:pPr>
              <w:spacing w:after="0" w:line="240" w:lineRule="auto"/>
              <w:jc w:val="center"/>
              <w:rPr>
                <w:rFonts w:ascii="Calibri" w:eastAsia="Times New Roman" w:hAnsi="Calibri" w:cs="Times New Roman"/>
                <w:b/>
                <w:bCs/>
              </w:rPr>
            </w:pPr>
            <w:r w:rsidRPr="00C8458C">
              <w:rPr>
                <w:rFonts w:ascii="Calibri" w:eastAsia="Times New Roman" w:hAnsi="Calibri" w:cs="Times New Roman"/>
                <w:b/>
                <w:bCs/>
              </w:rPr>
              <w:t># (%)</w:t>
            </w:r>
          </w:p>
        </w:tc>
        <w:tc>
          <w:tcPr>
            <w:tcW w:w="2070" w:type="dxa"/>
            <w:gridSpan w:val="5"/>
            <w:shd w:val="clear" w:color="auto" w:fill="D9D9D9" w:themeFill="background1" w:themeFillShade="D9"/>
            <w:noWrap/>
            <w:hideMark/>
          </w:tcPr>
          <w:p w14:paraId="5852CE13" w14:textId="05C755A0" w:rsidR="00B5408B" w:rsidRPr="00C8458C" w:rsidRDefault="00B5408B" w:rsidP="00E83D9D">
            <w:pPr>
              <w:spacing w:after="0" w:line="240" w:lineRule="auto"/>
              <w:jc w:val="center"/>
              <w:rPr>
                <w:rFonts w:ascii="Calibri" w:eastAsia="Times New Roman" w:hAnsi="Calibri" w:cs="Times New Roman"/>
                <w:b/>
                <w:bCs/>
              </w:rPr>
            </w:pPr>
            <w:r w:rsidRPr="00C8458C">
              <w:rPr>
                <w:rFonts w:ascii="Calibri" w:eastAsia="Times New Roman" w:hAnsi="Calibri" w:cs="Times New Roman"/>
                <w:b/>
                <w:bCs/>
              </w:rPr>
              <w:t>#</w:t>
            </w:r>
            <w:r w:rsidR="00E83D9D">
              <w:rPr>
                <w:rFonts w:ascii="Calibri" w:eastAsia="Times New Roman" w:hAnsi="Calibri" w:cs="Times New Roman"/>
                <w:b/>
                <w:bCs/>
              </w:rPr>
              <w:t xml:space="preserve"> </w:t>
            </w:r>
            <w:r w:rsidRPr="00C8458C">
              <w:rPr>
                <w:rFonts w:ascii="Calibri" w:eastAsia="Times New Roman" w:hAnsi="Calibri" w:cs="Times New Roman"/>
                <w:b/>
                <w:bCs/>
              </w:rPr>
              <w:t>(%)</w:t>
            </w:r>
          </w:p>
        </w:tc>
      </w:tr>
      <w:tr w:rsidR="00B5408B" w:rsidRPr="00C8458C" w14:paraId="54A65D45" w14:textId="77777777" w:rsidTr="00966EC9">
        <w:trPr>
          <w:gridBefore w:val="1"/>
          <w:gridAfter w:val="3"/>
          <w:wBefore w:w="15" w:type="dxa"/>
          <w:wAfter w:w="937" w:type="dxa"/>
          <w:trHeight w:val="255"/>
        </w:trPr>
        <w:tc>
          <w:tcPr>
            <w:tcW w:w="5865" w:type="dxa"/>
            <w:shd w:val="clear" w:color="auto" w:fill="auto"/>
            <w:noWrap/>
            <w:vAlign w:val="bottom"/>
            <w:hideMark/>
          </w:tcPr>
          <w:p w14:paraId="41E33DAF" w14:textId="77777777" w:rsidR="00B5408B" w:rsidRPr="00C8458C" w:rsidRDefault="00B5408B" w:rsidP="0098496A">
            <w:pPr>
              <w:spacing w:after="0" w:line="240" w:lineRule="auto"/>
              <w:rPr>
                <w:rFonts w:ascii="Calibri" w:eastAsia="Times New Roman" w:hAnsi="Calibri" w:cs="Times New Roman"/>
                <w:b/>
                <w:bCs/>
              </w:rPr>
            </w:pPr>
            <w:r w:rsidRPr="00C8458C">
              <w:rPr>
                <w:rFonts w:ascii="Calibri" w:eastAsia="Times New Roman" w:hAnsi="Calibri" w:cs="Times New Roman"/>
                <w:b/>
                <w:bCs/>
              </w:rPr>
              <w:t>Initial Sample</w:t>
            </w:r>
          </w:p>
        </w:tc>
        <w:tc>
          <w:tcPr>
            <w:tcW w:w="2070" w:type="dxa"/>
            <w:gridSpan w:val="4"/>
            <w:shd w:val="clear" w:color="auto" w:fill="auto"/>
            <w:noWrap/>
            <w:vAlign w:val="bottom"/>
            <w:hideMark/>
          </w:tcPr>
          <w:p w14:paraId="6226334A" w14:textId="77777777" w:rsidR="00B5408B" w:rsidRPr="00C8458C" w:rsidRDefault="00B5408B" w:rsidP="0098496A">
            <w:pPr>
              <w:spacing w:after="0" w:line="240" w:lineRule="auto"/>
              <w:jc w:val="center"/>
              <w:rPr>
                <w:rFonts w:ascii="Calibri" w:eastAsia="Times New Roman" w:hAnsi="Calibri" w:cs="Times New Roman"/>
                <w:b/>
                <w:bCs/>
              </w:rPr>
            </w:pPr>
            <w:r w:rsidRPr="00C8458C">
              <w:rPr>
                <w:rFonts w:ascii="Calibri" w:eastAsia="Times New Roman" w:hAnsi="Calibri" w:cs="Times New Roman"/>
                <w:b/>
                <w:bCs/>
              </w:rPr>
              <w:t>395,665</w:t>
            </w:r>
          </w:p>
        </w:tc>
        <w:tc>
          <w:tcPr>
            <w:tcW w:w="2070" w:type="dxa"/>
            <w:gridSpan w:val="5"/>
            <w:shd w:val="clear" w:color="auto" w:fill="auto"/>
            <w:noWrap/>
            <w:vAlign w:val="bottom"/>
            <w:hideMark/>
          </w:tcPr>
          <w:p w14:paraId="6E8A8F3F" w14:textId="77777777" w:rsidR="00B5408B" w:rsidRPr="00C8458C" w:rsidRDefault="00B5408B" w:rsidP="0098496A">
            <w:pPr>
              <w:spacing w:after="0" w:line="240" w:lineRule="auto"/>
              <w:jc w:val="center"/>
              <w:rPr>
                <w:rFonts w:ascii="Calibri" w:eastAsia="Times New Roman" w:hAnsi="Calibri" w:cs="Times New Roman"/>
                <w:b/>
                <w:bCs/>
              </w:rPr>
            </w:pPr>
            <w:r w:rsidRPr="00C8458C">
              <w:rPr>
                <w:rFonts w:ascii="Calibri" w:eastAsia="Times New Roman" w:hAnsi="Calibri" w:cs="Times New Roman"/>
                <w:b/>
                <w:bCs/>
              </w:rPr>
              <w:t>1,203</w:t>
            </w:r>
          </w:p>
        </w:tc>
      </w:tr>
      <w:tr w:rsidR="00B5408B" w:rsidRPr="00C8458C" w14:paraId="549DBB67" w14:textId="77777777" w:rsidTr="00966EC9">
        <w:trPr>
          <w:gridBefore w:val="1"/>
          <w:gridAfter w:val="3"/>
          <w:wBefore w:w="15" w:type="dxa"/>
          <w:wAfter w:w="937" w:type="dxa"/>
          <w:trHeight w:val="255"/>
        </w:trPr>
        <w:tc>
          <w:tcPr>
            <w:tcW w:w="5865" w:type="dxa"/>
            <w:shd w:val="clear" w:color="auto" w:fill="auto"/>
            <w:noWrap/>
            <w:vAlign w:val="bottom"/>
            <w:hideMark/>
          </w:tcPr>
          <w:p w14:paraId="0D5503CD" w14:textId="3829FB95" w:rsidR="00B5408B" w:rsidRPr="00C8458C" w:rsidRDefault="00B5408B" w:rsidP="0098496A">
            <w:pPr>
              <w:spacing w:after="0" w:line="240" w:lineRule="auto"/>
              <w:rPr>
                <w:rFonts w:ascii="Calibri" w:eastAsia="Times New Roman" w:hAnsi="Calibri" w:cs="Times New Roman"/>
              </w:rPr>
            </w:pPr>
            <w:r w:rsidRPr="00C8458C">
              <w:rPr>
                <w:rFonts w:ascii="Calibri" w:eastAsia="Times New Roman" w:hAnsi="Calibri" w:cs="Times New Roman"/>
              </w:rPr>
              <w:t xml:space="preserve">Not Medicare Fee-for-Service </w:t>
            </w:r>
            <w:r w:rsidR="00127B5D">
              <w:rPr>
                <w:rFonts w:ascii="Calibri" w:eastAsia="Times New Roman" w:hAnsi="Calibri" w:cs="Times New Roman"/>
              </w:rPr>
              <w:t xml:space="preserve">(FFS) </w:t>
            </w:r>
            <w:r w:rsidRPr="00C8458C">
              <w:rPr>
                <w:rFonts w:ascii="Calibri" w:eastAsia="Times New Roman" w:hAnsi="Calibri" w:cs="Times New Roman"/>
              </w:rPr>
              <w:t>patient on admission</w:t>
            </w:r>
          </w:p>
        </w:tc>
        <w:tc>
          <w:tcPr>
            <w:tcW w:w="2070" w:type="dxa"/>
            <w:gridSpan w:val="4"/>
            <w:shd w:val="clear" w:color="auto" w:fill="auto"/>
            <w:noWrap/>
            <w:vAlign w:val="bottom"/>
            <w:hideMark/>
          </w:tcPr>
          <w:p w14:paraId="6DF1C7AC" w14:textId="1BEE7CB8" w:rsidR="00B5408B" w:rsidRPr="00C8458C" w:rsidRDefault="00B5408B" w:rsidP="00B5408B">
            <w:pPr>
              <w:spacing w:after="0" w:line="240" w:lineRule="auto"/>
              <w:jc w:val="center"/>
              <w:rPr>
                <w:rFonts w:ascii="Calibri" w:eastAsia="Times New Roman" w:hAnsi="Calibri" w:cs="Times New Roman"/>
              </w:rPr>
            </w:pPr>
            <w:r w:rsidRPr="00C8458C">
              <w:rPr>
                <w:rFonts w:ascii="Calibri" w:eastAsia="Times New Roman" w:hAnsi="Calibri" w:cs="Times New Roman"/>
              </w:rPr>
              <w:t>88,509 (22.37)</w:t>
            </w:r>
          </w:p>
        </w:tc>
        <w:tc>
          <w:tcPr>
            <w:tcW w:w="2070" w:type="dxa"/>
            <w:gridSpan w:val="5"/>
            <w:shd w:val="clear" w:color="auto" w:fill="auto"/>
            <w:noWrap/>
            <w:vAlign w:val="bottom"/>
            <w:hideMark/>
          </w:tcPr>
          <w:p w14:paraId="02FA3A5D" w14:textId="0D1B315B" w:rsidR="00B5408B" w:rsidRPr="00C8458C" w:rsidRDefault="00B5408B" w:rsidP="00B5408B">
            <w:pPr>
              <w:spacing w:after="0" w:line="240" w:lineRule="auto"/>
              <w:jc w:val="center"/>
              <w:rPr>
                <w:rFonts w:ascii="Calibri" w:eastAsia="Times New Roman" w:hAnsi="Calibri" w:cs="Times New Roman"/>
              </w:rPr>
            </w:pPr>
            <w:r w:rsidRPr="00C8458C">
              <w:rPr>
                <w:rFonts w:ascii="Calibri" w:eastAsia="Times New Roman" w:hAnsi="Calibri" w:cs="Times New Roman"/>
              </w:rPr>
              <w:t>2 (0.17)</w:t>
            </w:r>
          </w:p>
        </w:tc>
      </w:tr>
      <w:tr w:rsidR="00B5408B" w:rsidRPr="00C8458C" w14:paraId="3F195667" w14:textId="77777777" w:rsidTr="00966EC9">
        <w:trPr>
          <w:gridBefore w:val="1"/>
          <w:gridAfter w:val="3"/>
          <w:wBefore w:w="15" w:type="dxa"/>
          <w:wAfter w:w="937" w:type="dxa"/>
          <w:trHeight w:val="255"/>
        </w:trPr>
        <w:tc>
          <w:tcPr>
            <w:tcW w:w="5865" w:type="dxa"/>
            <w:shd w:val="clear" w:color="auto" w:fill="auto"/>
            <w:noWrap/>
            <w:vAlign w:val="bottom"/>
            <w:hideMark/>
          </w:tcPr>
          <w:p w14:paraId="422B5269" w14:textId="18765C55" w:rsidR="00B5408B" w:rsidRPr="00C8458C" w:rsidRDefault="00B5408B" w:rsidP="0098496A">
            <w:pPr>
              <w:spacing w:after="0" w:line="240" w:lineRule="auto"/>
              <w:rPr>
                <w:rFonts w:ascii="Calibri" w:eastAsia="Times New Roman" w:hAnsi="Calibri" w:cs="Times New Roman"/>
                <w:b/>
                <w:bCs/>
              </w:rPr>
            </w:pPr>
            <w:r w:rsidRPr="00C8458C">
              <w:rPr>
                <w:rFonts w:ascii="Calibri" w:eastAsia="Times New Roman" w:hAnsi="Calibri" w:cs="Times New Roman"/>
                <w:b/>
                <w:bCs/>
              </w:rPr>
              <w:lastRenderedPageBreak/>
              <w:t>Remaining</w:t>
            </w:r>
          </w:p>
        </w:tc>
        <w:tc>
          <w:tcPr>
            <w:tcW w:w="2070" w:type="dxa"/>
            <w:gridSpan w:val="4"/>
            <w:shd w:val="clear" w:color="auto" w:fill="auto"/>
            <w:noWrap/>
            <w:vAlign w:val="bottom"/>
            <w:hideMark/>
          </w:tcPr>
          <w:p w14:paraId="01D6FEBD" w14:textId="77777777" w:rsidR="00B5408B" w:rsidRPr="00C8458C" w:rsidRDefault="00B5408B" w:rsidP="0098496A">
            <w:pPr>
              <w:spacing w:after="0" w:line="240" w:lineRule="auto"/>
              <w:jc w:val="center"/>
              <w:rPr>
                <w:rFonts w:ascii="Calibri" w:eastAsia="Times New Roman" w:hAnsi="Calibri" w:cs="Times New Roman"/>
                <w:b/>
                <w:bCs/>
              </w:rPr>
            </w:pPr>
            <w:r w:rsidRPr="00C8458C">
              <w:rPr>
                <w:rFonts w:ascii="Calibri" w:eastAsia="Times New Roman" w:hAnsi="Calibri" w:cs="Times New Roman"/>
                <w:b/>
                <w:bCs/>
              </w:rPr>
              <w:t>307,156</w:t>
            </w:r>
          </w:p>
        </w:tc>
        <w:tc>
          <w:tcPr>
            <w:tcW w:w="2070" w:type="dxa"/>
            <w:gridSpan w:val="5"/>
            <w:shd w:val="clear" w:color="auto" w:fill="auto"/>
            <w:noWrap/>
            <w:vAlign w:val="bottom"/>
            <w:hideMark/>
          </w:tcPr>
          <w:p w14:paraId="2FF758E0" w14:textId="77777777" w:rsidR="00B5408B" w:rsidRPr="00C8458C" w:rsidRDefault="00B5408B" w:rsidP="0098496A">
            <w:pPr>
              <w:spacing w:after="0" w:line="240" w:lineRule="auto"/>
              <w:jc w:val="center"/>
              <w:rPr>
                <w:rFonts w:ascii="Calibri" w:eastAsia="Times New Roman" w:hAnsi="Calibri" w:cs="Times New Roman"/>
                <w:b/>
                <w:bCs/>
              </w:rPr>
            </w:pPr>
            <w:r w:rsidRPr="00C8458C">
              <w:rPr>
                <w:rFonts w:ascii="Calibri" w:eastAsia="Times New Roman" w:hAnsi="Calibri" w:cs="Times New Roman"/>
                <w:b/>
                <w:bCs/>
              </w:rPr>
              <w:t>1,201</w:t>
            </w:r>
          </w:p>
        </w:tc>
      </w:tr>
      <w:tr w:rsidR="00B5408B" w:rsidRPr="00C8458C" w14:paraId="693BE018" w14:textId="77777777" w:rsidTr="00966EC9">
        <w:trPr>
          <w:gridBefore w:val="1"/>
          <w:gridAfter w:val="3"/>
          <w:wBefore w:w="15" w:type="dxa"/>
          <w:wAfter w:w="937" w:type="dxa"/>
          <w:trHeight w:val="255"/>
        </w:trPr>
        <w:tc>
          <w:tcPr>
            <w:tcW w:w="5865" w:type="dxa"/>
            <w:shd w:val="clear" w:color="auto" w:fill="auto"/>
            <w:noWrap/>
            <w:vAlign w:val="bottom"/>
            <w:hideMark/>
          </w:tcPr>
          <w:p w14:paraId="4A1493C5" w14:textId="77777777" w:rsidR="00B5408B" w:rsidRPr="00C8458C" w:rsidRDefault="00B5408B" w:rsidP="0098496A">
            <w:pPr>
              <w:spacing w:after="0" w:line="240" w:lineRule="auto"/>
              <w:rPr>
                <w:rFonts w:ascii="Calibri" w:eastAsia="Times New Roman" w:hAnsi="Calibri" w:cs="Times New Roman"/>
              </w:rPr>
            </w:pPr>
            <w:r w:rsidRPr="00C8458C">
              <w:rPr>
                <w:rFonts w:ascii="Calibri" w:eastAsia="Times New Roman" w:hAnsi="Calibri" w:cs="Times New Roman"/>
              </w:rPr>
              <w:t>Not the first claim in the same claim bundle*</w:t>
            </w:r>
          </w:p>
        </w:tc>
        <w:tc>
          <w:tcPr>
            <w:tcW w:w="2070" w:type="dxa"/>
            <w:gridSpan w:val="4"/>
            <w:shd w:val="clear" w:color="auto" w:fill="auto"/>
            <w:noWrap/>
            <w:vAlign w:val="bottom"/>
            <w:hideMark/>
          </w:tcPr>
          <w:p w14:paraId="4B217AEF" w14:textId="17CDBAAF" w:rsidR="00B5408B" w:rsidRPr="00C8458C" w:rsidRDefault="00B5408B" w:rsidP="00B5408B">
            <w:pPr>
              <w:spacing w:after="0" w:line="240" w:lineRule="auto"/>
              <w:jc w:val="center"/>
              <w:rPr>
                <w:rFonts w:ascii="Calibri" w:eastAsia="Times New Roman" w:hAnsi="Calibri" w:cs="Times New Roman"/>
              </w:rPr>
            </w:pPr>
            <w:r w:rsidRPr="00C8458C">
              <w:rPr>
                <w:rFonts w:ascii="Calibri" w:eastAsia="Times New Roman" w:hAnsi="Calibri" w:cs="Times New Roman"/>
              </w:rPr>
              <w:t>11 (0.00)</w:t>
            </w:r>
          </w:p>
        </w:tc>
        <w:tc>
          <w:tcPr>
            <w:tcW w:w="2070" w:type="dxa"/>
            <w:gridSpan w:val="5"/>
            <w:shd w:val="clear" w:color="auto" w:fill="auto"/>
            <w:noWrap/>
            <w:vAlign w:val="bottom"/>
            <w:hideMark/>
          </w:tcPr>
          <w:p w14:paraId="6DCCEA0D" w14:textId="4A58E0CB" w:rsidR="00B5408B" w:rsidRPr="00C8458C" w:rsidRDefault="00B5408B" w:rsidP="00B5408B">
            <w:pPr>
              <w:spacing w:after="0" w:line="240" w:lineRule="auto"/>
              <w:jc w:val="center"/>
              <w:rPr>
                <w:rFonts w:ascii="Calibri" w:eastAsia="Times New Roman" w:hAnsi="Calibri" w:cs="Times New Roman"/>
              </w:rPr>
            </w:pPr>
            <w:r w:rsidRPr="00C8458C">
              <w:rPr>
                <w:rFonts w:ascii="Calibri" w:eastAsia="Times New Roman" w:hAnsi="Calibri" w:cs="Times New Roman"/>
              </w:rPr>
              <w:t>0 (0.00)</w:t>
            </w:r>
          </w:p>
        </w:tc>
      </w:tr>
      <w:tr w:rsidR="00B5408B" w:rsidRPr="00C8458C" w14:paraId="62FAE69A" w14:textId="77777777" w:rsidTr="009644C5">
        <w:trPr>
          <w:gridBefore w:val="1"/>
          <w:gridAfter w:val="3"/>
          <w:wBefore w:w="15" w:type="dxa"/>
          <w:wAfter w:w="937" w:type="dxa"/>
          <w:trHeight w:val="242"/>
        </w:trPr>
        <w:tc>
          <w:tcPr>
            <w:tcW w:w="5865" w:type="dxa"/>
            <w:shd w:val="clear" w:color="auto" w:fill="auto"/>
            <w:noWrap/>
            <w:vAlign w:val="bottom"/>
            <w:hideMark/>
          </w:tcPr>
          <w:p w14:paraId="3910DDCC" w14:textId="74B5A205" w:rsidR="00B5408B" w:rsidRPr="00C8458C" w:rsidRDefault="00B5408B" w:rsidP="0098496A">
            <w:pPr>
              <w:spacing w:after="0" w:line="240" w:lineRule="auto"/>
              <w:rPr>
                <w:rFonts w:ascii="Calibri" w:eastAsia="Times New Roman" w:hAnsi="Calibri" w:cs="Times New Roman"/>
                <w:b/>
                <w:bCs/>
              </w:rPr>
            </w:pPr>
            <w:r w:rsidRPr="00C8458C">
              <w:rPr>
                <w:rFonts w:ascii="Calibri" w:eastAsia="Times New Roman" w:hAnsi="Calibri" w:cs="Times New Roman"/>
                <w:b/>
                <w:bCs/>
              </w:rPr>
              <w:t>Remaining</w:t>
            </w:r>
          </w:p>
        </w:tc>
        <w:tc>
          <w:tcPr>
            <w:tcW w:w="2070" w:type="dxa"/>
            <w:gridSpan w:val="4"/>
            <w:shd w:val="clear" w:color="auto" w:fill="auto"/>
            <w:noWrap/>
            <w:vAlign w:val="bottom"/>
            <w:hideMark/>
          </w:tcPr>
          <w:p w14:paraId="64AD1B5B" w14:textId="77777777" w:rsidR="00B5408B" w:rsidRPr="00C8458C" w:rsidRDefault="00B5408B" w:rsidP="0098496A">
            <w:pPr>
              <w:spacing w:after="0" w:line="240" w:lineRule="auto"/>
              <w:jc w:val="center"/>
              <w:rPr>
                <w:rFonts w:ascii="Calibri" w:eastAsia="Times New Roman" w:hAnsi="Calibri" w:cs="Times New Roman"/>
                <w:b/>
                <w:bCs/>
              </w:rPr>
            </w:pPr>
            <w:r w:rsidRPr="00C8458C">
              <w:rPr>
                <w:rFonts w:ascii="Calibri" w:eastAsia="Times New Roman" w:hAnsi="Calibri" w:cs="Times New Roman"/>
                <w:b/>
                <w:bCs/>
              </w:rPr>
              <w:t>307,145</w:t>
            </w:r>
          </w:p>
        </w:tc>
        <w:tc>
          <w:tcPr>
            <w:tcW w:w="2070" w:type="dxa"/>
            <w:gridSpan w:val="5"/>
            <w:shd w:val="clear" w:color="auto" w:fill="auto"/>
            <w:noWrap/>
            <w:vAlign w:val="bottom"/>
            <w:hideMark/>
          </w:tcPr>
          <w:p w14:paraId="5FFF5F61" w14:textId="77777777" w:rsidR="00B5408B" w:rsidRPr="00C8458C" w:rsidRDefault="00B5408B" w:rsidP="0098496A">
            <w:pPr>
              <w:spacing w:after="0" w:line="240" w:lineRule="auto"/>
              <w:jc w:val="center"/>
              <w:rPr>
                <w:rFonts w:ascii="Calibri" w:eastAsia="Times New Roman" w:hAnsi="Calibri" w:cs="Times New Roman"/>
                <w:b/>
                <w:bCs/>
              </w:rPr>
            </w:pPr>
            <w:r w:rsidRPr="00C8458C">
              <w:rPr>
                <w:rFonts w:ascii="Calibri" w:eastAsia="Times New Roman" w:hAnsi="Calibri" w:cs="Times New Roman"/>
                <w:b/>
                <w:bCs/>
              </w:rPr>
              <w:t>1,201</w:t>
            </w:r>
          </w:p>
        </w:tc>
      </w:tr>
      <w:tr w:rsidR="00B5408B" w:rsidRPr="00C8458C" w14:paraId="71493488" w14:textId="77777777" w:rsidTr="00966EC9">
        <w:trPr>
          <w:gridBefore w:val="1"/>
          <w:gridAfter w:val="3"/>
          <w:wBefore w:w="15" w:type="dxa"/>
          <w:wAfter w:w="937" w:type="dxa"/>
          <w:trHeight w:val="255"/>
        </w:trPr>
        <w:tc>
          <w:tcPr>
            <w:tcW w:w="5865" w:type="dxa"/>
            <w:shd w:val="clear" w:color="auto" w:fill="auto"/>
            <w:noWrap/>
            <w:vAlign w:val="bottom"/>
            <w:hideMark/>
          </w:tcPr>
          <w:p w14:paraId="4E6D7E08" w14:textId="77777777" w:rsidR="00B5408B" w:rsidRPr="00C8458C" w:rsidRDefault="00B5408B" w:rsidP="0098496A">
            <w:pPr>
              <w:spacing w:after="0" w:line="240" w:lineRule="auto"/>
              <w:rPr>
                <w:rFonts w:ascii="Calibri" w:eastAsia="Times New Roman" w:hAnsi="Calibri" w:cs="Times New Roman"/>
              </w:rPr>
            </w:pPr>
            <w:r w:rsidRPr="00C8458C">
              <w:rPr>
                <w:rFonts w:ascii="Calibri" w:eastAsia="Times New Roman" w:hAnsi="Calibri" w:cs="Times New Roman"/>
              </w:rPr>
              <w:t>Get the procedure more than 10 days after admission</w:t>
            </w:r>
          </w:p>
        </w:tc>
        <w:tc>
          <w:tcPr>
            <w:tcW w:w="2070" w:type="dxa"/>
            <w:gridSpan w:val="4"/>
            <w:shd w:val="clear" w:color="auto" w:fill="auto"/>
            <w:noWrap/>
            <w:vAlign w:val="bottom"/>
            <w:hideMark/>
          </w:tcPr>
          <w:p w14:paraId="3A6A2955" w14:textId="7A0341C4" w:rsidR="00B5408B" w:rsidRPr="00C8458C" w:rsidRDefault="00B5408B" w:rsidP="00B5408B">
            <w:pPr>
              <w:spacing w:after="0" w:line="240" w:lineRule="auto"/>
              <w:jc w:val="center"/>
              <w:rPr>
                <w:rFonts w:ascii="Calibri" w:eastAsia="Times New Roman" w:hAnsi="Calibri" w:cs="Times New Roman"/>
              </w:rPr>
            </w:pPr>
            <w:r w:rsidRPr="00C8458C">
              <w:rPr>
                <w:rFonts w:ascii="Calibri" w:eastAsia="Times New Roman" w:hAnsi="Calibri" w:cs="Times New Roman"/>
              </w:rPr>
              <w:t>2,286 (0.74)</w:t>
            </w:r>
          </w:p>
        </w:tc>
        <w:tc>
          <w:tcPr>
            <w:tcW w:w="2070" w:type="dxa"/>
            <w:gridSpan w:val="5"/>
            <w:shd w:val="clear" w:color="auto" w:fill="auto"/>
            <w:noWrap/>
            <w:vAlign w:val="bottom"/>
            <w:hideMark/>
          </w:tcPr>
          <w:p w14:paraId="158D858D" w14:textId="0332DDD1" w:rsidR="00B5408B" w:rsidRPr="00C8458C" w:rsidRDefault="00B5408B" w:rsidP="00B5408B">
            <w:pPr>
              <w:spacing w:after="0" w:line="240" w:lineRule="auto"/>
              <w:jc w:val="center"/>
              <w:rPr>
                <w:rFonts w:ascii="Calibri" w:eastAsia="Times New Roman" w:hAnsi="Calibri" w:cs="Times New Roman"/>
              </w:rPr>
            </w:pPr>
            <w:r w:rsidRPr="00C8458C">
              <w:rPr>
                <w:rFonts w:ascii="Calibri" w:eastAsia="Times New Roman" w:hAnsi="Calibri" w:cs="Times New Roman"/>
              </w:rPr>
              <w:t>0 (0.00)</w:t>
            </w:r>
          </w:p>
        </w:tc>
      </w:tr>
      <w:tr w:rsidR="00B5408B" w:rsidRPr="00C8458C" w14:paraId="04EF3DF9" w14:textId="77777777" w:rsidTr="00966EC9">
        <w:trPr>
          <w:gridBefore w:val="1"/>
          <w:gridAfter w:val="3"/>
          <w:wBefore w:w="15" w:type="dxa"/>
          <w:wAfter w:w="937" w:type="dxa"/>
          <w:trHeight w:val="255"/>
        </w:trPr>
        <w:tc>
          <w:tcPr>
            <w:tcW w:w="5865" w:type="dxa"/>
            <w:shd w:val="clear" w:color="auto" w:fill="auto"/>
            <w:noWrap/>
            <w:vAlign w:val="bottom"/>
            <w:hideMark/>
          </w:tcPr>
          <w:p w14:paraId="20713C18" w14:textId="131E7F6E" w:rsidR="00B5408B" w:rsidRPr="00C8458C" w:rsidRDefault="00B5408B" w:rsidP="0098496A">
            <w:pPr>
              <w:spacing w:after="0" w:line="240" w:lineRule="auto"/>
              <w:rPr>
                <w:rFonts w:ascii="Calibri" w:eastAsia="Times New Roman" w:hAnsi="Calibri" w:cs="Times New Roman"/>
                <w:b/>
                <w:bCs/>
              </w:rPr>
            </w:pPr>
            <w:r w:rsidRPr="00C8458C">
              <w:rPr>
                <w:rFonts w:ascii="Calibri" w:eastAsia="Times New Roman" w:hAnsi="Calibri" w:cs="Times New Roman"/>
                <w:b/>
                <w:bCs/>
              </w:rPr>
              <w:t>Remaining</w:t>
            </w:r>
          </w:p>
        </w:tc>
        <w:tc>
          <w:tcPr>
            <w:tcW w:w="2070" w:type="dxa"/>
            <w:gridSpan w:val="4"/>
            <w:shd w:val="clear" w:color="auto" w:fill="auto"/>
            <w:noWrap/>
            <w:vAlign w:val="bottom"/>
            <w:hideMark/>
          </w:tcPr>
          <w:p w14:paraId="16A4C550" w14:textId="77777777" w:rsidR="00B5408B" w:rsidRPr="00C8458C" w:rsidRDefault="00B5408B" w:rsidP="0098496A">
            <w:pPr>
              <w:spacing w:after="0" w:line="240" w:lineRule="auto"/>
              <w:jc w:val="center"/>
              <w:rPr>
                <w:rFonts w:ascii="Calibri" w:eastAsia="Times New Roman" w:hAnsi="Calibri" w:cs="Times New Roman"/>
                <w:b/>
                <w:bCs/>
              </w:rPr>
            </w:pPr>
            <w:r w:rsidRPr="00C8458C">
              <w:rPr>
                <w:rFonts w:ascii="Calibri" w:eastAsia="Times New Roman" w:hAnsi="Calibri" w:cs="Times New Roman"/>
                <w:b/>
                <w:bCs/>
              </w:rPr>
              <w:t>304,859</w:t>
            </w:r>
          </w:p>
        </w:tc>
        <w:tc>
          <w:tcPr>
            <w:tcW w:w="2070" w:type="dxa"/>
            <w:gridSpan w:val="5"/>
            <w:shd w:val="clear" w:color="auto" w:fill="auto"/>
            <w:noWrap/>
            <w:vAlign w:val="bottom"/>
            <w:hideMark/>
          </w:tcPr>
          <w:p w14:paraId="4A3240DD" w14:textId="77777777" w:rsidR="00B5408B" w:rsidRPr="00C8458C" w:rsidRDefault="00B5408B" w:rsidP="0098496A">
            <w:pPr>
              <w:spacing w:after="0" w:line="240" w:lineRule="auto"/>
              <w:jc w:val="center"/>
              <w:rPr>
                <w:rFonts w:ascii="Calibri" w:eastAsia="Times New Roman" w:hAnsi="Calibri" w:cs="Times New Roman"/>
                <w:b/>
                <w:bCs/>
              </w:rPr>
            </w:pPr>
            <w:r w:rsidRPr="00C8458C">
              <w:rPr>
                <w:rFonts w:ascii="Calibri" w:eastAsia="Times New Roman" w:hAnsi="Calibri" w:cs="Times New Roman"/>
                <w:b/>
                <w:bCs/>
              </w:rPr>
              <w:t>1,201</w:t>
            </w:r>
          </w:p>
        </w:tc>
      </w:tr>
      <w:tr w:rsidR="00B5408B" w:rsidRPr="00C8458C" w14:paraId="3CCA5444" w14:textId="77777777" w:rsidTr="00966EC9">
        <w:trPr>
          <w:gridBefore w:val="1"/>
          <w:gridAfter w:val="3"/>
          <w:wBefore w:w="15" w:type="dxa"/>
          <w:wAfter w:w="937" w:type="dxa"/>
          <w:trHeight w:val="255"/>
        </w:trPr>
        <w:tc>
          <w:tcPr>
            <w:tcW w:w="5865" w:type="dxa"/>
            <w:shd w:val="clear" w:color="auto" w:fill="auto"/>
            <w:noWrap/>
            <w:vAlign w:val="bottom"/>
            <w:hideMark/>
          </w:tcPr>
          <w:p w14:paraId="69292B35" w14:textId="77777777" w:rsidR="00B5408B" w:rsidRPr="00C8458C" w:rsidRDefault="00B5408B" w:rsidP="0098496A">
            <w:pPr>
              <w:spacing w:after="0" w:line="240" w:lineRule="auto"/>
              <w:rPr>
                <w:rFonts w:ascii="Calibri" w:eastAsia="Times New Roman" w:hAnsi="Calibri" w:cs="Times New Roman"/>
              </w:rPr>
            </w:pPr>
            <w:r w:rsidRPr="00C8458C">
              <w:rPr>
                <w:rFonts w:ascii="Calibri" w:eastAsia="Times New Roman" w:hAnsi="Calibri" w:cs="Times New Roman"/>
              </w:rPr>
              <w:t xml:space="preserve">Transferred out </w:t>
            </w:r>
          </w:p>
        </w:tc>
        <w:tc>
          <w:tcPr>
            <w:tcW w:w="2070" w:type="dxa"/>
            <w:gridSpan w:val="4"/>
            <w:shd w:val="clear" w:color="auto" w:fill="auto"/>
            <w:noWrap/>
            <w:vAlign w:val="bottom"/>
            <w:hideMark/>
          </w:tcPr>
          <w:p w14:paraId="07794634" w14:textId="725A5F3D" w:rsidR="00B5408B" w:rsidRPr="00C8458C" w:rsidRDefault="00B5408B" w:rsidP="00B5408B">
            <w:pPr>
              <w:spacing w:after="0" w:line="240" w:lineRule="auto"/>
              <w:jc w:val="center"/>
              <w:rPr>
                <w:rFonts w:ascii="Calibri" w:eastAsia="Times New Roman" w:hAnsi="Calibri" w:cs="Times New Roman"/>
              </w:rPr>
            </w:pPr>
            <w:r w:rsidRPr="00C8458C">
              <w:rPr>
                <w:rFonts w:ascii="Calibri" w:eastAsia="Times New Roman" w:hAnsi="Calibri" w:cs="Times New Roman"/>
              </w:rPr>
              <w:t>2,102 (0.69)</w:t>
            </w:r>
          </w:p>
        </w:tc>
        <w:tc>
          <w:tcPr>
            <w:tcW w:w="2070" w:type="dxa"/>
            <w:gridSpan w:val="5"/>
            <w:shd w:val="clear" w:color="auto" w:fill="auto"/>
            <w:noWrap/>
            <w:vAlign w:val="bottom"/>
            <w:hideMark/>
          </w:tcPr>
          <w:p w14:paraId="1F73E950" w14:textId="73361684" w:rsidR="00B5408B" w:rsidRPr="00C8458C" w:rsidRDefault="00B5408B" w:rsidP="00B5408B">
            <w:pPr>
              <w:spacing w:after="0" w:line="240" w:lineRule="auto"/>
              <w:jc w:val="center"/>
              <w:rPr>
                <w:rFonts w:ascii="Calibri" w:eastAsia="Times New Roman" w:hAnsi="Calibri" w:cs="Times New Roman"/>
              </w:rPr>
            </w:pPr>
            <w:r w:rsidRPr="00C8458C">
              <w:rPr>
                <w:rFonts w:ascii="Calibri" w:eastAsia="Times New Roman" w:hAnsi="Calibri" w:cs="Times New Roman"/>
              </w:rPr>
              <w:t>1 (0.08)</w:t>
            </w:r>
          </w:p>
        </w:tc>
      </w:tr>
      <w:tr w:rsidR="00B5408B" w:rsidRPr="00C8458C" w14:paraId="3645BDA7" w14:textId="77777777" w:rsidTr="00966EC9">
        <w:trPr>
          <w:gridBefore w:val="1"/>
          <w:gridAfter w:val="3"/>
          <w:wBefore w:w="15" w:type="dxa"/>
          <w:wAfter w:w="937" w:type="dxa"/>
          <w:trHeight w:val="255"/>
        </w:trPr>
        <w:tc>
          <w:tcPr>
            <w:tcW w:w="5865" w:type="dxa"/>
            <w:shd w:val="clear" w:color="auto" w:fill="auto"/>
            <w:noWrap/>
            <w:vAlign w:val="bottom"/>
            <w:hideMark/>
          </w:tcPr>
          <w:p w14:paraId="390F8301" w14:textId="0FDF75F3" w:rsidR="00B5408B" w:rsidRPr="00C8458C" w:rsidRDefault="00B5408B" w:rsidP="0098496A">
            <w:pPr>
              <w:spacing w:after="0" w:line="240" w:lineRule="auto"/>
              <w:rPr>
                <w:rFonts w:ascii="Calibri" w:eastAsia="Times New Roman" w:hAnsi="Calibri" w:cs="Times New Roman"/>
                <w:b/>
                <w:bCs/>
              </w:rPr>
            </w:pPr>
            <w:r w:rsidRPr="00C8458C">
              <w:rPr>
                <w:rFonts w:ascii="Calibri" w:eastAsia="Times New Roman" w:hAnsi="Calibri" w:cs="Times New Roman"/>
                <w:b/>
                <w:bCs/>
              </w:rPr>
              <w:t>Remaining</w:t>
            </w:r>
          </w:p>
        </w:tc>
        <w:tc>
          <w:tcPr>
            <w:tcW w:w="2070" w:type="dxa"/>
            <w:gridSpan w:val="4"/>
            <w:shd w:val="clear" w:color="auto" w:fill="auto"/>
            <w:noWrap/>
            <w:vAlign w:val="bottom"/>
            <w:hideMark/>
          </w:tcPr>
          <w:p w14:paraId="3D66C019" w14:textId="77777777" w:rsidR="00B5408B" w:rsidRPr="00C8458C" w:rsidRDefault="00B5408B" w:rsidP="0098496A">
            <w:pPr>
              <w:spacing w:after="0" w:line="240" w:lineRule="auto"/>
              <w:jc w:val="center"/>
              <w:rPr>
                <w:rFonts w:ascii="Calibri" w:eastAsia="Times New Roman" w:hAnsi="Calibri" w:cs="Times New Roman"/>
                <w:b/>
                <w:bCs/>
              </w:rPr>
            </w:pPr>
            <w:r w:rsidRPr="00C8458C">
              <w:rPr>
                <w:rFonts w:ascii="Calibri" w:eastAsia="Times New Roman" w:hAnsi="Calibri" w:cs="Times New Roman"/>
                <w:b/>
                <w:bCs/>
              </w:rPr>
              <w:t>302,757</w:t>
            </w:r>
          </w:p>
        </w:tc>
        <w:tc>
          <w:tcPr>
            <w:tcW w:w="2070" w:type="dxa"/>
            <w:gridSpan w:val="5"/>
            <w:shd w:val="clear" w:color="auto" w:fill="auto"/>
            <w:noWrap/>
            <w:vAlign w:val="bottom"/>
            <w:hideMark/>
          </w:tcPr>
          <w:p w14:paraId="29E44C09" w14:textId="77777777" w:rsidR="00B5408B" w:rsidRPr="00C8458C" w:rsidRDefault="00B5408B" w:rsidP="0098496A">
            <w:pPr>
              <w:spacing w:after="0" w:line="240" w:lineRule="auto"/>
              <w:jc w:val="center"/>
              <w:rPr>
                <w:rFonts w:ascii="Calibri" w:eastAsia="Times New Roman" w:hAnsi="Calibri" w:cs="Times New Roman"/>
                <w:b/>
                <w:bCs/>
              </w:rPr>
            </w:pPr>
            <w:r w:rsidRPr="00C8458C">
              <w:rPr>
                <w:rFonts w:ascii="Calibri" w:eastAsia="Times New Roman" w:hAnsi="Calibri" w:cs="Times New Roman"/>
                <w:b/>
                <w:bCs/>
              </w:rPr>
              <w:t>1,200</w:t>
            </w:r>
          </w:p>
        </w:tc>
      </w:tr>
      <w:tr w:rsidR="00B5408B" w:rsidRPr="00C8458C" w14:paraId="2B5B057A" w14:textId="77777777" w:rsidTr="00966EC9">
        <w:trPr>
          <w:gridBefore w:val="1"/>
          <w:gridAfter w:val="3"/>
          <w:wBefore w:w="15" w:type="dxa"/>
          <w:wAfter w:w="937" w:type="dxa"/>
          <w:trHeight w:val="255"/>
        </w:trPr>
        <w:tc>
          <w:tcPr>
            <w:tcW w:w="5865" w:type="dxa"/>
            <w:shd w:val="clear" w:color="auto" w:fill="auto"/>
            <w:noWrap/>
            <w:vAlign w:val="bottom"/>
            <w:hideMark/>
          </w:tcPr>
          <w:p w14:paraId="2C8974FA" w14:textId="77777777" w:rsidR="00B5408B" w:rsidRPr="00C8458C" w:rsidRDefault="00B5408B" w:rsidP="0098496A">
            <w:pPr>
              <w:spacing w:after="0" w:line="240" w:lineRule="auto"/>
              <w:rPr>
                <w:rFonts w:ascii="Calibri" w:eastAsia="Times New Roman" w:hAnsi="Calibri" w:cs="Times New Roman"/>
              </w:rPr>
            </w:pPr>
            <w:r w:rsidRPr="00C8458C">
              <w:rPr>
                <w:rFonts w:ascii="Calibri" w:eastAsia="Times New Roman" w:hAnsi="Calibri" w:cs="Times New Roman"/>
              </w:rPr>
              <w:t>In-hospital death</w:t>
            </w:r>
          </w:p>
        </w:tc>
        <w:tc>
          <w:tcPr>
            <w:tcW w:w="2070" w:type="dxa"/>
            <w:gridSpan w:val="4"/>
            <w:shd w:val="clear" w:color="auto" w:fill="auto"/>
            <w:noWrap/>
            <w:vAlign w:val="center"/>
            <w:hideMark/>
          </w:tcPr>
          <w:p w14:paraId="4CCDD379" w14:textId="1A95EEFD" w:rsidR="00B5408B" w:rsidRPr="00C8458C" w:rsidRDefault="00B5408B" w:rsidP="00B5408B">
            <w:pPr>
              <w:spacing w:after="0" w:line="240" w:lineRule="auto"/>
              <w:jc w:val="center"/>
              <w:rPr>
                <w:rFonts w:ascii="Calibri" w:eastAsia="Times New Roman" w:hAnsi="Calibri" w:cs="Times New Roman"/>
              </w:rPr>
            </w:pPr>
            <w:r w:rsidRPr="00C8458C">
              <w:rPr>
                <w:rFonts w:ascii="Calibri" w:eastAsia="Times New Roman" w:hAnsi="Calibri" w:cs="Times New Roman"/>
              </w:rPr>
              <w:t>6,909 (2.28)</w:t>
            </w:r>
          </w:p>
        </w:tc>
        <w:tc>
          <w:tcPr>
            <w:tcW w:w="2070" w:type="dxa"/>
            <w:gridSpan w:val="5"/>
            <w:shd w:val="clear" w:color="auto" w:fill="auto"/>
            <w:noWrap/>
            <w:vAlign w:val="center"/>
            <w:hideMark/>
          </w:tcPr>
          <w:p w14:paraId="4012C6A2" w14:textId="1F9A92B7" w:rsidR="00B5408B" w:rsidRPr="00C8458C" w:rsidRDefault="00B5408B" w:rsidP="00B5408B">
            <w:pPr>
              <w:spacing w:after="0" w:line="240" w:lineRule="auto"/>
              <w:jc w:val="center"/>
              <w:rPr>
                <w:rFonts w:ascii="Calibri" w:eastAsia="Times New Roman" w:hAnsi="Calibri" w:cs="Times New Roman"/>
              </w:rPr>
            </w:pPr>
            <w:r w:rsidRPr="00C8458C">
              <w:rPr>
                <w:rFonts w:ascii="Calibri" w:eastAsia="Times New Roman" w:hAnsi="Calibri" w:cs="Times New Roman"/>
              </w:rPr>
              <w:t>2 (0.17)</w:t>
            </w:r>
          </w:p>
        </w:tc>
      </w:tr>
      <w:tr w:rsidR="00B5408B" w:rsidRPr="00C8458C" w14:paraId="5C9AF0AE" w14:textId="77777777" w:rsidTr="00966EC9">
        <w:trPr>
          <w:gridBefore w:val="1"/>
          <w:gridAfter w:val="3"/>
          <w:wBefore w:w="15" w:type="dxa"/>
          <w:wAfter w:w="937" w:type="dxa"/>
          <w:trHeight w:val="255"/>
        </w:trPr>
        <w:tc>
          <w:tcPr>
            <w:tcW w:w="5865" w:type="dxa"/>
            <w:shd w:val="clear" w:color="auto" w:fill="auto"/>
            <w:noWrap/>
            <w:vAlign w:val="bottom"/>
            <w:hideMark/>
          </w:tcPr>
          <w:p w14:paraId="5DEDDDE1" w14:textId="75ADAD02" w:rsidR="00B5408B" w:rsidRPr="00C8458C" w:rsidRDefault="00B5408B" w:rsidP="0098496A">
            <w:pPr>
              <w:spacing w:after="0" w:line="240" w:lineRule="auto"/>
              <w:rPr>
                <w:rFonts w:ascii="Calibri" w:eastAsia="Times New Roman" w:hAnsi="Calibri" w:cs="Times New Roman"/>
                <w:b/>
                <w:bCs/>
              </w:rPr>
            </w:pPr>
            <w:r w:rsidRPr="00C8458C">
              <w:rPr>
                <w:rFonts w:ascii="Calibri" w:eastAsia="Times New Roman" w:hAnsi="Calibri" w:cs="Times New Roman"/>
                <w:b/>
                <w:bCs/>
              </w:rPr>
              <w:t>Remaining</w:t>
            </w:r>
          </w:p>
        </w:tc>
        <w:tc>
          <w:tcPr>
            <w:tcW w:w="2070" w:type="dxa"/>
            <w:gridSpan w:val="4"/>
            <w:shd w:val="clear" w:color="auto" w:fill="auto"/>
            <w:noWrap/>
            <w:vAlign w:val="bottom"/>
            <w:hideMark/>
          </w:tcPr>
          <w:p w14:paraId="6EA3F488" w14:textId="77777777" w:rsidR="00B5408B" w:rsidRPr="00C8458C" w:rsidRDefault="00B5408B" w:rsidP="0098496A">
            <w:pPr>
              <w:spacing w:after="0" w:line="240" w:lineRule="auto"/>
              <w:jc w:val="center"/>
              <w:rPr>
                <w:rFonts w:ascii="Calibri" w:eastAsia="Times New Roman" w:hAnsi="Calibri" w:cs="Times New Roman"/>
                <w:b/>
                <w:bCs/>
              </w:rPr>
            </w:pPr>
            <w:r w:rsidRPr="00C8458C">
              <w:rPr>
                <w:rFonts w:ascii="Calibri" w:eastAsia="Times New Roman" w:hAnsi="Calibri" w:cs="Times New Roman"/>
                <w:b/>
                <w:bCs/>
              </w:rPr>
              <w:t>295,848</w:t>
            </w:r>
          </w:p>
        </w:tc>
        <w:tc>
          <w:tcPr>
            <w:tcW w:w="2070" w:type="dxa"/>
            <w:gridSpan w:val="5"/>
            <w:shd w:val="clear" w:color="auto" w:fill="auto"/>
            <w:noWrap/>
            <w:vAlign w:val="bottom"/>
            <w:hideMark/>
          </w:tcPr>
          <w:p w14:paraId="22E8EB63" w14:textId="77777777" w:rsidR="00B5408B" w:rsidRPr="00C8458C" w:rsidRDefault="00B5408B" w:rsidP="0098496A">
            <w:pPr>
              <w:spacing w:after="0" w:line="240" w:lineRule="auto"/>
              <w:jc w:val="center"/>
              <w:rPr>
                <w:rFonts w:ascii="Calibri" w:eastAsia="Times New Roman" w:hAnsi="Calibri" w:cs="Times New Roman"/>
                <w:b/>
                <w:bCs/>
              </w:rPr>
            </w:pPr>
            <w:r w:rsidRPr="00C8458C">
              <w:rPr>
                <w:rFonts w:ascii="Calibri" w:eastAsia="Times New Roman" w:hAnsi="Calibri" w:cs="Times New Roman"/>
                <w:b/>
                <w:bCs/>
              </w:rPr>
              <w:t>1,198</w:t>
            </w:r>
          </w:p>
        </w:tc>
      </w:tr>
      <w:tr w:rsidR="00B5408B" w:rsidRPr="00C8458C" w14:paraId="21FD353A" w14:textId="77777777" w:rsidTr="00966EC9">
        <w:trPr>
          <w:gridBefore w:val="1"/>
          <w:gridAfter w:val="3"/>
          <w:wBefore w:w="15" w:type="dxa"/>
          <w:wAfter w:w="937" w:type="dxa"/>
          <w:trHeight w:val="255"/>
        </w:trPr>
        <w:tc>
          <w:tcPr>
            <w:tcW w:w="5865" w:type="dxa"/>
            <w:shd w:val="clear" w:color="auto" w:fill="auto"/>
            <w:noWrap/>
            <w:vAlign w:val="bottom"/>
            <w:hideMark/>
          </w:tcPr>
          <w:p w14:paraId="3F103A7F" w14:textId="5FC07470" w:rsidR="00B5408B" w:rsidRPr="00C8458C" w:rsidRDefault="009644C5" w:rsidP="0098496A">
            <w:pPr>
              <w:spacing w:after="0" w:line="240" w:lineRule="auto"/>
              <w:rPr>
                <w:rFonts w:ascii="Calibri" w:eastAsia="Times New Roman" w:hAnsi="Calibri" w:cs="Times New Roman"/>
              </w:rPr>
            </w:pPr>
            <w:r>
              <w:rPr>
                <w:rFonts w:ascii="Calibri" w:eastAsia="Times New Roman" w:hAnsi="Calibri" w:cs="Times New Roman"/>
              </w:rPr>
              <w:t>Against medical advice</w:t>
            </w:r>
          </w:p>
        </w:tc>
        <w:tc>
          <w:tcPr>
            <w:tcW w:w="2070" w:type="dxa"/>
            <w:gridSpan w:val="4"/>
            <w:shd w:val="clear" w:color="auto" w:fill="auto"/>
            <w:noWrap/>
            <w:vAlign w:val="center"/>
            <w:hideMark/>
          </w:tcPr>
          <w:p w14:paraId="3972EFBD" w14:textId="26148248" w:rsidR="00B5408B" w:rsidRPr="00C8458C" w:rsidRDefault="00B5408B" w:rsidP="00B5408B">
            <w:pPr>
              <w:spacing w:after="0" w:line="240" w:lineRule="auto"/>
              <w:jc w:val="center"/>
              <w:rPr>
                <w:rFonts w:ascii="Calibri" w:eastAsia="Times New Roman" w:hAnsi="Calibri" w:cs="Times New Roman"/>
              </w:rPr>
            </w:pPr>
            <w:r w:rsidRPr="00C8458C">
              <w:rPr>
                <w:rFonts w:ascii="Calibri" w:eastAsia="Times New Roman" w:hAnsi="Calibri" w:cs="Times New Roman"/>
              </w:rPr>
              <w:t>421 (0.14)</w:t>
            </w:r>
          </w:p>
        </w:tc>
        <w:tc>
          <w:tcPr>
            <w:tcW w:w="2070" w:type="dxa"/>
            <w:gridSpan w:val="5"/>
            <w:shd w:val="clear" w:color="auto" w:fill="auto"/>
            <w:noWrap/>
            <w:vAlign w:val="center"/>
            <w:hideMark/>
          </w:tcPr>
          <w:p w14:paraId="59F4DE33" w14:textId="4A5A241B" w:rsidR="00B5408B" w:rsidRPr="00C8458C" w:rsidRDefault="00B5408B" w:rsidP="00B5408B">
            <w:pPr>
              <w:spacing w:after="0" w:line="240" w:lineRule="auto"/>
              <w:jc w:val="center"/>
              <w:rPr>
                <w:rFonts w:ascii="Calibri" w:eastAsia="Times New Roman" w:hAnsi="Calibri" w:cs="Times New Roman"/>
              </w:rPr>
            </w:pPr>
            <w:r w:rsidRPr="00C8458C">
              <w:rPr>
                <w:rFonts w:ascii="Calibri" w:eastAsia="Times New Roman" w:hAnsi="Calibri" w:cs="Times New Roman"/>
              </w:rPr>
              <w:t>0 (0.00)</w:t>
            </w:r>
          </w:p>
        </w:tc>
      </w:tr>
      <w:tr w:rsidR="00B5408B" w:rsidRPr="00C8458C" w14:paraId="5541EC0D" w14:textId="77777777" w:rsidTr="00966EC9">
        <w:trPr>
          <w:gridBefore w:val="1"/>
          <w:gridAfter w:val="3"/>
          <w:wBefore w:w="15" w:type="dxa"/>
          <w:wAfter w:w="937" w:type="dxa"/>
          <w:trHeight w:val="255"/>
        </w:trPr>
        <w:tc>
          <w:tcPr>
            <w:tcW w:w="5865" w:type="dxa"/>
            <w:shd w:val="clear" w:color="auto" w:fill="auto"/>
            <w:noWrap/>
            <w:vAlign w:val="bottom"/>
            <w:hideMark/>
          </w:tcPr>
          <w:p w14:paraId="09EFBEBA" w14:textId="618B7091" w:rsidR="00B5408B" w:rsidRPr="00C8458C" w:rsidRDefault="00B5408B" w:rsidP="0098496A">
            <w:pPr>
              <w:spacing w:after="0" w:line="240" w:lineRule="auto"/>
              <w:rPr>
                <w:rFonts w:ascii="Calibri" w:eastAsia="Times New Roman" w:hAnsi="Calibri" w:cs="Times New Roman"/>
                <w:b/>
                <w:bCs/>
              </w:rPr>
            </w:pPr>
            <w:r w:rsidRPr="00C8458C">
              <w:rPr>
                <w:rFonts w:ascii="Calibri" w:eastAsia="Times New Roman" w:hAnsi="Calibri" w:cs="Times New Roman"/>
                <w:b/>
                <w:bCs/>
              </w:rPr>
              <w:t>Remaining</w:t>
            </w:r>
          </w:p>
        </w:tc>
        <w:tc>
          <w:tcPr>
            <w:tcW w:w="2070" w:type="dxa"/>
            <w:gridSpan w:val="4"/>
            <w:shd w:val="clear" w:color="auto" w:fill="auto"/>
            <w:noWrap/>
            <w:vAlign w:val="bottom"/>
            <w:hideMark/>
          </w:tcPr>
          <w:p w14:paraId="252AD82E" w14:textId="77777777" w:rsidR="00B5408B" w:rsidRPr="00C8458C" w:rsidRDefault="00B5408B" w:rsidP="0098496A">
            <w:pPr>
              <w:spacing w:after="0" w:line="240" w:lineRule="auto"/>
              <w:jc w:val="center"/>
              <w:rPr>
                <w:rFonts w:ascii="Calibri" w:eastAsia="Times New Roman" w:hAnsi="Calibri" w:cs="Times New Roman"/>
                <w:b/>
                <w:bCs/>
              </w:rPr>
            </w:pPr>
            <w:r w:rsidRPr="00C8458C">
              <w:rPr>
                <w:rFonts w:ascii="Calibri" w:eastAsia="Times New Roman" w:hAnsi="Calibri" w:cs="Times New Roman"/>
                <w:b/>
                <w:bCs/>
              </w:rPr>
              <w:t>295,427</w:t>
            </w:r>
          </w:p>
        </w:tc>
        <w:tc>
          <w:tcPr>
            <w:tcW w:w="2070" w:type="dxa"/>
            <w:gridSpan w:val="5"/>
            <w:shd w:val="clear" w:color="auto" w:fill="auto"/>
            <w:noWrap/>
            <w:vAlign w:val="bottom"/>
            <w:hideMark/>
          </w:tcPr>
          <w:p w14:paraId="77B426D0" w14:textId="77777777" w:rsidR="00B5408B" w:rsidRPr="00C8458C" w:rsidRDefault="00B5408B" w:rsidP="0098496A">
            <w:pPr>
              <w:spacing w:after="0" w:line="240" w:lineRule="auto"/>
              <w:jc w:val="center"/>
              <w:rPr>
                <w:rFonts w:ascii="Calibri" w:eastAsia="Times New Roman" w:hAnsi="Calibri" w:cs="Times New Roman"/>
                <w:b/>
                <w:bCs/>
              </w:rPr>
            </w:pPr>
            <w:r w:rsidRPr="00C8458C">
              <w:rPr>
                <w:rFonts w:ascii="Calibri" w:eastAsia="Times New Roman" w:hAnsi="Calibri" w:cs="Times New Roman"/>
                <w:b/>
                <w:bCs/>
              </w:rPr>
              <w:t>1,198</w:t>
            </w:r>
          </w:p>
        </w:tc>
      </w:tr>
      <w:tr w:rsidR="00B5408B" w:rsidRPr="00C8458C" w14:paraId="1134F44F" w14:textId="77777777" w:rsidTr="00966EC9">
        <w:trPr>
          <w:gridBefore w:val="1"/>
          <w:gridAfter w:val="3"/>
          <w:wBefore w:w="15" w:type="dxa"/>
          <w:wAfter w:w="937" w:type="dxa"/>
          <w:trHeight w:val="255"/>
        </w:trPr>
        <w:tc>
          <w:tcPr>
            <w:tcW w:w="5865" w:type="dxa"/>
            <w:shd w:val="clear" w:color="auto" w:fill="auto"/>
            <w:noWrap/>
            <w:vAlign w:val="center"/>
            <w:hideMark/>
          </w:tcPr>
          <w:p w14:paraId="5D099D8A" w14:textId="77777777" w:rsidR="00B5408B" w:rsidRPr="00C8458C" w:rsidRDefault="00B5408B" w:rsidP="0098496A">
            <w:pPr>
              <w:spacing w:after="0" w:line="240" w:lineRule="auto"/>
              <w:rPr>
                <w:rFonts w:ascii="Calibri" w:eastAsia="Times New Roman" w:hAnsi="Calibri" w:cs="Times New Roman"/>
              </w:rPr>
            </w:pPr>
            <w:r w:rsidRPr="00C8458C">
              <w:rPr>
                <w:rFonts w:ascii="Calibri" w:eastAsia="Times New Roman" w:hAnsi="Calibri" w:cs="Times New Roman"/>
              </w:rPr>
              <w:t>Not a full month follow-up</w:t>
            </w:r>
          </w:p>
        </w:tc>
        <w:tc>
          <w:tcPr>
            <w:tcW w:w="2070" w:type="dxa"/>
            <w:gridSpan w:val="4"/>
            <w:shd w:val="clear" w:color="auto" w:fill="auto"/>
            <w:noWrap/>
            <w:vAlign w:val="center"/>
            <w:hideMark/>
          </w:tcPr>
          <w:p w14:paraId="77D6579E" w14:textId="78216A14" w:rsidR="00B5408B" w:rsidRPr="00C8458C" w:rsidRDefault="00B5408B" w:rsidP="00B5408B">
            <w:pPr>
              <w:spacing w:after="0" w:line="240" w:lineRule="auto"/>
              <w:jc w:val="center"/>
              <w:rPr>
                <w:rFonts w:ascii="Calibri" w:eastAsia="Times New Roman" w:hAnsi="Calibri" w:cs="Times New Roman"/>
              </w:rPr>
            </w:pPr>
            <w:r w:rsidRPr="00C8458C">
              <w:rPr>
                <w:rFonts w:ascii="Calibri" w:eastAsia="Times New Roman" w:hAnsi="Calibri" w:cs="Times New Roman"/>
              </w:rPr>
              <w:t>10,943 (3.70)</w:t>
            </w:r>
          </w:p>
        </w:tc>
        <w:tc>
          <w:tcPr>
            <w:tcW w:w="2070" w:type="dxa"/>
            <w:gridSpan w:val="5"/>
            <w:shd w:val="clear" w:color="auto" w:fill="auto"/>
            <w:noWrap/>
            <w:vAlign w:val="center"/>
            <w:hideMark/>
          </w:tcPr>
          <w:p w14:paraId="2420965B" w14:textId="3BDAA464" w:rsidR="00B5408B" w:rsidRPr="00C8458C" w:rsidRDefault="00B5408B" w:rsidP="00B5408B">
            <w:pPr>
              <w:spacing w:after="0" w:line="240" w:lineRule="auto"/>
              <w:jc w:val="center"/>
              <w:rPr>
                <w:rFonts w:ascii="Calibri" w:eastAsia="Times New Roman" w:hAnsi="Calibri" w:cs="Times New Roman"/>
              </w:rPr>
            </w:pPr>
            <w:r w:rsidRPr="00C8458C">
              <w:rPr>
                <w:rFonts w:ascii="Calibri" w:eastAsia="Times New Roman" w:hAnsi="Calibri" w:cs="Times New Roman"/>
              </w:rPr>
              <w:t>1 (0.08)</w:t>
            </w:r>
          </w:p>
        </w:tc>
      </w:tr>
      <w:tr w:rsidR="00B5408B" w:rsidRPr="00C8458C" w14:paraId="474F8F04" w14:textId="77777777" w:rsidTr="00966EC9">
        <w:trPr>
          <w:gridBefore w:val="1"/>
          <w:gridAfter w:val="3"/>
          <w:wBefore w:w="15" w:type="dxa"/>
          <w:wAfter w:w="937" w:type="dxa"/>
          <w:trHeight w:val="255"/>
        </w:trPr>
        <w:tc>
          <w:tcPr>
            <w:tcW w:w="5865" w:type="dxa"/>
            <w:shd w:val="clear" w:color="auto" w:fill="auto"/>
            <w:noWrap/>
            <w:vAlign w:val="bottom"/>
            <w:hideMark/>
          </w:tcPr>
          <w:p w14:paraId="378D269C" w14:textId="19A7EA1B" w:rsidR="00B5408B" w:rsidRPr="00C8458C" w:rsidRDefault="00B5408B" w:rsidP="0098496A">
            <w:pPr>
              <w:spacing w:after="0" w:line="240" w:lineRule="auto"/>
              <w:rPr>
                <w:rFonts w:ascii="Calibri" w:eastAsia="Times New Roman" w:hAnsi="Calibri" w:cs="Times New Roman"/>
                <w:b/>
                <w:bCs/>
              </w:rPr>
            </w:pPr>
            <w:r w:rsidRPr="00C8458C">
              <w:rPr>
                <w:rFonts w:ascii="Calibri" w:eastAsia="Times New Roman" w:hAnsi="Calibri" w:cs="Times New Roman"/>
                <w:b/>
                <w:bCs/>
              </w:rPr>
              <w:t>Remaining</w:t>
            </w:r>
          </w:p>
        </w:tc>
        <w:tc>
          <w:tcPr>
            <w:tcW w:w="2070" w:type="dxa"/>
            <w:gridSpan w:val="4"/>
            <w:shd w:val="clear" w:color="auto" w:fill="auto"/>
            <w:noWrap/>
            <w:vAlign w:val="bottom"/>
            <w:hideMark/>
          </w:tcPr>
          <w:p w14:paraId="3836669E" w14:textId="77777777" w:rsidR="00B5408B" w:rsidRPr="00C8458C" w:rsidRDefault="00B5408B" w:rsidP="0098496A">
            <w:pPr>
              <w:spacing w:after="0" w:line="240" w:lineRule="auto"/>
              <w:jc w:val="center"/>
              <w:rPr>
                <w:rFonts w:ascii="Calibri" w:eastAsia="Times New Roman" w:hAnsi="Calibri" w:cs="Times New Roman"/>
                <w:b/>
                <w:bCs/>
              </w:rPr>
            </w:pPr>
            <w:r w:rsidRPr="00C8458C">
              <w:rPr>
                <w:rFonts w:ascii="Calibri" w:eastAsia="Times New Roman" w:hAnsi="Calibri" w:cs="Times New Roman"/>
                <w:b/>
                <w:bCs/>
              </w:rPr>
              <w:t>284,484</w:t>
            </w:r>
          </w:p>
        </w:tc>
        <w:tc>
          <w:tcPr>
            <w:tcW w:w="2070" w:type="dxa"/>
            <w:gridSpan w:val="5"/>
            <w:shd w:val="clear" w:color="auto" w:fill="auto"/>
            <w:noWrap/>
            <w:vAlign w:val="bottom"/>
            <w:hideMark/>
          </w:tcPr>
          <w:p w14:paraId="1A0B873A" w14:textId="77777777" w:rsidR="00B5408B" w:rsidRPr="00C8458C" w:rsidRDefault="00B5408B" w:rsidP="0098496A">
            <w:pPr>
              <w:spacing w:after="0" w:line="240" w:lineRule="auto"/>
              <w:jc w:val="center"/>
              <w:rPr>
                <w:rFonts w:ascii="Calibri" w:eastAsia="Times New Roman" w:hAnsi="Calibri" w:cs="Times New Roman"/>
                <w:b/>
                <w:bCs/>
              </w:rPr>
            </w:pPr>
            <w:r w:rsidRPr="00C8458C">
              <w:rPr>
                <w:rFonts w:ascii="Calibri" w:eastAsia="Times New Roman" w:hAnsi="Calibri" w:cs="Times New Roman"/>
                <w:b/>
                <w:bCs/>
              </w:rPr>
              <w:t>1,197</w:t>
            </w:r>
          </w:p>
        </w:tc>
      </w:tr>
      <w:tr w:rsidR="00B5408B" w:rsidRPr="00C8458C" w14:paraId="2F486DD0" w14:textId="77777777" w:rsidTr="00966EC9">
        <w:trPr>
          <w:gridBefore w:val="1"/>
          <w:gridAfter w:val="3"/>
          <w:wBefore w:w="15" w:type="dxa"/>
          <w:wAfter w:w="937" w:type="dxa"/>
          <w:trHeight w:val="255"/>
        </w:trPr>
        <w:tc>
          <w:tcPr>
            <w:tcW w:w="5865" w:type="dxa"/>
            <w:shd w:val="clear" w:color="auto" w:fill="auto"/>
            <w:noWrap/>
            <w:vAlign w:val="bottom"/>
            <w:hideMark/>
          </w:tcPr>
          <w:p w14:paraId="522E6937" w14:textId="77777777" w:rsidR="00B5408B" w:rsidRPr="00C8458C" w:rsidRDefault="00B5408B" w:rsidP="0098496A">
            <w:pPr>
              <w:spacing w:after="0" w:line="240" w:lineRule="auto"/>
              <w:rPr>
                <w:rFonts w:ascii="Calibri" w:eastAsia="Times New Roman" w:hAnsi="Calibri" w:cs="Times New Roman"/>
              </w:rPr>
            </w:pPr>
            <w:r w:rsidRPr="00C8458C">
              <w:rPr>
                <w:rFonts w:ascii="Calibri" w:eastAsia="Times New Roman" w:hAnsi="Calibri" w:cs="Times New Roman"/>
              </w:rPr>
              <w:t>Duplicate admissions**</w:t>
            </w:r>
          </w:p>
        </w:tc>
        <w:tc>
          <w:tcPr>
            <w:tcW w:w="2070" w:type="dxa"/>
            <w:gridSpan w:val="4"/>
            <w:shd w:val="clear" w:color="auto" w:fill="auto"/>
            <w:noWrap/>
            <w:vAlign w:val="center"/>
            <w:hideMark/>
          </w:tcPr>
          <w:p w14:paraId="6F1F0B56" w14:textId="64212083" w:rsidR="00B5408B" w:rsidRPr="00C8458C" w:rsidRDefault="00B5408B" w:rsidP="00B5408B">
            <w:pPr>
              <w:spacing w:after="0" w:line="240" w:lineRule="auto"/>
              <w:jc w:val="center"/>
              <w:rPr>
                <w:rFonts w:ascii="Calibri" w:eastAsia="Times New Roman" w:hAnsi="Calibri" w:cs="Times New Roman"/>
              </w:rPr>
            </w:pPr>
            <w:r w:rsidRPr="00C8458C">
              <w:rPr>
                <w:rFonts w:ascii="Calibri" w:eastAsia="Times New Roman" w:hAnsi="Calibri" w:cs="Times New Roman"/>
              </w:rPr>
              <w:t>6,972 (2.45)</w:t>
            </w:r>
          </w:p>
        </w:tc>
        <w:tc>
          <w:tcPr>
            <w:tcW w:w="2070" w:type="dxa"/>
            <w:gridSpan w:val="5"/>
            <w:shd w:val="clear" w:color="auto" w:fill="auto"/>
            <w:noWrap/>
            <w:vAlign w:val="center"/>
            <w:hideMark/>
          </w:tcPr>
          <w:p w14:paraId="29DA1AF2" w14:textId="5AC70FE5" w:rsidR="00B5408B" w:rsidRPr="00C8458C" w:rsidRDefault="00B5408B" w:rsidP="00B5408B">
            <w:pPr>
              <w:spacing w:after="0" w:line="240" w:lineRule="auto"/>
              <w:jc w:val="center"/>
              <w:rPr>
                <w:rFonts w:ascii="Calibri" w:eastAsia="Times New Roman" w:hAnsi="Calibri" w:cs="Times New Roman"/>
              </w:rPr>
            </w:pPr>
            <w:r w:rsidRPr="00C8458C">
              <w:rPr>
                <w:rFonts w:ascii="Calibri" w:eastAsia="Times New Roman" w:hAnsi="Calibri" w:cs="Times New Roman"/>
              </w:rPr>
              <w:t>0 (0.00)</w:t>
            </w:r>
          </w:p>
        </w:tc>
      </w:tr>
      <w:tr w:rsidR="00B5408B" w:rsidRPr="00C8458C" w14:paraId="274F39C2" w14:textId="77777777" w:rsidTr="00966EC9">
        <w:trPr>
          <w:gridBefore w:val="1"/>
          <w:gridAfter w:val="3"/>
          <w:wBefore w:w="15" w:type="dxa"/>
          <w:wAfter w:w="937" w:type="dxa"/>
          <w:trHeight w:val="255"/>
        </w:trPr>
        <w:tc>
          <w:tcPr>
            <w:tcW w:w="5865" w:type="dxa"/>
            <w:shd w:val="clear" w:color="auto" w:fill="auto"/>
            <w:noWrap/>
            <w:vAlign w:val="bottom"/>
            <w:hideMark/>
          </w:tcPr>
          <w:p w14:paraId="08A98B60" w14:textId="77777777" w:rsidR="00B5408B" w:rsidRPr="00C8458C" w:rsidRDefault="00B5408B" w:rsidP="0098496A">
            <w:pPr>
              <w:spacing w:after="0" w:line="240" w:lineRule="auto"/>
              <w:rPr>
                <w:rFonts w:ascii="Calibri" w:eastAsia="Times New Roman" w:hAnsi="Calibri" w:cs="Times New Roman"/>
                <w:b/>
                <w:bCs/>
              </w:rPr>
            </w:pPr>
            <w:r w:rsidRPr="00C8458C">
              <w:rPr>
                <w:rFonts w:ascii="Calibri" w:eastAsia="Times New Roman" w:hAnsi="Calibri" w:cs="Times New Roman"/>
                <w:b/>
                <w:bCs/>
              </w:rPr>
              <w:t>Study Sample</w:t>
            </w:r>
          </w:p>
        </w:tc>
        <w:tc>
          <w:tcPr>
            <w:tcW w:w="2070" w:type="dxa"/>
            <w:gridSpan w:val="4"/>
            <w:shd w:val="clear" w:color="auto" w:fill="auto"/>
            <w:noWrap/>
            <w:vAlign w:val="bottom"/>
            <w:hideMark/>
          </w:tcPr>
          <w:p w14:paraId="5C894603" w14:textId="77777777" w:rsidR="00B5408B" w:rsidRPr="00C8458C" w:rsidRDefault="00B5408B" w:rsidP="0098496A">
            <w:pPr>
              <w:spacing w:after="0" w:line="240" w:lineRule="auto"/>
              <w:jc w:val="center"/>
              <w:rPr>
                <w:rFonts w:ascii="Calibri" w:eastAsia="Times New Roman" w:hAnsi="Calibri" w:cs="Times New Roman"/>
                <w:b/>
                <w:bCs/>
              </w:rPr>
            </w:pPr>
            <w:r w:rsidRPr="00C8458C">
              <w:rPr>
                <w:rFonts w:ascii="Calibri" w:eastAsia="Times New Roman" w:hAnsi="Calibri" w:cs="Times New Roman"/>
                <w:b/>
                <w:bCs/>
              </w:rPr>
              <w:t>277,512</w:t>
            </w:r>
          </w:p>
        </w:tc>
        <w:tc>
          <w:tcPr>
            <w:tcW w:w="2070" w:type="dxa"/>
            <w:gridSpan w:val="5"/>
            <w:shd w:val="clear" w:color="auto" w:fill="auto"/>
            <w:noWrap/>
            <w:vAlign w:val="bottom"/>
            <w:hideMark/>
          </w:tcPr>
          <w:p w14:paraId="194FD947" w14:textId="77777777" w:rsidR="00B5408B" w:rsidRPr="00C8458C" w:rsidRDefault="00B5408B" w:rsidP="0098496A">
            <w:pPr>
              <w:spacing w:after="0" w:line="240" w:lineRule="auto"/>
              <w:jc w:val="center"/>
              <w:rPr>
                <w:rFonts w:ascii="Calibri" w:eastAsia="Times New Roman" w:hAnsi="Calibri" w:cs="Times New Roman"/>
                <w:b/>
                <w:bCs/>
              </w:rPr>
            </w:pPr>
            <w:r w:rsidRPr="00C8458C">
              <w:rPr>
                <w:rFonts w:ascii="Calibri" w:eastAsia="Times New Roman" w:hAnsi="Calibri" w:cs="Times New Roman"/>
                <w:b/>
                <w:bCs/>
              </w:rPr>
              <w:t>1,197</w:t>
            </w:r>
          </w:p>
        </w:tc>
      </w:tr>
      <w:tr w:rsidR="00B5408B" w:rsidRPr="00C8458C" w14:paraId="2849F596" w14:textId="77777777" w:rsidTr="00966EC9">
        <w:trPr>
          <w:gridBefore w:val="1"/>
          <w:gridAfter w:val="3"/>
          <w:wBefore w:w="15" w:type="dxa"/>
          <w:wAfter w:w="937" w:type="dxa"/>
          <w:trHeight w:val="53"/>
        </w:trPr>
        <w:tc>
          <w:tcPr>
            <w:tcW w:w="5865" w:type="dxa"/>
            <w:shd w:val="clear" w:color="auto" w:fill="auto"/>
            <w:noWrap/>
            <w:vAlign w:val="bottom"/>
            <w:hideMark/>
          </w:tcPr>
          <w:p w14:paraId="25678D76" w14:textId="77777777" w:rsidR="00B5408B" w:rsidRPr="00C8458C" w:rsidRDefault="00B5408B" w:rsidP="0098496A">
            <w:pPr>
              <w:spacing w:after="0" w:line="240" w:lineRule="auto"/>
              <w:rPr>
                <w:rFonts w:ascii="Calibri" w:eastAsia="Times New Roman" w:hAnsi="Calibri" w:cs="Times New Roman"/>
              </w:rPr>
            </w:pPr>
            <w:r w:rsidRPr="00C8458C">
              <w:rPr>
                <w:rFonts w:ascii="Calibri" w:eastAsia="Times New Roman" w:hAnsi="Calibri" w:cs="Times New Roman"/>
              </w:rPr>
              <w:t xml:space="preserve">Readmission within 30-days*** </w:t>
            </w:r>
          </w:p>
        </w:tc>
        <w:tc>
          <w:tcPr>
            <w:tcW w:w="2070" w:type="dxa"/>
            <w:gridSpan w:val="4"/>
            <w:shd w:val="clear" w:color="auto" w:fill="auto"/>
            <w:noWrap/>
            <w:vAlign w:val="bottom"/>
            <w:hideMark/>
          </w:tcPr>
          <w:p w14:paraId="16F38750" w14:textId="10F63849" w:rsidR="00B5408B" w:rsidRPr="00C8458C" w:rsidRDefault="00B5408B" w:rsidP="003B704C">
            <w:pPr>
              <w:spacing w:after="0" w:line="240" w:lineRule="auto"/>
              <w:jc w:val="center"/>
              <w:rPr>
                <w:rFonts w:ascii="Calibri" w:eastAsia="Times New Roman" w:hAnsi="Calibri" w:cs="Times New Roman"/>
              </w:rPr>
            </w:pPr>
            <w:r w:rsidRPr="00C8458C">
              <w:rPr>
                <w:rFonts w:ascii="Calibri" w:eastAsia="Times New Roman" w:hAnsi="Calibri" w:cs="Times New Roman"/>
              </w:rPr>
              <w:t>39,078</w:t>
            </w:r>
            <w:r w:rsidR="003B704C" w:rsidRPr="00C8458C">
              <w:rPr>
                <w:rFonts w:ascii="Calibri" w:eastAsia="Times New Roman" w:hAnsi="Calibri" w:cs="Times New Roman"/>
              </w:rPr>
              <w:t xml:space="preserve"> </w:t>
            </w:r>
            <w:r w:rsidRPr="00C8458C">
              <w:rPr>
                <w:rFonts w:ascii="Calibri" w:eastAsia="Times New Roman" w:hAnsi="Calibri" w:cs="Times New Roman"/>
              </w:rPr>
              <w:t>(14.08)</w:t>
            </w:r>
          </w:p>
        </w:tc>
        <w:tc>
          <w:tcPr>
            <w:tcW w:w="2070" w:type="dxa"/>
            <w:gridSpan w:val="5"/>
            <w:shd w:val="clear" w:color="auto" w:fill="auto"/>
            <w:noWrap/>
            <w:vAlign w:val="bottom"/>
            <w:hideMark/>
          </w:tcPr>
          <w:p w14:paraId="179ACA27" w14:textId="77777777" w:rsidR="00B5408B" w:rsidRPr="00C8458C" w:rsidRDefault="00B5408B" w:rsidP="0098496A">
            <w:pPr>
              <w:spacing w:after="0" w:line="240" w:lineRule="auto"/>
              <w:jc w:val="center"/>
              <w:rPr>
                <w:rFonts w:ascii="Calibri" w:eastAsia="Times New Roman" w:hAnsi="Calibri" w:cs="Times New Roman"/>
                <w:b/>
                <w:bCs/>
              </w:rPr>
            </w:pPr>
            <w:r w:rsidRPr="00C8458C">
              <w:rPr>
                <w:rFonts w:ascii="Calibri" w:eastAsia="Times New Roman" w:hAnsi="Calibri" w:cs="Times New Roman"/>
                <w:b/>
                <w:bCs/>
              </w:rPr>
              <w:t xml:space="preserve"> </w:t>
            </w:r>
          </w:p>
        </w:tc>
      </w:tr>
      <w:tr w:rsidR="00B5408B" w:rsidRPr="00C8458C" w14:paraId="148BFE4A" w14:textId="77777777" w:rsidTr="00966EC9">
        <w:trPr>
          <w:gridBefore w:val="1"/>
          <w:gridAfter w:val="3"/>
          <w:wBefore w:w="15" w:type="dxa"/>
          <w:wAfter w:w="937" w:type="dxa"/>
          <w:trHeight w:val="255"/>
        </w:trPr>
        <w:tc>
          <w:tcPr>
            <w:tcW w:w="5865" w:type="dxa"/>
            <w:shd w:val="clear" w:color="auto" w:fill="auto"/>
            <w:noWrap/>
            <w:vAlign w:val="bottom"/>
            <w:hideMark/>
          </w:tcPr>
          <w:p w14:paraId="385F56E8" w14:textId="77777777" w:rsidR="00B5408B" w:rsidRPr="00C8458C" w:rsidRDefault="00B5408B" w:rsidP="0098496A">
            <w:pPr>
              <w:spacing w:after="0" w:line="240" w:lineRule="auto"/>
              <w:rPr>
                <w:rFonts w:ascii="Calibri" w:eastAsia="Times New Roman" w:hAnsi="Calibri" w:cs="Times New Roman"/>
              </w:rPr>
            </w:pPr>
            <w:r w:rsidRPr="00C8458C">
              <w:rPr>
                <w:rFonts w:ascii="Calibri" w:eastAsia="Times New Roman" w:hAnsi="Calibri" w:cs="Times New Roman"/>
              </w:rPr>
              <w:t>Readmission within 30-days****</w:t>
            </w:r>
          </w:p>
        </w:tc>
        <w:tc>
          <w:tcPr>
            <w:tcW w:w="2070" w:type="dxa"/>
            <w:gridSpan w:val="4"/>
            <w:shd w:val="clear" w:color="auto" w:fill="auto"/>
            <w:noWrap/>
            <w:vAlign w:val="bottom"/>
            <w:hideMark/>
          </w:tcPr>
          <w:p w14:paraId="2F4049E9" w14:textId="50DA025D" w:rsidR="00B5408B" w:rsidRPr="00C8458C" w:rsidRDefault="00B5408B" w:rsidP="003B704C">
            <w:pPr>
              <w:spacing w:after="0" w:line="240" w:lineRule="auto"/>
              <w:jc w:val="center"/>
              <w:rPr>
                <w:rFonts w:ascii="Calibri" w:eastAsia="Times New Roman" w:hAnsi="Calibri" w:cs="Times New Roman"/>
              </w:rPr>
            </w:pPr>
            <w:r w:rsidRPr="00C8458C">
              <w:rPr>
                <w:rFonts w:ascii="Calibri" w:eastAsia="Times New Roman" w:hAnsi="Calibri" w:cs="Times New Roman"/>
              </w:rPr>
              <w:t>32,601(11.7)</w:t>
            </w:r>
          </w:p>
        </w:tc>
        <w:tc>
          <w:tcPr>
            <w:tcW w:w="2070" w:type="dxa"/>
            <w:gridSpan w:val="5"/>
            <w:shd w:val="clear" w:color="auto" w:fill="auto"/>
            <w:noWrap/>
            <w:vAlign w:val="bottom"/>
            <w:hideMark/>
          </w:tcPr>
          <w:p w14:paraId="50602C30" w14:textId="77777777" w:rsidR="00B5408B" w:rsidRPr="00C8458C" w:rsidRDefault="00B5408B" w:rsidP="0098496A">
            <w:pPr>
              <w:spacing w:after="0" w:line="240" w:lineRule="auto"/>
              <w:jc w:val="center"/>
              <w:rPr>
                <w:rFonts w:ascii="Calibri" w:eastAsia="Times New Roman" w:hAnsi="Calibri" w:cs="Times New Roman"/>
                <w:b/>
                <w:bCs/>
              </w:rPr>
            </w:pPr>
            <w:r w:rsidRPr="00C8458C">
              <w:rPr>
                <w:rFonts w:ascii="Calibri" w:eastAsia="Times New Roman" w:hAnsi="Calibri" w:cs="Times New Roman"/>
                <w:b/>
                <w:bCs/>
              </w:rPr>
              <w:t xml:space="preserve"> </w:t>
            </w:r>
          </w:p>
        </w:tc>
      </w:tr>
      <w:tr w:rsidR="00966EC9" w14:paraId="3DCF5CD8" w14:textId="77777777" w:rsidTr="00966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3"/>
          <w:wAfter w:w="937" w:type="dxa"/>
          <w:trHeight w:val="418"/>
        </w:trPr>
        <w:tc>
          <w:tcPr>
            <w:tcW w:w="10020" w:type="dxa"/>
            <w:gridSpan w:val="11"/>
            <w:tcBorders>
              <w:top w:val="single" w:sz="4" w:space="0" w:color="auto"/>
              <w:left w:val="single" w:sz="4" w:space="0" w:color="auto"/>
              <w:bottom w:val="nil"/>
              <w:right w:val="single" w:sz="4" w:space="0" w:color="auto"/>
            </w:tcBorders>
          </w:tcPr>
          <w:p w14:paraId="725E2488" w14:textId="77777777" w:rsidR="00966EC9" w:rsidRPr="00966EC9" w:rsidRDefault="00966EC9">
            <w:pPr>
              <w:autoSpaceDE w:val="0"/>
              <w:autoSpaceDN w:val="0"/>
              <w:adjustRightInd w:val="0"/>
              <w:spacing w:after="0" w:line="240" w:lineRule="auto"/>
              <w:rPr>
                <w:rFonts w:ascii="Calibri" w:hAnsi="Calibri" w:cs="Times New Roman"/>
                <w:color w:val="000000"/>
              </w:rPr>
            </w:pPr>
            <w:r w:rsidRPr="00966EC9">
              <w:rPr>
                <w:rFonts w:ascii="Calibri" w:hAnsi="Calibri" w:cs="Times New Roman"/>
                <w:color w:val="000000"/>
              </w:rPr>
              <w:t xml:space="preserve">* Defined as two or more claims in which the admission date of the current claim is before or the same as the discharge date of its previous claim. When this happens, the information at discharge of the first claim are replaced by the information at discharge of the last claim. </w:t>
            </w:r>
          </w:p>
        </w:tc>
      </w:tr>
      <w:tr w:rsidR="00966EC9" w14:paraId="16350C33" w14:textId="77777777" w:rsidTr="00966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trHeight w:val="202"/>
        </w:trPr>
        <w:tc>
          <w:tcPr>
            <w:tcW w:w="6211" w:type="dxa"/>
            <w:gridSpan w:val="3"/>
            <w:tcBorders>
              <w:top w:val="nil"/>
              <w:left w:val="single" w:sz="4" w:space="0" w:color="auto"/>
              <w:bottom w:val="nil"/>
              <w:right w:val="nil"/>
            </w:tcBorders>
          </w:tcPr>
          <w:p w14:paraId="57299E76" w14:textId="77777777" w:rsidR="00966EC9" w:rsidRPr="00966EC9" w:rsidRDefault="00966EC9">
            <w:pPr>
              <w:autoSpaceDE w:val="0"/>
              <w:autoSpaceDN w:val="0"/>
              <w:adjustRightInd w:val="0"/>
              <w:spacing w:after="0" w:line="240" w:lineRule="auto"/>
              <w:rPr>
                <w:rFonts w:ascii="Calibri" w:hAnsi="Calibri" w:cs="Times New Roman"/>
                <w:color w:val="000000"/>
              </w:rPr>
            </w:pPr>
            <w:r w:rsidRPr="00966EC9">
              <w:rPr>
                <w:rFonts w:ascii="Calibri" w:hAnsi="Calibri" w:cs="Times New Roman"/>
                <w:color w:val="000000"/>
              </w:rPr>
              <w:t>** Defined as admissions within 30 days of a PCI index admission.</w:t>
            </w:r>
          </w:p>
        </w:tc>
        <w:tc>
          <w:tcPr>
            <w:tcW w:w="583" w:type="dxa"/>
            <w:tcBorders>
              <w:top w:val="nil"/>
              <w:left w:val="nil"/>
              <w:bottom w:val="nil"/>
              <w:right w:val="nil"/>
            </w:tcBorders>
          </w:tcPr>
          <w:p w14:paraId="3F631D54" w14:textId="77777777" w:rsidR="00966EC9" w:rsidRPr="00966EC9" w:rsidRDefault="00966EC9">
            <w:pPr>
              <w:autoSpaceDE w:val="0"/>
              <w:autoSpaceDN w:val="0"/>
              <w:adjustRightInd w:val="0"/>
              <w:spacing w:after="0" w:line="240" w:lineRule="auto"/>
              <w:jc w:val="center"/>
              <w:rPr>
                <w:rFonts w:ascii="Calibri" w:hAnsi="Calibri" w:cs="Times New Roman"/>
                <w:color w:val="000000"/>
              </w:rPr>
            </w:pPr>
          </w:p>
        </w:tc>
        <w:tc>
          <w:tcPr>
            <w:tcW w:w="584" w:type="dxa"/>
            <w:tcBorders>
              <w:top w:val="nil"/>
              <w:left w:val="nil"/>
              <w:bottom w:val="nil"/>
              <w:right w:val="nil"/>
            </w:tcBorders>
          </w:tcPr>
          <w:p w14:paraId="5869081D" w14:textId="77777777" w:rsidR="00966EC9" w:rsidRPr="00966EC9" w:rsidRDefault="00966EC9">
            <w:pPr>
              <w:autoSpaceDE w:val="0"/>
              <w:autoSpaceDN w:val="0"/>
              <w:adjustRightInd w:val="0"/>
              <w:spacing w:after="0" w:line="240" w:lineRule="auto"/>
              <w:jc w:val="center"/>
              <w:rPr>
                <w:rFonts w:ascii="Calibri" w:hAnsi="Calibri" w:cs="Times New Roman"/>
                <w:color w:val="000000"/>
              </w:rPr>
            </w:pPr>
          </w:p>
        </w:tc>
        <w:tc>
          <w:tcPr>
            <w:tcW w:w="583" w:type="dxa"/>
            <w:gridSpan w:val="2"/>
            <w:tcBorders>
              <w:top w:val="nil"/>
              <w:left w:val="nil"/>
              <w:bottom w:val="nil"/>
              <w:right w:val="nil"/>
            </w:tcBorders>
          </w:tcPr>
          <w:p w14:paraId="50693041" w14:textId="77777777" w:rsidR="00966EC9" w:rsidRPr="00966EC9" w:rsidRDefault="00966EC9">
            <w:pPr>
              <w:autoSpaceDE w:val="0"/>
              <w:autoSpaceDN w:val="0"/>
              <w:adjustRightInd w:val="0"/>
              <w:spacing w:after="0" w:line="240" w:lineRule="auto"/>
              <w:jc w:val="center"/>
              <w:rPr>
                <w:rFonts w:ascii="Calibri" w:hAnsi="Calibri" w:cs="Times New Roman"/>
                <w:color w:val="000000"/>
              </w:rPr>
            </w:pPr>
          </w:p>
        </w:tc>
        <w:tc>
          <w:tcPr>
            <w:tcW w:w="583" w:type="dxa"/>
            <w:tcBorders>
              <w:top w:val="nil"/>
              <w:left w:val="nil"/>
              <w:bottom w:val="nil"/>
              <w:right w:val="nil"/>
            </w:tcBorders>
          </w:tcPr>
          <w:p w14:paraId="6E6D00C8" w14:textId="77777777" w:rsidR="00966EC9" w:rsidRPr="00966EC9" w:rsidRDefault="00966EC9">
            <w:pPr>
              <w:autoSpaceDE w:val="0"/>
              <w:autoSpaceDN w:val="0"/>
              <w:adjustRightInd w:val="0"/>
              <w:spacing w:after="0" w:line="240" w:lineRule="auto"/>
              <w:jc w:val="center"/>
              <w:rPr>
                <w:rFonts w:ascii="Calibri" w:hAnsi="Calibri" w:cs="Times New Roman"/>
                <w:color w:val="000000"/>
              </w:rPr>
            </w:pPr>
          </w:p>
        </w:tc>
        <w:tc>
          <w:tcPr>
            <w:tcW w:w="583" w:type="dxa"/>
            <w:tcBorders>
              <w:top w:val="nil"/>
              <w:left w:val="nil"/>
              <w:bottom w:val="nil"/>
              <w:right w:val="nil"/>
            </w:tcBorders>
          </w:tcPr>
          <w:p w14:paraId="66C3EA52" w14:textId="77777777" w:rsidR="00966EC9" w:rsidRPr="00966EC9" w:rsidRDefault="00966EC9">
            <w:pPr>
              <w:autoSpaceDE w:val="0"/>
              <w:autoSpaceDN w:val="0"/>
              <w:adjustRightInd w:val="0"/>
              <w:spacing w:after="0" w:line="240" w:lineRule="auto"/>
              <w:jc w:val="center"/>
              <w:rPr>
                <w:rFonts w:ascii="Calibri" w:hAnsi="Calibri" w:cs="Times New Roman"/>
                <w:color w:val="000000"/>
              </w:rPr>
            </w:pPr>
          </w:p>
        </w:tc>
        <w:tc>
          <w:tcPr>
            <w:tcW w:w="583" w:type="dxa"/>
            <w:tcBorders>
              <w:top w:val="nil"/>
              <w:left w:val="nil"/>
              <w:bottom w:val="nil"/>
              <w:right w:val="nil"/>
            </w:tcBorders>
          </w:tcPr>
          <w:p w14:paraId="05013AC3" w14:textId="77777777" w:rsidR="00966EC9" w:rsidRPr="00966EC9" w:rsidRDefault="00966EC9">
            <w:pPr>
              <w:autoSpaceDE w:val="0"/>
              <w:autoSpaceDN w:val="0"/>
              <w:adjustRightInd w:val="0"/>
              <w:spacing w:after="0" w:line="240" w:lineRule="auto"/>
              <w:jc w:val="center"/>
              <w:rPr>
                <w:rFonts w:ascii="Calibri" w:hAnsi="Calibri" w:cs="Times New Roman"/>
                <w:color w:val="000000"/>
              </w:rPr>
            </w:pPr>
          </w:p>
        </w:tc>
        <w:tc>
          <w:tcPr>
            <w:tcW w:w="584" w:type="dxa"/>
            <w:gridSpan w:val="2"/>
            <w:tcBorders>
              <w:top w:val="nil"/>
              <w:left w:val="nil"/>
              <w:bottom w:val="nil"/>
              <w:right w:val="single" w:sz="4" w:space="0" w:color="auto"/>
            </w:tcBorders>
          </w:tcPr>
          <w:p w14:paraId="1B37FEB1" w14:textId="77777777" w:rsidR="00966EC9" w:rsidRPr="00966EC9" w:rsidRDefault="00966EC9">
            <w:pPr>
              <w:autoSpaceDE w:val="0"/>
              <w:autoSpaceDN w:val="0"/>
              <w:adjustRightInd w:val="0"/>
              <w:spacing w:after="0" w:line="240" w:lineRule="auto"/>
              <w:jc w:val="center"/>
              <w:rPr>
                <w:rFonts w:ascii="Calibri" w:hAnsi="Calibri" w:cs="Times New Roman"/>
                <w:color w:val="000000"/>
              </w:rPr>
            </w:pPr>
          </w:p>
        </w:tc>
        <w:tc>
          <w:tcPr>
            <w:tcW w:w="583" w:type="dxa"/>
            <w:tcBorders>
              <w:top w:val="nil"/>
              <w:left w:val="single" w:sz="4" w:space="0" w:color="auto"/>
              <w:bottom w:val="nil"/>
              <w:right w:val="nil"/>
            </w:tcBorders>
          </w:tcPr>
          <w:p w14:paraId="4E329A73" w14:textId="77777777" w:rsidR="00966EC9" w:rsidRDefault="00966EC9">
            <w:pPr>
              <w:autoSpaceDE w:val="0"/>
              <w:autoSpaceDN w:val="0"/>
              <w:adjustRightInd w:val="0"/>
              <w:spacing w:after="0" w:line="240" w:lineRule="auto"/>
              <w:jc w:val="center"/>
              <w:rPr>
                <w:rFonts w:ascii="Times New Roman" w:hAnsi="Times New Roman" w:cs="Times New Roman"/>
                <w:color w:val="000000"/>
                <w:sz w:val="20"/>
                <w:szCs w:val="20"/>
              </w:rPr>
            </w:pPr>
          </w:p>
        </w:tc>
        <w:tc>
          <w:tcPr>
            <w:tcW w:w="80" w:type="dxa"/>
            <w:tcBorders>
              <w:top w:val="nil"/>
              <w:left w:val="nil"/>
              <w:bottom w:val="nil"/>
              <w:right w:val="nil"/>
            </w:tcBorders>
          </w:tcPr>
          <w:p w14:paraId="065C18EE" w14:textId="77777777" w:rsidR="00966EC9" w:rsidRDefault="00966EC9">
            <w:pPr>
              <w:autoSpaceDE w:val="0"/>
              <w:autoSpaceDN w:val="0"/>
              <w:adjustRightInd w:val="0"/>
              <w:spacing w:after="0" w:line="240" w:lineRule="auto"/>
              <w:jc w:val="center"/>
              <w:rPr>
                <w:rFonts w:ascii="Times New Roman" w:hAnsi="Times New Roman" w:cs="Times New Roman"/>
                <w:color w:val="000000"/>
                <w:sz w:val="20"/>
                <w:szCs w:val="20"/>
              </w:rPr>
            </w:pPr>
          </w:p>
        </w:tc>
      </w:tr>
      <w:tr w:rsidR="00966EC9" w14:paraId="3C65DBEC" w14:textId="77777777" w:rsidTr="00966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3"/>
          <w:wAfter w:w="937" w:type="dxa"/>
          <w:trHeight w:val="442"/>
        </w:trPr>
        <w:tc>
          <w:tcPr>
            <w:tcW w:w="10020" w:type="dxa"/>
            <w:gridSpan w:val="11"/>
            <w:tcBorders>
              <w:top w:val="nil"/>
              <w:left w:val="single" w:sz="4" w:space="0" w:color="auto"/>
              <w:bottom w:val="nil"/>
              <w:right w:val="single" w:sz="4" w:space="0" w:color="auto"/>
            </w:tcBorders>
          </w:tcPr>
          <w:p w14:paraId="0C21BAAD" w14:textId="45262A1C" w:rsidR="00966EC9" w:rsidRPr="00966EC9" w:rsidRDefault="00966EC9">
            <w:pPr>
              <w:autoSpaceDE w:val="0"/>
              <w:autoSpaceDN w:val="0"/>
              <w:adjustRightInd w:val="0"/>
              <w:spacing w:after="0" w:line="240" w:lineRule="auto"/>
              <w:rPr>
                <w:rFonts w:ascii="Calibri" w:hAnsi="Calibri" w:cs="Times New Roman"/>
                <w:color w:val="000000"/>
              </w:rPr>
            </w:pPr>
            <w:r w:rsidRPr="00966EC9">
              <w:rPr>
                <w:rFonts w:ascii="Calibri" w:hAnsi="Calibri" w:cs="Times New Roman"/>
                <w:color w:val="000000"/>
              </w:rPr>
              <w:t xml:space="preserve">*** Same claim are not considered as </w:t>
            </w:r>
            <w:r w:rsidR="000C42C7" w:rsidRPr="00966EC9">
              <w:rPr>
                <w:rFonts w:ascii="Calibri" w:hAnsi="Calibri" w:cs="Times New Roman"/>
                <w:color w:val="000000"/>
              </w:rPr>
              <w:t>readmission</w:t>
            </w:r>
            <w:r w:rsidRPr="00966EC9">
              <w:rPr>
                <w:rFonts w:ascii="Calibri" w:hAnsi="Calibri" w:cs="Times New Roman"/>
                <w:color w:val="000000"/>
              </w:rPr>
              <w:t>: Same Hospital, Same Principle Diagnosis, Same Group of Procedure (PCI), SAME day (admitted within one day of previous discharge).</w:t>
            </w:r>
          </w:p>
        </w:tc>
      </w:tr>
      <w:tr w:rsidR="00966EC9" w14:paraId="5F833E8B" w14:textId="77777777" w:rsidTr="00966E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3"/>
          <w:wAfter w:w="937" w:type="dxa"/>
          <w:trHeight w:val="202"/>
        </w:trPr>
        <w:tc>
          <w:tcPr>
            <w:tcW w:w="10020" w:type="dxa"/>
            <w:gridSpan w:val="11"/>
            <w:tcBorders>
              <w:top w:val="nil"/>
              <w:left w:val="single" w:sz="4" w:space="0" w:color="auto"/>
              <w:bottom w:val="single" w:sz="4" w:space="0" w:color="auto"/>
              <w:right w:val="single" w:sz="4" w:space="0" w:color="auto"/>
            </w:tcBorders>
          </w:tcPr>
          <w:p w14:paraId="2AB2B438" w14:textId="6737B972" w:rsidR="00966EC9" w:rsidRPr="00966EC9" w:rsidRDefault="00966EC9">
            <w:pPr>
              <w:autoSpaceDE w:val="0"/>
              <w:autoSpaceDN w:val="0"/>
              <w:adjustRightInd w:val="0"/>
              <w:spacing w:after="0" w:line="240" w:lineRule="auto"/>
              <w:rPr>
                <w:rFonts w:ascii="Calibri" w:hAnsi="Calibri" w:cs="Times New Roman"/>
                <w:color w:val="000000"/>
              </w:rPr>
            </w:pPr>
            <w:r w:rsidRPr="00966EC9">
              <w:rPr>
                <w:rFonts w:ascii="Calibri" w:hAnsi="Calibri" w:cs="Times New Roman"/>
                <w:color w:val="000000"/>
              </w:rPr>
              <w:t xml:space="preserve">**** Planned readmissions and </w:t>
            </w:r>
            <w:r w:rsidR="000C42C7" w:rsidRPr="00966EC9">
              <w:rPr>
                <w:rFonts w:ascii="Calibri" w:hAnsi="Calibri" w:cs="Times New Roman"/>
                <w:color w:val="000000"/>
              </w:rPr>
              <w:t>unplanned</w:t>
            </w:r>
            <w:r w:rsidRPr="00966EC9">
              <w:rPr>
                <w:rFonts w:ascii="Calibri" w:hAnsi="Calibri" w:cs="Times New Roman"/>
                <w:color w:val="000000"/>
              </w:rPr>
              <w:t xml:space="preserve"> </w:t>
            </w:r>
            <w:r w:rsidR="000C42C7" w:rsidRPr="00966EC9">
              <w:rPr>
                <w:rFonts w:ascii="Calibri" w:hAnsi="Calibri" w:cs="Times New Roman"/>
                <w:color w:val="000000"/>
              </w:rPr>
              <w:t>readmission</w:t>
            </w:r>
            <w:r w:rsidRPr="00966EC9">
              <w:rPr>
                <w:rFonts w:ascii="Calibri" w:hAnsi="Calibri" w:cs="Times New Roman"/>
                <w:color w:val="000000"/>
              </w:rPr>
              <w:t xml:space="preserve"> following a planned </w:t>
            </w:r>
            <w:r w:rsidR="000C42C7" w:rsidRPr="00966EC9">
              <w:rPr>
                <w:rFonts w:ascii="Calibri" w:hAnsi="Calibri" w:cs="Times New Roman"/>
                <w:color w:val="000000"/>
              </w:rPr>
              <w:t>readmission</w:t>
            </w:r>
            <w:r w:rsidRPr="00966EC9">
              <w:rPr>
                <w:rFonts w:ascii="Calibri" w:hAnsi="Calibri" w:cs="Times New Roman"/>
                <w:color w:val="000000"/>
              </w:rPr>
              <w:t xml:space="preserve"> were not considered as readmission. </w:t>
            </w:r>
          </w:p>
        </w:tc>
      </w:tr>
    </w:tbl>
    <w:p w14:paraId="1E82B68B" w14:textId="77777777" w:rsidR="0098496A" w:rsidRDefault="0098496A" w:rsidP="003B704C">
      <w:pPr>
        <w:spacing w:after="0" w:line="240" w:lineRule="auto"/>
        <w:rPr>
          <w:rFonts w:cstheme="minorHAnsi"/>
          <w:bCs/>
        </w:rPr>
      </w:pPr>
    </w:p>
    <w:p w14:paraId="1AF2E154" w14:textId="390D1C23" w:rsidR="007422FD"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p>
    <w:p w14:paraId="0340A5AB" w14:textId="0B768D12" w:rsidR="00263310" w:rsidRDefault="00263310" w:rsidP="00F627EA">
      <w:pPr>
        <w:pBdr>
          <w:top w:val="single" w:sz="4" w:space="1" w:color="auto"/>
          <w:left w:val="single" w:sz="4" w:space="4" w:color="auto"/>
          <w:bottom w:val="single" w:sz="4" w:space="1" w:color="auto"/>
          <w:right w:val="single" w:sz="4" w:space="4" w:color="auto"/>
        </w:pBdr>
        <w:spacing w:after="0" w:line="240" w:lineRule="auto"/>
      </w:pPr>
      <w:r>
        <w:rPr>
          <w:rFonts w:cstheme="minorHAnsi"/>
        </w:rPr>
        <w:t>T</w:t>
      </w:r>
      <w:r>
        <w:rPr>
          <w:rFonts w:ascii="Calibri" w:hAnsi="Calibri"/>
          <w:color w:val="000000"/>
        </w:rPr>
        <w:t xml:space="preserve">he majority of exclusions are necessary to 1) link registry and administrative data (e.g. excluding patient not enrolled in Medicare </w:t>
      </w:r>
      <w:r w:rsidR="00127B5D">
        <w:rPr>
          <w:rFonts w:ascii="Calibri" w:hAnsi="Calibri"/>
          <w:color w:val="000000"/>
        </w:rPr>
        <w:t>FFS</w:t>
      </w:r>
      <w:r>
        <w:rPr>
          <w:rFonts w:ascii="Calibri" w:hAnsi="Calibri"/>
          <w:color w:val="000000"/>
        </w:rPr>
        <w:t>) and 2) identify patients eligible for readmission (e.g. excluding patients who died before discharge). As such</w:t>
      </w:r>
      <w:r w:rsidR="009644C5">
        <w:rPr>
          <w:rFonts w:ascii="Calibri" w:hAnsi="Calibri"/>
          <w:color w:val="000000"/>
        </w:rPr>
        <w:t>,</w:t>
      </w:r>
      <w:r>
        <w:rPr>
          <w:rFonts w:ascii="Calibri" w:hAnsi="Calibri"/>
          <w:color w:val="000000"/>
        </w:rPr>
        <w:t xml:space="preserve"> these exclusions are not discretionary and do not require further testing. There are two exclusions that are discretionary but both are infrequent. Only 0.14% of patients left against medical advice, and only 0.74% of patients had their PCI performed more than 10 days after hospital admission. </w:t>
      </w:r>
      <w:r w:rsidR="00C37AA4">
        <w:rPr>
          <w:rFonts w:cstheme="minorHAnsi"/>
          <w:bCs/>
        </w:rPr>
        <w:t>None of the exclusions resulted in any unexpected shifts in the performance score.</w:t>
      </w:r>
    </w:p>
    <w:p w14:paraId="5B734F45" w14:textId="5320C04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71B4DF55" w14:textId="77777777" w:rsidR="00AC1D8E" w:rsidRPr="0086464B" w:rsidRDefault="00092566" w:rsidP="00AC1D8E">
      <w:pPr>
        <w:autoSpaceDE w:val="0"/>
        <w:autoSpaceDN w:val="0"/>
        <w:adjustRightInd w:val="0"/>
        <w:spacing w:after="0" w:line="240" w:lineRule="auto"/>
        <w:rPr>
          <w:rFonts w:cstheme="minorHAnsi"/>
          <w:b/>
          <w:bCs/>
          <w:i/>
        </w:rPr>
      </w:pPr>
      <w:bookmarkStart w:id="14" w:name="section2b4"/>
      <w:bookmarkEnd w:id="14"/>
      <w:r w:rsidRPr="00A25024">
        <w:rPr>
          <w:rFonts w:cstheme="minorHAnsi"/>
          <w:b/>
          <w:bCs/>
        </w:rPr>
        <w:t>2b4. RISK ADJUSTMENT/STRATIFICATION FOR OUTCOME OR RESOURCE USE MEASURES</w:t>
      </w:r>
      <w:r w:rsidRPr="00A25024">
        <w:rPr>
          <w:rFonts w:cstheme="minorHAnsi"/>
          <w:bCs/>
        </w:rPr>
        <w:br/>
      </w:r>
      <w:r w:rsidR="00AC1D8E" w:rsidRPr="00FB10FA">
        <w:rPr>
          <w:rFonts w:cstheme="minorHAnsi"/>
          <w:b/>
          <w:bCs/>
          <w:i/>
        </w:rPr>
        <w:t>If not an intermediate or health outcome</w:t>
      </w:r>
      <w:r w:rsidR="00127C06" w:rsidRPr="00FB10FA">
        <w:rPr>
          <w:rFonts w:cstheme="minorHAnsi"/>
          <w:b/>
          <w:bCs/>
          <w:i/>
        </w:rPr>
        <w:t>,</w:t>
      </w:r>
      <w:r w:rsidR="00AC1D8E" w:rsidRPr="00FB10FA">
        <w:rPr>
          <w:rFonts w:cstheme="minorHAnsi"/>
          <w:b/>
          <w:bCs/>
          <w:i/>
        </w:rPr>
        <w:t xml:space="preserve"> </w:t>
      </w:r>
      <w:r w:rsidR="00127C06" w:rsidRPr="00FB10FA">
        <w:rPr>
          <w:rFonts w:cstheme="minorHAnsi"/>
          <w:b/>
          <w:bCs/>
          <w:i/>
        </w:rPr>
        <w:t xml:space="preserve">or PRO-PM, </w:t>
      </w:r>
      <w:r w:rsidR="00AC1D8E" w:rsidRPr="00FB10FA">
        <w:rPr>
          <w:rFonts w:cstheme="minorHAnsi"/>
          <w:b/>
          <w:bCs/>
          <w:i/>
        </w:rPr>
        <w:t xml:space="preserve">or resource use measure, </w:t>
      </w:r>
      <w:r w:rsidR="00BE592D" w:rsidRPr="00FB10FA">
        <w:rPr>
          <w:rFonts w:cstheme="minorHAnsi"/>
          <w:b/>
          <w:bCs/>
          <w:i/>
        </w:rPr>
        <w:t xml:space="preserve">skip to section </w:t>
      </w:r>
      <w:hyperlink w:anchor="section2b5" w:history="1">
        <w:r w:rsidR="00BE592D" w:rsidRPr="00FB10FA">
          <w:rPr>
            <w:rStyle w:val="Hyperlink"/>
            <w:rFonts w:cstheme="minorHAnsi"/>
            <w:b/>
            <w:bCs/>
            <w:i/>
          </w:rPr>
          <w:t>2b5</w:t>
        </w:r>
      </w:hyperlink>
      <w:r w:rsidR="00BE592D" w:rsidRPr="00FB10FA">
        <w:rPr>
          <w:rFonts w:cstheme="minorHAnsi"/>
          <w:b/>
          <w:bCs/>
          <w:i/>
        </w:rPr>
        <w:t>.</w:t>
      </w:r>
    </w:p>
    <w:p w14:paraId="42E8B4D8" w14:textId="77777777" w:rsidR="008871A9" w:rsidRDefault="008871A9" w:rsidP="00092566">
      <w:pPr>
        <w:autoSpaceDE w:val="0"/>
        <w:autoSpaceDN w:val="0"/>
        <w:adjustRightInd w:val="0"/>
        <w:spacing w:after="0" w:line="240" w:lineRule="auto"/>
        <w:rPr>
          <w:rFonts w:cstheme="minorHAnsi"/>
          <w:b/>
          <w:bCs/>
        </w:rPr>
      </w:pPr>
    </w:p>
    <w:p w14:paraId="746E8AC6" w14:textId="77777777"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14:paraId="4FCEB2A2" w14:textId="77777777" w:rsidR="00033038" w:rsidRPr="005232D6" w:rsidRDefault="0008757D"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メイリオ"/>
            <w14:uncheckedState w14:val="2610" w14:font="メイリオ"/>
          </w14:checkbox>
        </w:sdt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47A7CF7C" w14:textId="459F6230" w:rsidR="00743E46" w:rsidRPr="005232D6" w:rsidRDefault="0008757D" w:rsidP="003B704C">
      <w:pPr>
        <w:pBdr>
          <w:top w:val="single" w:sz="4" w:space="1" w:color="000000"/>
          <w:left w:val="single" w:sz="4" w:space="4" w:color="000000"/>
          <w:bottom w:val="single" w:sz="4" w:space="1" w:color="000000"/>
          <w:right w:val="single" w:sz="4" w:space="4" w:color="000000"/>
        </w:pBdr>
        <w:autoSpaceDE w:val="0"/>
        <w:autoSpaceDN w:val="0"/>
        <w:adjustRightInd w:val="0"/>
        <w:spacing w:after="0" w:line="240" w:lineRule="auto"/>
        <w:rPr>
          <w:rFonts w:cstheme="minorHAnsi"/>
          <w:b/>
          <w:bCs/>
        </w:rPr>
      </w:pPr>
      <w:sdt>
        <w:sdtPr>
          <w:rPr>
            <w:rFonts w:cstheme="minorHAnsi"/>
            <w:bCs/>
            <w:color w:val="0000FF"/>
          </w:rPr>
          <w:id w:val="-912162535"/>
          <w14:checkbox>
            <w14:checked w14:val="1"/>
            <w14:checkedState w14:val="2612" w14:font="メイリオ"/>
            <w14:uncheckedState w14:val="2610" w14:font="メイリオ"/>
          </w14:checkbox>
        </w:sdtPr>
        <w:sdtContent>
          <w:r w:rsidR="00C6461D" w:rsidRPr="00E8175F">
            <w:rPr>
              <w:rFonts w:ascii="Meiryo" w:eastAsia="Meiryo" w:hAnsi="Meiryo" w:cs="Meiryo" w:hint="eastAsia"/>
              <w:bCs/>
              <w:color w:val="0000FF"/>
            </w:rPr>
            <w:t>☒</w:t>
          </w:r>
        </w:sdtContent>
      </w:sdt>
      <w:r w:rsidR="006574D2" w:rsidRPr="00E8175F">
        <w:rPr>
          <w:rFonts w:cstheme="minorHAnsi"/>
          <w:bCs/>
          <w:color w:val="0000FF"/>
        </w:rPr>
        <w:t xml:space="preserve"> </w:t>
      </w:r>
      <w:r w:rsidR="00743E46" w:rsidRPr="00E8175F">
        <w:rPr>
          <w:rFonts w:cstheme="minorHAnsi"/>
          <w:b/>
          <w:bCs/>
        </w:rPr>
        <w:t xml:space="preserve">Statistical risk model with </w:t>
      </w:r>
      <w:sdt>
        <w:sdtPr>
          <w:rPr>
            <w:rStyle w:val="Style4"/>
            <w:u w:val="none"/>
          </w:rPr>
          <w:id w:val="309760327"/>
          <w:text/>
        </w:sdtPr>
        <w:sdtEndPr>
          <w:rPr>
            <w:rStyle w:val="DefaultParagraphFont"/>
            <w:rFonts w:asciiTheme="minorHAnsi" w:hAnsiTheme="minorHAnsi" w:cstheme="minorHAnsi"/>
            <w:b w:val="0"/>
            <w:bCs/>
            <w:color w:val="auto"/>
          </w:rPr>
        </w:sdtEndPr>
        <w:sdtContent>
          <w:r w:rsidR="007346EF">
            <w:rPr>
              <w:rStyle w:val="Style4"/>
              <w:u w:val="none"/>
            </w:rPr>
            <w:t>20</w:t>
          </w:r>
        </w:sdtContent>
      </w:sdt>
      <w:r w:rsidR="00E562C0" w:rsidRPr="00E8175F">
        <w:rPr>
          <w:rStyle w:val="Style4"/>
          <w:u w:val="none"/>
        </w:rPr>
        <w:t xml:space="preserve"> </w:t>
      </w:r>
      <w:r w:rsidR="00743E46" w:rsidRPr="00E8175F">
        <w:rPr>
          <w:rFonts w:cstheme="minorHAnsi"/>
          <w:b/>
          <w:bCs/>
        </w:rPr>
        <w:t>risk factors</w:t>
      </w:r>
    </w:p>
    <w:p w14:paraId="0BCFB1B3" w14:textId="77777777" w:rsidR="00743E46" w:rsidRPr="005232D6" w:rsidRDefault="0008757D"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メイリオ"/>
            <w14:uncheckedState w14:val="2610" w14:font="メイリオ"/>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1C5860A" w14:textId="2F72C3E2" w:rsidR="00743E46" w:rsidRDefault="0008757D"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メイリオ"/>
            <w14:uncheckedState w14:val="2610" w14:font="メイリオ"/>
          </w14:checkbox>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37346D75" w14:textId="77777777" w:rsidR="00E938B1" w:rsidRDefault="00743E46" w:rsidP="00092566">
      <w:pPr>
        <w:autoSpaceDE w:val="0"/>
        <w:autoSpaceDN w:val="0"/>
        <w:adjustRightInd w:val="0"/>
        <w:spacing w:after="0" w:line="240" w:lineRule="auto"/>
        <w:rPr>
          <w:rFonts w:cstheme="minorHAnsi"/>
          <w:bCs/>
        </w:rPr>
      </w:pPr>
      <w:r>
        <w:rPr>
          <w:rFonts w:cstheme="minorHAnsi"/>
          <w:b/>
          <w:bCs/>
        </w:rPr>
        <w:lastRenderedPageBreak/>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p>
    <w:p w14:paraId="55F94029" w14:textId="561F3A16" w:rsidR="00E938B1" w:rsidRDefault="00E938B1" w:rsidP="00E938B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Pr>
          <w:rFonts w:cstheme="minorHAnsi"/>
          <w:bCs/>
        </w:rPr>
        <w:t>N/A. This measure is risk adjusted.</w:t>
      </w:r>
    </w:p>
    <w:p w14:paraId="1F0AC46C" w14:textId="10409956" w:rsidR="00092566" w:rsidRDefault="00092566" w:rsidP="00EA3757">
      <w:pPr>
        <w:autoSpaceDE w:val="0"/>
        <w:autoSpaceDN w:val="0"/>
        <w:adjustRightInd w:val="0"/>
        <w:spacing w:before="120" w:after="12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00912A31">
        <w:rPr>
          <w:rFonts w:cstheme="minorHAnsi"/>
          <w:bCs/>
        </w:rPr>
        <w:t>)</w:t>
      </w:r>
    </w:p>
    <w:p w14:paraId="366DB3BB" w14:textId="1D956810" w:rsidR="00E844F2" w:rsidRDefault="00960B04" w:rsidP="00960B04">
      <w:pPr>
        <w:pBdr>
          <w:top w:val="single" w:sz="4" w:space="1" w:color="auto"/>
          <w:left w:val="single" w:sz="4" w:space="0" w:color="auto"/>
          <w:bottom w:val="single" w:sz="4" w:space="1" w:color="auto"/>
          <w:right w:val="single" w:sz="4" w:space="4" w:color="auto"/>
        </w:pBdr>
        <w:spacing w:line="240" w:lineRule="auto"/>
        <w:rPr>
          <w:rFonts w:cstheme="minorHAnsi"/>
        </w:rPr>
      </w:pPr>
      <w:r w:rsidRPr="00BD42E3">
        <w:rPr>
          <w:rFonts w:cstheme="minorHAnsi"/>
        </w:rPr>
        <w:t>We sought to develop a model that included key variables that were clinically relevant and based on strong association with 30-day</w:t>
      </w:r>
      <w:r w:rsidR="00E938B1">
        <w:rPr>
          <w:rFonts w:cstheme="minorHAnsi"/>
        </w:rPr>
        <w:t xml:space="preserve"> readmission</w:t>
      </w:r>
      <w:r w:rsidRPr="00BD42E3">
        <w:rPr>
          <w:rFonts w:cstheme="minorHAnsi"/>
        </w:rPr>
        <w:t xml:space="preserve">. </w:t>
      </w:r>
    </w:p>
    <w:p w14:paraId="7B1E204C" w14:textId="7605224D" w:rsidR="00960B04" w:rsidRDefault="00E844F2" w:rsidP="00960B04">
      <w:pPr>
        <w:pBdr>
          <w:top w:val="single" w:sz="4" w:space="1" w:color="auto"/>
          <w:left w:val="single" w:sz="4" w:space="0" w:color="auto"/>
          <w:bottom w:val="single" w:sz="4" w:space="1" w:color="auto"/>
          <w:right w:val="single" w:sz="4" w:space="4" w:color="auto"/>
        </w:pBdr>
        <w:spacing w:line="240" w:lineRule="auto"/>
        <w:rPr>
          <w:rFonts w:cstheme="minorHAnsi"/>
        </w:rPr>
      </w:pPr>
      <w:r w:rsidRPr="00E844F2">
        <w:rPr>
          <w:rFonts w:cstheme="minorHAnsi"/>
        </w:rPr>
        <w:t>To create a model with increased usability while retaining excellent model performance, we tested the performance of the model without those variables considered to be questionably feasible. To select candidate variables, a team of clinicians reviewed all variables in the NCDR CathPCI Registry database (a copy of the data collection form and the complete list of variables collected and submitted by hospitals can be found at www.ncdr.com). We did not consider as candidate variables those that we would not want to adjust for in a quality measure, such as potential complications, certain patient demographics (e.g., race, socioeconomic status), and patients‟ admission path (e.g., admitted from</w:t>
      </w:r>
      <w:r w:rsidR="00F627EA">
        <w:rPr>
          <w:rFonts w:cstheme="minorHAnsi"/>
        </w:rPr>
        <w:t xml:space="preserve"> </w:t>
      </w:r>
      <w:r w:rsidRPr="00E844F2">
        <w:rPr>
          <w:rFonts w:cstheme="minorHAnsi"/>
        </w:rPr>
        <w:t>a skilled nursing facility [SNF]).</w:t>
      </w:r>
    </w:p>
    <w:p w14:paraId="1A2C0F74" w14:textId="271B7131" w:rsidR="004A0278" w:rsidRDefault="00943917" w:rsidP="00960B04">
      <w:pPr>
        <w:pBdr>
          <w:top w:val="single" w:sz="4" w:space="1" w:color="auto"/>
          <w:left w:val="single" w:sz="4" w:space="0" w:color="auto"/>
          <w:bottom w:val="single" w:sz="4" w:space="1" w:color="auto"/>
          <w:right w:val="single" w:sz="4" w:space="4" w:color="auto"/>
        </w:pBdr>
        <w:spacing w:line="240" w:lineRule="auto"/>
        <w:rPr>
          <w:rFonts w:cstheme="minorHAnsi"/>
        </w:rPr>
      </w:pPr>
      <w:r>
        <w:rPr>
          <w:rFonts w:cstheme="minorHAnsi"/>
        </w:rPr>
        <w:t xml:space="preserve">Based on careful clinical review </w:t>
      </w:r>
      <w:r w:rsidR="004A0278" w:rsidRPr="004A0278">
        <w:rPr>
          <w:rFonts w:cstheme="minorHAnsi"/>
        </w:rPr>
        <w:t>and further informed by a review of the literature, a total of 29 variables were determined to be appropriate for consi</w:t>
      </w:r>
      <w:r w:rsidR="004D22AE">
        <w:rPr>
          <w:rFonts w:cstheme="minorHAnsi"/>
        </w:rPr>
        <w:t xml:space="preserve">deration as candidate variables </w:t>
      </w:r>
      <w:r w:rsidR="003B704C">
        <w:rPr>
          <w:rFonts w:cstheme="minorHAnsi"/>
        </w:rPr>
        <w:t>(</w:t>
      </w:r>
      <w:r w:rsidR="003B704C">
        <w:rPr>
          <w:rFonts w:cstheme="minorHAnsi"/>
          <w:highlight w:val="yellow"/>
        </w:rPr>
        <w:fldChar w:fldCharType="begin"/>
      </w:r>
      <w:r w:rsidR="003B704C">
        <w:rPr>
          <w:rFonts w:cstheme="minorHAnsi"/>
        </w:rPr>
        <w:instrText xml:space="preserve"> REF _Ref379201769 \h </w:instrText>
      </w:r>
      <w:r w:rsidR="003B704C">
        <w:rPr>
          <w:rFonts w:cstheme="minorHAnsi"/>
          <w:highlight w:val="yellow"/>
        </w:rPr>
      </w:r>
      <w:r w:rsidR="003B704C">
        <w:rPr>
          <w:rFonts w:cstheme="minorHAnsi"/>
          <w:highlight w:val="yellow"/>
        </w:rPr>
        <w:fldChar w:fldCharType="separate"/>
      </w:r>
      <w:r w:rsidR="003B704C">
        <w:t xml:space="preserve">Table </w:t>
      </w:r>
      <w:r w:rsidR="003B704C">
        <w:rPr>
          <w:noProof/>
        </w:rPr>
        <w:t>4</w:t>
      </w:r>
      <w:r w:rsidR="003B704C">
        <w:rPr>
          <w:rFonts w:cstheme="minorHAnsi"/>
          <w:highlight w:val="yellow"/>
        </w:rPr>
        <w:fldChar w:fldCharType="end"/>
      </w:r>
      <w:r w:rsidR="003B704C">
        <w:rPr>
          <w:rFonts w:cstheme="minorHAnsi"/>
        </w:rPr>
        <w:t>).</w:t>
      </w:r>
    </w:p>
    <w:p w14:paraId="4250FB76" w14:textId="77777777" w:rsidR="004A0278" w:rsidRPr="004A0278" w:rsidRDefault="004A0278" w:rsidP="004A0278">
      <w:pPr>
        <w:pBdr>
          <w:top w:val="single" w:sz="4" w:space="1" w:color="auto"/>
          <w:left w:val="single" w:sz="4" w:space="0" w:color="auto"/>
          <w:bottom w:val="single" w:sz="4" w:space="1" w:color="auto"/>
          <w:right w:val="single" w:sz="4" w:space="4" w:color="auto"/>
        </w:pBdr>
        <w:spacing w:line="240" w:lineRule="auto"/>
        <w:rPr>
          <w:rFonts w:cstheme="minorHAnsi"/>
        </w:rPr>
      </w:pPr>
      <w:r w:rsidRPr="004A0278">
        <w:rPr>
          <w:rFonts w:cstheme="minorHAnsi"/>
        </w:rPr>
        <w:t>For categorical variables with missing values, the value from the reference group was added. The percentage of missing values for all categorical variables was very small (&lt;1%). There were three continuous variables with missing values: body mass index (BMI, 0.1%), glomerular filtration rate (GFR, 3.7%), and left ventricular ejection fraction (LVEF, 28.5%); we considered the missing of GFR and LVEF as an independent category of “unmeasured” and for BMI; we stratified by gender and imputed the missing values to the median of the corresponding groups.</w:t>
      </w:r>
    </w:p>
    <w:p w14:paraId="275986E5" w14:textId="242BFA5C" w:rsidR="004A0278" w:rsidRPr="00BD42E3" w:rsidRDefault="004A0278" w:rsidP="004A0278">
      <w:pPr>
        <w:pBdr>
          <w:top w:val="single" w:sz="4" w:space="1" w:color="auto"/>
          <w:left w:val="single" w:sz="4" w:space="0" w:color="auto"/>
          <w:bottom w:val="single" w:sz="4" w:space="1" w:color="auto"/>
          <w:right w:val="single" w:sz="4" w:space="4" w:color="auto"/>
        </w:pBdr>
        <w:spacing w:line="240" w:lineRule="auto"/>
        <w:rPr>
          <w:rFonts w:cstheme="minorHAnsi"/>
        </w:rPr>
      </w:pPr>
      <w:r w:rsidRPr="004A0278">
        <w:rPr>
          <w:rFonts w:cstheme="minorHAnsi"/>
        </w:rPr>
        <w:t>We used logistic regression with stepwise selection (entry p&lt;0.05; retention with p&lt;0.01) for variable selection. We also assessed the direction and magnitude of the regression coefficients. This resulted in a final risk-adjusted readmission model that included 20 variables</w:t>
      </w:r>
      <w:r w:rsidR="004D22AE">
        <w:rPr>
          <w:rFonts w:cstheme="minorHAnsi"/>
        </w:rPr>
        <w:t xml:space="preserve"> </w:t>
      </w:r>
      <w:r w:rsidR="003B704C">
        <w:rPr>
          <w:rFonts w:cstheme="minorHAnsi"/>
        </w:rPr>
        <w:t>(</w:t>
      </w:r>
      <w:r w:rsidR="003B704C">
        <w:rPr>
          <w:rFonts w:cstheme="minorHAnsi"/>
          <w:highlight w:val="yellow"/>
        </w:rPr>
        <w:fldChar w:fldCharType="begin"/>
      </w:r>
      <w:r w:rsidR="003B704C">
        <w:rPr>
          <w:rFonts w:cstheme="minorHAnsi"/>
        </w:rPr>
        <w:instrText xml:space="preserve"> REF _Ref379201779 \h </w:instrText>
      </w:r>
      <w:r w:rsidR="003B704C">
        <w:rPr>
          <w:rFonts w:cstheme="minorHAnsi"/>
          <w:highlight w:val="yellow"/>
        </w:rPr>
      </w:r>
      <w:r w:rsidR="003B704C">
        <w:rPr>
          <w:rFonts w:cstheme="minorHAnsi"/>
          <w:highlight w:val="yellow"/>
        </w:rPr>
        <w:fldChar w:fldCharType="separate"/>
      </w:r>
      <w:r w:rsidR="003B704C">
        <w:t xml:space="preserve">Table </w:t>
      </w:r>
      <w:r w:rsidR="003B704C">
        <w:rPr>
          <w:noProof/>
        </w:rPr>
        <w:t>5</w:t>
      </w:r>
      <w:r w:rsidR="003B704C">
        <w:rPr>
          <w:rFonts w:cstheme="minorHAnsi"/>
          <w:highlight w:val="yellow"/>
        </w:rPr>
        <w:fldChar w:fldCharType="end"/>
      </w:r>
      <w:r w:rsidR="003B704C">
        <w:rPr>
          <w:rFonts w:cstheme="minorHAnsi"/>
        </w:rPr>
        <w:t xml:space="preserve">). </w:t>
      </w:r>
      <w:r w:rsidR="0087159A">
        <w:rPr>
          <w:rFonts w:cstheme="minorHAnsi"/>
        </w:rPr>
        <w:t xml:space="preserve">There were variables for demographics (age and gender), history and risk factors, cardiac status (heart failure, </w:t>
      </w:r>
      <w:r w:rsidR="00C37AA4">
        <w:rPr>
          <w:rFonts w:cstheme="minorHAnsi"/>
        </w:rPr>
        <w:t>symptoms</w:t>
      </w:r>
      <w:r w:rsidR="0087159A">
        <w:rPr>
          <w:rFonts w:cstheme="minorHAnsi"/>
        </w:rPr>
        <w:t xml:space="preserve"> </w:t>
      </w:r>
      <w:r w:rsidR="00C37AA4">
        <w:rPr>
          <w:rFonts w:cstheme="minorHAnsi"/>
        </w:rPr>
        <w:t>p</w:t>
      </w:r>
      <w:r w:rsidR="0087159A">
        <w:rPr>
          <w:rFonts w:cstheme="minorHAnsi"/>
        </w:rPr>
        <w:t xml:space="preserve">resent on admission), cath lab visits (ejection fraction percentage), and </w:t>
      </w:r>
      <w:r w:rsidR="00F71028">
        <w:rPr>
          <w:rFonts w:cstheme="minorHAnsi"/>
        </w:rPr>
        <w:t>PCI</w:t>
      </w:r>
      <w:r w:rsidR="0087159A">
        <w:rPr>
          <w:rFonts w:cstheme="minorHAnsi"/>
        </w:rPr>
        <w:t xml:space="preserve"> procedure (</w:t>
      </w:r>
      <w:r w:rsidR="00F71028">
        <w:rPr>
          <w:rFonts w:cstheme="minorHAnsi"/>
        </w:rPr>
        <w:t>PCI status, highe</w:t>
      </w:r>
      <w:r w:rsidR="0087159A">
        <w:rPr>
          <w:rFonts w:cstheme="minorHAnsi"/>
        </w:rPr>
        <w:t>st risk lesion, highest pre-procedure TIMI flow).</w:t>
      </w:r>
    </w:p>
    <w:p w14:paraId="41888407" w14:textId="77777777" w:rsidR="00A8610C" w:rsidRDefault="00A8610C" w:rsidP="00A8610C">
      <w:pPr>
        <w:autoSpaceDE w:val="0"/>
        <w:autoSpaceDN w:val="0"/>
        <w:adjustRightInd w:val="0"/>
        <w:spacing w:after="0" w:line="240" w:lineRule="auto"/>
        <w:rPr>
          <w:rFonts w:cstheme="minorHAnsi"/>
          <w:b/>
          <w:bCs/>
        </w:rPr>
      </w:pPr>
      <w:r>
        <w:rPr>
          <w:rFonts w:cstheme="minorHAnsi"/>
          <w:b/>
          <w:bCs/>
        </w:rPr>
        <w:t xml:space="preserve">2b4.4. </w:t>
      </w:r>
      <w:r w:rsidRPr="00A25024">
        <w:rPr>
          <w:rFonts w:cstheme="minorHAnsi"/>
          <w:b/>
          <w:bCs/>
        </w:rPr>
        <w:t>What were the statistical results of the analyses used to select risk factors?</w:t>
      </w:r>
    </w:p>
    <w:p w14:paraId="5051026C" w14:textId="77777777" w:rsidR="00A8610C" w:rsidRDefault="00A8610C" w:rsidP="00EC3DA5">
      <w:pPr>
        <w:pStyle w:val="Caption"/>
        <w:spacing w:after="0"/>
      </w:pPr>
      <w:bookmarkStart w:id="15" w:name="_Ref379201769"/>
      <w:r>
        <w:t xml:space="preserve">Table </w:t>
      </w:r>
      <w:fldSimple w:instr=" SEQ Table \* ARABIC ">
        <w:r w:rsidR="00EC3DA5">
          <w:rPr>
            <w:noProof/>
          </w:rPr>
          <w:t>4</w:t>
        </w:r>
      </w:fldSimple>
      <w:bookmarkEnd w:id="15"/>
      <w:r>
        <w:t xml:space="preserve">. </w:t>
      </w:r>
      <w:r>
        <w:rPr>
          <w:b w:val="0"/>
        </w:rPr>
        <w:t>PCI Readmission Candidate Variables</w:t>
      </w:r>
    </w:p>
    <w:tbl>
      <w:tblPr>
        <w:tblW w:w="9919" w:type="dxa"/>
        <w:tblInd w:w="180"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4518"/>
        <w:gridCol w:w="3601"/>
        <w:gridCol w:w="1800"/>
      </w:tblGrid>
      <w:tr w:rsidR="00A8610C" w:rsidRPr="004D22AE" w14:paraId="67CD1BB5" w14:textId="77777777" w:rsidTr="00EC3DA5">
        <w:trPr>
          <w:cantSplit/>
          <w:trHeight w:val="138"/>
          <w:tblHeader/>
        </w:trPr>
        <w:tc>
          <w:tcPr>
            <w:tcW w:w="4518"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4ED6CC37"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b/>
                <w:bCs/>
                <w:color w:val="000000"/>
              </w:rPr>
              <w:t xml:space="preserve">Description </w:t>
            </w:r>
          </w:p>
        </w:tc>
        <w:tc>
          <w:tcPr>
            <w:tcW w:w="3601" w:type="dxa"/>
            <w:tcBorders>
              <w:top w:val="single" w:sz="8" w:space="0" w:color="000000"/>
              <w:left w:val="single" w:sz="6" w:space="0" w:color="000000"/>
              <w:bottom w:val="single" w:sz="8" w:space="0" w:color="000000"/>
              <w:right w:val="single" w:sz="6" w:space="0" w:color="000000"/>
            </w:tcBorders>
            <w:shd w:val="clear" w:color="auto" w:fill="D9D9D9" w:themeFill="background1" w:themeFillShade="D9"/>
          </w:tcPr>
          <w:p w14:paraId="216531CC"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b/>
                <w:bCs/>
                <w:color w:val="000000"/>
              </w:rPr>
              <w:t xml:space="preserve">NCDR Item Number </w:t>
            </w:r>
          </w:p>
        </w:tc>
        <w:tc>
          <w:tcPr>
            <w:tcW w:w="180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42343474" w14:textId="3BB61C4C" w:rsidR="00A8610C" w:rsidRPr="004D22AE" w:rsidRDefault="009644C5" w:rsidP="00A8610C">
            <w:pPr>
              <w:widowControl w:val="0"/>
              <w:autoSpaceDE w:val="0"/>
              <w:autoSpaceDN w:val="0"/>
              <w:adjustRightInd w:val="0"/>
              <w:spacing w:after="0" w:line="240" w:lineRule="auto"/>
              <w:rPr>
                <w:rFonts w:cs="Arial"/>
                <w:color w:val="000000"/>
              </w:rPr>
            </w:pPr>
            <w:r>
              <w:rPr>
                <w:rFonts w:cs="Arial"/>
                <w:b/>
                <w:bCs/>
                <w:color w:val="000000"/>
              </w:rPr>
              <w:t>Code</w:t>
            </w:r>
          </w:p>
        </w:tc>
      </w:tr>
      <w:tr w:rsidR="00A8610C" w:rsidRPr="004D22AE" w14:paraId="7C16642D" w14:textId="77777777" w:rsidTr="00EC3DA5">
        <w:trPr>
          <w:trHeight w:val="133"/>
        </w:trPr>
        <w:tc>
          <w:tcPr>
            <w:tcW w:w="9919" w:type="dxa"/>
            <w:gridSpan w:val="3"/>
            <w:tcBorders>
              <w:top w:val="single" w:sz="8" w:space="0" w:color="000000"/>
              <w:left w:val="single" w:sz="8" w:space="0" w:color="000000"/>
              <w:bottom w:val="single" w:sz="8" w:space="0" w:color="000000"/>
              <w:right w:val="single" w:sz="8" w:space="0" w:color="000000"/>
            </w:tcBorders>
          </w:tcPr>
          <w:p w14:paraId="42ACD93A" w14:textId="77777777" w:rsidR="00A8610C" w:rsidRPr="009644C5" w:rsidRDefault="00A8610C" w:rsidP="00A8610C">
            <w:pPr>
              <w:widowControl w:val="0"/>
              <w:autoSpaceDE w:val="0"/>
              <w:autoSpaceDN w:val="0"/>
              <w:adjustRightInd w:val="0"/>
              <w:spacing w:after="0" w:line="240" w:lineRule="auto"/>
              <w:rPr>
                <w:rFonts w:cs="Arial"/>
                <w:b/>
                <w:color w:val="000000"/>
              </w:rPr>
            </w:pPr>
            <w:r w:rsidRPr="009644C5">
              <w:rPr>
                <w:rFonts w:cs="Arial"/>
                <w:b/>
                <w:color w:val="000000"/>
              </w:rPr>
              <w:t xml:space="preserve">Demographic </w:t>
            </w:r>
          </w:p>
        </w:tc>
      </w:tr>
      <w:tr w:rsidR="00A8610C" w:rsidRPr="004D22AE" w14:paraId="20E5CFED" w14:textId="77777777" w:rsidTr="00EC3DA5">
        <w:trPr>
          <w:trHeight w:val="133"/>
        </w:trPr>
        <w:tc>
          <w:tcPr>
            <w:tcW w:w="4518" w:type="dxa"/>
            <w:tcBorders>
              <w:top w:val="single" w:sz="8" w:space="0" w:color="000000"/>
              <w:left w:val="single" w:sz="8" w:space="0" w:color="000000"/>
              <w:bottom w:val="single" w:sz="6" w:space="0" w:color="000000"/>
              <w:right w:val="single" w:sz="8" w:space="0" w:color="000000"/>
            </w:tcBorders>
          </w:tcPr>
          <w:p w14:paraId="020E17F3"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Age </w:t>
            </w:r>
          </w:p>
        </w:tc>
        <w:tc>
          <w:tcPr>
            <w:tcW w:w="3601" w:type="dxa"/>
            <w:tcBorders>
              <w:top w:val="single" w:sz="8" w:space="0" w:color="000000"/>
              <w:left w:val="single" w:sz="6" w:space="0" w:color="000000"/>
              <w:bottom w:val="single" w:sz="6" w:space="0" w:color="000000"/>
              <w:right w:val="single" w:sz="6" w:space="0" w:color="000000"/>
            </w:tcBorders>
          </w:tcPr>
          <w:p w14:paraId="71B973A8"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252 </w:t>
            </w:r>
          </w:p>
        </w:tc>
        <w:tc>
          <w:tcPr>
            <w:tcW w:w="1800" w:type="dxa"/>
            <w:tcBorders>
              <w:top w:val="single" w:sz="8" w:space="0" w:color="000000"/>
              <w:left w:val="single" w:sz="8" w:space="0" w:color="000000"/>
              <w:bottom w:val="single" w:sz="6" w:space="0" w:color="000000"/>
              <w:right w:val="single" w:sz="8" w:space="0" w:color="000000"/>
            </w:tcBorders>
          </w:tcPr>
          <w:p w14:paraId="7296DE94"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Age </w:t>
            </w:r>
          </w:p>
        </w:tc>
      </w:tr>
      <w:tr w:rsidR="00A8610C" w:rsidRPr="004D22AE" w14:paraId="4C9E0671" w14:textId="77777777" w:rsidTr="00EC3DA5">
        <w:trPr>
          <w:trHeight w:val="133"/>
        </w:trPr>
        <w:tc>
          <w:tcPr>
            <w:tcW w:w="4518" w:type="dxa"/>
            <w:tcBorders>
              <w:top w:val="single" w:sz="6" w:space="0" w:color="000000"/>
              <w:left w:val="single" w:sz="8" w:space="0" w:color="000000"/>
              <w:bottom w:val="single" w:sz="8" w:space="0" w:color="000000"/>
              <w:right w:val="single" w:sz="8" w:space="0" w:color="000000"/>
            </w:tcBorders>
          </w:tcPr>
          <w:p w14:paraId="2B6669D3"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Female </w:t>
            </w:r>
          </w:p>
        </w:tc>
        <w:tc>
          <w:tcPr>
            <w:tcW w:w="3601" w:type="dxa"/>
            <w:tcBorders>
              <w:top w:val="single" w:sz="6" w:space="0" w:color="000000"/>
              <w:left w:val="single" w:sz="6" w:space="0" w:color="000000"/>
              <w:bottom w:val="single" w:sz="8" w:space="0" w:color="000000"/>
              <w:right w:val="single" w:sz="6" w:space="0" w:color="000000"/>
            </w:tcBorders>
          </w:tcPr>
          <w:p w14:paraId="12F69C5F"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260 </w:t>
            </w:r>
          </w:p>
        </w:tc>
        <w:tc>
          <w:tcPr>
            <w:tcW w:w="1800" w:type="dxa"/>
            <w:tcBorders>
              <w:top w:val="single" w:sz="6" w:space="0" w:color="000000"/>
              <w:left w:val="single" w:sz="8" w:space="0" w:color="000000"/>
              <w:bottom w:val="single" w:sz="8" w:space="0" w:color="000000"/>
              <w:right w:val="single" w:sz="8" w:space="0" w:color="000000"/>
            </w:tcBorders>
          </w:tcPr>
          <w:p w14:paraId="19D99E63"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FEMALE </w:t>
            </w:r>
          </w:p>
        </w:tc>
      </w:tr>
      <w:tr w:rsidR="00A8610C" w:rsidRPr="004D22AE" w14:paraId="305BF608" w14:textId="77777777" w:rsidTr="00EC3DA5">
        <w:trPr>
          <w:trHeight w:val="133"/>
        </w:trPr>
        <w:tc>
          <w:tcPr>
            <w:tcW w:w="9919" w:type="dxa"/>
            <w:gridSpan w:val="3"/>
            <w:tcBorders>
              <w:top w:val="single" w:sz="8" w:space="0" w:color="000000"/>
              <w:left w:val="single" w:sz="8" w:space="0" w:color="000000"/>
              <w:bottom w:val="single" w:sz="8" w:space="0" w:color="000000"/>
              <w:right w:val="single" w:sz="8" w:space="0" w:color="000000"/>
            </w:tcBorders>
          </w:tcPr>
          <w:p w14:paraId="656A0C05" w14:textId="77777777" w:rsidR="00A8610C" w:rsidRPr="009644C5" w:rsidRDefault="00A8610C" w:rsidP="00A8610C">
            <w:pPr>
              <w:widowControl w:val="0"/>
              <w:autoSpaceDE w:val="0"/>
              <w:autoSpaceDN w:val="0"/>
              <w:adjustRightInd w:val="0"/>
              <w:spacing w:after="0" w:line="240" w:lineRule="auto"/>
              <w:rPr>
                <w:rFonts w:cs="Arial"/>
                <w:b/>
                <w:color w:val="000000"/>
              </w:rPr>
            </w:pPr>
            <w:r w:rsidRPr="009644C5">
              <w:rPr>
                <w:rFonts w:cs="Arial"/>
                <w:b/>
                <w:color w:val="000000"/>
              </w:rPr>
              <w:t xml:space="preserve">History and Risk Factors </w:t>
            </w:r>
          </w:p>
        </w:tc>
      </w:tr>
      <w:tr w:rsidR="00A8610C" w:rsidRPr="004D22AE" w14:paraId="0562A9B4" w14:textId="77777777" w:rsidTr="00EC3DA5">
        <w:trPr>
          <w:trHeight w:val="142"/>
        </w:trPr>
        <w:tc>
          <w:tcPr>
            <w:tcW w:w="4518" w:type="dxa"/>
            <w:tcBorders>
              <w:top w:val="single" w:sz="8" w:space="0" w:color="000000"/>
              <w:left w:val="single" w:sz="8" w:space="0" w:color="000000"/>
              <w:bottom w:val="single" w:sz="6" w:space="0" w:color="000000"/>
              <w:right w:val="single" w:sz="8" w:space="0" w:color="000000"/>
            </w:tcBorders>
          </w:tcPr>
          <w:p w14:paraId="52FA5F0E" w14:textId="5F3529F3"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BMI</w:t>
            </w:r>
          </w:p>
        </w:tc>
        <w:tc>
          <w:tcPr>
            <w:tcW w:w="3601" w:type="dxa"/>
            <w:tcBorders>
              <w:top w:val="single" w:sz="8" w:space="0" w:color="000000"/>
              <w:left w:val="single" w:sz="6" w:space="0" w:color="000000"/>
              <w:bottom w:val="single" w:sz="6" w:space="0" w:color="000000"/>
              <w:right w:val="single" w:sz="6" w:space="0" w:color="000000"/>
            </w:tcBorders>
          </w:tcPr>
          <w:p w14:paraId="6A1D873B"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Derived (410, 412) </w:t>
            </w:r>
          </w:p>
        </w:tc>
        <w:tc>
          <w:tcPr>
            <w:tcW w:w="1800" w:type="dxa"/>
            <w:tcBorders>
              <w:top w:val="single" w:sz="8" w:space="0" w:color="000000"/>
              <w:left w:val="single" w:sz="8" w:space="0" w:color="000000"/>
              <w:bottom w:val="single" w:sz="6" w:space="0" w:color="000000"/>
              <w:right w:val="single" w:sz="8" w:space="0" w:color="000000"/>
            </w:tcBorders>
          </w:tcPr>
          <w:p w14:paraId="09D9D8E6"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BMI </w:t>
            </w:r>
          </w:p>
        </w:tc>
      </w:tr>
      <w:tr w:rsidR="00A8610C" w:rsidRPr="004D22AE" w14:paraId="285E8012"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35151012"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Previous MI </w:t>
            </w:r>
          </w:p>
        </w:tc>
        <w:tc>
          <w:tcPr>
            <w:tcW w:w="3601" w:type="dxa"/>
            <w:tcBorders>
              <w:top w:val="single" w:sz="6" w:space="0" w:color="000000"/>
              <w:left w:val="single" w:sz="6" w:space="0" w:color="000000"/>
              <w:bottom w:val="single" w:sz="6" w:space="0" w:color="000000"/>
              <w:right w:val="single" w:sz="6" w:space="0" w:color="000000"/>
            </w:tcBorders>
          </w:tcPr>
          <w:p w14:paraId="0416466E"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420 </w:t>
            </w:r>
          </w:p>
        </w:tc>
        <w:tc>
          <w:tcPr>
            <w:tcW w:w="1800" w:type="dxa"/>
            <w:tcBorders>
              <w:top w:val="single" w:sz="6" w:space="0" w:color="000000"/>
              <w:left w:val="single" w:sz="8" w:space="0" w:color="000000"/>
              <w:bottom w:val="single" w:sz="6" w:space="0" w:color="000000"/>
              <w:right w:val="single" w:sz="8" w:space="0" w:color="000000"/>
            </w:tcBorders>
          </w:tcPr>
          <w:p w14:paraId="65988CCD"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PrevMI </w:t>
            </w:r>
          </w:p>
        </w:tc>
      </w:tr>
      <w:tr w:rsidR="00A8610C" w:rsidRPr="004D22AE" w14:paraId="28B5F077"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4C640615"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Heart Failure-previous history </w:t>
            </w:r>
          </w:p>
        </w:tc>
        <w:tc>
          <w:tcPr>
            <w:tcW w:w="3601" w:type="dxa"/>
            <w:tcBorders>
              <w:top w:val="single" w:sz="6" w:space="0" w:color="000000"/>
              <w:left w:val="single" w:sz="6" w:space="0" w:color="000000"/>
              <w:bottom w:val="single" w:sz="6" w:space="0" w:color="000000"/>
              <w:right w:val="single" w:sz="6" w:space="0" w:color="000000"/>
            </w:tcBorders>
          </w:tcPr>
          <w:p w14:paraId="344A41C6"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424 </w:t>
            </w:r>
          </w:p>
        </w:tc>
        <w:tc>
          <w:tcPr>
            <w:tcW w:w="1800" w:type="dxa"/>
            <w:tcBorders>
              <w:top w:val="single" w:sz="6" w:space="0" w:color="000000"/>
              <w:left w:val="single" w:sz="8" w:space="0" w:color="000000"/>
              <w:bottom w:val="single" w:sz="6" w:space="0" w:color="000000"/>
              <w:right w:val="single" w:sz="8" w:space="0" w:color="000000"/>
            </w:tcBorders>
          </w:tcPr>
          <w:p w14:paraId="1FCA2338"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PrCHF </w:t>
            </w:r>
          </w:p>
        </w:tc>
      </w:tr>
      <w:tr w:rsidR="00A8610C" w:rsidRPr="004D22AE" w14:paraId="165262D3"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66D6C5E4"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lastRenderedPageBreak/>
              <w:t xml:space="preserve">Previous valvular surgery </w:t>
            </w:r>
          </w:p>
        </w:tc>
        <w:tc>
          <w:tcPr>
            <w:tcW w:w="3601" w:type="dxa"/>
            <w:tcBorders>
              <w:top w:val="single" w:sz="6" w:space="0" w:color="000000"/>
              <w:left w:val="single" w:sz="6" w:space="0" w:color="000000"/>
              <w:bottom w:val="single" w:sz="6" w:space="0" w:color="000000"/>
              <w:right w:val="single" w:sz="6" w:space="0" w:color="000000"/>
            </w:tcBorders>
          </w:tcPr>
          <w:p w14:paraId="5872B2AA"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426 </w:t>
            </w:r>
          </w:p>
        </w:tc>
        <w:tc>
          <w:tcPr>
            <w:tcW w:w="1800" w:type="dxa"/>
            <w:tcBorders>
              <w:top w:val="single" w:sz="6" w:space="0" w:color="000000"/>
              <w:left w:val="single" w:sz="8" w:space="0" w:color="000000"/>
              <w:bottom w:val="single" w:sz="6" w:space="0" w:color="000000"/>
              <w:right w:val="single" w:sz="8" w:space="0" w:color="000000"/>
            </w:tcBorders>
          </w:tcPr>
          <w:p w14:paraId="433D00BE"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PrValve </w:t>
            </w:r>
          </w:p>
        </w:tc>
      </w:tr>
      <w:tr w:rsidR="00A8610C" w:rsidRPr="004D22AE" w14:paraId="7ED9D175"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71A5FE68"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Cerebrovascular Disease </w:t>
            </w:r>
          </w:p>
        </w:tc>
        <w:tc>
          <w:tcPr>
            <w:tcW w:w="3601" w:type="dxa"/>
            <w:tcBorders>
              <w:top w:val="single" w:sz="6" w:space="0" w:color="000000"/>
              <w:left w:val="single" w:sz="6" w:space="0" w:color="000000"/>
              <w:bottom w:val="single" w:sz="6" w:space="0" w:color="000000"/>
              <w:right w:val="single" w:sz="6" w:space="0" w:color="000000"/>
            </w:tcBorders>
          </w:tcPr>
          <w:p w14:paraId="081DE01C"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450 </w:t>
            </w:r>
          </w:p>
        </w:tc>
        <w:tc>
          <w:tcPr>
            <w:tcW w:w="1800" w:type="dxa"/>
            <w:tcBorders>
              <w:top w:val="single" w:sz="6" w:space="0" w:color="000000"/>
              <w:left w:val="single" w:sz="8" w:space="0" w:color="000000"/>
              <w:bottom w:val="single" w:sz="6" w:space="0" w:color="000000"/>
              <w:right w:val="single" w:sz="8" w:space="0" w:color="000000"/>
            </w:tcBorders>
          </w:tcPr>
          <w:p w14:paraId="7D2B3D41"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CVD </w:t>
            </w:r>
          </w:p>
        </w:tc>
      </w:tr>
      <w:tr w:rsidR="00A8610C" w:rsidRPr="004D22AE" w14:paraId="4A871C75"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0545769C"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Peripheral Vascular Disease </w:t>
            </w:r>
          </w:p>
        </w:tc>
        <w:tc>
          <w:tcPr>
            <w:tcW w:w="3601" w:type="dxa"/>
            <w:tcBorders>
              <w:top w:val="single" w:sz="6" w:space="0" w:color="000000"/>
              <w:left w:val="single" w:sz="6" w:space="0" w:color="000000"/>
              <w:bottom w:val="single" w:sz="6" w:space="0" w:color="000000"/>
              <w:right w:val="single" w:sz="6" w:space="0" w:color="000000"/>
            </w:tcBorders>
          </w:tcPr>
          <w:p w14:paraId="54E3F0F3"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452 </w:t>
            </w:r>
          </w:p>
        </w:tc>
        <w:tc>
          <w:tcPr>
            <w:tcW w:w="1800" w:type="dxa"/>
            <w:tcBorders>
              <w:top w:val="single" w:sz="6" w:space="0" w:color="000000"/>
              <w:left w:val="single" w:sz="8" w:space="0" w:color="000000"/>
              <w:bottom w:val="single" w:sz="6" w:space="0" w:color="000000"/>
              <w:right w:val="single" w:sz="8" w:space="0" w:color="000000"/>
            </w:tcBorders>
          </w:tcPr>
          <w:p w14:paraId="479F6F8C"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PVD </w:t>
            </w:r>
          </w:p>
        </w:tc>
      </w:tr>
      <w:tr w:rsidR="00A8610C" w:rsidRPr="004D22AE" w14:paraId="0F468B7D"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3C5BA319"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Chronic Lung Disease </w:t>
            </w:r>
          </w:p>
        </w:tc>
        <w:tc>
          <w:tcPr>
            <w:tcW w:w="3601" w:type="dxa"/>
            <w:tcBorders>
              <w:top w:val="single" w:sz="6" w:space="0" w:color="000000"/>
              <w:left w:val="single" w:sz="6" w:space="0" w:color="000000"/>
              <w:bottom w:val="single" w:sz="6" w:space="0" w:color="000000"/>
              <w:right w:val="single" w:sz="6" w:space="0" w:color="000000"/>
            </w:tcBorders>
          </w:tcPr>
          <w:p w14:paraId="228CD3D2"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454 </w:t>
            </w:r>
          </w:p>
        </w:tc>
        <w:tc>
          <w:tcPr>
            <w:tcW w:w="1800" w:type="dxa"/>
            <w:tcBorders>
              <w:top w:val="single" w:sz="6" w:space="0" w:color="000000"/>
              <w:left w:val="single" w:sz="8" w:space="0" w:color="000000"/>
              <w:bottom w:val="single" w:sz="6" w:space="0" w:color="000000"/>
              <w:right w:val="single" w:sz="8" w:space="0" w:color="000000"/>
            </w:tcBorders>
          </w:tcPr>
          <w:p w14:paraId="0FA6DBAF"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CLD </w:t>
            </w:r>
          </w:p>
        </w:tc>
      </w:tr>
      <w:tr w:rsidR="00A8610C" w:rsidRPr="004D22AE" w14:paraId="0A561E54"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2061F5C1"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Diabetes </w:t>
            </w:r>
          </w:p>
        </w:tc>
        <w:tc>
          <w:tcPr>
            <w:tcW w:w="3601" w:type="dxa"/>
            <w:tcBorders>
              <w:top w:val="single" w:sz="6" w:space="0" w:color="000000"/>
              <w:left w:val="single" w:sz="6" w:space="0" w:color="000000"/>
              <w:bottom w:val="single" w:sz="6" w:space="0" w:color="000000"/>
              <w:right w:val="single" w:sz="6" w:space="0" w:color="000000"/>
            </w:tcBorders>
          </w:tcPr>
          <w:p w14:paraId="691DC18E"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Derived (430, 432) </w:t>
            </w:r>
          </w:p>
        </w:tc>
        <w:tc>
          <w:tcPr>
            <w:tcW w:w="1800" w:type="dxa"/>
            <w:tcBorders>
              <w:top w:val="single" w:sz="6" w:space="0" w:color="000000"/>
              <w:left w:val="single" w:sz="8" w:space="0" w:color="000000"/>
              <w:bottom w:val="single" w:sz="6" w:space="0" w:color="000000"/>
              <w:right w:val="single" w:sz="8" w:space="0" w:color="000000"/>
            </w:tcBorders>
          </w:tcPr>
          <w:p w14:paraId="359759A0"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NewDIAB </w:t>
            </w:r>
          </w:p>
        </w:tc>
      </w:tr>
      <w:tr w:rsidR="00A8610C" w:rsidRPr="004D22AE" w14:paraId="5D1D83A1" w14:textId="77777777" w:rsidTr="00EC3DA5">
        <w:trPr>
          <w:trHeight w:val="133"/>
        </w:trPr>
        <w:tc>
          <w:tcPr>
            <w:tcW w:w="8119" w:type="dxa"/>
            <w:gridSpan w:val="2"/>
            <w:tcBorders>
              <w:top w:val="single" w:sz="6" w:space="0" w:color="000000"/>
              <w:left w:val="single" w:sz="8" w:space="0" w:color="000000"/>
              <w:bottom w:val="single" w:sz="6" w:space="0" w:color="000000"/>
              <w:right w:val="single" w:sz="8" w:space="0" w:color="000000"/>
            </w:tcBorders>
          </w:tcPr>
          <w:p w14:paraId="24D62FC5" w14:textId="77777777" w:rsidR="00A8610C" w:rsidRPr="004D22AE" w:rsidRDefault="00A8610C" w:rsidP="00A8610C">
            <w:pPr>
              <w:widowControl w:val="0"/>
              <w:autoSpaceDE w:val="0"/>
              <w:autoSpaceDN w:val="0"/>
              <w:adjustRightInd w:val="0"/>
              <w:spacing w:after="0" w:line="240" w:lineRule="auto"/>
              <w:ind w:firstLine="200"/>
              <w:rPr>
                <w:rFonts w:cs="Arial"/>
                <w:color w:val="000000"/>
              </w:rPr>
            </w:pPr>
            <w:r w:rsidRPr="004D22AE">
              <w:rPr>
                <w:rFonts w:cs="Arial"/>
                <w:color w:val="000000"/>
              </w:rPr>
              <w:t xml:space="preserve">None </w:t>
            </w:r>
          </w:p>
        </w:tc>
        <w:tc>
          <w:tcPr>
            <w:tcW w:w="1800" w:type="dxa"/>
            <w:tcBorders>
              <w:top w:val="single" w:sz="6" w:space="0" w:color="000000"/>
              <w:left w:val="single" w:sz="6" w:space="0" w:color="000000"/>
              <w:bottom w:val="single" w:sz="6" w:space="0" w:color="000000"/>
            </w:tcBorders>
          </w:tcPr>
          <w:p w14:paraId="47F35555"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Reference </w:t>
            </w:r>
          </w:p>
        </w:tc>
      </w:tr>
      <w:tr w:rsidR="00A8610C" w:rsidRPr="004D22AE" w14:paraId="06562270" w14:textId="77777777" w:rsidTr="00EC3DA5">
        <w:trPr>
          <w:trHeight w:val="133"/>
        </w:trPr>
        <w:tc>
          <w:tcPr>
            <w:tcW w:w="8119" w:type="dxa"/>
            <w:gridSpan w:val="2"/>
            <w:tcBorders>
              <w:top w:val="single" w:sz="6" w:space="0" w:color="000000"/>
              <w:left w:val="single" w:sz="8" w:space="0" w:color="000000"/>
              <w:bottom w:val="single" w:sz="6" w:space="0" w:color="000000"/>
              <w:right w:val="single" w:sz="8" w:space="0" w:color="000000"/>
            </w:tcBorders>
          </w:tcPr>
          <w:p w14:paraId="504FAAF4" w14:textId="77777777" w:rsidR="00A8610C" w:rsidRPr="004D22AE" w:rsidRDefault="00A8610C" w:rsidP="00A8610C">
            <w:pPr>
              <w:widowControl w:val="0"/>
              <w:autoSpaceDE w:val="0"/>
              <w:autoSpaceDN w:val="0"/>
              <w:adjustRightInd w:val="0"/>
              <w:spacing w:after="0" w:line="240" w:lineRule="auto"/>
              <w:ind w:firstLine="200"/>
              <w:rPr>
                <w:rFonts w:cs="Arial"/>
                <w:color w:val="000000"/>
              </w:rPr>
            </w:pPr>
            <w:r w:rsidRPr="004D22AE">
              <w:rPr>
                <w:rFonts w:cs="Arial"/>
                <w:color w:val="000000"/>
              </w:rPr>
              <w:t xml:space="preserve">Non-insulin diabetes </w:t>
            </w:r>
          </w:p>
        </w:tc>
        <w:tc>
          <w:tcPr>
            <w:tcW w:w="1800" w:type="dxa"/>
            <w:tcBorders>
              <w:top w:val="single" w:sz="6" w:space="0" w:color="000000"/>
              <w:left w:val="single" w:sz="8" w:space="0" w:color="000000"/>
              <w:bottom w:val="single" w:sz="6" w:space="0" w:color="000000"/>
              <w:right w:val="single" w:sz="8" w:space="0" w:color="000000"/>
            </w:tcBorders>
          </w:tcPr>
          <w:p w14:paraId="1B5E28F6"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NEWDIAB1 </w:t>
            </w:r>
          </w:p>
        </w:tc>
      </w:tr>
      <w:tr w:rsidR="00A8610C" w:rsidRPr="004D22AE" w14:paraId="797491C5" w14:textId="77777777" w:rsidTr="00EC3DA5">
        <w:trPr>
          <w:trHeight w:val="133"/>
        </w:trPr>
        <w:tc>
          <w:tcPr>
            <w:tcW w:w="8119" w:type="dxa"/>
            <w:gridSpan w:val="2"/>
            <w:tcBorders>
              <w:top w:val="single" w:sz="6" w:space="0" w:color="000000"/>
              <w:left w:val="single" w:sz="8" w:space="0" w:color="000000"/>
              <w:bottom w:val="single" w:sz="6" w:space="0" w:color="000000"/>
              <w:right w:val="single" w:sz="8" w:space="0" w:color="000000"/>
            </w:tcBorders>
          </w:tcPr>
          <w:p w14:paraId="3173D797" w14:textId="77777777" w:rsidR="00A8610C" w:rsidRPr="004D22AE" w:rsidRDefault="00A8610C" w:rsidP="00A8610C">
            <w:pPr>
              <w:widowControl w:val="0"/>
              <w:autoSpaceDE w:val="0"/>
              <w:autoSpaceDN w:val="0"/>
              <w:adjustRightInd w:val="0"/>
              <w:spacing w:after="0" w:line="240" w:lineRule="auto"/>
              <w:ind w:firstLine="200"/>
              <w:rPr>
                <w:rFonts w:cs="Arial"/>
                <w:color w:val="000000"/>
              </w:rPr>
            </w:pPr>
            <w:r w:rsidRPr="004D22AE">
              <w:rPr>
                <w:rFonts w:cs="Arial"/>
                <w:color w:val="000000"/>
              </w:rPr>
              <w:t xml:space="preserve">Insulin diabetes </w:t>
            </w:r>
          </w:p>
        </w:tc>
        <w:tc>
          <w:tcPr>
            <w:tcW w:w="1800" w:type="dxa"/>
            <w:tcBorders>
              <w:top w:val="single" w:sz="6" w:space="0" w:color="000000"/>
              <w:left w:val="single" w:sz="8" w:space="0" w:color="000000"/>
              <w:bottom w:val="single" w:sz="6" w:space="0" w:color="000000"/>
              <w:right w:val="single" w:sz="8" w:space="0" w:color="000000"/>
            </w:tcBorders>
          </w:tcPr>
          <w:p w14:paraId="44227879"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NEWDIAB2 </w:t>
            </w:r>
          </w:p>
        </w:tc>
      </w:tr>
      <w:tr w:rsidR="00A8610C" w:rsidRPr="004D22AE" w14:paraId="6AC7BF2C"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08092E47"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Glomerular Filtration Rate (GFR) </w:t>
            </w:r>
          </w:p>
        </w:tc>
        <w:tc>
          <w:tcPr>
            <w:tcW w:w="3601" w:type="dxa"/>
            <w:tcBorders>
              <w:top w:val="single" w:sz="6" w:space="0" w:color="000000"/>
              <w:left w:val="single" w:sz="6" w:space="0" w:color="000000"/>
              <w:bottom w:val="single" w:sz="6" w:space="0" w:color="000000"/>
              <w:right w:val="single" w:sz="6" w:space="0" w:color="000000"/>
            </w:tcBorders>
          </w:tcPr>
          <w:p w14:paraId="63410912"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Derived (252, 260, 270, 439, 440) </w:t>
            </w:r>
          </w:p>
        </w:tc>
        <w:tc>
          <w:tcPr>
            <w:tcW w:w="1800" w:type="dxa"/>
            <w:tcBorders>
              <w:top w:val="single" w:sz="6" w:space="0" w:color="000000"/>
              <w:left w:val="single" w:sz="8" w:space="0" w:color="000000"/>
              <w:bottom w:val="single" w:sz="6" w:space="0" w:color="000000"/>
              <w:right w:val="single" w:sz="8" w:space="0" w:color="000000"/>
            </w:tcBorders>
          </w:tcPr>
          <w:p w14:paraId="5105E8FB"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GFR </w:t>
            </w:r>
          </w:p>
        </w:tc>
      </w:tr>
      <w:tr w:rsidR="00A8610C" w:rsidRPr="004D22AE" w14:paraId="2C445B56"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0BFDDA99" w14:textId="77777777" w:rsidR="00A8610C" w:rsidRPr="004D22AE" w:rsidRDefault="00A8610C" w:rsidP="009644C5">
            <w:pPr>
              <w:widowControl w:val="0"/>
              <w:autoSpaceDE w:val="0"/>
              <w:autoSpaceDN w:val="0"/>
              <w:adjustRightInd w:val="0"/>
              <w:spacing w:after="0" w:line="240" w:lineRule="auto"/>
              <w:ind w:firstLine="180"/>
              <w:rPr>
                <w:rFonts w:cs="Arial"/>
                <w:color w:val="000000"/>
              </w:rPr>
            </w:pPr>
            <w:r w:rsidRPr="004D22AE">
              <w:rPr>
                <w:rFonts w:cs="Arial"/>
                <w:color w:val="000000"/>
              </w:rPr>
              <w:t xml:space="preserve">Not measured </w:t>
            </w:r>
          </w:p>
        </w:tc>
        <w:tc>
          <w:tcPr>
            <w:tcW w:w="3601" w:type="dxa"/>
            <w:tcBorders>
              <w:top w:val="single" w:sz="6" w:space="0" w:color="000000"/>
              <w:left w:val="single" w:sz="6" w:space="0" w:color="000000"/>
              <w:bottom w:val="single" w:sz="6" w:space="0" w:color="000000"/>
              <w:right w:val="single" w:sz="6" w:space="0" w:color="000000"/>
            </w:tcBorders>
          </w:tcPr>
          <w:p w14:paraId="24B7CA5E"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Derived </w:t>
            </w:r>
          </w:p>
        </w:tc>
        <w:tc>
          <w:tcPr>
            <w:tcW w:w="1800" w:type="dxa"/>
            <w:tcBorders>
              <w:top w:val="single" w:sz="6" w:space="0" w:color="000000"/>
              <w:left w:val="single" w:sz="8" w:space="0" w:color="000000"/>
              <w:bottom w:val="single" w:sz="6" w:space="0" w:color="000000"/>
              <w:right w:val="single" w:sz="8" w:space="0" w:color="000000"/>
            </w:tcBorders>
          </w:tcPr>
          <w:p w14:paraId="39DB4720"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GFRGRP0 </w:t>
            </w:r>
          </w:p>
        </w:tc>
      </w:tr>
      <w:tr w:rsidR="00A8610C" w:rsidRPr="004D22AE" w14:paraId="72A6C2CA"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5570BB5F" w14:textId="77777777" w:rsidR="00A8610C" w:rsidRPr="004D22AE" w:rsidRDefault="00A8610C" w:rsidP="009644C5">
            <w:pPr>
              <w:widowControl w:val="0"/>
              <w:autoSpaceDE w:val="0"/>
              <w:autoSpaceDN w:val="0"/>
              <w:adjustRightInd w:val="0"/>
              <w:spacing w:after="0" w:line="240" w:lineRule="auto"/>
              <w:ind w:firstLine="180"/>
              <w:rPr>
                <w:rFonts w:cs="Arial"/>
                <w:color w:val="000000"/>
              </w:rPr>
            </w:pPr>
            <w:r w:rsidRPr="004D22AE">
              <w:rPr>
                <w:rFonts w:cs="Arial"/>
                <w:color w:val="000000"/>
              </w:rPr>
              <w:t xml:space="preserve">GFR&lt;30 </w:t>
            </w:r>
          </w:p>
        </w:tc>
        <w:tc>
          <w:tcPr>
            <w:tcW w:w="3601" w:type="dxa"/>
            <w:tcBorders>
              <w:top w:val="single" w:sz="6" w:space="0" w:color="000000"/>
              <w:left w:val="single" w:sz="6" w:space="0" w:color="000000"/>
              <w:bottom w:val="single" w:sz="6" w:space="0" w:color="000000"/>
              <w:right w:val="single" w:sz="6" w:space="0" w:color="000000"/>
            </w:tcBorders>
          </w:tcPr>
          <w:p w14:paraId="60D11024"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Derived </w:t>
            </w:r>
          </w:p>
        </w:tc>
        <w:tc>
          <w:tcPr>
            <w:tcW w:w="1800" w:type="dxa"/>
            <w:tcBorders>
              <w:top w:val="single" w:sz="6" w:space="0" w:color="000000"/>
              <w:left w:val="single" w:sz="8" w:space="0" w:color="000000"/>
              <w:bottom w:val="single" w:sz="6" w:space="0" w:color="000000"/>
              <w:right w:val="single" w:sz="8" w:space="0" w:color="000000"/>
            </w:tcBorders>
          </w:tcPr>
          <w:p w14:paraId="4F650CBE"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GFRGRP1 </w:t>
            </w:r>
          </w:p>
        </w:tc>
      </w:tr>
      <w:tr w:rsidR="00A8610C" w:rsidRPr="004D22AE" w14:paraId="3003DB48"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028BC38F" w14:textId="77777777" w:rsidR="00A8610C" w:rsidRPr="004D22AE" w:rsidRDefault="00A8610C" w:rsidP="009644C5">
            <w:pPr>
              <w:widowControl w:val="0"/>
              <w:autoSpaceDE w:val="0"/>
              <w:autoSpaceDN w:val="0"/>
              <w:adjustRightInd w:val="0"/>
              <w:spacing w:after="0" w:line="240" w:lineRule="auto"/>
              <w:ind w:firstLine="180"/>
              <w:rPr>
                <w:rFonts w:cs="Arial"/>
                <w:color w:val="000000"/>
              </w:rPr>
            </w:pPr>
            <w:r w:rsidRPr="004D22AE">
              <w:rPr>
                <w:rFonts w:cs="Arial"/>
                <w:color w:val="000000"/>
              </w:rPr>
              <w:t xml:space="preserve">30≤GFR&lt;60 </w:t>
            </w:r>
          </w:p>
        </w:tc>
        <w:tc>
          <w:tcPr>
            <w:tcW w:w="3601" w:type="dxa"/>
            <w:tcBorders>
              <w:top w:val="single" w:sz="6" w:space="0" w:color="000000"/>
              <w:left w:val="single" w:sz="6" w:space="0" w:color="000000"/>
              <w:bottom w:val="single" w:sz="6" w:space="0" w:color="000000"/>
              <w:right w:val="single" w:sz="6" w:space="0" w:color="000000"/>
            </w:tcBorders>
          </w:tcPr>
          <w:p w14:paraId="46DA084F"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Derived </w:t>
            </w:r>
          </w:p>
        </w:tc>
        <w:tc>
          <w:tcPr>
            <w:tcW w:w="1800" w:type="dxa"/>
            <w:tcBorders>
              <w:top w:val="single" w:sz="6" w:space="0" w:color="000000"/>
              <w:left w:val="single" w:sz="8" w:space="0" w:color="000000"/>
              <w:bottom w:val="single" w:sz="6" w:space="0" w:color="000000"/>
              <w:right w:val="single" w:sz="8" w:space="0" w:color="000000"/>
            </w:tcBorders>
          </w:tcPr>
          <w:p w14:paraId="357DA3DB"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GFRGRP2 </w:t>
            </w:r>
          </w:p>
        </w:tc>
      </w:tr>
      <w:tr w:rsidR="00A8610C" w:rsidRPr="004D22AE" w14:paraId="77E09454" w14:textId="77777777" w:rsidTr="00EC3DA5">
        <w:trPr>
          <w:trHeight w:val="133"/>
        </w:trPr>
        <w:tc>
          <w:tcPr>
            <w:tcW w:w="8119" w:type="dxa"/>
            <w:gridSpan w:val="2"/>
            <w:tcBorders>
              <w:top w:val="single" w:sz="6" w:space="0" w:color="000000"/>
              <w:left w:val="single" w:sz="8" w:space="0" w:color="000000"/>
              <w:bottom w:val="single" w:sz="6" w:space="0" w:color="000000"/>
              <w:right w:val="single" w:sz="8" w:space="0" w:color="000000"/>
            </w:tcBorders>
          </w:tcPr>
          <w:p w14:paraId="1F002104" w14:textId="77777777" w:rsidR="00A8610C" w:rsidRPr="004D22AE" w:rsidRDefault="00A8610C" w:rsidP="009644C5">
            <w:pPr>
              <w:widowControl w:val="0"/>
              <w:autoSpaceDE w:val="0"/>
              <w:autoSpaceDN w:val="0"/>
              <w:adjustRightInd w:val="0"/>
              <w:spacing w:after="0" w:line="240" w:lineRule="auto"/>
              <w:ind w:firstLine="180"/>
              <w:rPr>
                <w:rFonts w:cs="Arial"/>
                <w:color w:val="000000"/>
              </w:rPr>
            </w:pPr>
            <w:r w:rsidRPr="004D22AE">
              <w:rPr>
                <w:rFonts w:cs="Arial"/>
                <w:color w:val="000000"/>
              </w:rPr>
              <w:t xml:space="preserve">60≤GFR&lt;90 </w:t>
            </w:r>
          </w:p>
        </w:tc>
        <w:tc>
          <w:tcPr>
            <w:tcW w:w="1800" w:type="dxa"/>
            <w:tcBorders>
              <w:top w:val="single" w:sz="6" w:space="0" w:color="000000"/>
              <w:left w:val="single" w:sz="6" w:space="0" w:color="000000"/>
              <w:bottom w:val="single" w:sz="6" w:space="0" w:color="000000"/>
            </w:tcBorders>
          </w:tcPr>
          <w:p w14:paraId="62FF5158"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Reference </w:t>
            </w:r>
          </w:p>
        </w:tc>
      </w:tr>
      <w:tr w:rsidR="00A8610C" w:rsidRPr="004D22AE" w14:paraId="2B50EDF3"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7DA741EA" w14:textId="77777777" w:rsidR="00A8610C" w:rsidRPr="004D22AE" w:rsidRDefault="00A8610C" w:rsidP="009644C5">
            <w:pPr>
              <w:widowControl w:val="0"/>
              <w:autoSpaceDE w:val="0"/>
              <w:autoSpaceDN w:val="0"/>
              <w:adjustRightInd w:val="0"/>
              <w:spacing w:after="0" w:line="240" w:lineRule="auto"/>
              <w:ind w:firstLine="180"/>
              <w:rPr>
                <w:rFonts w:cs="Arial"/>
                <w:color w:val="000000"/>
              </w:rPr>
            </w:pPr>
            <w:r w:rsidRPr="004D22AE">
              <w:rPr>
                <w:rFonts w:cs="Arial"/>
                <w:color w:val="000000"/>
              </w:rPr>
              <w:t xml:space="preserve">GFR≥90 </w:t>
            </w:r>
          </w:p>
        </w:tc>
        <w:tc>
          <w:tcPr>
            <w:tcW w:w="3601" w:type="dxa"/>
            <w:tcBorders>
              <w:top w:val="single" w:sz="6" w:space="0" w:color="000000"/>
              <w:left w:val="single" w:sz="6" w:space="0" w:color="000000"/>
              <w:bottom w:val="single" w:sz="6" w:space="0" w:color="000000"/>
              <w:right w:val="single" w:sz="6" w:space="0" w:color="000000"/>
            </w:tcBorders>
          </w:tcPr>
          <w:p w14:paraId="1498A153"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Derived </w:t>
            </w:r>
          </w:p>
        </w:tc>
        <w:tc>
          <w:tcPr>
            <w:tcW w:w="1800" w:type="dxa"/>
            <w:tcBorders>
              <w:top w:val="single" w:sz="6" w:space="0" w:color="000000"/>
              <w:left w:val="single" w:sz="8" w:space="0" w:color="000000"/>
              <w:bottom w:val="single" w:sz="6" w:space="0" w:color="000000"/>
              <w:right w:val="single" w:sz="8" w:space="0" w:color="000000"/>
            </w:tcBorders>
          </w:tcPr>
          <w:p w14:paraId="3E71B59C"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GFRGRP4 </w:t>
            </w:r>
          </w:p>
        </w:tc>
      </w:tr>
      <w:tr w:rsidR="00A8610C" w:rsidRPr="004D22AE" w14:paraId="5CCB13DB"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5AC559AB"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Renal failure-dialysis </w:t>
            </w:r>
          </w:p>
        </w:tc>
        <w:tc>
          <w:tcPr>
            <w:tcW w:w="3601" w:type="dxa"/>
            <w:tcBorders>
              <w:top w:val="single" w:sz="6" w:space="0" w:color="000000"/>
              <w:left w:val="single" w:sz="6" w:space="0" w:color="000000"/>
              <w:bottom w:val="single" w:sz="6" w:space="0" w:color="000000"/>
              <w:right w:val="single" w:sz="6" w:space="0" w:color="000000"/>
            </w:tcBorders>
          </w:tcPr>
          <w:p w14:paraId="600DDF85"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444 </w:t>
            </w:r>
          </w:p>
        </w:tc>
        <w:tc>
          <w:tcPr>
            <w:tcW w:w="1800" w:type="dxa"/>
            <w:tcBorders>
              <w:top w:val="single" w:sz="6" w:space="0" w:color="000000"/>
              <w:left w:val="single" w:sz="8" w:space="0" w:color="000000"/>
              <w:bottom w:val="single" w:sz="6" w:space="0" w:color="000000"/>
              <w:right w:val="single" w:sz="8" w:space="0" w:color="000000"/>
            </w:tcBorders>
          </w:tcPr>
          <w:p w14:paraId="0F44C876"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Dialysis </w:t>
            </w:r>
          </w:p>
        </w:tc>
      </w:tr>
      <w:tr w:rsidR="00A8610C" w:rsidRPr="004D22AE" w14:paraId="140C0068"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75C5B337"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Hypertension </w:t>
            </w:r>
          </w:p>
        </w:tc>
        <w:tc>
          <w:tcPr>
            <w:tcW w:w="3601" w:type="dxa"/>
            <w:tcBorders>
              <w:top w:val="single" w:sz="6" w:space="0" w:color="000000"/>
              <w:left w:val="single" w:sz="6" w:space="0" w:color="000000"/>
              <w:bottom w:val="single" w:sz="6" w:space="0" w:color="000000"/>
              <w:right w:val="single" w:sz="6" w:space="0" w:color="000000"/>
            </w:tcBorders>
          </w:tcPr>
          <w:p w14:paraId="3C792C15"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456 </w:t>
            </w:r>
          </w:p>
        </w:tc>
        <w:tc>
          <w:tcPr>
            <w:tcW w:w="1800" w:type="dxa"/>
            <w:tcBorders>
              <w:top w:val="single" w:sz="6" w:space="0" w:color="000000"/>
              <w:left w:val="single" w:sz="8" w:space="0" w:color="000000"/>
              <w:bottom w:val="single" w:sz="6" w:space="0" w:color="000000"/>
              <w:right w:val="single" w:sz="8" w:space="0" w:color="000000"/>
            </w:tcBorders>
          </w:tcPr>
          <w:p w14:paraId="0F9CF913"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Hypertn </w:t>
            </w:r>
          </w:p>
        </w:tc>
      </w:tr>
      <w:tr w:rsidR="00A8610C" w:rsidRPr="004D22AE" w14:paraId="71248617"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2B785998"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History of tobacco use </w:t>
            </w:r>
          </w:p>
        </w:tc>
        <w:tc>
          <w:tcPr>
            <w:tcW w:w="3601" w:type="dxa"/>
            <w:tcBorders>
              <w:top w:val="single" w:sz="6" w:space="0" w:color="000000"/>
              <w:left w:val="single" w:sz="6" w:space="0" w:color="000000"/>
              <w:bottom w:val="single" w:sz="6" w:space="0" w:color="000000"/>
              <w:right w:val="single" w:sz="6" w:space="0" w:color="000000"/>
            </w:tcBorders>
          </w:tcPr>
          <w:p w14:paraId="4311DE75"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460 </w:t>
            </w:r>
          </w:p>
        </w:tc>
        <w:tc>
          <w:tcPr>
            <w:tcW w:w="1800" w:type="dxa"/>
            <w:tcBorders>
              <w:top w:val="single" w:sz="6" w:space="0" w:color="000000"/>
              <w:left w:val="single" w:sz="8" w:space="0" w:color="000000"/>
              <w:bottom w:val="single" w:sz="6" w:space="0" w:color="000000"/>
              <w:right w:val="single" w:sz="8" w:space="0" w:color="000000"/>
            </w:tcBorders>
          </w:tcPr>
          <w:p w14:paraId="1F8FF7DC"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Tobacco </w:t>
            </w:r>
          </w:p>
        </w:tc>
      </w:tr>
      <w:tr w:rsidR="00A8610C" w:rsidRPr="004D22AE" w14:paraId="160938F3"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21391206"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Family history of CAD </w:t>
            </w:r>
          </w:p>
        </w:tc>
        <w:tc>
          <w:tcPr>
            <w:tcW w:w="3601" w:type="dxa"/>
            <w:tcBorders>
              <w:top w:val="single" w:sz="6" w:space="0" w:color="000000"/>
              <w:left w:val="single" w:sz="6" w:space="0" w:color="000000"/>
              <w:bottom w:val="single" w:sz="6" w:space="0" w:color="000000"/>
              <w:right w:val="single" w:sz="6" w:space="0" w:color="000000"/>
            </w:tcBorders>
          </w:tcPr>
          <w:p w14:paraId="257538CA"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480 </w:t>
            </w:r>
          </w:p>
        </w:tc>
        <w:tc>
          <w:tcPr>
            <w:tcW w:w="1800" w:type="dxa"/>
            <w:tcBorders>
              <w:top w:val="single" w:sz="6" w:space="0" w:color="000000"/>
              <w:left w:val="single" w:sz="8" w:space="0" w:color="000000"/>
              <w:bottom w:val="single" w:sz="6" w:space="0" w:color="000000"/>
              <w:right w:val="single" w:sz="8" w:space="0" w:color="000000"/>
            </w:tcBorders>
          </w:tcPr>
          <w:p w14:paraId="1D10513C"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FHCAD </w:t>
            </w:r>
          </w:p>
        </w:tc>
      </w:tr>
      <w:tr w:rsidR="00A8610C" w:rsidRPr="004D22AE" w14:paraId="7C628F13"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7ADA870F"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Previous PCI </w:t>
            </w:r>
          </w:p>
        </w:tc>
        <w:tc>
          <w:tcPr>
            <w:tcW w:w="3601" w:type="dxa"/>
            <w:tcBorders>
              <w:top w:val="single" w:sz="6" w:space="0" w:color="000000"/>
              <w:left w:val="single" w:sz="6" w:space="0" w:color="000000"/>
              <w:bottom w:val="single" w:sz="6" w:space="0" w:color="000000"/>
              <w:right w:val="single" w:sz="6" w:space="0" w:color="000000"/>
            </w:tcBorders>
          </w:tcPr>
          <w:p w14:paraId="2C7C40EA"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490 </w:t>
            </w:r>
          </w:p>
        </w:tc>
        <w:tc>
          <w:tcPr>
            <w:tcW w:w="1800" w:type="dxa"/>
            <w:tcBorders>
              <w:top w:val="single" w:sz="6" w:space="0" w:color="000000"/>
              <w:left w:val="single" w:sz="8" w:space="0" w:color="000000"/>
              <w:bottom w:val="single" w:sz="6" w:space="0" w:color="000000"/>
              <w:right w:val="single" w:sz="8" w:space="0" w:color="000000"/>
            </w:tcBorders>
          </w:tcPr>
          <w:p w14:paraId="35D30B3A"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PrPCI </w:t>
            </w:r>
          </w:p>
        </w:tc>
      </w:tr>
      <w:tr w:rsidR="00A8610C" w:rsidRPr="004D22AE" w14:paraId="1386FB25" w14:textId="77777777" w:rsidTr="00EC3DA5">
        <w:trPr>
          <w:trHeight w:val="133"/>
        </w:trPr>
        <w:tc>
          <w:tcPr>
            <w:tcW w:w="4518" w:type="dxa"/>
            <w:tcBorders>
              <w:top w:val="single" w:sz="6" w:space="0" w:color="000000"/>
              <w:left w:val="single" w:sz="8" w:space="0" w:color="000000"/>
              <w:bottom w:val="single" w:sz="8" w:space="0" w:color="000000"/>
              <w:right w:val="single" w:sz="8" w:space="0" w:color="000000"/>
            </w:tcBorders>
          </w:tcPr>
          <w:p w14:paraId="6C17D864"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Previous CABG </w:t>
            </w:r>
          </w:p>
        </w:tc>
        <w:tc>
          <w:tcPr>
            <w:tcW w:w="3601" w:type="dxa"/>
            <w:tcBorders>
              <w:top w:val="single" w:sz="6" w:space="0" w:color="000000"/>
              <w:left w:val="single" w:sz="6" w:space="0" w:color="000000"/>
              <w:bottom w:val="single" w:sz="8" w:space="0" w:color="000000"/>
              <w:right w:val="single" w:sz="6" w:space="0" w:color="000000"/>
            </w:tcBorders>
          </w:tcPr>
          <w:p w14:paraId="69D56458"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494 </w:t>
            </w:r>
          </w:p>
        </w:tc>
        <w:tc>
          <w:tcPr>
            <w:tcW w:w="1800" w:type="dxa"/>
            <w:tcBorders>
              <w:top w:val="single" w:sz="6" w:space="0" w:color="000000"/>
              <w:left w:val="single" w:sz="8" w:space="0" w:color="000000"/>
              <w:bottom w:val="single" w:sz="8" w:space="0" w:color="000000"/>
              <w:right w:val="single" w:sz="8" w:space="0" w:color="000000"/>
            </w:tcBorders>
          </w:tcPr>
          <w:p w14:paraId="3A777317"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PrCAB </w:t>
            </w:r>
          </w:p>
        </w:tc>
      </w:tr>
      <w:tr w:rsidR="00A8610C" w:rsidRPr="004D22AE" w14:paraId="6A11C23A" w14:textId="77777777" w:rsidTr="00EC3DA5">
        <w:trPr>
          <w:trHeight w:val="133"/>
        </w:trPr>
        <w:tc>
          <w:tcPr>
            <w:tcW w:w="9919" w:type="dxa"/>
            <w:gridSpan w:val="3"/>
            <w:tcBorders>
              <w:top w:val="single" w:sz="8" w:space="0" w:color="000000"/>
              <w:left w:val="single" w:sz="8" w:space="0" w:color="000000"/>
              <w:bottom w:val="single" w:sz="8" w:space="0" w:color="000000"/>
              <w:right w:val="single" w:sz="8" w:space="0" w:color="000000"/>
            </w:tcBorders>
          </w:tcPr>
          <w:p w14:paraId="3C5D805A" w14:textId="77777777" w:rsidR="00A8610C" w:rsidRPr="009644C5" w:rsidRDefault="00A8610C" w:rsidP="00A8610C">
            <w:pPr>
              <w:widowControl w:val="0"/>
              <w:autoSpaceDE w:val="0"/>
              <w:autoSpaceDN w:val="0"/>
              <w:adjustRightInd w:val="0"/>
              <w:spacing w:after="0" w:line="240" w:lineRule="auto"/>
              <w:rPr>
                <w:rFonts w:cs="Arial"/>
                <w:b/>
                <w:color w:val="000000"/>
              </w:rPr>
            </w:pPr>
            <w:r w:rsidRPr="009644C5">
              <w:rPr>
                <w:rFonts w:cs="Arial"/>
                <w:b/>
                <w:color w:val="000000"/>
              </w:rPr>
              <w:t xml:space="preserve">Cardiac Status </w:t>
            </w:r>
          </w:p>
        </w:tc>
      </w:tr>
      <w:tr w:rsidR="00A8610C" w:rsidRPr="004D22AE" w14:paraId="4F91968C" w14:textId="77777777" w:rsidTr="00EC3DA5">
        <w:trPr>
          <w:trHeight w:val="133"/>
        </w:trPr>
        <w:tc>
          <w:tcPr>
            <w:tcW w:w="4518" w:type="dxa"/>
            <w:tcBorders>
              <w:top w:val="single" w:sz="8" w:space="0" w:color="000000"/>
              <w:left w:val="single" w:sz="8" w:space="0" w:color="000000"/>
              <w:bottom w:val="single" w:sz="6" w:space="0" w:color="000000"/>
              <w:right w:val="single" w:sz="8" w:space="0" w:color="000000"/>
            </w:tcBorders>
          </w:tcPr>
          <w:p w14:paraId="46551A7D"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Heart failure - current status </w:t>
            </w:r>
          </w:p>
        </w:tc>
        <w:tc>
          <w:tcPr>
            <w:tcW w:w="3601" w:type="dxa"/>
            <w:tcBorders>
              <w:top w:val="single" w:sz="8" w:space="0" w:color="000000"/>
              <w:left w:val="single" w:sz="6" w:space="0" w:color="000000"/>
              <w:bottom w:val="single" w:sz="6" w:space="0" w:color="000000"/>
              <w:right w:val="single" w:sz="6" w:space="0" w:color="000000"/>
            </w:tcBorders>
          </w:tcPr>
          <w:p w14:paraId="49E60B12"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500 </w:t>
            </w:r>
          </w:p>
        </w:tc>
        <w:tc>
          <w:tcPr>
            <w:tcW w:w="1800" w:type="dxa"/>
            <w:tcBorders>
              <w:top w:val="single" w:sz="8" w:space="0" w:color="000000"/>
              <w:left w:val="single" w:sz="8" w:space="0" w:color="000000"/>
              <w:bottom w:val="single" w:sz="6" w:space="0" w:color="000000"/>
              <w:right w:val="single" w:sz="8" w:space="0" w:color="000000"/>
            </w:tcBorders>
          </w:tcPr>
          <w:p w14:paraId="19438D54"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CHF </w:t>
            </w:r>
          </w:p>
        </w:tc>
      </w:tr>
      <w:tr w:rsidR="00A8610C" w:rsidRPr="004D22AE" w14:paraId="12900560"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1F495A32"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NYHA </w:t>
            </w:r>
          </w:p>
        </w:tc>
        <w:tc>
          <w:tcPr>
            <w:tcW w:w="3601" w:type="dxa"/>
            <w:tcBorders>
              <w:top w:val="single" w:sz="6" w:space="0" w:color="000000"/>
              <w:left w:val="single" w:sz="6" w:space="0" w:color="000000"/>
              <w:bottom w:val="single" w:sz="6" w:space="0" w:color="000000"/>
              <w:right w:val="single" w:sz="6" w:space="0" w:color="000000"/>
            </w:tcBorders>
          </w:tcPr>
          <w:p w14:paraId="5C15E1C4"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510 </w:t>
            </w:r>
          </w:p>
        </w:tc>
        <w:tc>
          <w:tcPr>
            <w:tcW w:w="1800" w:type="dxa"/>
            <w:tcBorders>
              <w:top w:val="single" w:sz="6" w:space="0" w:color="000000"/>
              <w:left w:val="single" w:sz="8" w:space="0" w:color="000000"/>
              <w:bottom w:val="single" w:sz="6" w:space="0" w:color="000000"/>
              <w:right w:val="single" w:sz="8" w:space="0" w:color="000000"/>
            </w:tcBorders>
          </w:tcPr>
          <w:p w14:paraId="4E82FF7C"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ClassNYH </w:t>
            </w:r>
          </w:p>
        </w:tc>
      </w:tr>
      <w:tr w:rsidR="00A8610C" w:rsidRPr="004D22AE" w14:paraId="7C479B2B" w14:textId="77777777" w:rsidTr="00EC3DA5">
        <w:trPr>
          <w:trHeight w:val="133"/>
        </w:trPr>
        <w:tc>
          <w:tcPr>
            <w:tcW w:w="8119" w:type="dxa"/>
            <w:gridSpan w:val="2"/>
            <w:tcBorders>
              <w:top w:val="single" w:sz="6" w:space="0" w:color="000000"/>
              <w:left w:val="single" w:sz="8" w:space="0" w:color="000000"/>
              <w:bottom w:val="single" w:sz="6" w:space="0" w:color="000000"/>
              <w:right w:val="single" w:sz="8" w:space="0" w:color="000000"/>
            </w:tcBorders>
          </w:tcPr>
          <w:p w14:paraId="3A2AF8BC" w14:textId="77777777" w:rsidR="00A8610C" w:rsidRPr="004D22AE" w:rsidRDefault="00A8610C" w:rsidP="00A8610C">
            <w:pPr>
              <w:widowControl w:val="0"/>
              <w:autoSpaceDE w:val="0"/>
              <w:autoSpaceDN w:val="0"/>
              <w:adjustRightInd w:val="0"/>
              <w:spacing w:after="0" w:line="240" w:lineRule="auto"/>
              <w:ind w:firstLine="200"/>
              <w:rPr>
                <w:rFonts w:cs="Arial"/>
                <w:color w:val="000000"/>
              </w:rPr>
            </w:pPr>
            <w:r w:rsidRPr="004D22AE">
              <w:rPr>
                <w:rFonts w:cs="Arial"/>
                <w:color w:val="000000"/>
              </w:rPr>
              <w:t xml:space="preserve">Class I or II </w:t>
            </w:r>
          </w:p>
        </w:tc>
        <w:tc>
          <w:tcPr>
            <w:tcW w:w="1800" w:type="dxa"/>
            <w:tcBorders>
              <w:top w:val="single" w:sz="6" w:space="0" w:color="000000"/>
              <w:left w:val="single" w:sz="6" w:space="0" w:color="000000"/>
              <w:bottom w:val="single" w:sz="6" w:space="0" w:color="000000"/>
            </w:tcBorders>
          </w:tcPr>
          <w:p w14:paraId="1D951B5E"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Reference </w:t>
            </w:r>
          </w:p>
        </w:tc>
      </w:tr>
      <w:tr w:rsidR="00A8610C" w:rsidRPr="004D22AE" w14:paraId="2A8CE3DF"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6218BF66" w14:textId="77777777" w:rsidR="00A8610C" w:rsidRPr="004D22AE" w:rsidRDefault="00A8610C" w:rsidP="00A8610C">
            <w:pPr>
              <w:widowControl w:val="0"/>
              <w:autoSpaceDE w:val="0"/>
              <w:autoSpaceDN w:val="0"/>
              <w:adjustRightInd w:val="0"/>
              <w:spacing w:after="0" w:line="240" w:lineRule="auto"/>
              <w:ind w:firstLine="200"/>
              <w:rPr>
                <w:rFonts w:cs="Arial"/>
                <w:color w:val="000000"/>
              </w:rPr>
            </w:pPr>
            <w:r w:rsidRPr="004D22AE">
              <w:rPr>
                <w:rFonts w:cs="Arial"/>
                <w:color w:val="000000"/>
              </w:rPr>
              <w:t xml:space="preserve">Class III </w:t>
            </w:r>
          </w:p>
        </w:tc>
        <w:tc>
          <w:tcPr>
            <w:tcW w:w="3601" w:type="dxa"/>
            <w:tcBorders>
              <w:top w:val="single" w:sz="6" w:space="0" w:color="000000"/>
              <w:left w:val="single" w:sz="6" w:space="0" w:color="000000"/>
              <w:bottom w:val="single" w:sz="6" w:space="0" w:color="000000"/>
              <w:right w:val="single" w:sz="6" w:space="0" w:color="000000"/>
            </w:tcBorders>
          </w:tcPr>
          <w:p w14:paraId="6A7392C7"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Derived </w:t>
            </w:r>
          </w:p>
        </w:tc>
        <w:tc>
          <w:tcPr>
            <w:tcW w:w="1800" w:type="dxa"/>
            <w:tcBorders>
              <w:top w:val="single" w:sz="6" w:space="0" w:color="000000"/>
              <w:left w:val="single" w:sz="8" w:space="0" w:color="000000"/>
              <w:bottom w:val="single" w:sz="6" w:space="0" w:color="000000"/>
              <w:right w:val="single" w:sz="8" w:space="0" w:color="000000"/>
            </w:tcBorders>
          </w:tcPr>
          <w:p w14:paraId="6ED2DD9E"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NYHC3 </w:t>
            </w:r>
          </w:p>
        </w:tc>
      </w:tr>
      <w:tr w:rsidR="00A8610C" w:rsidRPr="004D22AE" w14:paraId="2F1B9661"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7A0EA405" w14:textId="77777777" w:rsidR="00A8610C" w:rsidRPr="004D22AE" w:rsidRDefault="00A8610C" w:rsidP="00A8610C">
            <w:pPr>
              <w:widowControl w:val="0"/>
              <w:autoSpaceDE w:val="0"/>
              <w:autoSpaceDN w:val="0"/>
              <w:adjustRightInd w:val="0"/>
              <w:spacing w:after="0" w:line="240" w:lineRule="auto"/>
              <w:ind w:firstLine="200"/>
              <w:rPr>
                <w:rFonts w:cs="Arial"/>
                <w:color w:val="000000"/>
              </w:rPr>
            </w:pPr>
            <w:r w:rsidRPr="004D22AE">
              <w:rPr>
                <w:rFonts w:cs="Arial"/>
                <w:color w:val="000000"/>
              </w:rPr>
              <w:t xml:space="preserve">Class IV </w:t>
            </w:r>
          </w:p>
        </w:tc>
        <w:tc>
          <w:tcPr>
            <w:tcW w:w="3601" w:type="dxa"/>
            <w:tcBorders>
              <w:top w:val="single" w:sz="6" w:space="0" w:color="000000"/>
              <w:left w:val="single" w:sz="6" w:space="0" w:color="000000"/>
              <w:bottom w:val="single" w:sz="6" w:space="0" w:color="000000"/>
              <w:right w:val="single" w:sz="6" w:space="0" w:color="000000"/>
            </w:tcBorders>
          </w:tcPr>
          <w:p w14:paraId="1EB754FF"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Derived </w:t>
            </w:r>
          </w:p>
        </w:tc>
        <w:tc>
          <w:tcPr>
            <w:tcW w:w="1800" w:type="dxa"/>
            <w:tcBorders>
              <w:top w:val="single" w:sz="6" w:space="0" w:color="000000"/>
              <w:left w:val="single" w:sz="8" w:space="0" w:color="000000"/>
              <w:bottom w:val="single" w:sz="6" w:space="0" w:color="000000"/>
              <w:right w:val="single" w:sz="8" w:space="0" w:color="000000"/>
            </w:tcBorders>
          </w:tcPr>
          <w:p w14:paraId="7A4473CE"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NYHC4 </w:t>
            </w:r>
          </w:p>
        </w:tc>
      </w:tr>
      <w:tr w:rsidR="00A8610C" w:rsidRPr="004D22AE" w14:paraId="58ECA333" w14:textId="77777777" w:rsidTr="00EC3DA5">
        <w:trPr>
          <w:trHeight w:val="133"/>
        </w:trPr>
        <w:tc>
          <w:tcPr>
            <w:tcW w:w="8119" w:type="dxa"/>
            <w:gridSpan w:val="2"/>
            <w:tcBorders>
              <w:top w:val="single" w:sz="6" w:space="0" w:color="000000"/>
              <w:left w:val="single" w:sz="8" w:space="0" w:color="000000"/>
              <w:bottom w:val="single" w:sz="6" w:space="0" w:color="000000"/>
              <w:right w:val="single" w:sz="8" w:space="0" w:color="000000"/>
            </w:tcBorders>
          </w:tcPr>
          <w:p w14:paraId="5064DA7C"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Cardiogenic shock </w:t>
            </w:r>
          </w:p>
        </w:tc>
        <w:tc>
          <w:tcPr>
            <w:tcW w:w="1800" w:type="dxa"/>
            <w:tcBorders>
              <w:top w:val="single" w:sz="6" w:space="0" w:color="000000"/>
              <w:left w:val="single" w:sz="6" w:space="0" w:color="000000"/>
              <w:bottom w:val="single" w:sz="6" w:space="0" w:color="000000"/>
            </w:tcBorders>
          </w:tcPr>
          <w:p w14:paraId="481E9951"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520 </w:t>
            </w:r>
          </w:p>
        </w:tc>
      </w:tr>
      <w:tr w:rsidR="00A8610C" w:rsidRPr="004D22AE" w14:paraId="0CCF359C"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093DAF27"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ST elevation MI (STEMI) </w:t>
            </w:r>
          </w:p>
        </w:tc>
        <w:tc>
          <w:tcPr>
            <w:tcW w:w="3601" w:type="dxa"/>
            <w:tcBorders>
              <w:top w:val="single" w:sz="6" w:space="0" w:color="000000"/>
              <w:left w:val="single" w:sz="6" w:space="0" w:color="000000"/>
              <w:bottom w:val="single" w:sz="6" w:space="0" w:color="000000"/>
              <w:right w:val="single" w:sz="6" w:space="0" w:color="000000"/>
            </w:tcBorders>
          </w:tcPr>
          <w:p w14:paraId="1E75138F"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Derived (550, 560, 812) </w:t>
            </w:r>
          </w:p>
        </w:tc>
        <w:tc>
          <w:tcPr>
            <w:tcW w:w="1800" w:type="dxa"/>
            <w:tcBorders>
              <w:top w:val="single" w:sz="6" w:space="0" w:color="000000"/>
              <w:left w:val="single" w:sz="8" w:space="0" w:color="000000"/>
              <w:bottom w:val="single" w:sz="6" w:space="0" w:color="000000"/>
              <w:right w:val="single" w:sz="8" w:space="0" w:color="000000"/>
            </w:tcBorders>
          </w:tcPr>
          <w:p w14:paraId="0C7C04C2"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STEMI </w:t>
            </w:r>
          </w:p>
        </w:tc>
      </w:tr>
      <w:tr w:rsidR="00A8610C" w:rsidRPr="004D22AE" w14:paraId="0DE2FF81"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04485ED1"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Symptoms present on admission </w:t>
            </w:r>
          </w:p>
        </w:tc>
        <w:tc>
          <w:tcPr>
            <w:tcW w:w="3601" w:type="dxa"/>
            <w:tcBorders>
              <w:top w:val="single" w:sz="6" w:space="0" w:color="000000"/>
              <w:left w:val="single" w:sz="6" w:space="0" w:color="000000"/>
              <w:bottom w:val="single" w:sz="6" w:space="0" w:color="000000"/>
              <w:right w:val="single" w:sz="6" w:space="0" w:color="000000"/>
            </w:tcBorders>
          </w:tcPr>
          <w:p w14:paraId="676A33CB"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Derived (550, 560) </w:t>
            </w:r>
          </w:p>
        </w:tc>
        <w:tc>
          <w:tcPr>
            <w:tcW w:w="1800" w:type="dxa"/>
            <w:tcBorders>
              <w:top w:val="single" w:sz="6" w:space="0" w:color="000000"/>
              <w:left w:val="single" w:sz="8" w:space="0" w:color="000000"/>
              <w:bottom w:val="single" w:sz="6" w:space="0" w:color="000000"/>
              <w:right w:val="single" w:sz="8" w:space="0" w:color="000000"/>
            </w:tcBorders>
          </w:tcPr>
          <w:p w14:paraId="7051D19A"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AdmSxPre </w:t>
            </w:r>
          </w:p>
        </w:tc>
      </w:tr>
      <w:tr w:rsidR="00A8610C" w:rsidRPr="004D22AE" w14:paraId="548B76C5" w14:textId="77777777" w:rsidTr="00EC3DA5">
        <w:trPr>
          <w:trHeight w:val="133"/>
        </w:trPr>
        <w:tc>
          <w:tcPr>
            <w:tcW w:w="8119" w:type="dxa"/>
            <w:gridSpan w:val="2"/>
            <w:tcBorders>
              <w:top w:val="single" w:sz="6" w:space="0" w:color="000000"/>
              <w:left w:val="single" w:sz="8" w:space="0" w:color="000000"/>
              <w:bottom w:val="single" w:sz="6" w:space="0" w:color="000000"/>
              <w:right w:val="single" w:sz="8" w:space="0" w:color="000000"/>
            </w:tcBorders>
          </w:tcPr>
          <w:p w14:paraId="5870A365" w14:textId="77777777" w:rsidR="00A8610C" w:rsidRPr="004D22AE" w:rsidRDefault="00A8610C" w:rsidP="00A8610C">
            <w:pPr>
              <w:widowControl w:val="0"/>
              <w:autoSpaceDE w:val="0"/>
              <w:autoSpaceDN w:val="0"/>
              <w:adjustRightInd w:val="0"/>
              <w:spacing w:after="0" w:line="240" w:lineRule="auto"/>
              <w:ind w:firstLine="200"/>
              <w:rPr>
                <w:rFonts w:cs="Arial"/>
                <w:color w:val="000000"/>
              </w:rPr>
            </w:pPr>
            <w:r w:rsidRPr="004D22AE">
              <w:rPr>
                <w:rFonts w:cs="Arial"/>
                <w:color w:val="000000"/>
              </w:rPr>
              <w:t xml:space="preserve">No MI </w:t>
            </w:r>
          </w:p>
        </w:tc>
        <w:tc>
          <w:tcPr>
            <w:tcW w:w="1800" w:type="dxa"/>
            <w:tcBorders>
              <w:top w:val="single" w:sz="6" w:space="0" w:color="000000"/>
              <w:left w:val="single" w:sz="8" w:space="0" w:color="000000"/>
              <w:bottom w:val="single" w:sz="6" w:space="0" w:color="000000"/>
              <w:right w:val="single" w:sz="8" w:space="0" w:color="000000"/>
            </w:tcBorders>
          </w:tcPr>
          <w:p w14:paraId="743947FC"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ADMSX1 </w:t>
            </w:r>
          </w:p>
        </w:tc>
      </w:tr>
      <w:tr w:rsidR="00A8610C" w:rsidRPr="004D22AE" w14:paraId="7B8F2E5A" w14:textId="77777777" w:rsidTr="00EC3DA5">
        <w:trPr>
          <w:trHeight w:val="133"/>
        </w:trPr>
        <w:tc>
          <w:tcPr>
            <w:tcW w:w="8119" w:type="dxa"/>
            <w:gridSpan w:val="2"/>
            <w:tcBorders>
              <w:top w:val="single" w:sz="6" w:space="0" w:color="000000"/>
              <w:left w:val="single" w:sz="8" w:space="0" w:color="000000"/>
              <w:bottom w:val="single" w:sz="6" w:space="0" w:color="000000"/>
              <w:right w:val="single" w:sz="8" w:space="0" w:color="000000"/>
            </w:tcBorders>
          </w:tcPr>
          <w:p w14:paraId="055856E3" w14:textId="77777777" w:rsidR="00A8610C" w:rsidRPr="004D22AE" w:rsidRDefault="00A8610C" w:rsidP="00A8610C">
            <w:pPr>
              <w:widowControl w:val="0"/>
              <w:autoSpaceDE w:val="0"/>
              <w:autoSpaceDN w:val="0"/>
              <w:adjustRightInd w:val="0"/>
              <w:spacing w:after="0" w:line="240" w:lineRule="auto"/>
              <w:ind w:firstLine="200"/>
              <w:rPr>
                <w:rFonts w:cs="Arial"/>
                <w:color w:val="000000"/>
              </w:rPr>
            </w:pPr>
            <w:r w:rsidRPr="004D22AE">
              <w:rPr>
                <w:rFonts w:cs="Arial"/>
                <w:color w:val="000000"/>
              </w:rPr>
              <w:t xml:space="preserve">MI within 24 hours </w:t>
            </w:r>
          </w:p>
        </w:tc>
        <w:tc>
          <w:tcPr>
            <w:tcW w:w="1800" w:type="dxa"/>
            <w:tcBorders>
              <w:top w:val="single" w:sz="6" w:space="0" w:color="000000"/>
              <w:left w:val="single" w:sz="6" w:space="0" w:color="000000"/>
              <w:bottom w:val="single" w:sz="6" w:space="0" w:color="000000"/>
            </w:tcBorders>
          </w:tcPr>
          <w:p w14:paraId="2909E47C"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Reference </w:t>
            </w:r>
          </w:p>
        </w:tc>
      </w:tr>
      <w:tr w:rsidR="00A8610C" w:rsidRPr="004D22AE" w14:paraId="69A60A79" w14:textId="77777777" w:rsidTr="00EC3DA5">
        <w:trPr>
          <w:trHeight w:val="133"/>
        </w:trPr>
        <w:tc>
          <w:tcPr>
            <w:tcW w:w="8119" w:type="dxa"/>
            <w:gridSpan w:val="2"/>
            <w:tcBorders>
              <w:top w:val="single" w:sz="6" w:space="0" w:color="000000"/>
              <w:left w:val="single" w:sz="8" w:space="0" w:color="000000"/>
              <w:bottom w:val="single" w:sz="6" w:space="0" w:color="000000"/>
              <w:right w:val="single" w:sz="8" w:space="0" w:color="000000"/>
            </w:tcBorders>
          </w:tcPr>
          <w:p w14:paraId="3EF23393" w14:textId="77777777" w:rsidR="00A8610C" w:rsidRPr="004D22AE" w:rsidRDefault="00A8610C" w:rsidP="009644C5">
            <w:pPr>
              <w:widowControl w:val="0"/>
              <w:autoSpaceDE w:val="0"/>
              <w:autoSpaceDN w:val="0"/>
              <w:adjustRightInd w:val="0"/>
              <w:spacing w:after="0" w:line="240" w:lineRule="auto"/>
              <w:ind w:firstLine="180"/>
              <w:rPr>
                <w:rFonts w:cs="Arial"/>
                <w:color w:val="000000"/>
              </w:rPr>
            </w:pPr>
            <w:r w:rsidRPr="004D22AE">
              <w:rPr>
                <w:rFonts w:cs="Arial"/>
                <w:color w:val="000000"/>
              </w:rPr>
              <w:t xml:space="preserve">MI after 24 hours </w:t>
            </w:r>
          </w:p>
        </w:tc>
        <w:tc>
          <w:tcPr>
            <w:tcW w:w="1800" w:type="dxa"/>
            <w:tcBorders>
              <w:top w:val="single" w:sz="6" w:space="0" w:color="000000"/>
              <w:left w:val="single" w:sz="8" w:space="0" w:color="000000"/>
              <w:bottom w:val="single" w:sz="6" w:space="0" w:color="000000"/>
              <w:right w:val="single" w:sz="8" w:space="0" w:color="000000"/>
            </w:tcBorders>
          </w:tcPr>
          <w:p w14:paraId="6CB1520F"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ADMSX3 </w:t>
            </w:r>
          </w:p>
        </w:tc>
      </w:tr>
      <w:tr w:rsidR="00A8610C" w:rsidRPr="004D22AE" w14:paraId="11F7B889" w14:textId="77777777" w:rsidTr="00EC3DA5">
        <w:trPr>
          <w:trHeight w:val="133"/>
        </w:trPr>
        <w:tc>
          <w:tcPr>
            <w:tcW w:w="9919" w:type="dxa"/>
            <w:gridSpan w:val="3"/>
            <w:tcBorders>
              <w:top w:val="single" w:sz="6" w:space="0" w:color="000000"/>
              <w:left w:val="single" w:sz="8" w:space="0" w:color="000000"/>
              <w:bottom w:val="single" w:sz="6" w:space="0" w:color="000000"/>
              <w:right w:val="single" w:sz="8" w:space="0" w:color="000000"/>
            </w:tcBorders>
          </w:tcPr>
          <w:p w14:paraId="21ECBC12"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Cath Lab Visit </w:t>
            </w:r>
          </w:p>
        </w:tc>
      </w:tr>
      <w:tr w:rsidR="00A8610C" w:rsidRPr="004D22AE" w14:paraId="57557111"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676F29DF"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Ejection Fraction (EF) Percentage </w:t>
            </w:r>
          </w:p>
        </w:tc>
        <w:tc>
          <w:tcPr>
            <w:tcW w:w="3601" w:type="dxa"/>
            <w:tcBorders>
              <w:top w:val="single" w:sz="6" w:space="0" w:color="000000"/>
              <w:left w:val="single" w:sz="6" w:space="0" w:color="000000"/>
              <w:bottom w:val="single" w:sz="6" w:space="0" w:color="000000"/>
              <w:right w:val="single" w:sz="6" w:space="0" w:color="000000"/>
            </w:tcBorders>
          </w:tcPr>
          <w:p w14:paraId="2EA64281"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Derived (654, 656) </w:t>
            </w:r>
          </w:p>
        </w:tc>
        <w:tc>
          <w:tcPr>
            <w:tcW w:w="1800" w:type="dxa"/>
            <w:tcBorders>
              <w:top w:val="single" w:sz="6" w:space="0" w:color="000000"/>
              <w:left w:val="single" w:sz="8" w:space="0" w:color="000000"/>
              <w:bottom w:val="single" w:sz="6" w:space="0" w:color="000000"/>
              <w:right w:val="single" w:sz="8" w:space="0" w:color="000000"/>
            </w:tcBorders>
          </w:tcPr>
          <w:p w14:paraId="3B521752"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HDEFGRP </w:t>
            </w:r>
          </w:p>
        </w:tc>
      </w:tr>
      <w:tr w:rsidR="00A8610C" w:rsidRPr="004D22AE" w14:paraId="6B84C80B" w14:textId="77777777" w:rsidTr="00EC3DA5">
        <w:trPr>
          <w:trHeight w:val="133"/>
        </w:trPr>
        <w:tc>
          <w:tcPr>
            <w:tcW w:w="8119" w:type="dxa"/>
            <w:gridSpan w:val="2"/>
            <w:tcBorders>
              <w:top w:val="single" w:sz="6" w:space="0" w:color="000000"/>
              <w:left w:val="single" w:sz="8" w:space="0" w:color="000000"/>
              <w:bottom w:val="single" w:sz="6" w:space="0" w:color="000000"/>
              <w:right w:val="single" w:sz="8" w:space="0" w:color="000000"/>
            </w:tcBorders>
          </w:tcPr>
          <w:p w14:paraId="03DF6F92" w14:textId="77777777" w:rsidR="00A8610C" w:rsidRPr="004D22AE" w:rsidRDefault="00A8610C" w:rsidP="00A8610C">
            <w:pPr>
              <w:widowControl w:val="0"/>
              <w:autoSpaceDE w:val="0"/>
              <w:autoSpaceDN w:val="0"/>
              <w:adjustRightInd w:val="0"/>
              <w:spacing w:after="0" w:line="240" w:lineRule="auto"/>
              <w:ind w:firstLine="200"/>
              <w:rPr>
                <w:rFonts w:cs="Arial"/>
                <w:color w:val="000000"/>
              </w:rPr>
            </w:pPr>
            <w:r w:rsidRPr="004D22AE">
              <w:rPr>
                <w:rFonts w:cs="Arial"/>
                <w:color w:val="000000"/>
              </w:rPr>
              <w:t xml:space="preserve">Not measured </w:t>
            </w:r>
          </w:p>
        </w:tc>
        <w:tc>
          <w:tcPr>
            <w:tcW w:w="1800" w:type="dxa"/>
            <w:tcBorders>
              <w:top w:val="single" w:sz="6" w:space="0" w:color="000000"/>
              <w:left w:val="single" w:sz="8" w:space="0" w:color="000000"/>
              <w:bottom w:val="single" w:sz="6" w:space="0" w:color="000000"/>
              <w:right w:val="single" w:sz="8" w:space="0" w:color="000000"/>
            </w:tcBorders>
          </w:tcPr>
          <w:p w14:paraId="2DC7F813"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HDEFGRP1 </w:t>
            </w:r>
          </w:p>
        </w:tc>
      </w:tr>
      <w:tr w:rsidR="00A8610C" w:rsidRPr="004D22AE" w14:paraId="3A0E19C1" w14:textId="77777777" w:rsidTr="00EC3DA5">
        <w:trPr>
          <w:trHeight w:val="133"/>
        </w:trPr>
        <w:tc>
          <w:tcPr>
            <w:tcW w:w="8119" w:type="dxa"/>
            <w:gridSpan w:val="2"/>
            <w:tcBorders>
              <w:top w:val="single" w:sz="6" w:space="0" w:color="000000"/>
              <w:left w:val="single" w:sz="8" w:space="0" w:color="000000"/>
              <w:bottom w:val="single" w:sz="6" w:space="0" w:color="000000"/>
              <w:right w:val="single" w:sz="8" w:space="0" w:color="000000"/>
            </w:tcBorders>
          </w:tcPr>
          <w:p w14:paraId="5FFB3159" w14:textId="77777777" w:rsidR="00A8610C" w:rsidRPr="004D22AE" w:rsidRDefault="00A8610C" w:rsidP="00A8610C">
            <w:pPr>
              <w:widowControl w:val="0"/>
              <w:autoSpaceDE w:val="0"/>
              <w:autoSpaceDN w:val="0"/>
              <w:adjustRightInd w:val="0"/>
              <w:spacing w:after="0" w:line="240" w:lineRule="auto"/>
              <w:ind w:firstLine="200"/>
              <w:rPr>
                <w:rFonts w:cs="Arial"/>
                <w:color w:val="000000"/>
              </w:rPr>
            </w:pPr>
            <w:r w:rsidRPr="004D22AE">
              <w:rPr>
                <w:rFonts w:cs="Arial"/>
                <w:color w:val="000000"/>
              </w:rPr>
              <w:t xml:space="preserve">EF&lt;30 </w:t>
            </w:r>
          </w:p>
        </w:tc>
        <w:tc>
          <w:tcPr>
            <w:tcW w:w="1800" w:type="dxa"/>
            <w:tcBorders>
              <w:top w:val="single" w:sz="6" w:space="0" w:color="000000"/>
              <w:left w:val="single" w:sz="8" w:space="0" w:color="000000"/>
              <w:bottom w:val="single" w:sz="6" w:space="0" w:color="000000"/>
              <w:right w:val="single" w:sz="8" w:space="0" w:color="000000"/>
            </w:tcBorders>
          </w:tcPr>
          <w:p w14:paraId="42A11E24"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HDEFGRP2 </w:t>
            </w:r>
          </w:p>
        </w:tc>
      </w:tr>
      <w:tr w:rsidR="00A8610C" w:rsidRPr="004D22AE" w14:paraId="0B91DDFB" w14:textId="77777777" w:rsidTr="00EC3DA5">
        <w:trPr>
          <w:trHeight w:val="133"/>
        </w:trPr>
        <w:tc>
          <w:tcPr>
            <w:tcW w:w="8119" w:type="dxa"/>
            <w:gridSpan w:val="2"/>
            <w:tcBorders>
              <w:top w:val="single" w:sz="6" w:space="0" w:color="000000"/>
              <w:left w:val="single" w:sz="8" w:space="0" w:color="000000"/>
              <w:bottom w:val="single" w:sz="6" w:space="0" w:color="000000"/>
              <w:right w:val="single" w:sz="8" w:space="0" w:color="000000"/>
            </w:tcBorders>
          </w:tcPr>
          <w:p w14:paraId="49FED050" w14:textId="77777777" w:rsidR="00A8610C" w:rsidRPr="004D22AE" w:rsidRDefault="00A8610C" w:rsidP="00A8610C">
            <w:pPr>
              <w:widowControl w:val="0"/>
              <w:autoSpaceDE w:val="0"/>
              <w:autoSpaceDN w:val="0"/>
              <w:adjustRightInd w:val="0"/>
              <w:spacing w:after="0" w:line="240" w:lineRule="auto"/>
              <w:ind w:firstLine="200"/>
              <w:rPr>
                <w:rFonts w:cs="Arial"/>
                <w:color w:val="000000"/>
              </w:rPr>
            </w:pPr>
            <w:r w:rsidRPr="004D22AE">
              <w:rPr>
                <w:rFonts w:cs="Arial"/>
                <w:color w:val="000000"/>
              </w:rPr>
              <w:t xml:space="preserve">30≤EF&lt;45 </w:t>
            </w:r>
          </w:p>
        </w:tc>
        <w:tc>
          <w:tcPr>
            <w:tcW w:w="1800" w:type="dxa"/>
            <w:tcBorders>
              <w:top w:val="single" w:sz="6" w:space="0" w:color="000000"/>
              <w:left w:val="single" w:sz="8" w:space="0" w:color="000000"/>
              <w:bottom w:val="single" w:sz="6" w:space="0" w:color="000000"/>
              <w:right w:val="single" w:sz="8" w:space="0" w:color="000000"/>
            </w:tcBorders>
          </w:tcPr>
          <w:p w14:paraId="4F8A66AD"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HDEFGRP3 </w:t>
            </w:r>
          </w:p>
        </w:tc>
      </w:tr>
      <w:tr w:rsidR="00A8610C" w:rsidRPr="004D22AE" w14:paraId="2436BC42" w14:textId="77777777" w:rsidTr="00EC3DA5">
        <w:trPr>
          <w:trHeight w:val="133"/>
        </w:trPr>
        <w:tc>
          <w:tcPr>
            <w:tcW w:w="8119" w:type="dxa"/>
            <w:gridSpan w:val="2"/>
            <w:tcBorders>
              <w:top w:val="single" w:sz="6" w:space="0" w:color="000000"/>
              <w:left w:val="single" w:sz="8" w:space="0" w:color="000000"/>
              <w:bottom w:val="single" w:sz="6" w:space="0" w:color="000000"/>
              <w:right w:val="single" w:sz="8" w:space="0" w:color="000000"/>
            </w:tcBorders>
          </w:tcPr>
          <w:p w14:paraId="75FDA592" w14:textId="77777777" w:rsidR="00A8610C" w:rsidRPr="004D22AE" w:rsidRDefault="00A8610C" w:rsidP="00A8610C">
            <w:pPr>
              <w:widowControl w:val="0"/>
              <w:autoSpaceDE w:val="0"/>
              <w:autoSpaceDN w:val="0"/>
              <w:adjustRightInd w:val="0"/>
              <w:spacing w:after="0" w:line="240" w:lineRule="auto"/>
              <w:ind w:firstLine="200"/>
              <w:rPr>
                <w:rFonts w:cs="Arial"/>
                <w:color w:val="000000"/>
              </w:rPr>
            </w:pPr>
            <w:r w:rsidRPr="004D22AE">
              <w:rPr>
                <w:rFonts w:cs="Arial"/>
                <w:color w:val="000000"/>
              </w:rPr>
              <w:t xml:space="preserve">EF≥45 </w:t>
            </w:r>
          </w:p>
        </w:tc>
        <w:tc>
          <w:tcPr>
            <w:tcW w:w="1800" w:type="dxa"/>
            <w:tcBorders>
              <w:top w:val="single" w:sz="6" w:space="0" w:color="000000"/>
              <w:left w:val="single" w:sz="6" w:space="0" w:color="000000"/>
              <w:bottom w:val="single" w:sz="6" w:space="0" w:color="000000"/>
            </w:tcBorders>
          </w:tcPr>
          <w:p w14:paraId="1EC5C582"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Reference </w:t>
            </w:r>
          </w:p>
        </w:tc>
      </w:tr>
      <w:tr w:rsidR="00A8610C" w:rsidRPr="004D22AE" w14:paraId="37C189D4" w14:textId="77777777" w:rsidTr="00EC3DA5">
        <w:trPr>
          <w:trHeight w:val="133"/>
        </w:trPr>
        <w:tc>
          <w:tcPr>
            <w:tcW w:w="4518" w:type="dxa"/>
            <w:tcBorders>
              <w:top w:val="single" w:sz="6" w:space="0" w:color="000000"/>
              <w:left w:val="single" w:sz="8" w:space="0" w:color="000000"/>
              <w:bottom w:val="single" w:sz="8" w:space="0" w:color="000000"/>
              <w:right w:val="single" w:sz="8" w:space="0" w:color="000000"/>
            </w:tcBorders>
          </w:tcPr>
          <w:p w14:paraId="62E0F402"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Left main disease </w:t>
            </w:r>
          </w:p>
        </w:tc>
        <w:tc>
          <w:tcPr>
            <w:tcW w:w="3601" w:type="dxa"/>
            <w:tcBorders>
              <w:top w:val="single" w:sz="6" w:space="0" w:color="000000"/>
              <w:left w:val="single" w:sz="6" w:space="0" w:color="000000"/>
              <w:bottom w:val="single" w:sz="8" w:space="0" w:color="000000"/>
              <w:right w:val="single" w:sz="6" w:space="0" w:color="000000"/>
            </w:tcBorders>
          </w:tcPr>
          <w:p w14:paraId="6AFDEE3B"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Derived (660, 661) </w:t>
            </w:r>
          </w:p>
        </w:tc>
        <w:tc>
          <w:tcPr>
            <w:tcW w:w="1800" w:type="dxa"/>
            <w:tcBorders>
              <w:top w:val="single" w:sz="6" w:space="0" w:color="000000"/>
              <w:left w:val="single" w:sz="8" w:space="0" w:color="000000"/>
              <w:bottom w:val="single" w:sz="8" w:space="0" w:color="000000"/>
              <w:right w:val="single" w:sz="8" w:space="0" w:color="000000"/>
            </w:tcBorders>
          </w:tcPr>
          <w:p w14:paraId="2AA930CA"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LMGT50 </w:t>
            </w:r>
          </w:p>
        </w:tc>
      </w:tr>
      <w:tr w:rsidR="00A8610C" w:rsidRPr="004D22AE" w14:paraId="045D98AB" w14:textId="77777777" w:rsidTr="00EC3DA5">
        <w:trPr>
          <w:trHeight w:val="133"/>
        </w:trPr>
        <w:tc>
          <w:tcPr>
            <w:tcW w:w="4518" w:type="dxa"/>
            <w:tcBorders>
              <w:top w:val="single" w:sz="6" w:space="0" w:color="000000"/>
              <w:left w:val="single" w:sz="8" w:space="0" w:color="000000"/>
              <w:bottom w:val="single" w:sz="8" w:space="0" w:color="000000"/>
              <w:right w:val="single" w:sz="8" w:space="0" w:color="000000"/>
            </w:tcBorders>
          </w:tcPr>
          <w:p w14:paraId="16D158B1"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Number of vessels with disease </w:t>
            </w:r>
          </w:p>
        </w:tc>
        <w:tc>
          <w:tcPr>
            <w:tcW w:w="3601" w:type="dxa"/>
            <w:tcBorders>
              <w:top w:val="single" w:sz="6" w:space="0" w:color="000000"/>
              <w:left w:val="single" w:sz="6" w:space="0" w:color="000000"/>
              <w:bottom w:val="single" w:sz="8" w:space="0" w:color="000000"/>
              <w:right w:val="single" w:sz="6" w:space="0" w:color="000000"/>
            </w:tcBorders>
          </w:tcPr>
          <w:p w14:paraId="78444D7F"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Derived (662 to 671) </w:t>
            </w:r>
          </w:p>
        </w:tc>
        <w:tc>
          <w:tcPr>
            <w:tcW w:w="1800" w:type="dxa"/>
            <w:tcBorders>
              <w:top w:val="single" w:sz="6" w:space="0" w:color="000000"/>
              <w:left w:val="single" w:sz="8" w:space="0" w:color="000000"/>
              <w:bottom w:val="single" w:sz="8" w:space="0" w:color="000000"/>
              <w:right w:val="single" w:sz="8" w:space="0" w:color="000000"/>
            </w:tcBorders>
          </w:tcPr>
          <w:p w14:paraId="6F5E011D"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VESSELD </w:t>
            </w:r>
          </w:p>
        </w:tc>
      </w:tr>
      <w:tr w:rsidR="00A8610C" w:rsidRPr="004D22AE" w14:paraId="37614B82"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15B69797" w14:textId="77777777" w:rsidR="00A8610C" w:rsidRPr="004D22AE" w:rsidRDefault="00A8610C" w:rsidP="00A8610C">
            <w:pPr>
              <w:widowControl w:val="0"/>
              <w:autoSpaceDE w:val="0"/>
              <w:autoSpaceDN w:val="0"/>
              <w:adjustRightInd w:val="0"/>
              <w:spacing w:after="0" w:line="240" w:lineRule="auto"/>
              <w:ind w:firstLine="400"/>
              <w:rPr>
                <w:rFonts w:cs="Arial"/>
                <w:color w:val="000000"/>
              </w:rPr>
            </w:pPr>
            <w:r w:rsidRPr="004D22AE">
              <w:rPr>
                <w:rFonts w:cs="Arial"/>
                <w:color w:val="000000"/>
              </w:rPr>
              <w:t xml:space="preserve">≤1 </w:t>
            </w:r>
          </w:p>
        </w:tc>
        <w:tc>
          <w:tcPr>
            <w:tcW w:w="5401" w:type="dxa"/>
            <w:gridSpan w:val="2"/>
            <w:tcBorders>
              <w:top w:val="single" w:sz="6" w:space="0" w:color="000000"/>
              <w:left w:val="single" w:sz="6" w:space="0" w:color="000000"/>
              <w:bottom w:val="single" w:sz="6" w:space="0" w:color="000000"/>
            </w:tcBorders>
          </w:tcPr>
          <w:p w14:paraId="18E22990"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Reference </w:t>
            </w:r>
          </w:p>
        </w:tc>
      </w:tr>
      <w:tr w:rsidR="00A8610C" w:rsidRPr="004D22AE" w14:paraId="7B8812E6"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2A9A9E08" w14:textId="77777777" w:rsidR="00A8610C" w:rsidRPr="004D22AE" w:rsidRDefault="00A8610C" w:rsidP="00A8610C">
            <w:pPr>
              <w:widowControl w:val="0"/>
              <w:autoSpaceDE w:val="0"/>
              <w:autoSpaceDN w:val="0"/>
              <w:adjustRightInd w:val="0"/>
              <w:spacing w:after="0" w:line="240" w:lineRule="auto"/>
              <w:ind w:firstLine="400"/>
              <w:rPr>
                <w:rFonts w:cs="Arial"/>
                <w:color w:val="000000"/>
              </w:rPr>
            </w:pPr>
            <w:r w:rsidRPr="004D22AE">
              <w:rPr>
                <w:rFonts w:cs="Arial"/>
                <w:color w:val="000000"/>
              </w:rPr>
              <w:t xml:space="preserve">2 </w:t>
            </w:r>
          </w:p>
        </w:tc>
        <w:tc>
          <w:tcPr>
            <w:tcW w:w="3601" w:type="dxa"/>
            <w:tcBorders>
              <w:top w:val="single" w:sz="6" w:space="0" w:color="000000"/>
              <w:left w:val="single" w:sz="6" w:space="0" w:color="000000"/>
              <w:bottom w:val="single" w:sz="6" w:space="0" w:color="000000"/>
              <w:right w:val="single" w:sz="6" w:space="0" w:color="000000"/>
            </w:tcBorders>
          </w:tcPr>
          <w:p w14:paraId="08AD70A7"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Derived </w:t>
            </w:r>
          </w:p>
        </w:tc>
        <w:tc>
          <w:tcPr>
            <w:tcW w:w="1800" w:type="dxa"/>
            <w:tcBorders>
              <w:top w:val="single" w:sz="6" w:space="0" w:color="000000"/>
              <w:left w:val="single" w:sz="8" w:space="0" w:color="000000"/>
              <w:bottom w:val="single" w:sz="6" w:space="0" w:color="000000"/>
              <w:right w:val="single" w:sz="8" w:space="0" w:color="000000"/>
            </w:tcBorders>
          </w:tcPr>
          <w:p w14:paraId="00C75EAF"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VESSELD2 </w:t>
            </w:r>
          </w:p>
        </w:tc>
      </w:tr>
      <w:tr w:rsidR="00A8610C" w:rsidRPr="004D22AE" w14:paraId="23501BBD" w14:textId="77777777" w:rsidTr="00EC3DA5">
        <w:trPr>
          <w:trHeight w:val="133"/>
        </w:trPr>
        <w:tc>
          <w:tcPr>
            <w:tcW w:w="4518" w:type="dxa"/>
            <w:tcBorders>
              <w:top w:val="single" w:sz="6" w:space="0" w:color="000000"/>
              <w:left w:val="single" w:sz="8" w:space="0" w:color="000000"/>
              <w:bottom w:val="single" w:sz="8" w:space="0" w:color="000000"/>
              <w:right w:val="single" w:sz="8" w:space="0" w:color="000000"/>
            </w:tcBorders>
          </w:tcPr>
          <w:p w14:paraId="2E49EBA8" w14:textId="77777777" w:rsidR="00A8610C" w:rsidRPr="004D22AE" w:rsidRDefault="00A8610C" w:rsidP="00A8610C">
            <w:pPr>
              <w:widowControl w:val="0"/>
              <w:autoSpaceDE w:val="0"/>
              <w:autoSpaceDN w:val="0"/>
              <w:adjustRightInd w:val="0"/>
              <w:spacing w:after="0" w:line="240" w:lineRule="auto"/>
              <w:ind w:firstLine="400"/>
              <w:rPr>
                <w:rFonts w:cs="Arial"/>
                <w:color w:val="000000"/>
              </w:rPr>
            </w:pPr>
            <w:r w:rsidRPr="004D22AE">
              <w:rPr>
                <w:rFonts w:cs="Arial"/>
                <w:color w:val="000000"/>
              </w:rPr>
              <w:t xml:space="preserve">3 </w:t>
            </w:r>
          </w:p>
        </w:tc>
        <w:tc>
          <w:tcPr>
            <w:tcW w:w="3601" w:type="dxa"/>
            <w:tcBorders>
              <w:top w:val="single" w:sz="6" w:space="0" w:color="000000"/>
              <w:left w:val="single" w:sz="6" w:space="0" w:color="000000"/>
              <w:bottom w:val="single" w:sz="8" w:space="0" w:color="000000"/>
              <w:right w:val="single" w:sz="6" w:space="0" w:color="000000"/>
            </w:tcBorders>
          </w:tcPr>
          <w:p w14:paraId="64E252D6"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Derived </w:t>
            </w:r>
          </w:p>
        </w:tc>
        <w:tc>
          <w:tcPr>
            <w:tcW w:w="1800" w:type="dxa"/>
            <w:tcBorders>
              <w:top w:val="single" w:sz="6" w:space="0" w:color="000000"/>
              <w:left w:val="single" w:sz="8" w:space="0" w:color="000000"/>
              <w:bottom w:val="single" w:sz="8" w:space="0" w:color="000000"/>
              <w:right w:val="single" w:sz="8" w:space="0" w:color="000000"/>
            </w:tcBorders>
          </w:tcPr>
          <w:p w14:paraId="5990CE88"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VESSELD3 </w:t>
            </w:r>
          </w:p>
        </w:tc>
      </w:tr>
      <w:tr w:rsidR="00A8610C" w:rsidRPr="004D22AE" w14:paraId="13F08309" w14:textId="77777777" w:rsidTr="00EC3DA5">
        <w:trPr>
          <w:trHeight w:val="133"/>
        </w:trPr>
        <w:tc>
          <w:tcPr>
            <w:tcW w:w="9919" w:type="dxa"/>
            <w:gridSpan w:val="3"/>
            <w:tcBorders>
              <w:top w:val="single" w:sz="8" w:space="0" w:color="000000"/>
              <w:left w:val="single" w:sz="8" w:space="0" w:color="000000"/>
              <w:bottom w:val="single" w:sz="8" w:space="0" w:color="000000"/>
              <w:right w:val="single" w:sz="8" w:space="0" w:color="000000"/>
            </w:tcBorders>
          </w:tcPr>
          <w:p w14:paraId="5344DD74" w14:textId="77777777" w:rsidR="00A8610C" w:rsidRPr="009644C5" w:rsidRDefault="00A8610C" w:rsidP="00A8610C">
            <w:pPr>
              <w:widowControl w:val="0"/>
              <w:autoSpaceDE w:val="0"/>
              <w:autoSpaceDN w:val="0"/>
              <w:adjustRightInd w:val="0"/>
              <w:spacing w:after="0" w:line="240" w:lineRule="auto"/>
              <w:rPr>
                <w:rFonts w:cs="Arial"/>
                <w:b/>
                <w:color w:val="000000"/>
              </w:rPr>
            </w:pPr>
            <w:r w:rsidRPr="009644C5">
              <w:rPr>
                <w:rFonts w:cs="Arial"/>
                <w:b/>
                <w:color w:val="000000"/>
              </w:rPr>
              <w:t xml:space="preserve">PCI Procedure </w:t>
            </w:r>
          </w:p>
        </w:tc>
      </w:tr>
      <w:tr w:rsidR="00A8610C" w:rsidRPr="004D22AE" w14:paraId="25BBFD2C" w14:textId="77777777" w:rsidTr="00EC3DA5">
        <w:trPr>
          <w:trHeight w:val="133"/>
        </w:trPr>
        <w:tc>
          <w:tcPr>
            <w:tcW w:w="4518" w:type="dxa"/>
            <w:tcBorders>
              <w:top w:val="single" w:sz="8" w:space="0" w:color="000000"/>
              <w:left w:val="single" w:sz="8" w:space="0" w:color="000000"/>
              <w:bottom w:val="single" w:sz="6" w:space="0" w:color="000000"/>
              <w:right w:val="single" w:sz="8" w:space="0" w:color="000000"/>
            </w:tcBorders>
          </w:tcPr>
          <w:p w14:paraId="0CDFA639"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lastRenderedPageBreak/>
              <w:t xml:space="preserve">PCI status </w:t>
            </w:r>
          </w:p>
        </w:tc>
        <w:tc>
          <w:tcPr>
            <w:tcW w:w="3601" w:type="dxa"/>
            <w:tcBorders>
              <w:top w:val="single" w:sz="8" w:space="0" w:color="000000"/>
              <w:left w:val="single" w:sz="6" w:space="0" w:color="000000"/>
              <w:bottom w:val="single" w:sz="6" w:space="0" w:color="000000"/>
              <w:right w:val="single" w:sz="6" w:space="0" w:color="000000"/>
            </w:tcBorders>
          </w:tcPr>
          <w:p w14:paraId="7AF883CA"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804 </w:t>
            </w:r>
          </w:p>
        </w:tc>
        <w:tc>
          <w:tcPr>
            <w:tcW w:w="1800" w:type="dxa"/>
            <w:tcBorders>
              <w:top w:val="single" w:sz="8" w:space="0" w:color="000000"/>
              <w:left w:val="single" w:sz="8" w:space="0" w:color="000000"/>
              <w:bottom w:val="single" w:sz="6" w:space="0" w:color="000000"/>
              <w:right w:val="single" w:sz="8" w:space="0" w:color="000000"/>
            </w:tcBorders>
          </w:tcPr>
          <w:p w14:paraId="2AE4C73B"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PCIStat </w:t>
            </w:r>
          </w:p>
        </w:tc>
      </w:tr>
      <w:tr w:rsidR="00A8610C" w:rsidRPr="004D22AE" w14:paraId="4D359B66"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37EC598D" w14:textId="77777777" w:rsidR="00A8610C" w:rsidRPr="004D22AE" w:rsidRDefault="00A8610C" w:rsidP="009644C5">
            <w:pPr>
              <w:widowControl w:val="0"/>
              <w:autoSpaceDE w:val="0"/>
              <w:autoSpaceDN w:val="0"/>
              <w:adjustRightInd w:val="0"/>
              <w:spacing w:after="0" w:line="240" w:lineRule="auto"/>
              <w:ind w:firstLine="450"/>
              <w:rPr>
                <w:rFonts w:cs="Arial"/>
                <w:color w:val="000000"/>
              </w:rPr>
            </w:pPr>
            <w:r w:rsidRPr="004D22AE">
              <w:rPr>
                <w:rFonts w:cs="Arial"/>
                <w:color w:val="000000"/>
              </w:rPr>
              <w:t xml:space="preserve">Elective </w:t>
            </w:r>
          </w:p>
        </w:tc>
        <w:tc>
          <w:tcPr>
            <w:tcW w:w="5401" w:type="dxa"/>
            <w:gridSpan w:val="2"/>
            <w:tcBorders>
              <w:top w:val="single" w:sz="6" w:space="0" w:color="000000"/>
              <w:left w:val="single" w:sz="6" w:space="0" w:color="000000"/>
              <w:bottom w:val="single" w:sz="6" w:space="0" w:color="000000"/>
            </w:tcBorders>
          </w:tcPr>
          <w:p w14:paraId="01344487"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Reference </w:t>
            </w:r>
          </w:p>
        </w:tc>
      </w:tr>
      <w:tr w:rsidR="00A8610C" w:rsidRPr="004D22AE" w14:paraId="3B06DDA6"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1C978647" w14:textId="77777777" w:rsidR="00A8610C" w:rsidRPr="004D22AE" w:rsidRDefault="00A8610C" w:rsidP="009644C5">
            <w:pPr>
              <w:widowControl w:val="0"/>
              <w:autoSpaceDE w:val="0"/>
              <w:autoSpaceDN w:val="0"/>
              <w:adjustRightInd w:val="0"/>
              <w:spacing w:after="0" w:line="240" w:lineRule="auto"/>
              <w:ind w:firstLine="450"/>
              <w:rPr>
                <w:rFonts w:cs="Arial"/>
                <w:color w:val="000000"/>
              </w:rPr>
            </w:pPr>
            <w:r w:rsidRPr="004D22AE">
              <w:rPr>
                <w:rFonts w:cs="Arial"/>
                <w:color w:val="000000"/>
              </w:rPr>
              <w:t xml:space="preserve">Urgent </w:t>
            </w:r>
          </w:p>
        </w:tc>
        <w:tc>
          <w:tcPr>
            <w:tcW w:w="3601" w:type="dxa"/>
            <w:tcBorders>
              <w:top w:val="single" w:sz="6" w:space="0" w:color="000000"/>
              <w:left w:val="single" w:sz="6" w:space="0" w:color="000000"/>
              <w:bottom w:val="single" w:sz="6" w:space="0" w:color="000000"/>
              <w:right w:val="single" w:sz="6" w:space="0" w:color="000000"/>
            </w:tcBorders>
          </w:tcPr>
          <w:p w14:paraId="7C071826"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Derived </w:t>
            </w:r>
          </w:p>
        </w:tc>
        <w:tc>
          <w:tcPr>
            <w:tcW w:w="1800" w:type="dxa"/>
            <w:tcBorders>
              <w:top w:val="single" w:sz="6" w:space="0" w:color="000000"/>
              <w:left w:val="single" w:sz="8" w:space="0" w:color="000000"/>
              <w:bottom w:val="single" w:sz="6" w:space="0" w:color="000000"/>
              <w:right w:val="single" w:sz="8" w:space="0" w:color="000000"/>
            </w:tcBorders>
          </w:tcPr>
          <w:p w14:paraId="37365926"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PCIS2 </w:t>
            </w:r>
          </w:p>
        </w:tc>
      </w:tr>
      <w:tr w:rsidR="00A8610C" w:rsidRPr="004D22AE" w14:paraId="6B5271A5"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1171F0CA" w14:textId="77777777" w:rsidR="00A8610C" w:rsidRPr="004D22AE" w:rsidRDefault="00A8610C" w:rsidP="009644C5">
            <w:pPr>
              <w:widowControl w:val="0"/>
              <w:autoSpaceDE w:val="0"/>
              <w:autoSpaceDN w:val="0"/>
              <w:adjustRightInd w:val="0"/>
              <w:spacing w:after="0" w:line="240" w:lineRule="auto"/>
              <w:ind w:firstLine="450"/>
              <w:rPr>
                <w:rFonts w:cs="Arial"/>
                <w:color w:val="000000"/>
              </w:rPr>
            </w:pPr>
            <w:r w:rsidRPr="004D22AE">
              <w:rPr>
                <w:rFonts w:cs="Arial"/>
                <w:color w:val="000000"/>
              </w:rPr>
              <w:t xml:space="preserve">Emergency </w:t>
            </w:r>
          </w:p>
        </w:tc>
        <w:tc>
          <w:tcPr>
            <w:tcW w:w="3601" w:type="dxa"/>
            <w:tcBorders>
              <w:top w:val="single" w:sz="6" w:space="0" w:color="000000"/>
              <w:left w:val="single" w:sz="6" w:space="0" w:color="000000"/>
              <w:bottom w:val="single" w:sz="6" w:space="0" w:color="000000"/>
              <w:right w:val="single" w:sz="6" w:space="0" w:color="000000"/>
            </w:tcBorders>
          </w:tcPr>
          <w:p w14:paraId="5B2F33CC"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Derived </w:t>
            </w:r>
          </w:p>
        </w:tc>
        <w:tc>
          <w:tcPr>
            <w:tcW w:w="1800" w:type="dxa"/>
            <w:tcBorders>
              <w:top w:val="single" w:sz="6" w:space="0" w:color="000000"/>
              <w:left w:val="single" w:sz="8" w:space="0" w:color="000000"/>
              <w:bottom w:val="single" w:sz="6" w:space="0" w:color="000000"/>
              <w:right w:val="single" w:sz="8" w:space="0" w:color="000000"/>
            </w:tcBorders>
          </w:tcPr>
          <w:p w14:paraId="3CE2FEB6"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PCIS3 </w:t>
            </w:r>
          </w:p>
        </w:tc>
      </w:tr>
      <w:tr w:rsidR="00A8610C" w:rsidRPr="004D22AE" w14:paraId="7D4F3035"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54DEA580" w14:textId="77777777" w:rsidR="00A8610C" w:rsidRPr="004D22AE" w:rsidRDefault="00A8610C" w:rsidP="009644C5">
            <w:pPr>
              <w:widowControl w:val="0"/>
              <w:autoSpaceDE w:val="0"/>
              <w:autoSpaceDN w:val="0"/>
              <w:adjustRightInd w:val="0"/>
              <w:spacing w:after="0" w:line="240" w:lineRule="auto"/>
              <w:ind w:firstLine="450"/>
              <w:rPr>
                <w:rFonts w:cs="Arial"/>
                <w:color w:val="000000"/>
              </w:rPr>
            </w:pPr>
            <w:r w:rsidRPr="004D22AE">
              <w:rPr>
                <w:rFonts w:cs="Arial"/>
                <w:color w:val="000000"/>
              </w:rPr>
              <w:t xml:space="preserve">Salvage </w:t>
            </w:r>
          </w:p>
        </w:tc>
        <w:tc>
          <w:tcPr>
            <w:tcW w:w="3601" w:type="dxa"/>
            <w:tcBorders>
              <w:top w:val="single" w:sz="6" w:space="0" w:color="000000"/>
              <w:left w:val="single" w:sz="6" w:space="0" w:color="000000"/>
              <w:bottom w:val="single" w:sz="6" w:space="0" w:color="000000"/>
              <w:right w:val="single" w:sz="6" w:space="0" w:color="000000"/>
            </w:tcBorders>
          </w:tcPr>
          <w:p w14:paraId="7C800254"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Derived </w:t>
            </w:r>
          </w:p>
        </w:tc>
        <w:tc>
          <w:tcPr>
            <w:tcW w:w="1800" w:type="dxa"/>
            <w:tcBorders>
              <w:top w:val="single" w:sz="6" w:space="0" w:color="000000"/>
              <w:left w:val="single" w:sz="8" w:space="0" w:color="000000"/>
              <w:bottom w:val="single" w:sz="6" w:space="0" w:color="000000"/>
              <w:right w:val="single" w:sz="8" w:space="0" w:color="000000"/>
            </w:tcBorders>
          </w:tcPr>
          <w:p w14:paraId="55E640C2"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PCIS4 </w:t>
            </w:r>
          </w:p>
        </w:tc>
      </w:tr>
      <w:tr w:rsidR="00A8610C" w:rsidRPr="004D22AE" w14:paraId="48A4A6CC"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61F96A5F"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Highest Lesion location </w:t>
            </w:r>
          </w:p>
        </w:tc>
        <w:tc>
          <w:tcPr>
            <w:tcW w:w="3601" w:type="dxa"/>
            <w:tcBorders>
              <w:top w:val="single" w:sz="6" w:space="0" w:color="000000"/>
              <w:left w:val="single" w:sz="6" w:space="0" w:color="000000"/>
              <w:bottom w:val="single" w:sz="6" w:space="0" w:color="000000"/>
              <w:right w:val="single" w:sz="6" w:space="0" w:color="000000"/>
            </w:tcBorders>
          </w:tcPr>
          <w:p w14:paraId="3872A7F0"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Derived (900, 902) </w:t>
            </w:r>
          </w:p>
        </w:tc>
        <w:tc>
          <w:tcPr>
            <w:tcW w:w="1800" w:type="dxa"/>
            <w:tcBorders>
              <w:top w:val="single" w:sz="6" w:space="0" w:color="000000"/>
              <w:left w:val="single" w:sz="8" w:space="0" w:color="000000"/>
              <w:bottom w:val="single" w:sz="6" w:space="0" w:color="000000"/>
              <w:right w:val="single" w:sz="8" w:space="0" w:color="000000"/>
            </w:tcBorders>
          </w:tcPr>
          <w:p w14:paraId="21A16B78"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NLESLOC </w:t>
            </w:r>
          </w:p>
        </w:tc>
      </w:tr>
      <w:tr w:rsidR="00A8610C" w:rsidRPr="004D22AE" w14:paraId="2A6E0909"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6F9FAF88" w14:textId="77777777" w:rsidR="00A8610C" w:rsidRPr="004D22AE" w:rsidRDefault="00A8610C" w:rsidP="009644C5">
            <w:pPr>
              <w:widowControl w:val="0"/>
              <w:autoSpaceDE w:val="0"/>
              <w:autoSpaceDN w:val="0"/>
              <w:adjustRightInd w:val="0"/>
              <w:spacing w:after="0" w:line="240" w:lineRule="auto"/>
              <w:ind w:firstLine="450"/>
              <w:rPr>
                <w:rFonts w:cs="Arial"/>
                <w:color w:val="000000"/>
              </w:rPr>
            </w:pPr>
            <w:r w:rsidRPr="004D22AE">
              <w:rPr>
                <w:rFonts w:cs="Arial"/>
                <w:color w:val="000000"/>
              </w:rPr>
              <w:t xml:space="preserve">pRCA/mLAD/pCIRC </w:t>
            </w:r>
          </w:p>
        </w:tc>
        <w:tc>
          <w:tcPr>
            <w:tcW w:w="3601" w:type="dxa"/>
            <w:tcBorders>
              <w:top w:val="single" w:sz="6" w:space="0" w:color="000000"/>
              <w:left w:val="single" w:sz="6" w:space="0" w:color="000000"/>
              <w:bottom w:val="single" w:sz="6" w:space="0" w:color="000000"/>
              <w:right w:val="single" w:sz="6" w:space="0" w:color="000000"/>
            </w:tcBorders>
          </w:tcPr>
          <w:p w14:paraId="5C1DE2ED"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Derived </w:t>
            </w:r>
          </w:p>
        </w:tc>
        <w:tc>
          <w:tcPr>
            <w:tcW w:w="1800" w:type="dxa"/>
            <w:tcBorders>
              <w:top w:val="single" w:sz="6" w:space="0" w:color="000000"/>
              <w:left w:val="single" w:sz="8" w:space="0" w:color="000000"/>
              <w:bottom w:val="single" w:sz="6" w:space="0" w:color="000000"/>
              <w:right w:val="single" w:sz="8" w:space="0" w:color="000000"/>
            </w:tcBorders>
          </w:tcPr>
          <w:p w14:paraId="019774F2"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NLESLOC1 </w:t>
            </w:r>
          </w:p>
        </w:tc>
      </w:tr>
      <w:tr w:rsidR="00A8610C" w:rsidRPr="004D22AE" w14:paraId="5706D837"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5A5D5CAF" w14:textId="77777777" w:rsidR="00A8610C" w:rsidRPr="004D22AE" w:rsidRDefault="00A8610C" w:rsidP="009644C5">
            <w:pPr>
              <w:widowControl w:val="0"/>
              <w:autoSpaceDE w:val="0"/>
              <w:autoSpaceDN w:val="0"/>
              <w:adjustRightInd w:val="0"/>
              <w:spacing w:after="0" w:line="240" w:lineRule="auto"/>
              <w:ind w:firstLine="450"/>
              <w:rPr>
                <w:rFonts w:cs="Arial"/>
                <w:color w:val="000000"/>
              </w:rPr>
            </w:pPr>
            <w:r w:rsidRPr="004D22AE">
              <w:rPr>
                <w:rFonts w:cs="Arial"/>
                <w:color w:val="000000"/>
              </w:rPr>
              <w:t xml:space="preserve">pLAD </w:t>
            </w:r>
          </w:p>
        </w:tc>
        <w:tc>
          <w:tcPr>
            <w:tcW w:w="3601" w:type="dxa"/>
            <w:tcBorders>
              <w:top w:val="single" w:sz="6" w:space="0" w:color="000000"/>
              <w:left w:val="single" w:sz="6" w:space="0" w:color="000000"/>
              <w:bottom w:val="single" w:sz="6" w:space="0" w:color="000000"/>
              <w:right w:val="single" w:sz="6" w:space="0" w:color="000000"/>
            </w:tcBorders>
          </w:tcPr>
          <w:p w14:paraId="4AB996AE"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Derived </w:t>
            </w:r>
          </w:p>
        </w:tc>
        <w:tc>
          <w:tcPr>
            <w:tcW w:w="1800" w:type="dxa"/>
            <w:tcBorders>
              <w:top w:val="single" w:sz="6" w:space="0" w:color="000000"/>
              <w:left w:val="single" w:sz="8" w:space="0" w:color="000000"/>
              <w:bottom w:val="single" w:sz="6" w:space="0" w:color="000000"/>
              <w:right w:val="single" w:sz="8" w:space="0" w:color="000000"/>
            </w:tcBorders>
          </w:tcPr>
          <w:p w14:paraId="4CD65EFC"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NLESLOC2 </w:t>
            </w:r>
          </w:p>
        </w:tc>
      </w:tr>
      <w:tr w:rsidR="00A8610C" w:rsidRPr="004D22AE" w14:paraId="7E008819"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3CA19AAF" w14:textId="77777777" w:rsidR="00A8610C" w:rsidRPr="004D22AE" w:rsidRDefault="00A8610C" w:rsidP="009644C5">
            <w:pPr>
              <w:widowControl w:val="0"/>
              <w:autoSpaceDE w:val="0"/>
              <w:autoSpaceDN w:val="0"/>
              <w:adjustRightInd w:val="0"/>
              <w:spacing w:after="0" w:line="240" w:lineRule="auto"/>
              <w:ind w:firstLine="450"/>
              <w:rPr>
                <w:rFonts w:cs="Arial"/>
                <w:color w:val="000000"/>
              </w:rPr>
            </w:pPr>
            <w:r w:rsidRPr="004D22AE">
              <w:rPr>
                <w:rFonts w:cs="Arial"/>
                <w:color w:val="000000"/>
              </w:rPr>
              <w:t xml:space="preserve">Left main </w:t>
            </w:r>
          </w:p>
        </w:tc>
        <w:tc>
          <w:tcPr>
            <w:tcW w:w="3601" w:type="dxa"/>
            <w:tcBorders>
              <w:top w:val="single" w:sz="6" w:space="0" w:color="000000"/>
              <w:left w:val="single" w:sz="6" w:space="0" w:color="000000"/>
              <w:bottom w:val="single" w:sz="6" w:space="0" w:color="000000"/>
              <w:right w:val="single" w:sz="6" w:space="0" w:color="000000"/>
            </w:tcBorders>
          </w:tcPr>
          <w:p w14:paraId="1EB80A36"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Derived </w:t>
            </w:r>
          </w:p>
        </w:tc>
        <w:tc>
          <w:tcPr>
            <w:tcW w:w="1800" w:type="dxa"/>
            <w:tcBorders>
              <w:top w:val="single" w:sz="6" w:space="0" w:color="000000"/>
              <w:left w:val="single" w:sz="8" w:space="0" w:color="000000"/>
              <w:bottom w:val="single" w:sz="6" w:space="0" w:color="000000"/>
              <w:right w:val="single" w:sz="8" w:space="0" w:color="000000"/>
            </w:tcBorders>
          </w:tcPr>
          <w:p w14:paraId="156C7CE8"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NLESLOC3 </w:t>
            </w:r>
          </w:p>
        </w:tc>
      </w:tr>
      <w:tr w:rsidR="00A8610C" w:rsidRPr="004D22AE" w14:paraId="234F8A3A"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757233A5" w14:textId="77777777" w:rsidR="00A8610C" w:rsidRPr="004D22AE" w:rsidRDefault="00A8610C" w:rsidP="009644C5">
            <w:pPr>
              <w:widowControl w:val="0"/>
              <w:autoSpaceDE w:val="0"/>
              <w:autoSpaceDN w:val="0"/>
              <w:adjustRightInd w:val="0"/>
              <w:spacing w:after="0" w:line="240" w:lineRule="auto"/>
              <w:ind w:firstLine="450"/>
              <w:rPr>
                <w:rFonts w:cs="Arial"/>
                <w:color w:val="000000"/>
              </w:rPr>
            </w:pPr>
            <w:r w:rsidRPr="004D22AE">
              <w:rPr>
                <w:rFonts w:cs="Arial"/>
                <w:color w:val="000000"/>
              </w:rPr>
              <w:t xml:space="preserve">Other </w:t>
            </w:r>
          </w:p>
        </w:tc>
        <w:tc>
          <w:tcPr>
            <w:tcW w:w="5401" w:type="dxa"/>
            <w:gridSpan w:val="2"/>
            <w:tcBorders>
              <w:top w:val="single" w:sz="6" w:space="0" w:color="000000"/>
              <w:left w:val="single" w:sz="6" w:space="0" w:color="000000"/>
              <w:bottom w:val="single" w:sz="6" w:space="0" w:color="000000"/>
            </w:tcBorders>
          </w:tcPr>
          <w:p w14:paraId="393437DA"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Derived </w:t>
            </w:r>
          </w:p>
        </w:tc>
      </w:tr>
      <w:tr w:rsidR="00A8610C" w:rsidRPr="004D22AE" w14:paraId="53D1DF3A" w14:textId="77777777" w:rsidTr="00EC3DA5">
        <w:trPr>
          <w:trHeight w:val="142"/>
        </w:trPr>
        <w:tc>
          <w:tcPr>
            <w:tcW w:w="4518" w:type="dxa"/>
            <w:tcBorders>
              <w:top w:val="single" w:sz="6" w:space="0" w:color="000000"/>
              <w:left w:val="single" w:sz="8" w:space="0" w:color="000000"/>
              <w:bottom w:val="single" w:sz="6" w:space="0" w:color="000000"/>
              <w:right w:val="single" w:sz="8" w:space="0" w:color="000000"/>
            </w:tcBorders>
          </w:tcPr>
          <w:p w14:paraId="3D76995B"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Highest pre-procedure TIMI</w:t>
            </w:r>
            <w:r w:rsidRPr="004D22AE">
              <w:rPr>
                <w:rFonts w:ascii="Cambria Math" w:hAnsi="Cambria Math" w:cs="Cambria Math"/>
                <w:color w:val="000000"/>
              </w:rPr>
              <w:t>∗∗</w:t>
            </w:r>
            <w:r w:rsidRPr="004D22AE">
              <w:rPr>
                <w:rFonts w:cs="Arial"/>
                <w:color w:val="000000"/>
              </w:rPr>
              <w:t xml:space="preserve">flow: none </w:t>
            </w:r>
          </w:p>
        </w:tc>
        <w:tc>
          <w:tcPr>
            <w:tcW w:w="3601" w:type="dxa"/>
            <w:tcBorders>
              <w:top w:val="single" w:sz="6" w:space="0" w:color="000000"/>
              <w:left w:val="single" w:sz="6" w:space="0" w:color="000000"/>
              <w:bottom w:val="single" w:sz="6" w:space="0" w:color="000000"/>
              <w:right w:val="single" w:sz="6" w:space="0" w:color="000000"/>
            </w:tcBorders>
          </w:tcPr>
          <w:p w14:paraId="09E5FA13"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920 </w:t>
            </w:r>
          </w:p>
        </w:tc>
        <w:tc>
          <w:tcPr>
            <w:tcW w:w="1800" w:type="dxa"/>
            <w:tcBorders>
              <w:top w:val="single" w:sz="6" w:space="0" w:color="000000"/>
              <w:left w:val="single" w:sz="8" w:space="0" w:color="000000"/>
              <w:bottom w:val="single" w:sz="6" w:space="0" w:color="000000"/>
              <w:right w:val="single" w:sz="8" w:space="0" w:color="000000"/>
            </w:tcBorders>
          </w:tcPr>
          <w:p w14:paraId="56B75F5A"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NPRETIMI </w:t>
            </w:r>
          </w:p>
        </w:tc>
      </w:tr>
      <w:tr w:rsidR="00A8610C" w:rsidRPr="004D22AE" w14:paraId="428CF697" w14:textId="77777777" w:rsidTr="00EC3DA5">
        <w:trPr>
          <w:trHeight w:val="142"/>
        </w:trPr>
        <w:tc>
          <w:tcPr>
            <w:tcW w:w="4518" w:type="dxa"/>
            <w:tcBorders>
              <w:top w:val="single" w:sz="6" w:space="0" w:color="000000"/>
              <w:left w:val="single" w:sz="8" w:space="0" w:color="000000"/>
              <w:bottom w:val="single" w:sz="6" w:space="0" w:color="000000"/>
              <w:right w:val="single" w:sz="8" w:space="0" w:color="000000"/>
            </w:tcBorders>
          </w:tcPr>
          <w:p w14:paraId="356DA49D" w14:textId="77777777" w:rsidR="00A8610C" w:rsidRPr="004D22AE" w:rsidRDefault="00A8610C" w:rsidP="009644C5">
            <w:pPr>
              <w:widowControl w:val="0"/>
              <w:autoSpaceDE w:val="0"/>
              <w:autoSpaceDN w:val="0"/>
              <w:adjustRightInd w:val="0"/>
              <w:spacing w:after="0" w:line="240" w:lineRule="auto"/>
              <w:ind w:firstLine="450"/>
              <w:rPr>
                <w:rFonts w:cs="Arial"/>
                <w:color w:val="000000"/>
              </w:rPr>
            </w:pPr>
            <w:r w:rsidRPr="004D22AE">
              <w:rPr>
                <w:rFonts w:cs="Arial"/>
                <w:color w:val="000000"/>
              </w:rPr>
              <w:t>Highest risk lesion: SCAI</w:t>
            </w:r>
            <w:r w:rsidRPr="004D22AE">
              <w:rPr>
                <w:rFonts w:ascii="Cambria Math" w:hAnsi="Cambria Math" w:cs="Cambria Math"/>
                <w:color w:val="000000"/>
              </w:rPr>
              <w:t>∗∗∗</w:t>
            </w:r>
            <w:r w:rsidRPr="004D22AE">
              <w:rPr>
                <w:rFonts w:cs="Arial"/>
                <w:color w:val="000000"/>
              </w:rPr>
              <w:t xml:space="preserve"> _lesion class </w:t>
            </w:r>
          </w:p>
        </w:tc>
        <w:tc>
          <w:tcPr>
            <w:tcW w:w="3601" w:type="dxa"/>
            <w:tcBorders>
              <w:top w:val="single" w:sz="6" w:space="0" w:color="000000"/>
              <w:left w:val="single" w:sz="6" w:space="0" w:color="000000"/>
              <w:bottom w:val="single" w:sz="6" w:space="0" w:color="000000"/>
              <w:right w:val="single" w:sz="6" w:space="0" w:color="000000"/>
            </w:tcBorders>
          </w:tcPr>
          <w:p w14:paraId="4A50EE21"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Derived (910, 950) </w:t>
            </w:r>
          </w:p>
        </w:tc>
        <w:tc>
          <w:tcPr>
            <w:tcW w:w="1800" w:type="dxa"/>
            <w:tcBorders>
              <w:top w:val="single" w:sz="6" w:space="0" w:color="000000"/>
              <w:left w:val="single" w:sz="8" w:space="0" w:color="000000"/>
              <w:bottom w:val="single" w:sz="6" w:space="0" w:color="000000"/>
              <w:right w:val="single" w:sz="8" w:space="0" w:color="000000"/>
            </w:tcBorders>
          </w:tcPr>
          <w:p w14:paraId="1DCC52B0"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NSCAILC </w:t>
            </w:r>
          </w:p>
        </w:tc>
      </w:tr>
      <w:tr w:rsidR="00A8610C" w:rsidRPr="004D22AE" w14:paraId="7A6FA2CC"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34DCD1BA" w14:textId="77777777" w:rsidR="00A8610C" w:rsidRPr="004D22AE" w:rsidRDefault="00A8610C" w:rsidP="009644C5">
            <w:pPr>
              <w:widowControl w:val="0"/>
              <w:autoSpaceDE w:val="0"/>
              <w:autoSpaceDN w:val="0"/>
              <w:adjustRightInd w:val="0"/>
              <w:spacing w:after="0" w:line="240" w:lineRule="auto"/>
              <w:ind w:firstLine="450"/>
              <w:rPr>
                <w:rFonts w:cs="Arial"/>
                <w:color w:val="000000"/>
              </w:rPr>
            </w:pPr>
            <w:r w:rsidRPr="004D22AE">
              <w:rPr>
                <w:rFonts w:cs="Arial"/>
                <w:color w:val="000000"/>
              </w:rPr>
              <w:t xml:space="preserve">I </w:t>
            </w:r>
          </w:p>
        </w:tc>
        <w:tc>
          <w:tcPr>
            <w:tcW w:w="5401" w:type="dxa"/>
            <w:gridSpan w:val="2"/>
            <w:tcBorders>
              <w:top w:val="single" w:sz="6" w:space="0" w:color="000000"/>
              <w:left w:val="single" w:sz="6" w:space="0" w:color="000000"/>
              <w:bottom w:val="single" w:sz="6" w:space="0" w:color="000000"/>
            </w:tcBorders>
          </w:tcPr>
          <w:p w14:paraId="1666A25E"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Reference </w:t>
            </w:r>
          </w:p>
        </w:tc>
      </w:tr>
      <w:tr w:rsidR="00A8610C" w:rsidRPr="004D22AE" w14:paraId="69AB6D27"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27C56439" w14:textId="77777777" w:rsidR="00A8610C" w:rsidRPr="004D22AE" w:rsidRDefault="00A8610C" w:rsidP="009644C5">
            <w:pPr>
              <w:widowControl w:val="0"/>
              <w:autoSpaceDE w:val="0"/>
              <w:autoSpaceDN w:val="0"/>
              <w:adjustRightInd w:val="0"/>
              <w:spacing w:after="0" w:line="240" w:lineRule="auto"/>
              <w:ind w:firstLine="450"/>
              <w:rPr>
                <w:rFonts w:cs="Arial"/>
                <w:color w:val="000000"/>
              </w:rPr>
            </w:pPr>
            <w:r w:rsidRPr="004D22AE">
              <w:rPr>
                <w:rFonts w:cs="Arial"/>
                <w:color w:val="000000"/>
              </w:rPr>
              <w:t xml:space="preserve">II </w:t>
            </w:r>
          </w:p>
        </w:tc>
        <w:tc>
          <w:tcPr>
            <w:tcW w:w="3601" w:type="dxa"/>
            <w:tcBorders>
              <w:top w:val="single" w:sz="6" w:space="0" w:color="000000"/>
              <w:left w:val="single" w:sz="6" w:space="0" w:color="000000"/>
              <w:bottom w:val="single" w:sz="6" w:space="0" w:color="000000"/>
              <w:right w:val="single" w:sz="6" w:space="0" w:color="000000"/>
            </w:tcBorders>
          </w:tcPr>
          <w:p w14:paraId="5AA298C6"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Derived </w:t>
            </w:r>
          </w:p>
        </w:tc>
        <w:tc>
          <w:tcPr>
            <w:tcW w:w="1800" w:type="dxa"/>
            <w:tcBorders>
              <w:top w:val="single" w:sz="6" w:space="0" w:color="000000"/>
              <w:left w:val="single" w:sz="8" w:space="0" w:color="000000"/>
              <w:bottom w:val="single" w:sz="6" w:space="0" w:color="000000"/>
              <w:right w:val="single" w:sz="8" w:space="0" w:color="000000"/>
            </w:tcBorders>
          </w:tcPr>
          <w:p w14:paraId="2ACBDB5E"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NSCAILC2 </w:t>
            </w:r>
          </w:p>
        </w:tc>
      </w:tr>
      <w:tr w:rsidR="00A8610C" w:rsidRPr="004D22AE" w14:paraId="52096C4C" w14:textId="77777777" w:rsidTr="00EC3DA5">
        <w:trPr>
          <w:trHeight w:val="133"/>
        </w:trPr>
        <w:tc>
          <w:tcPr>
            <w:tcW w:w="4518" w:type="dxa"/>
            <w:tcBorders>
              <w:top w:val="single" w:sz="6" w:space="0" w:color="000000"/>
              <w:left w:val="single" w:sz="8" w:space="0" w:color="000000"/>
              <w:bottom w:val="single" w:sz="6" w:space="0" w:color="000000"/>
              <w:right w:val="single" w:sz="8" w:space="0" w:color="000000"/>
            </w:tcBorders>
          </w:tcPr>
          <w:p w14:paraId="7087605C" w14:textId="77777777" w:rsidR="00A8610C" w:rsidRPr="004D22AE" w:rsidRDefault="00A8610C" w:rsidP="009644C5">
            <w:pPr>
              <w:widowControl w:val="0"/>
              <w:autoSpaceDE w:val="0"/>
              <w:autoSpaceDN w:val="0"/>
              <w:adjustRightInd w:val="0"/>
              <w:spacing w:after="0" w:line="240" w:lineRule="auto"/>
              <w:ind w:firstLine="450"/>
              <w:rPr>
                <w:rFonts w:cs="Arial"/>
                <w:color w:val="000000"/>
              </w:rPr>
            </w:pPr>
            <w:r w:rsidRPr="004D22AE">
              <w:rPr>
                <w:rFonts w:cs="Arial"/>
                <w:color w:val="000000"/>
              </w:rPr>
              <w:t xml:space="preserve">III </w:t>
            </w:r>
          </w:p>
        </w:tc>
        <w:tc>
          <w:tcPr>
            <w:tcW w:w="3601" w:type="dxa"/>
            <w:tcBorders>
              <w:top w:val="single" w:sz="6" w:space="0" w:color="000000"/>
              <w:left w:val="single" w:sz="6" w:space="0" w:color="000000"/>
              <w:bottom w:val="single" w:sz="6" w:space="0" w:color="000000"/>
              <w:right w:val="single" w:sz="6" w:space="0" w:color="000000"/>
            </w:tcBorders>
          </w:tcPr>
          <w:p w14:paraId="1488988B"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Derived </w:t>
            </w:r>
          </w:p>
        </w:tc>
        <w:tc>
          <w:tcPr>
            <w:tcW w:w="1800" w:type="dxa"/>
            <w:tcBorders>
              <w:top w:val="single" w:sz="6" w:space="0" w:color="000000"/>
              <w:left w:val="single" w:sz="8" w:space="0" w:color="000000"/>
              <w:bottom w:val="single" w:sz="6" w:space="0" w:color="000000"/>
              <w:right w:val="single" w:sz="8" w:space="0" w:color="000000"/>
            </w:tcBorders>
          </w:tcPr>
          <w:p w14:paraId="5750CE5B" w14:textId="77777777" w:rsidR="00A8610C" w:rsidRPr="004D22AE" w:rsidRDefault="00A8610C" w:rsidP="00A8610C">
            <w:pPr>
              <w:widowControl w:val="0"/>
              <w:autoSpaceDE w:val="0"/>
              <w:autoSpaceDN w:val="0"/>
              <w:adjustRightInd w:val="0"/>
              <w:spacing w:after="0" w:line="240" w:lineRule="auto"/>
              <w:rPr>
                <w:rFonts w:cs="Arial"/>
                <w:color w:val="000000"/>
              </w:rPr>
            </w:pPr>
            <w:r w:rsidRPr="004D22AE">
              <w:rPr>
                <w:rFonts w:cs="Arial"/>
                <w:color w:val="000000"/>
              </w:rPr>
              <w:t xml:space="preserve">NSCAILC3 </w:t>
            </w:r>
          </w:p>
        </w:tc>
      </w:tr>
    </w:tbl>
    <w:p w14:paraId="4E8C8762" w14:textId="77777777" w:rsidR="00A8610C" w:rsidRDefault="00A8610C" w:rsidP="00A8610C">
      <w:pPr>
        <w:autoSpaceDE w:val="0"/>
        <w:autoSpaceDN w:val="0"/>
        <w:adjustRightInd w:val="0"/>
        <w:spacing w:after="0" w:line="240" w:lineRule="auto"/>
        <w:rPr>
          <w:rFonts w:cstheme="minorHAnsi"/>
          <w:b/>
          <w:bCs/>
        </w:rPr>
      </w:pPr>
    </w:p>
    <w:p w14:paraId="2806DFCA" w14:textId="0EE66E53" w:rsidR="004D22AE" w:rsidRDefault="004D22AE" w:rsidP="00EC3DA5">
      <w:pPr>
        <w:pStyle w:val="Caption"/>
        <w:spacing w:after="0"/>
      </w:pPr>
      <w:bookmarkStart w:id="16" w:name="_Ref379201779"/>
      <w:r>
        <w:t xml:space="preserve">Table </w:t>
      </w:r>
      <w:fldSimple w:instr=" SEQ Table \* ARABIC ">
        <w:r w:rsidR="00EC3DA5">
          <w:rPr>
            <w:noProof/>
          </w:rPr>
          <w:t>5</w:t>
        </w:r>
      </w:fldSimple>
      <w:bookmarkEnd w:id="16"/>
      <w:r>
        <w:t xml:space="preserve">. </w:t>
      </w:r>
      <w:r>
        <w:rPr>
          <w:b w:val="0"/>
        </w:rPr>
        <w:t>PCI Readmission Final Model Variables</w:t>
      </w:r>
    </w:p>
    <w:tbl>
      <w:tblPr>
        <w:tblW w:w="6678" w:type="dxa"/>
        <w:tblInd w:w="180"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3798"/>
        <w:gridCol w:w="2880"/>
      </w:tblGrid>
      <w:tr w:rsidR="00653D4A" w:rsidRPr="00890CE3" w14:paraId="513D3DF9" w14:textId="77777777" w:rsidTr="003B704C">
        <w:trPr>
          <w:cantSplit/>
          <w:trHeight w:val="138"/>
          <w:tblHeader/>
        </w:trPr>
        <w:tc>
          <w:tcPr>
            <w:tcW w:w="3798" w:type="dxa"/>
            <w:tcBorders>
              <w:top w:val="single" w:sz="8" w:space="0" w:color="000000"/>
              <w:bottom w:val="single" w:sz="6" w:space="0" w:color="000000"/>
              <w:right w:val="single" w:sz="8" w:space="0" w:color="000000"/>
            </w:tcBorders>
            <w:shd w:val="clear" w:color="auto" w:fill="D9D9D9" w:themeFill="background1" w:themeFillShade="D9"/>
          </w:tcPr>
          <w:p w14:paraId="6BB20CB0" w14:textId="289DA1EB" w:rsidR="00653D4A" w:rsidRDefault="009644C5" w:rsidP="00455259">
            <w:pPr>
              <w:autoSpaceDE w:val="0"/>
              <w:autoSpaceDN w:val="0"/>
              <w:adjustRightInd w:val="0"/>
              <w:spacing w:after="0" w:line="240" w:lineRule="auto"/>
              <w:rPr>
                <w:rFonts w:cs="Arial"/>
                <w:b/>
                <w:bCs/>
                <w:color w:val="000000"/>
              </w:rPr>
            </w:pPr>
            <w:r>
              <w:rPr>
                <w:rFonts w:cs="Arial"/>
                <w:b/>
                <w:bCs/>
                <w:color w:val="000000"/>
              </w:rPr>
              <w:t>Description</w:t>
            </w:r>
          </w:p>
          <w:p w14:paraId="7866128C" w14:textId="42597017" w:rsidR="009644C5" w:rsidRPr="009644C5" w:rsidRDefault="009644C5" w:rsidP="00455259">
            <w:pPr>
              <w:autoSpaceDE w:val="0"/>
              <w:autoSpaceDN w:val="0"/>
              <w:adjustRightInd w:val="0"/>
              <w:spacing w:after="0" w:line="240" w:lineRule="auto"/>
              <w:rPr>
                <w:rFonts w:cs="Arial"/>
                <w:color w:val="000000"/>
              </w:rPr>
            </w:pPr>
            <w:r>
              <w:rPr>
                <w:rFonts w:cs="Arial"/>
                <w:bCs/>
                <w:color w:val="000000"/>
              </w:rPr>
              <w:t>(n) Variable</w:t>
            </w:r>
          </w:p>
        </w:tc>
        <w:tc>
          <w:tcPr>
            <w:tcW w:w="2880" w:type="dxa"/>
            <w:tcBorders>
              <w:top w:val="single" w:sz="8" w:space="0" w:color="000000"/>
              <w:left w:val="single" w:sz="8" w:space="0" w:color="000000"/>
              <w:bottom w:val="single" w:sz="6" w:space="0" w:color="000000"/>
            </w:tcBorders>
            <w:shd w:val="clear" w:color="auto" w:fill="D9D9D9" w:themeFill="background1" w:themeFillShade="D9"/>
          </w:tcPr>
          <w:p w14:paraId="7EE278B2" w14:textId="77777777" w:rsidR="00653D4A" w:rsidRPr="00420217" w:rsidRDefault="00653D4A" w:rsidP="00455259">
            <w:pPr>
              <w:autoSpaceDE w:val="0"/>
              <w:autoSpaceDN w:val="0"/>
              <w:adjustRightInd w:val="0"/>
              <w:spacing w:after="0" w:line="240" w:lineRule="auto"/>
              <w:rPr>
                <w:rFonts w:cs="Arial"/>
                <w:b/>
                <w:color w:val="000000"/>
              </w:rPr>
            </w:pPr>
            <w:r w:rsidRPr="00890CE3">
              <w:rPr>
                <w:rFonts w:cs="Arial"/>
                <w:b/>
                <w:color w:val="000000"/>
              </w:rPr>
              <w:t>Code</w:t>
            </w:r>
          </w:p>
        </w:tc>
      </w:tr>
      <w:tr w:rsidR="009644C5" w:rsidRPr="00420217" w14:paraId="2B199E80" w14:textId="77777777" w:rsidTr="00A53708">
        <w:trPr>
          <w:trHeight w:val="133"/>
        </w:trPr>
        <w:tc>
          <w:tcPr>
            <w:tcW w:w="6678" w:type="dxa"/>
            <w:gridSpan w:val="2"/>
            <w:tcBorders>
              <w:top w:val="single" w:sz="6" w:space="0" w:color="000000"/>
              <w:bottom w:val="single" w:sz="6" w:space="0" w:color="000000"/>
            </w:tcBorders>
          </w:tcPr>
          <w:p w14:paraId="5CD9D051" w14:textId="5BD9C970" w:rsidR="009644C5" w:rsidRPr="009644C5" w:rsidRDefault="009644C5" w:rsidP="009644C5">
            <w:pPr>
              <w:autoSpaceDE w:val="0"/>
              <w:autoSpaceDN w:val="0"/>
              <w:adjustRightInd w:val="0"/>
              <w:spacing w:after="0" w:line="240" w:lineRule="auto"/>
              <w:jc w:val="both"/>
              <w:rPr>
                <w:rFonts w:cs="Arial"/>
                <w:b/>
                <w:color w:val="000000"/>
              </w:rPr>
            </w:pPr>
            <w:r>
              <w:rPr>
                <w:rFonts w:cs="Arial"/>
                <w:b/>
                <w:color w:val="000000"/>
              </w:rPr>
              <w:t>Demographic</w:t>
            </w:r>
          </w:p>
        </w:tc>
      </w:tr>
      <w:tr w:rsidR="00653D4A" w:rsidRPr="00420217" w14:paraId="34009B2C" w14:textId="77777777" w:rsidTr="003B704C">
        <w:trPr>
          <w:trHeight w:val="133"/>
        </w:trPr>
        <w:tc>
          <w:tcPr>
            <w:tcW w:w="3798" w:type="dxa"/>
            <w:tcBorders>
              <w:top w:val="single" w:sz="6" w:space="0" w:color="000000"/>
              <w:bottom w:val="single" w:sz="6" w:space="0" w:color="000000"/>
              <w:right w:val="single" w:sz="8" w:space="0" w:color="000000"/>
            </w:tcBorders>
          </w:tcPr>
          <w:p w14:paraId="357F564B" w14:textId="06827E2E" w:rsidR="00653D4A" w:rsidRPr="00E779E1" w:rsidRDefault="00653D4A" w:rsidP="00E779E1">
            <w:pPr>
              <w:pStyle w:val="ListParagraph"/>
              <w:numPr>
                <w:ilvl w:val="0"/>
                <w:numId w:val="29"/>
              </w:numPr>
              <w:autoSpaceDE w:val="0"/>
              <w:autoSpaceDN w:val="0"/>
              <w:adjustRightInd w:val="0"/>
              <w:spacing w:after="0" w:line="240" w:lineRule="auto"/>
              <w:rPr>
                <w:rFonts w:cs="Arial"/>
                <w:color w:val="000000"/>
              </w:rPr>
            </w:pPr>
            <w:r w:rsidRPr="00E779E1">
              <w:rPr>
                <w:rFonts w:cs="Arial"/>
                <w:color w:val="000000"/>
              </w:rPr>
              <w:t xml:space="preserve">Age </w:t>
            </w:r>
          </w:p>
        </w:tc>
        <w:tc>
          <w:tcPr>
            <w:tcW w:w="2880" w:type="dxa"/>
            <w:tcBorders>
              <w:top w:val="single" w:sz="6" w:space="0" w:color="000000"/>
              <w:left w:val="single" w:sz="8" w:space="0" w:color="000000"/>
              <w:bottom w:val="single" w:sz="6" w:space="0" w:color="000000"/>
            </w:tcBorders>
          </w:tcPr>
          <w:p w14:paraId="711E571B"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Age </w:t>
            </w:r>
          </w:p>
        </w:tc>
      </w:tr>
      <w:tr w:rsidR="00653D4A" w:rsidRPr="00420217" w14:paraId="0D50C084" w14:textId="77777777" w:rsidTr="003B704C">
        <w:trPr>
          <w:trHeight w:val="133"/>
        </w:trPr>
        <w:tc>
          <w:tcPr>
            <w:tcW w:w="3798" w:type="dxa"/>
            <w:tcBorders>
              <w:top w:val="single" w:sz="6" w:space="0" w:color="000000"/>
              <w:bottom w:val="single" w:sz="8" w:space="0" w:color="000000"/>
              <w:right w:val="single" w:sz="8" w:space="0" w:color="000000"/>
            </w:tcBorders>
          </w:tcPr>
          <w:p w14:paraId="164DC446" w14:textId="5E5DC659" w:rsidR="00653D4A" w:rsidRPr="00420217" w:rsidRDefault="00E779E1" w:rsidP="00455259">
            <w:pPr>
              <w:autoSpaceDE w:val="0"/>
              <w:autoSpaceDN w:val="0"/>
              <w:adjustRightInd w:val="0"/>
              <w:spacing w:after="0" w:line="240" w:lineRule="auto"/>
              <w:ind w:firstLine="180"/>
              <w:rPr>
                <w:rFonts w:cs="Arial"/>
                <w:color w:val="000000"/>
              </w:rPr>
            </w:pPr>
            <w:r>
              <w:rPr>
                <w:rFonts w:cs="Arial"/>
                <w:color w:val="000000"/>
              </w:rPr>
              <w:t xml:space="preserve">(2) </w:t>
            </w:r>
            <w:r w:rsidR="00653D4A" w:rsidRPr="00420217">
              <w:rPr>
                <w:rFonts w:cs="Arial"/>
                <w:color w:val="000000"/>
              </w:rPr>
              <w:t xml:space="preserve">Female </w:t>
            </w:r>
          </w:p>
        </w:tc>
        <w:tc>
          <w:tcPr>
            <w:tcW w:w="2880" w:type="dxa"/>
            <w:tcBorders>
              <w:top w:val="single" w:sz="6" w:space="0" w:color="000000"/>
              <w:left w:val="single" w:sz="8" w:space="0" w:color="000000"/>
              <w:bottom w:val="single" w:sz="8" w:space="0" w:color="000000"/>
            </w:tcBorders>
          </w:tcPr>
          <w:p w14:paraId="406F6A60"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FEMALE </w:t>
            </w:r>
          </w:p>
        </w:tc>
      </w:tr>
      <w:tr w:rsidR="00653D4A" w:rsidRPr="00420217" w14:paraId="1B2A52F0" w14:textId="77777777" w:rsidTr="003B704C">
        <w:trPr>
          <w:trHeight w:val="138"/>
        </w:trPr>
        <w:tc>
          <w:tcPr>
            <w:tcW w:w="6678" w:type="dxa"/>
            <w:gridSpan w:val="2"/>
            <w:tcBorders>
              <w:top w:val="single" w:sz="8" w:space="0" w:color="000000"/>
              <w:bottom w:val="single" w:sz="6" w:space="0" w:color="000000"/>
            </w:tcBorders>
          </w:tcPr>
          <w:p w14:paraId="6DF6410C"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b/>
                <w:bCs/>
                <w:color w:val="000000"/>
              </w:rPr>
              <w:t xml:space="preserve">History and Risk Factors </w:t>
            </w:r>
          </w:p>
        </w:tc>
      </w:tr>
      <w:tr w:rsidR="00653D4A" w:rsidRPr="00420217" w14:paraId="4C699811" w14:textId="77777777" w:rsidTr="003B704C">
        <w:trPr>
          <w:trHeight w:val="133"/>
        </w:trPr>
        <w:tc>
          <w:tcPr>
            <w:tcW w:w="3798" w:type="dxa"/>
            <w:tcBorders>
              <w:top w:val="single" w:sz="6" w:space="0" w:color="000000"/>
              <w:bottom w:val="single" w:sz="8" w:space="0" w:color="000000"/>
              <w:right w:val="single" w:sz="8" w:space="0" w:color="000000"/>
            </w:tcBorders>
          </w:tcPr>
          <w:p w14:paraId="41BC721E" w14:textId="4E8F1B66" w:rsidR="00653D4A" w:rsidRPr="00420217" w:rsidRDefault="00E779E1" w:rsidP="00455259">
            <w:pPr>
              <w:autoSpaceDE w:val="0"/>
              <w:autoSpaceDN w:val="0"/>
              <w:adjustRightInd w:val="0"/>
              <w:spacing w:after="0" w:line="240" w:lineRule="auto"/>
              <w:ind w:firstLine="180"/>
              <w:rPr>
                <w:rFonts w:cs="Arial"/>
                <w:color w:val="000000"/>
              </w:rPr>
            </w:pPr>
            <w:r>
              <w:rPr>
                <w:rFonts w:cs="Arial"/>
                <w:color w:val="000000"/>
              </w:rPr>
              <w:t xml:space="preserve">(3) </w:t>
            </w:r>
            <w:r w:rsidR="00653D4A" w:rsidRPr="00420217">
              <w:rPr>
                <w:rFonts w:cs="Arial"/>
                <w:color w:val="000000"/>
              </w:rPr>
              <w:t xml:space="preserve">Body Mass Index </w:t>
            </w:r>
          </w:p>
        </w:tc>
        <w:tc>
          <w:tcPr>
            <w:tcW w:w="2880" w:type="dxa"/>
            <w:tcBorders>
              <w:top w:val="single" w:sz="6" w:space="0" w:color="000000"/>
              <w:left w:val="single" w:sz="8" w:space="0" w:color="000000"/>
              <w:bottom w:val="single" w:sz="8" w:space="0" w:color="000000"/>
            </w:tcBorders>
          </w:tcPr>
          <w:p w14:paraId="7572B3D3"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BMI </w:t>
            </w:r>
          </w:p>
        </w:tc>
      </w:tr>
      <w:tr w:rsidR="00653D4A" w:rsidRPr="00420217" w14:paraId="64BE5575" w14:textId="77777777" w:rsidTr="003B704C">
        <w:trPr>
          <w:trHeight w:val="133"/>
        </w:trPr>
        <w:tc>
          <w:tcPr>
            <w:tcW w:w="3798" w:type="dxa"/>
            <w:tcBorders>
              <w:top w:val="single" w:sz="8" w:space="0" w:color="000000"/>
              <w:bottom w:val="single" w:sz="8" w:space="0" w:color="000000"/>
              <w:right w:val="single" w:sz="8" w:space="0" w:color="000000"/>
            </w:tcBorders>
          </w:tcPr>
          <w:p w14:paraId="09FBAC1B" w14:textId="170F9DC5" w:rsidR="00653D4A" w:rsidRPr="00420217" w:rsidRDefault="00E779E1" w:rsidP="00E779E1">
            <w:pPr>
              <w:autoSpaceDE w:val="0"/>
              <w:autoSpaceDN w:val="0"/>
              <w:adjustRightInd w:val="0"/>
              <w:spacing w:after="0" w:line="240" w:lineRule="auto"/>
              <w:ind w:firstLine="180"/>
              <w:rPr>
                <w:rFonts w:cs="Arial"/>
                <w:color w:val="000000"/>
              </w:rPr>
            </w:pPr>
            <w:r>
              <w:rPr>
                <w:rFonts w:cs="Arial"/>
                <w:color w:val="000000"/>
              </w:rPr>
              <w:t xml:space="preserve">(4) </w:t>
            </w:r>
            <w:r w:rsidR="00653D4A" w:rsidRPr="00420217">
              <w:rPr>
                <w:rFonts w:cs="Arial"/>
                <w:color w:val="000000"/>
              </w:rPr>
              <w:t xml:space="preserve">Heart failure-previous history </w:t>
            </w:r>
          </w:p>
        </w:tc>
        <w:tc>
          <w:tcPr>
            <w:tcW w:w="2880" w:type="dxa"/>
            <w:tcBorders>
              <w:top w:val="single" w:sz="8" w:space="0" w:color="000000"/>
              <w:left w:val="single" w:sz="8" w:space="0" w:color="000000"/>
              <w:bottom w:val="single" w:sz="8" w:space="0" w:color="000000"/>
            </w:tcBorders>
          </w:tcPr>
          <w:p w14:paraId="170638D1"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PRCHF </w:t>
            </w:r>
          </w:p>
        </w:tc>
      </w:tr>
      <w:tr w:rsidR="00653D4A" w:rsidRPr="00420217" w14:paraId="79295131" w14:textId="77777777" w:rsidTr="003B704C">
        <w:trPr>
          <w:trHeight w:val="133"/>
        </w:trPr>
        <w:tc>
          <w:tcPr>
            <w:tcW w:w="3798" w:type="dxa"/>
            <w:tcBorders>
              <w:top w:val="single" w:sz="8" w:space="0" w:color="000000"/>
              <w:bottom w:val="single" w:sz="8" w:space="0" w:color="000000"/>
              <w:right w:val="single" w:sz="8" w:space="0" w:color="000000"/>
            </w:tcBorders>
          </w:tcPr>
          <w:p w14:paraId="74E157CC" w14:textId="4E5F5C94" w:rsidR="00653D4A" w:rsidRPr="00420217" w:rsidRDefault="00E779E1" w:rsidP="00455259">
            <w:pPr>
              <w:autoSpaceDE w:val="0"/>
              <w:autoSpaceDN w:val="0"/>
              <w:adjustRightInd w:val="0"/>
              <w:spacing w:after="0" w:line="240" w:lineRule="auto"/>
              <w:ind w:firstLine="180"/>
              <w:rPr>
                <w:rFonts w:cs="Arial"/>
                <w:color w:val="000000"/>
              </w:rPr>
            </w:pPr>
            <w:r>
              <w:rPr>
                <w:rFonts w:cs="Arial"/>
                <w:color w:val="000000"/>
              </w:rPr>
              <w:t xml:space="preserve">(5) </w:t>
            </w:r>
            <w:r w:rsidR="00653D4A" w:rsidRPr="00420217">
              <w:rPr>
                <w:rFonts w:cs="Arial"/>
                <w:color w:val="000000"/>
              </w:rPr>
              <w:t xml:space="preserve">Previous valvular surgery </w:t>
            </w:r>
          </w:p>
        </w:tc>
        <w:tc>
          <w:tcPr>
            <w:tcW w:w="2880" w:type="dxa"/>
            <w:tcBorders>
              <w:top w:val="single" w:sz="8" w:space="0" w:color="000000"/>
              <w:left w:val="single" w:sz="8" w:space="0" w:color="000000"/>
              <w:bottom w:val="single" w:sz="8" w:space="0" w:color="000000"/>
            </w:tcBorders>
          </w:tcPr>
          <w:p w14:paraId="03F21557"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PRVALVE </w:t>
            </w:r>
          </w:p>
        </w:tc>
      </w:tr>
      <w:tr w:rsidR="00653D4A" w:rsidRPr="00420217" w14:paraId="558B56E0" w14:textId="77777777" w:rsidTr="003B704C">
        <w:trPr>
          <w:trHeight w:val="133"/>
        </w:trPr>
        <w:tc>
          <w:tcPr>
            <w:tcW w:w="3798" w:type="dxa"/>
            <w:tcBorders>
              <w:top w:val="single" w:sz="8" w:space="0" w:color="000000"/>
              <w:bottom w:val="single" w:sz="8" w:space="0" w:color="000000"/>
              <w:right w:val="single" w:sz="8" w:space="0" w:color="000000"/>
            </w:tcBorders>
          </w:tcPr>
          <w:p w14:paraId="411CB38C" w14:textId="6FEAAC0E" w:rsidR="00653D4A" w:rsidRPr="00420217" w:rsidRDefault="00E779E1" w:rsidP="00455259">
            <w:pPr>
              <w:autoSpaceDE w:val="0"/>
              <w:autoSpaceDN w:val="0"/>
              <w:adjustRightInd w:val="0"/>
              <w:spacing w:after="0" w:line="240" w:lineRule="auto"/>
              <w:ind w:firstLine="180"/>
              <w:rPr>
                <w:rFonts w:cs="Arial"/>
                <w:color w:val="000000"/>
              </w:rPr>
            </w:pPr>
            <w:r>
              <w:rPr>
                <w:rFonts w:cs="Arial"/>
                <w:color w:val="000000"/>
              </w:rPr>
              <w:t xml:space="preserve">(6) </w:t>
            </w:r>
            <w:r w:rsidR="00653D4A" w:rsidRPr="00420217">
              <w:rPr>
                <w:rFonts w:cs="Arial"/>
                <w:color w:val="000000"/>
              </w:rPr>
              <w:t xml:space="preserve">Cerebrovascular Disease </w:t>
            </w:r>
          </w:p>
        </w:tc>
        <w:tc>
          <w:tcPr>
            <w:tcW w:w="2880" w:type="dxa"/>
            <w:tcBorders>
              <w:top w:val="single" w:sz="8" w:space="0" w:color="000000"/>
              <w:left w:val="single" w:sz="8" w:space="0" w:color="000000"/>
              <w:bottom w:val="single" w:sz="8" w:space="0" w:color="000000"/>
            </w:tcBorders>
          </w:tcPr>
          <w:p w14:paraId="0520C752"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CVD </w:t>
            </w:r>
          </w:p>
        </w:tc>
      </w:tr>
      <w:tr w:rsidR="00653D4A" w:rsidRPr="00420217" w14:paraId="1587DC78" w14:textId="77777777" w:rsidTr="003B704C">
        <w:trPr>
          <w:trHeight w:val="133"/>
        </w:trPr>
        <w:tc>
          <w:tcPr>
            <w:tcW w:w="3798" w:type="dxa"/>
            <w:tcBorders>
              <w:top w:val="single" w:sz="8" w:space="0" w:color="000000"/>
              <w:bottom w:val="single" w:sz="8" w:space="0" w:color="000000"/>
              <w:right w:val="single" w:sz="8" w:space="0" w:color="000000"/>
            </w:tcBorders>
          </w:tcPr>
          <w:p w14:paraId="5D90B128" w14:textId="1EEC27A3" w:rsidR="00653D4A" w:rsidRPr="00420217" w:rsidRDefault="00E779E1" w:rsidP="00E779E1">
            <w:pPr>
              <w:autoSpaceDE w:val="0"/>
              <w:autoSpaceDN w:val="0"/>
              <w:adjustRightInd w:val="0"/>
              <w:spacing w:after="0" w:line="240" w:lineRule="auto"/>
              <w:ind w:firstLine="180"/>
              <w:rPr>
                <w:rFonts w:cs="Arial"/>
                <w:color w:val="000000"/>
              </w:rPr>
            </w:pPr>
            <w:r>
              <w:rPr>
                <w:rFonts w:cs="Arial"/>
                <w:color w:val="000000"/>
              </w:rPr>
              <w:t xml:space="preserve">(7) </w:t>
            </w:r>
            <w:r w:rsidR="00653D4A" w:rsidRPr="00420217">
              <w:rPr>
                <w:rFonts w:cs="Arial"/>
                <w:color w:val="000000"/>
              </w:rPr>
              <w:t xml:space="preserve">Peripheral Vascular Disease </w:t>
            </w:r>
          </w:p>
        </w:tc>
        <w:tc>
          <w:tcPr>
            <w:tcW w:w="2880" w:type="dxa"/>
            <w:tcBorders>
              <w:top w:val="single" w:sz="8" w:space="0" w:color="000000"/>
              <w:left w:val="single" w:sz="8" w:space="0" w:color="000000"/>
              <w:bottom w:val="single" w:sz="8" w:space="0" w:color="000000"/>
            </w:tcBorders>
          </w:tcPr>
          <w:p w14:paraId="12E926F2"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PVD </w:t>
            </w:r>
          </w:p>
        </w:tc>
      </w:tr>
      <w:tr w:rsidR="00653D4A" w:rsidRPr="00420217" w14:paraId="2D46B502" w14:textId="77777777" w:rsidTr="003B704C">
        <w:trPr>
          <w:trHeight w:val="133"/>
        </w:trPr>
        <w:tc>
          <w:tcPr>
            <w:tcW w:w="3798" w:type="dxa"/>
            <w:tcBorders>
              <w:top w:val="single" w:sz="8" w:space="0" w:color="000000"/>
              <w:bottom w:val="single" w:sz="8" w:space="0" w:color="000000"/>
              <w:right w:val="single" w:sz="8" w:space="0" w:color="000000"/>
            </w:tcBorders>
          </w:tcPr>
          <w:p w14:paraId="1821B72C" w14:textId="3420B0E5" w:rsidR="00653D4A" w:rsidRPr="00420217" w:rsidRDefault="00E779E1" w:rsidP="00455259">
            <w:pPr>
              <w:autoSpaceDE w:val="0"/>
              <w:autoSpaceDN w:val="0"/>
              <w:adjustRightInd w:val="0"/>
              <w:spacing w:after="0" w:line="240" w:lineRule="auto"/>
              <w:ind w:firstLine="180"/>
              <w:rPr>
                <w:rFonts w:cs="Arial"/>
                <w:color w:val="000000"/>
              </w:rPr>
            </w:pPr>
            <w:r>
              <w:rPr>
                <w:rFonts w:cs="Arial"/>
                <w:color w:val="000000"/>
              </w:rPr>
              <w:t xml:space="preserve">(8) </w:t>
            </w:r>
            <w:r w:rsidR="00653D4A" w:rsidRPr="00420217">
              <w:rPr>
                <w:rFonts w:cs="Arial"/>
                <w:color w:val="000000"/>
              </w:rPr>
              <w:t xml:space="preserve">Chronic Lung Disease </w:t>
            </w:r>
          </w:p>
        </w:tc>
        <w:tc>
          <w:tcPr>
            <w:tcW w:w="2880" w:type="dxa"/>
            <w:tcBorders>
              <w:top w:val="single" w:sz="8" w:space="0" w:color="000000"/>
              <w:left w:val="single" w:sz="8" w:space="0" w:color="000000"/>
              <w:bottom w:val="single" w:sz="8" w:space="0" w:color="000000"/>
            </w:tcBorders>
          </w:tcPr>
          <w:p w14:paraId="607CC2B6"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CLD </w:t>
            </w:r>
          </w:p>
        </w:tc>
      </w:tr>
      <w:tr w:rsidR="00653D4A" w:rsidRPr="00890CE3" w14:paraId="6861BE95" w14:textId="77777777" w:rsidTr="003B704C">
        <w:trPr>
          <w:trHeight w:val="133"/>
        </w:trPr>
        <w:tc>
          <w:tcPr>
            <w:tcW w:w="3798" w:type="dxa"/>
            <w:tcBorders>
              <w:top w:val="single" w:sz="8" w:space="0" w:color="000000"/>
              <w:bottom w:val="single" w:sz="8" w:space="0" w:color="000000"/>
              <w:right w:val="single" w:sz="8" w:space="0" w:color="000000"/>
            </w:tcBorders>
          </w:tcPr>
          <w:p w14:paraId="0C9ACEFE" w14:textId="5AD3B796" w:rsidR="00653D4A" w:rsidRPr="00890CE3" w:rsidRDefault="00E779E1" w:rsidP="00455259">
            <w:pPr>
              <w:autoSpaceDE w:val="0"/>
              <w:autoSpaceDN w:val="0"/>
              <w:adjustRightInd w:val="0"/>
              <w:spacing w:after="0" w:line="240" w:lineRule="auto"/>
              <w:ind w:firstLine="180"/>
              <w:rPr>
                <w:rFonts w:cs="Arial"/>
                <w:color w:val="000000"/>
              </w:rPr>
            </w:pPr>
            <w:r>
              <w:rPr>
                <w:rFonts w:cs="Arial"/>
                <w:color w:val="000000"/>
              </w:rPr>
              <w:t xml:space="preserve">(9) </w:t>
            </w:r>
            <w:r w:rsidR="00653D4A" w:rsidRPr="00420217">
              <w:rPr>
                <w:rFonts w:cs="Arial"/>
                <w:color w:val="000000"/>
              </w:rPr>
              <w:t xml:space="preserve">Diabetes </w:t>
            </w:r>
          </w:p>
        </w:tc>
        <w:tc>
          <w:tcPr>
            <w:tcW w:w="2880" w:type="dxa"/>
            <w:tcBorders>
              <w:top w:val="single" w:sz="8" w:space="0" w:color="000000"/>
              <w:left w:val="single" w:sz="8" w:space="0" w:color="000000"/>
              <w:bottom w:val="single" w:sz="8" w:space="0" w:color="000000"/>
            </w:tcBorders>
          </w:tcPr>
          <w:p w14:paraId="2A03A1C5" w14:textId="77777777" w:rsidR="00653D4A" w:rsidRPr="00420217" w:rsidRDefault="00653D4A" w:rsidP="00455259">
            <w:pPr>
              <w:autoSpaceDE w:val="0"/>
              <w:autoSpaceDN w:val="0"/>
              <w:adjustRightInd w:val="0"/>
              <w:spacing w:after="0" w:line="240" w:lineRule="auto"/>
              <w:ind w:firstLine="180"/>
              <w:rPr>
                <w:rFonts w:cs="Arial"/>
                <w:color w:val="000000"/>
              </w:rPr>
            </w:pPr>
          </w:p>
        </w:tc>
      </w:tr>
      <w:tr w:rsidR="00653D4A" w:rsidRPr="00420217" w14:paraId="3D5B18EE" w14:textId="77777777" w:rsidTr="003B704C">
        <w:trPr>
          <w:trHeight w:val="133"/>
        </w:trPr>
        <w:tc>
          <w:tcPr>
            <w:tcW w:w="3798" w:type="dxa"/>
            <w:tcBorders>
              <w:top w:val="single" w:sz="8" w:space="0" w:color="000000"/>
              <w:bottom w:val="single" w:sz="8" w:space="0" w:color="000000"/>
              <w:right w:val="single" w:sz="8" w:space="0" w:color="000000"/>
            </w:tcBorders>
          </w:tcPr>
          <w:p w14:paraId="08D946EE" w14:textId="77777777" w:rsidR="00653D4A" w:rsidRPr="00420217" w:rsidRDefault="00653D4A" w:rsidP="00455259">
            <w:pPr>
              <w:autoSpaceDE w:val="0"/>
              <w:autoSpaceDN w:val="0"/>
              <w:adjustRightInd w:val="0"/>
              <w:spacing w:after="0" w:line="240" w:lineRule="auto"/>
              <w:ind w:firstLine="360"/>
              <w:rPr>
                <w:rFonts w:cs="Arial"/>
                <w:color w:val="000000"/>
              </w:rPr>
            </w:pPr>
            <w:r w:rsidRPr="00420217">
              <w:rPr>
                <w:rFonts w:cs="Arial"/>
                <w:color w:val="000000"/>
              </w:rPr>
              <w:t xml:space="preserve">None </w:t>
            </w:r>
          </w:p>
        </w:tc>
        <w:tc>
          <w:tcPr>
            <w:tcW w:w="2880" w:type="dxa"/>
            <w:tcBorders>
              <w:top w:val="single" w:sz="8" w:space="0" w:color="000000"/>
              <w:left w:val="single" w:sz="8" w:space="0" w:color="000000"/>
              <w:bottom w:val="single" w:sz="8" w:space="0" w:color="000000"/>
            </w:tcBorders>
          </w:tcPr>
          <w:p w14:paraId="1282C20D"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Reference </w:t>
            </w:r>
          </w:p>
        </w:tc>
      </w:tr>
      <w:tr w:rsidR="00653D4A" w:rsidRPr="00420217" w14:paraId="683B50ED" w14:textId="77777777" w:rsidTr="003B704C">
        <w:trPr>
          <w:trHeight w:val="133"/>
        </w:trPr>
        <w:tc>
          <w:tcPr>
            <w:tcW w:w="3798" w:type="dxa"/>
            <w:tcBorders>
              <w:top w:val="single" w:sz="8" w:space="0" w:color="000000"/>
              <w:bottom w:val="single" w:sz="8" w:space="0" w:color="000000"/>
              <w:right w:val="single" w:sz="8" w:space="0" w:color="000000"/>
            </w:tcBorders>
          </w:tcPr>
          <w:p w14:paraId="6AD842BE" w14:textId="77777777" w:rsidR="00653D4A" w:rsidRPr="00420217" w:rsidRDefault="00653D4A" w:rsidP="00455259">
            <w:pPr>
              <w:autoSpaceDE w:val="0"/>
              <w:autoSpaceDN w:val="0"/>
              <w:adjustRightInd w:val="0"/>
              <w:spacing w:after="0" w:line="240" w:lineRule="auto"/>
              <w:ind w:firstLine="360"/>
              <w:rPr>
                <w:rFonts w:cs="Arial"/>
                <w:color w:val="000000"/>
              </w:rPr>
            </w:pPr>
            <w:r w:rsidRPr="00420217">
              <w:rPr>
                <w:rFonts w:cs="Arial"/>
                <w:color w:val="000000"/>
              </w:rPr>
              <w:t xml:space="preserve">Non-insulin diabetes </w:t>
            </w:r>
          </w:p>
        </w:tc>
        <w:tc>
          <w:tcPr>
            <w:tcW w:w="2880" w:type="dxa"/>
            <w:tcBorders>
              <w:top w:val="single" w:sz="8" w:space="0" w:color="000000"/>
              <w:left w:val="single" w:sz="8" w:space="0" w:color="000000"/>
              <w:bottom w:val="single" w:sz="8" w:space="0" w:color="000000"/>
            </w:tcBorders>
          </w:tcPr>
          <w:p w14:paraId="05855C87"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NEWDIAB1 </w:t>
            </w:r>
          </w:p>
        </w:tc>
      </w:tr>
      <w:tr w:rsidR="00653D4A" w:rsidRPr="00420217" w14:paraId="6F84CE3E" w14:textId="77777777" w:rsidTr="003B704C">
        <w:trPr>
          <w:trHeight w:val="133"/>
        </w:trPr>
        <w:tc>
          <w:tcPr>
            <w:tcW w:w="3798" w:type="dxa"/>
            <w:tcBorders>
              <w:top w:val="single" w:sz="8" w:space="0" w:color="000000"/>
              <w:bottom w:val="single" w:sz="8" w:space="0" w:color="000000"/>
              <w:right w:val="single" w:sz="8" w:space="0" w:color="000000"/>
            </w:tcBorders>
          </w:tcPr>
          <w:p w14:paraId="469C828B" w14:textId="77777777" w:rsidR="00653D4A" w:rsidRPr="00420217" w:rsidRDefault="00653D4A" w:rsidP="00455259">
            <w:pPr>
              <w:autoSpaceDE w:val="0"/>
              <w:autoSpaceDN w:val="0"/>
              <w:adjustRightInd w:val="0"/>
              <w:spacing w:after="0" w:line="240" w:lineRule="auto"/>
              <w:ind w:firstLine="360"/>
              <w:rPr>
                <w:rFonts w:cs="Arial"/>
                <w:color w:val="000000"/>
              </w:rPr>
            </w:pPr>
            <w:r w:rsidRPr="00420217">
              <w:rPr>
                <w:rFonts w:cs="Arial"/>
                <w:color w:val="000000"/>
              </w:rPr>
              <w:t xml:space="preserve">Insulin diabetes </w:t>
            </w:r>
          </w:p>
        </w:tc>
        <w:tc>
          <w:tcPr>
            <w:tcW w:w="2880" w:type="dxa"/>
            <w:tcBorders>
              <w:top w:val="single" w:sz="8" w:space="0" w:color="000000"/>
              <w:left w:val="single" w:sz="8" w:space="0" w:color="000000"/>
              <w:bottom w:val="single" w:sz="8" w:space="0" w:color="000000"/>
            </w:tcBorders>
          </w:tcPr>
          <w:p w14:paraId="7D48DE4B"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NEWDIAB2 </w:t>
            </w:r>
          </w:p>
        </w:tc>
      </w:tr>
      <w:tr w:rsidR="00653D4A" w:rsidRPr="00890CE3" w14:paraId="0BE6BB56" w14:textId="77777777" w:rsidTr="003B704C">
        <w:trPr>
          <w:trHeight w:val="133"/>
        </w:trPr>
        <w:tc>
          <w:tcPr>
            <w:tcW w:w="3798" w:type="dxa"/>
            <w:tcBorders>
              <w:top w:val="single" w:sz="8" w:space="0" w:color="000000"/>
              <w:bottom w:val="single" w:sz="8" w:space="0" w:color="000000"/>
              <w:right w:val="single" w:sz="8" w:space="0" w:color="000000"/>
            </w:tcBorders>
          </w:tcPr>
          <w:p w14:paraId="54E9090C" w14:textId="072F83CB" w:rsidR="00653D4A" w:rsidRPr="00890CE3" w:rsidRDefault="00E779E1" w:rsidP="00E779E1">
            <w:pPr>
              <w:autoSpaceDE w:val="0"/>
              <w:autoSpaceDN w:val="0"/>
              <w:adjustRightInd w:val="0"/>
              <w:spacing w:after="0" w:line="240" w:lineRule="auto"/>
              <w:ind w:firstLine="180"/>
              <w:rPr>
                <w:rFonts w:cs="Arial"/>
                <w:color w:val="000000"/>
              </w:rPr>
            </w:pPr>
            <w:r>
              <w:rPr>
                <w:rFonts w:cs="Arial"/>
                <w:color w:val="000000"/>
              </w:rPr>
              <w:t xml:space="preserve">(10) </w:t>
            </w:r>
            <w:r w:rsidR="00653D4A" w:rsidRPr="00420217">
              <w:rPr>
                <w:rFonts w:cs="Arial"/>
                <w:color w:val="000000"/>
              </w:rPr>
              <w:t xml:space="preserve">Glomerular Filtration Rate (GFR) </w:t>
            </w:r>
          </w:p>
        </w:tc>
        <w:tc>
          <w:tcPr>
            <w:tcW w:w="2880" w:type="dxa"/>
            <w:tcBorders>
              <w:top w:val="single" w:sz="8" w:space="0" w:color="000000"/>
              <w:left w:val="single" w:sz="8" w:space="0" w:color="000000"/>
              <w:bottom w:val="single" w:sz="8" w:space="0" w:color="000000"/>
            </w:tcBorders>
          </w:tcPr>
          <w:p w14:paraId="0B0CFA30" w14:textId="77777777" w:rsidR="00653D4A" w:rsidRPr="00420217" w:rsidRDefault="00653D4A" w:rsidP="00455259">
            <w:pPr>
              <w:autoSpaceDE w:val="0"/>
              <w:autoSpaceDN w:val="0"/>
              <w:adjustRightInd w:val="0"/>
              <w:spacing w:after="0" w:line="240" w:lineRule="auto"/>
              <w:rPr>
                <w:rFonts w:cs="Arial"/>
                <w:color w:val="000000"/>
              </w:rPr>
            </w:pPr>
          </w:p>
        </w:tc>
      </w:tr>
      <w:tr w:rsidR="00653D4A" w:rsidRPr="00420217" w14:paraId="4E0A1A22" w14:textId="77777777" w:rsidTr="003B704C">
        <w:trPr>
          <w:trHeight w:val="133"/>
        </w:trPr>
        <w:tc>
          <w:tcPr>
            <w:tcW w:w="3798" w:type="dxa"/>
            <w:tcBorders>
              <w:top w:val="single" w:sz="8" w:space="0" w:color="000000"/>
              <w:bottom w:val="single" w:sz="8" w:space="0" w:color="000000"/>
              <w:right w:val="single" w:sz="8" w:space="0" w:color="000000"/>
            </w:tcBorders>
          </w:tcPr>
          <w:p w14:paraId="2DAD990D" w14:textId="77777777" w:rsidR="00653D4A" w:rsidRPr="00420217" w:rsidRDefault="00653D4A" w:rsidP="00455259">
            <w:pPr>
              <w:autoSpaceDE w:val="0"/>
              <w:autoSpaceDN w:val="0"/>
              <w:adjustRightInd w:val="0"/>
              <w:spacing w:after="0" w:line="240" w:lineRule="auto"/>
              <w:ind w:firstLine="360"/>
              <w:rPr>
                <w:rFonts w:cs="Arial"/>
                <w:color w:val="000000"/>
              </w:rPr>
            </w:pPr>
            <w:r w:rsidRPr="00420217">
              <w:rPr>
                <w:rFonts w:cs="Arial"/>
                <w:color w:val="000000"/>
              </w:rPr>
              <w:t xml:space="preserve">Not measured </w:t>
            </w:r>
          </w:p>
        </w:tc>
        <w:tc>
          <w:tcPr>
            <w:tcW w:w="2880" w:type="dxa"/>
            <w:tcBorders>
              <w:top w:val="single" w:sz="8" w:space="0" w:color="000000"/>
              <w:left w:val="single" w:sz="8" w:space="0" w:color="000000"/>
              <w:bottom w:val="single" w:sz="8" w:space="0" w:color="000000"/>
            </w:tcBorders>
          </w:tcPr>
          <w:p w14:paraId="77D55425"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GFRGRP0 </w:t>
            </w:r>
          </w:p>
        </w:tc>
      </w:tr>
      <w:tr w:rsidR="00653D4A" w:rsidRPr="00420217" w14:paraId="1599B841" w14:textId="77777777" w:rsidTr="003B704C">
        <w:trPr>
          <w:trHeight w:val="133"/>
        </w:trPr>
        <w:tc>
          <w:tcPr>
            <w:tcW w:w="3798" w:type="dxa"/>
            <w:tcBorders>
              <w:top w:val="single" w:sz="8" w:space="0" w:color="000000"/>
              <w:bottom w:val="single" w:sz="8" w:space="0" w:color="000000"/>
              <w:right w:val="single" w:sz="8" w:space="0" w:color="000000"/>
            </w:tcBorders>
          </w:tcPr>
          <w:p w14:paraId="74996C94" w14:textId="77777777" w:rsidR="00653D4A" w:rsidRPr="00420217" w:rsidRDefault="00653D4A" w:rsidP="00455259">
            <w:pPr>
              <w:autoSpaceDE w:val="0"/>
              <w:autoSpaceDN w:val="0"/>
              <w:adjustRightInd w:val="0"/>
              <w:spacing w:after="0" w:line="240" w:lineRule="auto"/>
              <w:ind w:firstLine="360"/>
              <w:rPr>
                <w:rFonts w:cs="Arial"/>
                <w:color w:val="000000"/>
              </w:rPr>
            </w:pPr>
            <w:r w:rsidRPr="00420217">
              <w:rPr>
                <w:rFonts w:cs="Arial"/>
                <w:color w:val="000000"/>
              </w:rPr>
              <w:t xml:space="preserve">GFR&lt;30 </w:t>
            </w:r>
          </w:p>
        </w:tc>
        <w:tc>
          <w:tcPr>
            <w:tcW w:w="2880" w:type="dxa"/>
            <w:tcBorders>
              <w:top w:val="single" w:sz="8" w:space="0" w:color="000000"/>
              <w:left w:val="single" w:sz="8" w:space="0" w:color="000000"/>
              <w:bottom w:val="single" w:sz="8" w:space="0" w:color="000000"/>
            </w:tcBorders>
          </w:tcPr>
          <w:p w14:paraId="3CE76EFD"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GFRGRP1 </w:t>
            </w:r>
          </w:p>
        </w:tc>
      </w:tr>
      <w:tr w:rsidR="00653D4A" w:rsidRPr="00420217" w14:paraId="3295984C" w14:textId="77777777" w:rsidTr="003B704C">
        <w:trPr>
          <w:trHeight w:val="133"/>
        </w:trPr>
        <w:tc>
          <w:tcPr>
            <w:tcW w:w="3798" w:type="dxa"/>
            <w:tcBorders>
              <w:top w:val="single" w:sz="8" w:space="0" w:color="000000"/>
              <w:bottom w:val="single" w:sz="8" w:space="0" w:color="000000"/>
              <w:right w:val="single" w:sz="8" w:space="0" w:color="000000"/>
            </w:tcBorders>
          </w:tcPr>
          <w:p w14:paraId="453E4F02" w14:textId="77777777" w:rsidR="00653D4A" w:rsidRPr="00420217" w:rsidRDefault="00653D4A" w:rsidP="00455259">
            <w:pPr>
              <w:autoSpaceDE w:val="0"/>
              <w:autoSpaceDN w:val="0"/>
              <w:adjustRightInd w:val="0"/>
              <w:spacing w:after="0" w:line="240" w:lineRule="auto"/>
              <w:ind w:firstLine="360"/>
              <w:rPr>
                <w:rFonts w:cs="Arial"/>
                <w:color w:val="000000"/>
              </w:rPr>
            </w:pPr>
            <w:r w:rsidRPr="00420217">
              <w:rPr>
                <w:rFonts w:cs="Arial"/>
                <w:color w:val="000000"/>
              </w:rPr>
              <w:t xml:space="preserve">30≤GFR&lt;60 </w:t>
            </w:r>
          </w:p>
        </w:tc>
        <w:tc>
          <w:tcPr>
            <w:tcW w:w="2880" w:type="dxa"/>
            <w:tcBorders>
              <w:top w:val="single" w:sz="8" w:space="0" w:color="000000"/>
              <w:left w:val="single" w:sz="8" w:space="0" w:color="000000"/>
              <w:bottom w:val="single" w:sz="8" w:space="0" w:color="000000"/>
            </w:tcBorders>
          </w:tcPr>
          <w:p w14:paraId="0269DED1"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GFRGRP2 </w:t>
            </w:r>
          </w:p>
        </w:tc>
      </w:tr>
      <w:tr w:rsidR="00653D4A" w:rsidRPr="00420217" w14:paraId="1555A135" w14:textId="77777777" w:rsidTr="003B704C">
        <w:trPr>
          <w:trHeight w:val="133"/>
        </w:trPr>
        <w:tc>
          <w:tcPr>
            <w:tcW w:w="3798" w:type="dxa"/>
            <w:tcBorders>
              <w:top w:val="single" w:sz="8" w:space="0" w:color="000000"/>
              <w:bottom w:val="single" w:sz="8" w:space="0" w:color="000000"/>
              <w:right w:val="single" w:sz="8" w:space="0" w:color="000000"/>
            </w:tcBorders>
          </w:tcPr>
          <w:p w14:paraId="30006112" w14:textId="77777777" w:rsidR="00653D4A" w:rsidRPr="00420217" w:rsidRDefault="00653D4A" w:rsidP="00455259">
            <w:pPr>
              <w:autoSpaceDE w:val="0"/>
              <w:autoSpaceDN w:val="0"/>
              <w:adjustRightInd w:val="0"/>
              <w:spacing w:after="0" w:line="240" w:lineRule="auto"/>
              <w:ind w:firstLine="360"/>
              <w:rPr>
                <w:rFonts w:cs="Arial"/>
                <w:color w:val="000000"/>
              </w:rPr>
            </w:pPr>
            <w:r w:rsidRPr="00420217">
              <w:rPr>
                <w:rFonts w:cs="Arial"/>
                <w:color w:val="000000"/>
              </w:rPr>
              <w:t xml:space="preserve">60≤GFR&lt;90 </w:t>
            </w:r>
          </w:p>
        </w:tc>
        <w:tc>
          <w:tcPr>
            <w:tcW w:w="2880" w:type="dxa"/>
            <w:tcBorders>
              <w:top w:val="single" w:sz="8" w:space="0" w:color="000000"/>
              <w:left w:val="single" w:sz="8" w:space="0" w:color="000000"/>
              <w:bottom w:val="single" w:sz="8" w:space="0" w:color="000000"/>
            </w:tcBorders>
          </w:tcPr>
          <w:p w14:paraId="1998C8A2"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Reference </w:t>
            </w:r>
          </w:p>
        </w:tc>
      </w:tr>
      <w:tr w:rsidR="00653D4A" w:rsidRPr="00420217" w14:paraId="316E5433" w14:textId="77777777" w:rsidTr="003B704C">
        <w:trPr>
          <w:trHeight w:val="133"/>
        </w:trPr>
        <w:tc>
          <w:tcPr>
            <w:tcW w:w="3798" w:type="dxa"/>
            <w:tcBorders>
              <w:top w:val="single" w:sz="8" w:space="0" w:color="000000"/>
              <w:bottom w:val="single" w:sz="8" w:space="0" w:color="000000"/>
              <w:right w:val="single" w:sz="8" w:space="0" w:color="000000"/>
            </w:tcBorders>
          </w:tcPr>
          <w:p w14:paraId="11162421" w14:textId="77777777" w:rsidR="00653D4A" w:rsidRPr="00420217" w:rsidRDefault="00653D4A" w:rsidP="00455259">
            <w:pPr>
              <w:autoSpaceDE w:val="0"/>
              <w:autoSpaceDN w:val="0"/>
              <w:adjustRightInd w:val="0"/>
              <w:spacing w:after="0" w:line="240" w:lineRule="auto"/>
              <w:ind w:firstLine="360"/>
              <w:rPr>
                <w:rFonts w:cs="Arial"/>
                <w:color w:val="000000"/>
              </w:rPr>
            </w:pPr>
            <w:r w:rsidRPr="00420217">
              <w:rPr>
                <w:rFonts w:cs="Arial"/>
                <w:color w:val="000000"/>
              </w:rPr>
              <w:t xml:space="preserve">GFR≥90 </w:t>
            </w:r>
          </w:p>
        </w:tc>
        <w:tc>
          <w:tcPr>
            <w:tcW w:w="2880" w:type="dxa"/>
            <w:tcBorders>
              <w:top w:val="single" w:sz="8" w:space="0" w:color="000000"/>
              <w:left w:val="single" w:sz="8" w:space="0" w:color="000000"/>
              <w:bottom w:val="single" w:sz="8" w:space="0" w:color="000000"/>
            </w:tcBorders>
          </w:tcPr>
          <w:p w14:paraId="1974D078"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GFRGRP4 </w:t>
            </w:r>
          </w:p>
        </w:tc>
      </w:tr>
      <w:tr w:rsidR="00653D4A" w:rsidRPr="00420217" w14:paraId="6480E034" w14:textId="77777777" w:rsidTr="003B704C">
        <w:trPr>
          <w:trHeight w:val="133"/>
        </w:trPr>
        <w:tc>
          <w:tcPr>
            <w:tcW w:w="3798" w:type="dxa"/>
            <w:tcBorders>
              <w:top w:val="single" w:sz="8" w:space="0" w:color="000000"/>
              <w:bottom w:val="single" w:sz="8" w:space="0" w:color="000000"/>
              <w:right w:val="single" w:sz="8" w:space="0" w:color="000000"/>
            </w:tcBorders>
          </w:tcPr>
          <w:p w14:paraId="70A102BD" w14:textId="653EEC72" w:rsidR="00653D4A" w:rsidRPr="00420217" w:rsidRDefault="00E779E1" w:rsidP="00455259">
            <w:pPr>
              <w:autoSpaceDE w:val="0"/>
              <w:autoSpaceDN w:val="0"/>
              <w:adjustRightInd w:val="0"/>
              <w:spacing w:after="0" w:line="240" w:lineRule="auto"/>
              <w:ind w:firstLine="180"/>
              <w:rPr>
                <w:rFonts w:cs="Arial"/>
                <w:color w:val="000000"/>
              </w:rPr>
            </w:pPr>
            <w:r>
              <w:rPr>
                <w:rFonts w:cs="Arial"/>
                <w:color w:val="000000"/>
              </w:rPr>
              <w:t xml:space="preserve">(11) </w:t>
            </w:r>
            <w:r w:rsidR="00653D4A" w:rsidRPr="00420217">
              <w:rPr>
                <w:rFonts w:cs="Arial"/>
                <w:color w:val="000000"/>
              </w:rPr>
              <w:t xml:space="preserve">Renal failure - dialysis </w:t>
            </w:r>
          </w:p>
        </w:tc>
        <w:tc>
          <w:tcPr>
            <w:tcW w:w="2880" w:type="dxa"/>
            <w:tcBorders>
              <w:top w:val="single" w:sz="8" w:space="0" w:color="000000"/>
              <w:left w:val="single" w:sz="8" w:space="0" w:color="000000"/>
              <w:bottom w:val="single" w:sz="8" w:space="0" w:color="000000"/>
            </w:tcBorders>
          </w:tcPr>
          <w:p w14:paraId="6BF3012C"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DIALYSIS </w:t>
            </w:r>
          </w:p>
        </w:tc>
      </w:tr>
      <w:tr w:rsidR="00653D4A" w:rsidRPr="00420217" w14:paraId="359E36A8" w14:textId="77777777" w:rsidTr="003B704C">
        <w:trPr>
          <w:trHeight w:val="133"/>
        </w:trPr>
        <w:tc>
          <w:tcPr>
            <w:tcW w:w="3798" w:type="dxa"/>
            <w:tcBorders>
              <w:top w:val="single" w:sz="8" w:space="0" w:color="000000"/>
              <w:bottom w:val="single" w:sz="8" w:space="0" w:color="000000"/>
              <w:right w:val="single" w:sz="8" w:space="0" w:color="000000"/>
            </w:tcBorders>
          </w:tcPr>
          <w:p w14:paraId="3F262865" w14:textId="6DE584D8" w:rsidR="00653D4A" w:rsidRPr="00420217" w:rsidRDefault="00E779E1" w:rsidP="00455259">
            <w:pPr>
              <w:autoSpaceDE w:val="0"/>
              <w:autoSpaceDN w:val="0"/>
              <w:adjustRightInd w:val="0"/>
              <w:spacing w:after="0" w:line="240" w:lineRule="auto"/>
              <w:ind w:firstLine="180"/>
              <w:rPr>
                <w:rFonts w:cs="Arial"/>
                <w:color w:val="000000"/>
              </w:rPr>
            </w:pPr>
            <w:r>
              <w:rPr>
                <w:rFonts w:cs="Arial"/>
                <w:color w:val="000000"/>
              </w:rPr>
              <w:t xml:space="preserve">(12) </w:t>
            </w:r>
            <w:r w:rsidR="00653D4A" w:rsidRPr="00420217">
              <w:rPr>
                <w:rFonts w:cs="Arial"/>
                <w:color w:val="000000"/>
              </w:rPr>
              <w:t xml:space="preserve">Hypertension </w:t>
            </w:r>
          </w:p>
        </w:tc>
        <w:tc>
          <w:tcPr>
            <w:tcW w:w="2880" w:type="dxa"/>
            <w:tcBorders>
              <w:top w:val="single" w:sz="8" w:space="0" w:color="000000"/>
              <w:left w:val="single" w:sz="8" w:space="0" w:color="000000"/>
              <w:bottom w:val="single" w:sz="8" w:space="0" w:color="000000"/>
            </w:tcBorders>
          </w:tcPr>
          <w:p w14:paraId="35E88E0C"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HYPERTN </w:t>
            </w:r>
          </w:p>
        </w:tc>
      </w:tr>
      <w:tr w:rsidR="00653D4A" w:rsidRPr="00420217" w14:paraId="0F461198" w14:textId="77777777" w:rsidTr="003B704C">
        <w:trPr>
          <w:trHeight w:val="133"/>
        </w:trPr>
        <w:tc>
          <w:tcPr>
            <w:tcW w:w="3798" w:type="dxa"/>
            <w:tcBorders>
              <w:top w:val="single" w:sz="8" w:space="0" w:color="000000"/>
              <w:bottom w:val="single" w:sz="6" w:space="0" w:color="000000"/>
              <w:right w:val="single" w:sz="8" w:space="0" w:color="000000"/>
            </w:tcBorders>
          </w:tcPr>
          <w:p w14:paraId="11A38BC6" w14:textId="2C15AFB4" w:rsidR="00653D4A" w:rsidRPr="00420217" w:rsidRDefault="00E779E1" w:rsidP="00455259">
            <w:pPr>
              <w:autoSpaceDE w:val="0"/>
              <w:autoSpaceDN w:val="0"/>
              <w:adjustRightInd w:val="0"/>
              <w:spacing w:after="0" w:line="240" w:lineRule="auto"/>
              <w:ind w:firstLine="180"/>
              <w:rPr>
                <w:rFonts w:cs="Arial"/>
                <w:color w:val="000000"/>
              </w:rPr>
            </w:pPr>
            <w:r>
              <w:rPr>
                <w:rFonts w:cs="Arial"/>
                <w:color w:val="000000"/>
              </w:rPr>
              <w:t xml:space="preserve">(13) </w:t>
            </w:r>
            <w:r w:rsidR="00653D4A" w:rsidRPr="00420217">
              <w:rPr>
                <w:rFonts w:cs="Arial"/>
                <w:color w:val="000000"/>
              </w:rPr>
              <w:t xml:space="preserve">History of tobacco use </w:t>
            </w:r>
          </w:p>
        </w:tc>
        <w:tc>
          <w:tcPr>
            <w:tcW w:w="2880" w:type="dxa"/>
            <w:tcBorders>
              <w:top w:val="single" w:sz="8" w:space="0" w:color="000000"/>
              <w:left w:val="single" w:sz="8" w:space="0" w:color="000000"/>
              <w:bottom w:val="single" w:sz="6" w:space="0" w:color="000000"/>
            </w:tcBorders>
          </w:tcPr>
          <w:p w14:paraId="4A35DC02"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TOBACCO </w:t>
            </w:r>
          </w:p>
        </w:tc>
      </w:tr>
      <w:tr w:rsidR="00653D4A" w:rsidRPr="00420217" w14:paraId="4FAFCDCC" w14:textId="77777777" w:rsidTr="003B704C">
        <w:trPr>
          <w:trHeight w:val="133"/>
        </w:trPr>
        <w:tc>
          <w:tcPr>
            <w:tcW w:w="3798" w:type="dxa"/>
            <w:tcBorders>
              <w:top w:val="single" w:sz="6" w:space="0" w:color="000000"/>
              <w:bottom w:val="single" w:sz="8" w:space="0" w:color="000000"/>
              <w:right w:val="single" w:sz="8" w:space="0" w:color="000000"/>
            </w:tcBorders>
          </w:tcPr>
          <w:p w14:paraId="0E1DB808" w14:textId="10E49821" w:rsidR="00653D4A" w:rsidRPr="00420217" w:rsidRDefault="00E779E1" w:rsidP="00E779E1">
            <w:pPr>
              <w:autoSpaceDE w:val="0"/>
              <w:autoSpaceDN w:val="0"/>
              <w:adjustRightInd w:val="0"/>
              <w:spacing w:after="0" w:line="240" w:lineRule="auto"/>
              <w:ind w:firstLine="180"/>
              <w:rPr>
                <w:rFonts w:cs="Arial"/>
                <w:color w:val="000000"/>
              </w:rPr>
            </w:pPr>
            <w:r>
              <w:rPr>
                <w:rFonts w:cs="Arial"/>
                <w:color w:val="000000"/>
              </w:rPr>
              <w:t xml:space="preserve">(14) </w:t>
            </w:r>
            <w:r w:rsidR="00653D4A" w:rsidRPr="00420217">
              <w:rPr>
                <w:rFonts w:cs="Arial"/>
                <w:color w:val="000000"/>
              </w:rPr>
              <w:t xml:space="preserve">Previous PCI </w:t>
            </w:r>
          </w:p>
        </w:tc>
        <w:tc>
          <w:tcPr>
            <w:tcW w:w="2880" w:type="dxa"/>
            <w:tcBorders>
              <w:top w:val="single" w:sz="6" w:space="0" w:color="000000"/>
              <w:left w:val="single" w:sz="8" w:space="0" w:color="000000"/>
              <w:bottom w:val="single" w:sz="8" w:space="0" w:color="000000"/>
            </w:tcBorders>
          </w:tcPr>
          <w:p w14:paraId="2529CD25"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PrPCI </w:t>
            </w:r>
          </w:p>
        </w:tc>
      </w:tr>
      <w:tr w:rsidR="00653D4A" w:rsidRPr="00420217" w14:paraId="393A3B76" w14:textId="77777777" w:rsidTr="003B704C">
        <w:trPr>
          <w:trHeight w:val="138"/>
        </w:trPr>
        <w:tc>
          <w:tcPr>
            <w:tcW w:w="6678" w:type="dxa"/>
            <w:gridSpan w:val="2"/>
            <w:tcBorders>
              <w:top w:val="single" w:sz="8" w:space="0" w:color="000000"/>
              <w:bottom w:val="single" w:sz="6" w:space="0" w:color="000000"/>
            </w:tcBorders>
          </w:tcPr>
          <w:p w14:paraId="2676DE48"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b/>
                <w:bCs/>
                <w:color w:val="000000"/>
              </w:rPr>
              <w:t xml:space="preserve">Cardiac Status </w:t>
            </w:r>
          </w:p>
        </w:tc>
      </w:tr>
      <w:tr w:rsidR="00653D4A" w:rsidRPr="00420217" w14:paraId="6F781E3E" w14:textId="77777777" w:rsidTr="003B704C">
        <w:trPr>
          <w:trHeight w:val="133"/>
        </w:trPr>
        <w:tc>
          <w:tcPr>
            <w:tcW w:w="3798" w:type="dxa"/>
            <w:tcBorders>
              <w:top w:val="single" w:sz="6" w:space="0" w:color="000000"/>
              <w:bottom w:val="single" w:sz="8" w:space="0" w:color="000000"/>
              <w:right w:val="single" w:sz="8" w:space="0" w:color="000000"/>
            </w:tcBorders>
          </w:tcPr>
          <w:p w14:paraId="0A07E667" w14:textId="5B1AC6E8" w:rsidR="00653D4A" w:rsidRPr="00420217" w:rsidRDefault="00E779E1" w:rsidP="00455259">
            <w:pPr>
              <w:autoSpaceDE w:val="0"/>
              <w:autoSpaceDN w:val="0"/>
              <w:adjustRightInd w:val="0"/>
              <w:spacing w:after="0" w:line="240" w:lineRule="auto"/>
              <w:ind w:firstLine="180"/>
              <w:rPr>
                <w:rFonts w:cs="Arial"/>
                <w:color w:val="000000"/>
              </w:rPr>
            </w:pPr>
            <w:r>
              <w:rPr>
                <w:rFonts w:cs="Arial"/>
                <w:color w:val="000000"/>
              </w:rPr>
              <w:lastRenderedPageBreak/>
              <w:t xml:space="preserve">(15) </w:t>
            </w:r>
            <w:r w:rsidR="00653D4A" w:rsidRPr="00420217">
              <w:rPr>
                <w:rFonts w:cs="Arial"/>
                <w:color w:val="000000"/>
              </w:rPr>
              <w:t xml:space="preserve">Heart failure – current status </w:t>
            </w:r>
          </w:p>
        </w:tc>
        <w:tc>
          <w:tcPr>
            <w:tcW w:w="2880" w:type="dxa"/>
            <w:tcBorders>
              <w:top w:val="single" w:sz="6" w:space="0" w:color="000000"/>
              <w:left w:val="single" w:sz="8" w:space="0" w:color="000000"/>
              <w:bottom w:val="single" w:sz="8" w:space="0" w:color="000000"/>
            </w:tcBorders>
          </w:tcPr>
          <w:p w14:paraId="6C1EAA4C"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CHF </w:t>
            </w:r>
          </w:p>
        </w:tc>
      </w:tr>
      <w:tr w:rsidR="00653D4A" w:rsidRPr="00890CE3" w14:paraId="5AF487E9" w14:textId="77777777" w:rsidTr="003B704C">
        <w:trPr>
          <w:trHeight w:val="133"/>
        </w:trPr>
        <w:tc>
          <w:tcPr>
            <w:tcW w:w="3798" w:type="dxa"/>
            <w:tcBorders>
              <w:top w:val="single" w:sz="8" w:space="0" w:color="000000"/>
              <w:bottom w:val="single" w:sz="8" w:space="0" w:color="000000"/>
              <w:right w:val="single" w:sz="8" w:space="0" w:color="000000"/>
            </w:tcBorders>
          </w:tcPr>
          <w:p w14:paraId="6E2D1B72" w14:textId="125BBA91" w:rsidR="00653D4A" w:rsidRPr="00890CE3" w:rsidRDefault="00E779E1" w:rsidP="00455259">
            <w:pPr>
              <w:autoSpaceDE w:val="0"/>
              <w:autoSpaceDN w:val="0"/>
              <w:adjustRightInd w:val="0"/>
              <w:spacing w:after="0" w:line="240" w:lineRule="auto"/>
              <w:ind w:firstLine="180"/>
              <w:rPr>
                <w:rFonts w:cs="Arial"/>
                <w:color w:val="000000"/>
              </w:rPr>
            </w:pPr>
            <w:r>
              <w:rPr>
                <w:rFonts w:cs="Arial"/>
                <w:color w:val="000000"/>
              </w:rPr>
              <w:t xml:space="preserve">(16) </w:t>
            </w:r>
            <w:r w:rsidR="00653D4A" w:rsidRPr="00420217">
              <w:rPr>
                <w:rFonts w:cs="Arial"/>
                <w:color w:val="000000"/>
              </w:rPr>
              <w:t xml:space="preserve">Symptoms present on admission </w:t>
            </w:r>
          </w:p>
        </w:tc>
        <w:tc>
          <w:tcPr>
            <w:tcW w:w="2880" w:type="dxa"/>
            <w:tcBorders>
              <w:top w:val="single" w:sz="8" w:space="0" w:color="000000"/>
              <w:left w:val="single" w:sz="8" w:space="0" w:color="000000"/>
              <w:bottom w:val="single" w:sz="8" w:space="0" w:color="000000"/>
            </w:tcBorders>
          </w:tcPr>
          <w:p w14:paraId="5382C60B" w14:textId="77777777" w:rsidR="00653D4A" w:rsidRPr="00420217" w:rsidRDefault="00653D4A" w:rsidP="00455259">
            <w:pPr>
              <w:autoSpaceDE w:val="0"/>
              <w:autoSpaceDN w:val="0"/>
              <w:adjustRightInd w:val="0"/>
              <w:spacing w:after="0" w:line="240" w:lineRule="auto"/>
              <w:rPr>
                <w:rFonts w:cs="Arial"/>
                <w:color w:val="000000"/>
              </w:rPr>
            </w:pPr>
          </w:p>
        </w:tc>
      </w:tr>
      <w:tr w:rsidR="00653D4A" w:rsidRPr="00420217" w14:paraId="1DE1976B" w14:textId="77777777" w:rsidTr="003B704C">
        <w:trPr>
          <w:trHeight w:val="133"/>
        </w:trPr>
        <w:tc>
          <w:tcPr>
            <w:tcW w:w="3798" w:type="dxa"/>
            <w:tcBorders>
              <w:top w:val="single" w:sz="8" w:space="0" w:color="000000"/>
              <w:bottom w:val="single" w:sz="8" w:space="0" w:color="000000"/>
              <w:right w:val="single" w:sz="8" w:space="0" w:color="000000"/>
            </w:tcBorders>
          </w:tcPr>
          <w:p w14:paraId="720ECF68" w14:textId="77777777" w:rsidR="00653D4A" w:rsidRPr="00420217" w:rsidRDefault="00653D4A" w:rsidP="00455259">
            <w:pPr>
              <w:autoSpaceDE w:val="0"/>
              <w:autoSpaceDN w:val="0"/>
              <w:adjustRightInd w:val="0"/>
              <w:spacing w:after="0" w:line="240" w:lineRule="auto"/>
              <w:ind w:firstLine="360"/>
              <w:rPr>
                <w:rFonts w:cs="Arial"/>
                <w:color w:val="000000"/>
              </w:rPr>
            </w:pPr>
            <w:r w:rsidRPr="00420217">
              <w:rPr>
                <w:rFonts w:cs="Arial"/>
                <w:color w:val="000000"/>
              </w:rPr>
              <w:t xml:space="preserve">No MI </w:t>
            </w:r>
          </w:p>
        </w:tc>
        <w:tc>
          <w:tcPr>
            <w:tcW w:w="2880" w:type="dxa"/>
            <w:tcBorders>
              <w:top w:val="single" w:sz="8" w:space="0" w:color="000000"/>
              <w:left w:val="single" w:sz="8" w:space="0" w:color="000000"/>
              <w:bottom w:val="single" w:sz="8" w:space="0" w:color="000000"/>
            </w:tcBorders>
          </w:tcPr>
          <w:p w14:paraId="3D37B9D9"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ADMSX1 </w:t>
            </w:r>
          </w:p>
        </w:tc>
      </w:tr>
      <w:tr w:rsidR="00653D4A" w:rsidRPr="00420217" w14:paraId="129F282D" w14:textId="77777777" w:rsidTr="003B704C">
        <w:trPr>
          <w:trHeight w:val="133"/>
        </w:trPr>
        <w:tc>
          <w:tcPr>
            <w:tcW w:w="3798" w:type="dxa"/>
            <w:tcBorders>
              <w:top w:val="single" w:sz="8" w:space="0" w:color="000000"/>
              <w:bottom w:val="single" w:sz="6" w:space="0" w:color="000000"/>
              <w:right w:val="single" w:sz="8" w:space="0" w:color="000000"/>
            </w:tcBorders>
          </w:tcPr>
          <w:p w14:paraId="727AB8B0" w14:textId="77777777" w:rsidR="00653D4A" w:rsidRPr="00420217" w:rsidRDefault="00653D4A" w:rsidP="00455259">
            <w:pPr>
              <w:autoSpaceDE w:val="0"/>
              <w:autoSpaceDN w:val="0"/>
              <w:adjustRightInd w:val="0"/>
              <w:spacing w:after="0" w:line="240" w:lineRule="auto"/>
              <w:ind w:firstLine="360"/>
              <w:rPr>
                <w:rFonts w:cs="Arial"/>
                <w:color w:val="000000"/>
              </w:rPr>
            </w:pPr>
            <w:r w:rsidRPr="00420217">
              <w:rPr>
                <w:rFonts w:cs="Arial"/>
                <w:color w:val="000000"/>
              </w:rPr>
              <w:t xml:space="preserve">MI within 24 hours </w:t>
            </w:r>
          </w:p>
        </w:tc>
        <w:tc>
          <w:tcPr>
            <w:tcW w:w="2880" w:type="dxa"/>
            <w:tcBorders>
              <w:top w:val="single" w:sz="8" w:space="0" w:color="000000"/>
              <w:left w:val="single" w:sz="8" w:space="0" w:color="000000"/>
              <w:bottom w:val="single" w:sz="6" w:space="0" w:color="000000"/>
            </w:tcBorders>
          </w:tcPr>
          <w:p w14:paraId="690C2974"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Reference </w:t>
            </w:r>
          </w:p>
        </w:tc>
      </w:tr>
      <w:tr w:rsidR="00653D4A" w:rsidRPr="00420217" w14:paraId="348C0C0B" w14:textId="77777777" w:rsidTr="003B704C">
        <w:trPr>
          <w:trHeight w:val="133"/>
        </w:trPr>
        <w:tc>
          <w:tcPr>
            <w:tcW w:w="3798" w:type="dxa"/>
            <w:tcBorders>
              <w:top w:val="single" w:sz="6" w:space="0" w:color="000000"/>
              <w:bottom w:val="single" w:sz="8" w:space="0" w:color="000000"/>
              <w:right w:val="single" w:sz="8" w:space="0" w:color="000000"/>
            </w:tcBorders>
          </w:tcPr>
          <w:p w14:paraId="7ED50270" w14:textId="77777777" w:rsidR="00653D4A" w:rsidRPr="00420217" w:rsidRDefault="00653D4A" w:rsidP="00455259">
            <w:pPr>
              <w:autoSpaceDE w:val="0"/>
              <w:autoSpaceDN w:val="0"/>
              <w:adjustRightInd w:val="0"/>
              <w:spacing w:after="0" w:line="240" w:lineRule="auto"/>
              <w:ind w:firstLine="360"/>
              <w:rPr>
                <w:rFonts w:cs="Arial"/>
                <w:color w:val="000000"/>
              </w:rPr>
            </w:pPr>
            <w:r w:rsidRPr="00420217">
              <w:rPr>
                <w:rFonts w:cs="Arial"/>
                <w:color w:val="000000"/>
              </w:rPr>
              <w:t xml:space="preserve">MI after 24 hours </w:t>
            </w:r>
          </w:p>
        </w:tc>
        <w:tc>
          <w:tcPr>
            <w:tcW w:w="2880" w:type="dxa"/>
            <w:tcBorders>
              <w:top w:val="single" w:sz="6" w:space="0" w:color="000000"/>
              <w:left w:val="single" w:sz="8" w:space="0" w:color="000000"/>
              <w:bottom w:val="single" w:sz="8" w:space="0" w:color="000000"/>
            </w:tcBorders>
          </w:tcPr>
          <w:p w14:paraId="4CCB7674"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ADMSX3 </w:t>
            </w:r>
          </w:p>
        </w:tc>
      </w:tr>
      <w:tr w:rsidR="00653D4A" w:rsidRPr="00420217" w14:paraId="311F5249" w14:textId="77777777" w:rsidTr="003B704C">
        <w:trPr>
          <w:trHeight w:val="138"/>
        </w:trPr>
        <w:tc>
          <w:tcPr>
            <w:tcW w:w="6678" w:type="dxa"/>
            <w:gridSpan w:val="2"/>
            <w:tcBorders>
              <w:top w:val="single" w:sz="8" w:space="0" w:color="000000"/>
              <w:bottom w:val="single" w:sz="8" w:space="0" w:color="000000"/>
            </w:tcBorders>
          </w:tcPr>
          <w:p w14:paraId="7BB6DBE8"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b/>
                <w:bCs/>
                <w:color w:val="000000"/>
              </w:rPr>
              <w:t xml:space="preserve">Cath Lab Visit </w:t>
            </w:r>
          </w:p>
        </w:tc>
      </w:tr>
      <w:tr w:rsidR="00653D4A" w:rsidRPr="00890CE3" w14:paraId="1DB823AC" w14:textId="77777777" w:rsidTr="003B704C">
        <w:trPr>
          <w:trHeight w:val="133"/>
        </w:trPr>
        <w:tc>
          <w:tcPr>
            <w:tcW w:w="3798" w:type="dxa"/>
            <w:tcBorders>
              <w:top w:val="single" w:sz="8" w:space="0" w:color="000000"/>
              <w:bottom w:val="single" w:sz="8" w:space="0" w:color="000000"/>
              <w:right w:val="single" w:sz="8" w:space="0" w:color="000000"/>
            </w:tcBorders>
          </w:tcPr>
          <w:p w14:paraId="19A48FDE" w14:textId="44528A3C" w:rsidR="00653D4A" w:rsidRPr="00890CE3" w:rsidRDefault="00E779E1" w:rsidP="00E779E1">
            <w:pPr>
              <w:autoSpaceDE w:val="0"/>
              <w:autoSpaceDN w:val="0"/>
              <w:adjustRightInd w:val="0"/>
              <w:spacing w:after="0" w:line="240" w:lineRule="auto"/>
              <w:ind w:firstLine="180"/>
              <w:rPr>
                <w:rFonts w:cs="Arial"/>
                <w:color w:val="000000"/>
              </w:rPr>
            </w:pPr>
            <w:r>
              <w:rPr>
                <w:rFonts w:cs="Arial"/>
                <w:color w:val="000000"/>
              </w:rPr>
              <w:t xml:space="preserve">(17) </w:t>
            </w:r>
            <w:r w:rsidR="00653D4A" w:rsidRPr="00420217">
              <w:rPr>
                <w:rFonts w:cs="Arial"/>
                <w:color w:val="000000"/>
              </w:rPr>
              <w:t xml:space="preserve">Ejection Fraction (EF) Percentage </w:t>
            </w:r>
          </w:p>
        </w:tc>
        <w:tc>
          <w:tcPr>
            <w:tcW w:w="2880" w:type="dxa"/>
            <w:tcBorders>
              <w:top w:val="single" w:sz="8" w:space="0" w:color="000000"/>
              <w:left w:val="single" w:sz="8" w:space="0" w:color="000000"/>
              <w:bottom w:val="single" w:sz="8" w:space="0" w:color="000000"/>
            </w:tcBorders>
          </w:tcPr>
          <w:p w14:paraId="592FE6DA" w14:textId="77777777" w:rsidR="00653D4A" w:rsidRPr="00420217" w:rsidRDefault="00653D4A" w:rsidP="00455259">
            <w:pPr>
              <w:autoSpaceDE w:val="0"/>
              <w:autoSpaceDN w:val="0"/>
              <w:adjustRightInd w:val="0"/>
              <w:spacing w:after="0" w:line="240" w:lineRule="auto"/>
              <w:rPr>
                <w:rFonts w:cs="Arial"/>
                <w:color w:val="000000"/>
              </w:rPr>
            </w:pPr>
          </w:p>
        </w:tc>
      </w:tr>
      <w:tr w:rsidR="00653D4A" w:rsidRPr="00420217" w14:paraId="323D2FCB" w14:textId="77777777" w:rsidTr="003B704C">
        <w:trPr>
          <w:trHeight w:val="133"/>
        </w:trPr>
        <w:tc>
          <w:tcPr>
            <w:tcW w:w="3798" w:type="dxa"/>
            <w:tcBorders>
              <w:top w:val="single" w:sz="8" w:space="0" w:color="000000"/>
              <w:bottom w:val="single" w:sz="8" w:space="0" w:color="000000"/>
              <w:right w:val="single" w:sz="8" w:space="0" w:color="000000"/>
            </w:tcBorders>
          </w:tcPr>
          <w:p w14:paraId="3C3D353B" w14:textId="77777777" w:rsidR="00653D4A" w:rsidRPr="00420217" w:rsidRDefault="00653D4A" w:rsidP="00455259">
            <w:pPr>
              <w:autoSpaceDE w:val="0"/>
              <w:autoSpaceDN w:val="0"/>
              <w:adjustRightInd w:val="0"/>
              <w:spacing w:after="0" w:line="240" w:lineRule="auto"/>
              <w:ind w:firstLine="360"/>
              <w:rPr>
                <w:rFonts w:cs="Arial"/>
                <w:color w:val="000000"/>
              </w:rPr>
            </w:pPr>
            <w:r w:rsidRPr="00420217">
              <w:rPr>
                <w:rFonts w:cs="Arial"/>
                <w:color w:val="000000"/>
              </w:rPr>
              <w:t xml:space="preserve">Not measured </w:t>
            </w:r>
          </w:p>
        </w:tc>
        <w:tc>
          <w:tcPr>
            <w:tcW w:w="2880" w:type="dxa"/>
            <w:tcBorders>
              <w:top w:val="single" w:sz="8" w:space="0" w:color="000000"/>
              <w:left w:val="single" w:sz="8" w:space="0" w:color="000000"/>
              <w:bottom w:val="single" w:sz="8" w:space="0" w:color="000000"/>
            </w:tcBorders>
          </w:tcPr>
          <w:p w14:paraId="132FF7AC"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HDEFGRP1 </w:t>
            </w:r>
          </w:p>
        </w:tc>
      </w:tr>
      <w:tr w:rsidR="00653D4A" w:rsidRPr="00420217" w14:paraId="6DEFD669" w14:textId="77777777" w:rsidTr="003B704C">
        <w:trPr>
          <w:trHeight w:val="133"/>
        </w:trPr>
        <w:tc>
          <w:tcPr>
            <w:tcW w:w="3798" w:type="dxa"/>
            <w:tcBorders>
              <w:top w:val="single" w:sz="8" w:space="0" w:color="000000"/>
              <w:bottom w:val="single" w:sz="8" w:space="0" w:color="000000"/>
              <w:right w:val="single" w:sz="8" w:space="0" w:color="000000"/>
            </w:tcBorders>
          </w:tcPr>
          <w:p w14:paraId="705F3BF6" w14:textId="77777777" w:rsidR="00653D4A" w:rsidRPr="00420217" w:rsidRDefault="00653D4A" w:rsidP="00455259">
            <w:pPr>
              <w:autoSpaceDE w:val="0"/>
              <w:autoSpaceDN w:val="0"/>
              <w:adjustRightInd w:val="0"/>
              <w:spacing w:after="0" w:line="240" w:lineRule="auto"/>
              <w:ind w:firstLine="360"/>
              <w:rPr>
                <w:rFonts w:cs="Arial"/>
                <w:color w:val="000000"/>
              </w:rPr>
            </w:pPr>
            <w:r w:rsidRPr="00420217">
              <w:rPr>
                <w:rFonts w:cs="Arial"/>
                <w:color w:val="000000"/>
              </w:rPr>
              <w:t xml:space="preserve">EF&lt;30 </w:t>
            </w:r>
          </w:p>
        </w:tc>
        <w:tc>
          <w:tcPr>
            <w:tcW w:w="2880" w:type="dxa"/>
            <w:tcBorders>
              <w:top w:val="single" w:sz="8" w:space="0" w:color="000000"/>
              <w:left w:val="single" w:sz="8" w:space="0" w:color="000000"/>
              <w:bottom w:val="single" w:sz="8" w:space="0" w:color="000000"/>
            </w:tcBorders>
          </w:tcPr>
          <w:p w14:paraId="108C3592"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HDEFGRP2 </w:t>
            </w:r>
          </w:p>
        </w:tc>
      </w:tr>
      <w:tr w:rsidR="00653D4A" w:rsidRPr="00420217" w14:paraId="2E11095B" w14:textId="77777777" w:rsidTr="003B704C">
        <w:trPr>
          <w:trHeight w:val="133"/>
        </w:trPr>
        <w:tc>
          <w:tcPr>
            <w:tcW w:w="3798" w:type="dxa"/>
            <w:tcBorders>
              <w:top w:val="single" w:sz="8" w:space="0" w:color="000000"/>
              <w:bottom w:val="single" w:sz="6" w:space="0" w:color="000000"/>
              <w:right w:val="single" w:sz="8" w:space="0" w:color="000000"/>
            </w:tcBorders>
          </w:tcPr>
          <w:p w14:paraId="25017913" w14:textId="77777777" w:rsidR="00653D4A" w:rsidRPr="00420217" w:rsidRDefault="00653D4A" w:rsidP="00455259">
            <w:pPr>
              <w:autoSpaceDE w:val="0"/>
              <w:autoSpaceDN w:val="0"/>
              <w:adjustRightInd w:val="0"/>
              <w:spacing w:after="0" w:line="240" w:lineRule="auto"/>
              <w:ind w:firstLine="360"/>
              <w:rPr>
                <w:rFonts w:cs="Arial"/>
                <w:color w:val="000000"/>
              </w:rPr>
            </w:pPr>
            <w:r w:rsidRPr="00420217">
              <w:rPr>
                <w:rFonts w:cs="Arial"/>
                <w:color w:val="000000"/>
              </w:rPr>
              <w:t xml:space="preserve">30≤EF&lt;45 </w:t>
            </w:r>
          </w:p>
        </w:tc>
        <w:tc>
          <w:tcPr>
            <w:tcW w:w="2880" w:type="dxa"/>
            <w:tcBorders>
              <w:top w:val="single" w:sz="8" w:space="0" w:color="000000"/>
              <w:left w:val="single" w:sz="8" w:space="0" w:color="000000"/>
              <w:bottom w:val="single" w:sz="6" w:space="0" w:color="000000"/>
            </w:tcBorders>
          </w:tcPr>
          <w:p w14:paraId="448E9C5A"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HDEFGRP3 </w:t>
            </w:r>
          </w:p>
        </w:tc>
      </w:tr>
      <w:tr w:rsidR="00653D4A" w:rsidRPr="00420217" w14:paraId="3588D2BB" w14:textId="77777777" w:rsidTr="003B704C">
        <w:trPr>
          <w:trHeight w:val="133"/>
        </w:trPr>
        <w:tc>
          <w:tcPr>
            <w:tcW w:w="3798" w:type="dxa"/>
            <w:tcBorders>
              <w:top w:val="single" w:sz="6" w:space="0" w:color="000000"/>
              <w:bottom w:val="single" w:sz="8" w:space="0" w:color="000000"/>
              <w:right w:val="single" w:sz="8" w:space="0" w:color="000000"/>
            </w:tcBorders>
          </w:tcPr>
          <w:p w14:paraId="5EA0A7AC" w14:textId="77777777" w:rsidR="00653D4A" w:rsidRPr="00420217" w:rsidRDefault="00653D4A" w:rsidP="00455259">
            <w:pPr>
              <w:autoSpaceDE w:val="0"/>
              <w:autoSpaceDN w:val="0"/>
              <w:adjustRightInd w:val="0"/>
              <w:spacing w:after="0" w:line="240" w:lineRule="auto"/>
              <w:ind w:firstLine="360"/>
              <w:rPr>
                <w:rFonts w:cs="Arial"/>
                <w:color w:val="000000"/>
              </w:rPr>
            </w:pPr>
            <w:r w:rsidRPr="00420217">
              <w:rPr>
                <w:rFonts w:cs="Arial"/>
                <w:color w:val="000000"/>
              </w:rPr>
              <w:t xml:space="preserve">EF≥45 </w:t>
            </w:r>
          </w:p>
        </w:tc>
        <w:tc>
          <w:tcPr>
            <w:tcW w:w="2880" w:type="dxa"/>
            <w:tcBorders>
              <w:top w:val="single" w:sz="6" w:space="0" w:color="000000"/>
              <w:left w:val="single" w:sz="8" w:space="0" w:color="000000"/>
              <w:bottom w:val="single" w:sz="8" w:space="0" w:color="000000"/>
            </w:tcBorders>
          </w:tcPr>
          <w:p w14:paraId="544D537D"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Reference </w:t>
            </w:r>
          </w:p>
        </w:tc>
      </w:tr>
      <w:tr w:rsidR="00653D4A" w:rsidRPr="00420217" w14:paraId="3F6FB253" w14:textId="77777777" w:rsidTr="003B704C">
        <w:trPr>
          <w:trHeight w:val="138"/>
        </w:trPr>
        <w:tc>
          <w:tcPr>
            <w:tcW w:w="6678" w:type="dxa"/>
            <w:gridSpan w:val="2"/>
            <w:tcBorders>
              <w:top w:val="single" w:sz="8" w:space="0" w:color="000000"/>
              <w:bottom w:val="single" w:sz="6" w:space="0" w:color="000000"/>
            </w:tcBorders>
          </w:tcPr>
          <w:p w14:paraId="5D090E1F"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b/>
                <w:bCs/>
                <w:color w:val="000000"/>
              </w:rPr>
              <w:t xml:space="preserve">PCI Procedure </w:t>
            </w:r>
          </w:p>
        </w:tc>
      </w:tr>
      <w:tr w:rsidR="00653D4A" w:rsidRPr="00420217" w14:paraId="453021A6" w14:textId="77777777" w:rsidTr="003B704C">
        <w:trPr>
          <w:trHeight w:val="133"/>
        </w:trPr>
        <w:tc>
          <w:tcPr>
            <w:tcW w:w="6678" w:type="dxa"/>
            <w:gridSpan w:val="2"/>
            <w:tcBorders>
              <w:top w:val="single" w:sz="6" w:space="0" w:color="000000"/>
              <w:bottom w:val="single" w:sz="8" w:space="0" w:color="000000"/>
            </w:tcBorders>
          </w:tcPr>
          <w:p w14:paraId="3B18E5AE" w14:textId="396D627D" w:rsidR="00653D4A" w:rsidRPr="00420217" w:rsidRDefault="00E779E1" w:rsidP="00E779E1">
            <w:pPr>
              <w:autoSpaceDE w:val="0"/>
              <w:autoSpaceDN w:val="0"/>
              <w:adjustRightInd w:val="0"/>
              <w:spacing w:after="0" w:line="240" w:lineRule="auto"/>
              <w:ind w:firstLine="180"/>
              <w:rPr>
                <w:rFonts w:cs="Arial"/>
                <w:color w:val="000000"/>
              </w:rPr>
            </w:pPr>
            <w:r>
              <w:rPr>
                <w:rFonts w:cs="Arial"/>
                <w:color w:val="000000"/>
              </w:rPr>
              <w:t xml:space="preserve">(18) </w:t>
            </w:r>
            <w:r w:rsidR="00653D4A" w:rsidRPr="00420217">
              <w:rPr>
                <w:rFonts w:cs="Arial"/>
                <w:color w:val="000000"/>
              </w:rPr>
              <w:t xml:space="preserve">PCI status </w:t>
            </w:r>
          </w:p>
        </w:tc>
      </w:tr>
      <w:tr w:rsidR="00653D4A" w:rsidRPr="00420217" w14:paraId="469E0396" w14:textId="77777777" w:rsidTr="003B704C">
        <w:trPr>
          <w:trHeight w:val="133"/>
        </w:trPr>
        <w:tc>
          <w:tcPr>
            <w:tcW w:w="3798" w:type="dxa"/>
            <w:tcBorders>
              <w:top w:val="single" w:sz="8" w:space="0" w:color="000000"/>
              <w:bottom w:val="single" w:sz="8" w:space="0" w:color="000000"/>
              <w:right w:val="single" w:sz="8" w:space="0" w:color="000000"/>
            </w:tcBorders>
          </w:tcPr>
          <w:p w14:paraId="6287A42F" w14:textId="77777777" w:rsidR="00653D4A" w:rsidRPr="00420217" w:rsidRDefault="00653D4A" w:rsidP="00455259">
            <w:pPr>
              <w:autoSpaceDE w:val="0"/>
              <w:autoSpaceDN w:val="0"/>
              <w:adjustRightInd w:val="0"/>
              <w:spacing w:after="0" w:line="240" w:lineRule="auto"/>
              <w:ind w:firstLine="360"/>
              <w:rPr>
                <w:rFonts w:cs="Arial"/>
                <w:color w:val="000000"/>
              </w:rPr>
            </w:pPr>
            <w:r w:rsidRPr="00420217">
              <w:rPr>
                <w:rFonts w:cs="Arial"/>
                <w:color w:val="000000"/>
              </w:rPr>
              <w:t xml:space="preserve">Elective </w:t>
            </w:r>
          </w:p>
        </w:tc>
        <w:tc>
          <w:tcPr>
            <w:tcW w:w="2880" w:type="dxa"/>
            <w:tcBorders>
              <w:top w:val="single" w:sz="8" w:space="0" w:color="000000"/>
              <w:left w:val="single" w:sz="8" w:space="0" w:color="000000"/>
              <w:bottom w:val="single" w:sz="8" w:space="0" w:color="000000"/>
            </w:tcBorders>
          </w:tcPr>
          <w:p w14:paraId="08B298D6"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Reference </w:t>
            </w:r>
          </w:p>
        </w:tc>
      </w:tr>
      <w:tr w:rsidR="00653D4A" w:rsidRPr="00420217" w14:paraId="12958EEF" w14:textId="77777777" w:rsidTr="003B704C">
        <w:trPr>
          <w:trHeight w:val="133"/>
        </w:trPr>
        <w:tc>
          <w:tcPr>
            <w:tcW w:w="3798" w:type="dxa"/>
            <w:tcBorders>
              <w:top w:val="single" w:sz="8" w:space="0" w:color="000000"/>
              <w:bottom w:val="single" w:sz="8" w:space="0" w:color="000000"/>
              <w:right w:val="single" w:sz="8" w:space="0" w:color="000000"/>
            </w:tcBorders>
          </w:tcPr>
          <w:p w14:paraId="36FC7406" w14:textId="77777777" w:rsidR="00653D4A" w:rsidRPr="00420217" w:rsidRDefault="00653D4A" w:rsidP="00455259">
            <w:pPr>
              <w:autoSpaceDE w:val="0"/>
              <w:autoSpaceDN w:val="0"/>
              <w:adjustRightInd w:val="0"/>
              <w:spacing w:after="0" w:line="240" w:lineRule="auto"/>
              <w:ind w:firstLine="360"/>
              <w:rPr>
                <w:rFonts w:cs="Arial"/>
                <w:color w:val="000000"/>
              </w:rPr>
            </w:pPr>
            <w:r w:rsidRPr="00420217">
              <w:rPr>
                <w:rFonts w:cs="Arial"/>
                <w:color w:val="000000"/>
              </w:rPr>
              <w:t xml:space="preserve">Urgent </w:t>
            </w:r>
          </w:p>
        </w:tc>
        <w:tc>
          <w:tcPr>
            <w:tcW w:w="2880" w:type="dxa"/>
            <w:tcBorders>
              <w:top w:val="single" w:sz="8" w:space="0" w:color="000000"/>
              <w:left w:val="single" w:sz="8" w:space="0" w:color="000000"/>
              <w:bottom w:val="single" w:sz="8" w:space="0" w:color="000000"/>
            </w:tcBorders>
          </w:tcPr>
          <w:p w14:paraId="0DFBDE8D"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PCIS2 </w:t>
            </w:r>
          </w:p>
        </w:tc>
      </w:tr>
      <w:tr w:rsidR="00653D4A" w:rsidRPr="00420217" w14:paraId="7AFA0FD7" w14:textId="77777777" w:rsidTr="003B704C">
        <w:trPr>
          <w:trHeight w:val="133"/>
        </w:trPr>
        <w:tc>
          <w:tcPr>
            <w:tcW w:w="3798" w:type="dxa"/>
            <w:tcBorders>
              <w:top w:val="single" w:sz="8" w:space="0" w:color="000000"/>
              <w:bottom w:val="single" w:sz="8" w:space="0" w:color="000000"/>
              <w:right w:val="single" w:sz="8" w:space="0" w:color="000000"/>
            </w:tcBorders>
          </w:tcPr>
          <w:p w14:paraId="0E9913C9" w14:textId="77777777" w:rsidR="00653D4A" w:rsidRPr="00420217" w:rsidRDefault="00653D4A" w:rsidP="00455259">
            <w:pPr>
              <w:autoSpaceDE w:val="0"/>
              <w:autoSpaceDN w:val="0"/>
              <w:adjustRightInd w:val="0"/>
              <w:spacing w:after="0" w:line="240" w:lineRule="auto"/>
              <w:ind w:firstLine="360"/>
              <w:rPr>
                <w:rFonts w:cs="Arial"/>
                <w:color w:val="000000"/>
              </w:rPr>
            </w:pPr>
            <w:r w:rsidRPr="00420217">
              <w:rPr>
                <w:rFonts w:cs="Arial"/>
                <w:color w:val="000000"/>
              </w:rPr>
              <w:t xml:space="preserve">Emergency </w:t>
            </w:r>
          </w:p>
        </w:tc>
        <w:tc>
          <w:tcPr>
            <w:tcW w:w="2880" w:type="dxa"/>
            <w:tcBorders>
              <w:top w:val="single" w:sz="8" w:space="0" w:color="000000"/>
              <w:left w:val="single" w:sz="8" w:space="0" w:color="000000"/>
              <w:bottom w:val="single" w:sz="8" w:space="0" w:color="000000"/>
            </w:tcBorders>
          </w:tcPr>
          <w:p w14:paraId="2198B8E6"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PCIS3 </w:t>
            </w:r>
          </w:p>
        </w:tc>
      </w:tr>
      <w:tr w:rsidR="00653D4A" w:rsidRPr="00420217" w14:paraId="2301FD4D" w14:textId="77777777" w:rsidTr="003B704C">
        <w:trPr>
          <w:trHeight w:val="133"/>
        </w:trPr>
        <w:tc>
          <w:tcPr>
            <w:tcW w:w="3798" w:type="dxa"/>
            <w:tcBorders>
              <w:top w:val="single" w:sz="8" w:space="0" w:color="000000"/>
              <w:bottom w:val="single" w:sz="8" w:space="0" w:color="000000"/>
              <w:right w:val="single" w:sz="8" w:space="0" w:color="000000"/>
            </w:tcBorders>
          </w:tcPr>
          <w:p w14:paraId="663EA576" w14:textId="77777777" w:rsidR="00653D4A" w:rsidRPr="00420217" w:rsidRDefault="00653D4A" w:rsidP="00455259">
            <w:pPr>
              <w:autoSpaceDE w:val="0"/>
              <w:autoSpaceDN w:val="0"/>
              <w:adjustRightInd w:val="0"/>
              <w:spacing w:after="0" w:line="240" w:lineRule="auto"/>
              <w:ind w:firstLine="360"/>
              <w:rPr>
                <w:rFonts w:cs="Arial"/>
                <w:color w:val="000000"/>
              </w:rPr>
            </w:pPr>
            <w:r w:rsidRPr="00420217">
              <w:rPr>
                <w:rFonts w:cs="Arial"/>
                <w:color w:val="000000"/>
              </w:rPr>
              <w:t xml:space="preserve">Salvage </w:t>
            </w:r>
          </w:p>
        </w:tc>
        <w:tc>
          <w:tcPr>
            <w:tcW w:w="2880" w:type="dxa"/>
            <w:tcBorders>
              <w:top w:val="single" w:sz="8" w:space="0" w:color="000000"/>
              <w:left w:val="single" w:sz="8" w:space="0" w:color="000000"/>
              <w:bottom w:val="single" w:sz="8" w:space="0" w:color="000000"/>
            </w:tcBorders>
          </w:tcPr>
          <w:p w14:paraId="0C5E9189"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PCIS4 </w:t>
            </w:r>
          </w:p>
        </w:tc>
      </w:tr>
      <w:tr w:rsidR="00653D4A" w:rsidRPr="00890CE3" w14:paraId="015905D0" w14:textId="77777777" w:rsidTr="003B704C">
        <w:trPr>
          <w:trHeight w:val="133"/>
        </w:trPr>
        <w:tc>
          <w:tcPr>
            <w:tcW w:w="3798" w:type="dxa"/>
            <w:tcBorders>
              <w:top w:val="single" w:sz="8" w:space="0" w:color="000000"/>
              <w:bottom w:val="single" w:sz="8" w:space="0" w:color="000000"/>
              <w:right w:val="single" w:sz="8" w:space="0" w:color="000000"/>
            </w:tcBorders>
          </w:tcPr>
          <w:p w14:paraId="1E5F4638" w14:textId="6005AD30" w:rsidR="00653D4A" w:rsidRPr="00890CE3" w:rsidRDefault="00E779E1" w:rsidP="00455259">
            <w:pPr>
              <w:autoSpaceDE w:val="0"/>
              <w:autoSpaceDN w:val="0"/>
              <w:adjustRightInd w:val="0"/>
              <w:spacing w:after="0" w:line="240" w:lineRule="auto"/>
              <w:ind w:firstLine="180"/>
              <w:rPr>
                <w:rFonts w:cs="Arial"/>
                <w:color w:val="000000"/>
              </w:rPr>
            </w:pPr>
            <w:r>
              <w:rPr>
                <w:rFonts w:cs="Arial"/>
                <w:color w:val="000000"/>
              </w:rPr>
              <w:t xml:space="preserve">(19) </w:t>
            </w:r>
            <w:r w:rsidR="00653D4A" w:rsidRPr="00420217">
              <w:rPr>
                <w:rFonts w:cs="Arial"/>
                <w:color w:val="000000"/>
              </w:rPr>
              <w:t xml:space="preserve">Highest risk lesion – location </w:t>
            </w:r>
          </w:p>
        </w:tc>
        <w:tc>
          <w:tcPr>
            <w:tcW w:w="2880" w:type="dxa"/>
            <w:tcBorders>
              <w:top w:val="single" w:sz="8" w:space="0" w:color="000000"/>
              <w:left w:val="single" w:sz="8" w:space="0" w:color="000000"/>
              <w:bottom w:val="single" w:sz="8" w:space="0" w:color="000000"/>
            </w:tcBorders>
          </w:tcPr>
          <w:p w14:paraId="4815A49D" w14:textId="77777777" w:rsidR="00653D4A" w:rsidRPr="00420217" w:rsidRDefault="00653D4A" w:rsidP="00455259">
            <w:pPr>
              <w:autoSpaceDE w:val="0"/>
              <w:autoSpaceDN w:val="0"/>
              <w:adjustRightInd w:val="0"/>
              <w:spacing w:after="0" w:line="240" w:lineRule="auto"/>
              <w:ind w:firstLine="180"/>
              <w:rPr>
                <w:rFonts w:cs="Arial"/>
                <w:color w:val="000000"/>
              </w:rPr>
            </w:pPr>
          </w:p>
        </w:tc>
      </w:tr>
      <w:tr w:rsidR="00653D4A" w:rsidRPr="00420217" w14:paraId="1A37DD44" w14:textId="77777777" w:rsidTr="003B704C">
        <w:trPr>
          <w:trHeight w:val="133"/>
        </w:trPr>
        <w:tc>
          <w:tcPr>
            <w:tcW w:w="3798" w:type="dxa"/>
            <w:tcBorders>
              <w:top w:val="single" w:sz="8" w:space="0" w:color="000000"/>
              <w:bottom w:val="single" w:sz="8" w:space="0" w:color="000000"/>
              <w:right w:val="single" w:sz="8" w:space="0" w:color="000000"/>
            </w:tcBorders>
          </w:tcPr>
          <w:p w14:paraId="4F40A9D2" w14:textId="77777777" w:rsidR="00653D4A" w:rsidRPr="00420217" w:rsidRDefault="00653D4A" w:rsidP="00455259">
            <w:pPr>
              <w:autoSpaceDE w:val="0"/>
              <w:autoSpaceDN w:val="0"/>
              <w:adjustRightInd w:val="0"/>
              <w:spacing w:after="0" w:line="240" w:lineRule="auto"/>
              <w:ind w:firstLine="360"/>
              <w:rPr>
                <w:rFonts w:cs="Arial"/>
                <w:color w:val="000000"/>
              </w:rPr>
            </w:pPr>
            <w:r w:rsidRPr="00420217">
              <w:rPr>
                <w:rFonts w:cs="Arial"/>
                <w:color w:val="000000"/>
              </w:rPr>
              <w:t xml:space="preserve">pRCA/mLAD/pCIRC </w:t>
            </w:r>
          </w:p>
        </w:tc>
        <w:tc>
          <w:tcPr>
            <w:tcW w:w="2880" w:type="dxa"/>
            <w:tcBorders>
              <w:top w:val="single" w:sz="8" w:space="0" w:color="000000"/>
              <w:left w:val="single" w:sz="8" w:space="0" w:color="000000"/>
              <w:bottom w:val="single" w:sz="8" w:space="0" w:color="000000"/>
            </w:tcBorders>
          </w:tcPr>
          <w:p w14:paraId="7EBFAC09"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NLESLOC1 </w:t>
            </w:r>
          </w:p>
        </w:tc>
      </w:tr>
      <w:tr w:rsidR="00653D4A" w:rsidRPr="00420217" w14:paraId="5C0CEE17" w14:textId="77777777" w:rsidTr="003B704C">
        <w:trPr>
          <w:trHeight w:val="133"/>
        </w:trPr>
        <w:tc>
          <w:tcPr>
            <w:tcW w:w="3798" w:type="dxa"/>
            <w:tcBorders>
              <w:top w:val="single" w:sz="8" w:space="0" w:color="000000"/>
              <w:bottom w:val="single" w:sz="8" w:space="0" w:color="000000"/>
              <w:right w:val="single" w:sz="8" w:space="0" w:color="000000"/>
            </w:tcBorders>
          </w:tcPr>
          <w:p w14:paraId="6C304740" w14:textId="77777777" w:rsidR="00653D4A" w:rsidRPr="00420217" w:rsidRDefault="00653D4A" w:rsidP="00455259">
            <w:pPr>
              <w:autoSpaceDE w:val="0"/>
              <w:autoSpaceDN w:val="0"/>
              <w:adjustRightInd w:val="0"/>
              <w:spacing w:after="0" w:line="240" w:lineRule="auto"/>
              <w:ind w:firstLine="360"/>
              <w:rPr>
                <w:rFonts w:cs="Arial"/>
                <w:color w:val="000000"/>
              </w:rPr>
            </w:pPr>
            <w:r w:rsidRPr="00420217">
              <w:rPr>
                <w:rFonts w:cs="Arial"/>
                <w:color w:val="000000"/>
              </w:rPr>
              <w:t xml:space="preserve">pLAD </w:t>
            </w:r>
          </w:p>
        </w:tc>
        <w:tc>
          <w:tcPr>
            <w:tcW w:w="2880" w:type="dxa"/>
            <w:tcBorders>
              <w:top w:val="single" w:sz="8" w:space="0" w:color="000000"/>
              <w:left w:val="single" w:sz="8" w:space="0" w:color="000000"/>
              <w:bottom w:val="single" w:sz="8" w:space="0" w:color="000000"/>
            </w:tcBorders>
          </w:tcPr>
          <w:p w14:paraId="132A6261"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NLESLOC2 </w:t>
            </w:r>
          </w:p>
        </w:tc>
      </w:tr>
      <w:tr w:rsidR="00653D4A" w:rsidRPr="00420217" w14:paraId="3C032483" w14:textId="77777777" w:rsidTr="003B704C">
        <w:trPr>
          <w:trHeight w:val="133"/>
        </w:trPr>
        <w:tc>
          <w:tcPr>
            <w:tcW w:w="3798" w:type="dxa"/>
            <w:tcBorders>
              <w:top w:val="single" w:sz="8" w:space="0" w:color="000000"/>
              <w:bottom w:val="single" w:sz="8" w:space="0" w:color="000000"/>
              <w:right w:val="single" w:sz="8" w:space="0" w:color="000000"/>
            </w:tcBorders>
          </w:tcPr>
          <w:p w14:paraId="7716D3CD" w14:textId="77777777" w:rsidR="00653D4A" w:rsidRPr="00420217" w:rsidRDefault="00653D4A" w:rsidP="00455259">
            <w:pPr>
              <w:autoSpaceDE w:val="0"/>
              <w:autoSpaceDN w:val="0"/>
              <w:adjustRightInd w:val="0"/>
              <w:spacing w:after="0" w:line="240" w:lineRule="auto"/>
              <w:ind w:firstLine="360"/>
              <w:rPr>
                <w:rFonts w:cs="Arial"/>
                <w:color w:val="000000"/>
              </w:rPr>
            </w:pPr>
            <w:r w:rsidRPr="00420217">
              <w:rPr>
                <w:rFonts w:cs="Arial"/>
                <w:color w:val="000000"/>
              </w:rPr>
              <w:t xml:space="preserve">Left main </w:t>
            </w:r>
          </w:p>
        </w:tc>
        <w:tc>
          <w:tcPr>
            <w:tcW w:w="2880" w:type="dxa"/>
            <w:tcBorders>
              <w:top w:val="single" w:sz="8" w:space="0" w:color="000000"/>
              <w:left w:val="single" w:sz="8" w:space="0" w:color="000000"/>
              <w:bottom w:val="single" w:sz="8" w:space="0" w:color="000000"/>
            </w:tcBorders>
          </w:tcPr>
          <w:p w14:paraId="41C84B72"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NLESLOC3 </w:t>
            </w:r>
          </w:p>
        </w:tc>
      </w:tr>
      <w:tr w:rsidR="00653D4A" w:rsidRPr="00420217" w14:paraId="7D323082" w14:textId="77777777" w:rsidTr="003B704C">
        <w:trPr>
          <w:trHeight w:val="133"/>
        </w:trPr>
        <w:tc>
          <w:tcPr>
            <w:tcW w:w="3798" w:type="dxa"/>
            <w:tcBorders>
              <w:top w:val="single" w:sz="8" w:space="0" w:color="000000"/>
              <w:bottom w:val="single" w:sz="8" w:space="0" w:color="000000"/>
              <w:right w:val="single" w:sz="8" w:space="0" w:color="000000"/>
            </w:tcBorders>
          </w:tcPr>
          <w:p w14:paraId="5F9C9619" w14:textId="77777777" w:rsidR="00653D4A" w:rsidRPr="00420217" w:rsidRDefault="00653D4A" w:rsidP="00455259">
            <w:pPr>
              <w:autoSpaceDE w:val="0"/>
              <w:autoSpaceDN w:val="0"/>
              <w:adjustRightInd w:val="0"/>
              <w:spacing w:after="0" w:line="240" w:lineRule="auto"/>
              <w:ind w:firstLine="360"/>
              <w:rPr>
                <w:rFonts w:cs="Arial"/>
                <w:color w:val="000000"/>
              </w:rPr>
            </w:pPr>
            <w:r w:rsidRPr="00420217">
              <w:rPr>
                <w:rFonts w:cs="Arial"/>
                <w:color w:val="000000"/>
              </w:rPr>
              <w:t xml:space="preserve">Other </w:t>
            </w:r>
          </w:p>
        </w:tc>
        <w:tc>
          <w:tcPr>
            <w:tcW w:w="2880" w:type="dxa"/>
            <w:tcBorders>
              <w:top w:val="single" w:sz="8" w:space="0" w:color="000000"/>
              <w:left w:val="single" w:sz="8" w:space="0" w:color="000000"/>
              <w:bottom w:val="single" w:sz="8" w:space="0" w:color="000000"/>
            </w:tcBorders>
          </w:tcPr>
          <w:p w14:paraId="15371520" w14:textId="77777777" w:rsidR="00653D4A" w:rsidRPr="00420217" w:rsidRDefault="00653D4A" w:rsidP="00455259">
            <w:pPr>
              <w:autoSpaceDE w:val="0"/>
              <w:autoSpaceDN w:val="0"/>
              <w:adjustRightInd w:val="0"/>
              <w:spacing w:after="0" w:line="240" w:lineRule="auto"/>
              <w:rPr>
                <w:rFonts w:cs="Arial"/>
                <w:color w:val="000000"/>
              </w:rPr>
            </w:pPr>
            <w:r w:rsidRPr="00420217">
              <w:rPr>
                <w:rFonts w:cs="Arial"/>
                <w:color w:val="000000"/>
              </w:rPr>
              <w:t xml:space="preserve">Reference </w:t>
            </w:r>
          </w:p>
        </w:tc>
      </w:tr>
      <w:tr w:rsidR="00653D4A" w:rsidRPr="00420217" w14:paraId="6F85896A" w14:textId="77777777" w:rsidTr="003B704C">
        <w:trPr>
          <w:trHeight w:val="133"/>
        </w:trPr>
        <w:tc>
          <w:tcPr>
            <w:tcW w:w="6678" w:type="dxa"/>
            <w:gridSpan w:val="2"/>
            <w:tcBorders>
              <w:top w:val="single" w:sz="8" w:space="0" w:color="000000"/>
              <w:bottom w:val="single" w:sz="8" w:space="0" w:color="000000"/>
            </w:tcBorders>
          </w:tcPr>
          <w:p w14:paraId="097BDACC" w14:textId="629819F8" w:rsidR="00653D4A" w:rsidRPr="00420217" w:rsidRDefault="00E779E1" w:rsidP="00544E2C">
            <w:pPr>
              <w:autoSpaceDE w:val="0"/>
              <w:autoSpaceDN w:val="0"/>
              <w:adjustRightInd w:val="0"/>
              <w:spacing w:after="0" w:line="240" w:lineRule="auto"/>
              <w:ind w:firstLine="180"/>
              <w:rPr>
                <w:rFonts w:cs="Arial"/>
                <w:color w:val="000000"/>
              </w:rPr>
            </w:pPr>
            <w:r>
              <w:rPr>
                <w:rFonts w:cs="Arial"/>
                <w:color w:val="000000"/>
              </w:rPr>
              <w:t xml:space="preserve">(20) </w:t>
            </w:r>
            <w:r w:rsidR="00653D4A" w:rsidRPr="00420217">
              <w:rPr>
                <w:rFonts w:cs="Arial"/>
                <w:color w:val="000000"/>
              </w:rPr>
              <w:t xml:space="preserve">Highest pre-procedure TIMI flow: none </w:t>
            </w:r>
          </w:p>
        </w:tc>
      </w:tr>
    </w:tbl>
    <w:p w14:paraId="10CEAD71" w14:textId="77777777" w:rsidR="004E5077" w:rsidRDefault="004E5077" w:rsidP="00092566">
      <w:pPr>
        <w:autoSpaceDE w:val="0"/>
        <w:autoSpaceDN w:val="0"/>
        <w:adjustRightInd w:val="0"/>
        <w:spacing w:after="0" w:line="240" w:lineRule="auto"/>
        <w:rPr>
          <w:rFonts w:cstheme="minorHAnsi"/>
          <w:b/>
          <w:bCs/>
        </w:rPr>
      </w:pPr>
    </w:p>
    <w:p w14:paraId="788BA6A5" w14:textId="0DBACBFD" w:rsidR="00092566" w:rsidRDefault="00E1508F" w:rsidP="00092566">
      <w:pPr>
        <w:autoSpaceDE w:val="0"/>
        <w:autoSpaceDN w:val="0"/>
        <w:adjustRightInd w:val="0"/>
        <w:spacing w:after="0" w:line="240" w:lineRule="auto"/>
        <w:rPr>
          <w:rFonts w:cstheme="minorHAnsi"/>
          <w:bCs/>
        </w:rPr>
      </w:pPr>
      <w:r w:rsidRPr="00653D4A">
        <w:rPr>
          <w:rFonts w:cstheme="minorHAnsi"/>
          <w:b/>
          <w:bCs/>
        </w:rPr>
        <w:t>2b4.</w:t>
      </w:r>
      <w:r w:rsidR="00092566" w:rsidRPr="00653D4A">
        <w:rPr>
          <w:rFonts w:cstheme="minorHAnsi"/>
          <w:b/>
          <w:bCs/>
        </w:rPr>
        <w:t xml:space="preserve">5. </w:t>
      </w:r>
      <w:r w:rsidR="008871A9" w:rsidRPr="00653D4A">
        <w:rPr>
          <w:rFonts w:cstheme="minorHAnsi"/>
          <w:b/>
          <w:bCs/>
        </w:rPr>
        <w:t>Describe the method of</w:t>
      </w:r>
      <w:r w:rsidR="00092566" w:rsidRPr="00653D4A">
        <w:rPr>
          <w:rFonts w:cstheme="minorHAnsi"/>
          <w:b/>
          <w:bCs/>
        </w:rPr>
        <w:t xml:space="preserve"> </w:t>
      </w:r>
      <w:r w:rsidR="008871A9" w:rsidRPr="00653D4A">
        <w:rPr>
          <w:rFonts w:cstheme="minorHAnsi"/>
          <w:b/>
          <w:bCs/>
        </w:rPr>
        <w:t xml:space="preserve">testing/analysis used </w:t>
      </w:r>
      <w:r w:rsidR="00092566" w:rsidRPr="00653D4A">
        <w:rPr>
          <w:rFonts w:cstheme="minorHAnsi"/>
          <w:b/>
          <w:bCs/>
        </w:rPr>
        <w:t xml:space="preserve">to develop and validate the adequacy of the statistical model </w:t>
      </w:r>
      <w:r w:rsidR="00092566" w:rsidRPr="00653D4A">
        <w:rPr>
          <w:rFonts w:cstheme="minorHAnsi"/>
          <w:b/>
          <w:bCs/>
          <w:u w:val="single"/>
        </w:rPr>
        <w:t>or</w:t>
      </w:r>
      <w:r w:rsidR="00092566" w:rsidRPr="00653D4A">
        <w:rPr>
          <w:rFonts w:cstheme="minorHAnsi"/>
          <w:b/>
          <w:bCs/>
        </w:rPr>
        <w:t xml:space="preserve"> stratification approach</w:t>
      </w:r>
      <w:r w:rsidR="00092566" w:rsidRPr="00653D4A">
        <w:rPr>
          <w:rFonts w:cstheme="minorHAnsi"/>
          <w:bCs/>
        </w:rPr>
        <w:t xml:space="preserve"> (</w:t>
      </w:r>
      <w:r w:rsidR="008871A9" w:rsidRPr="00653D4A">
        <w:rPr>
          <w:rFonts w:cstheme="minorHAnsi"/>
          <w:bCs/>
          <w:i/>
        </w:rPr>
        <w:t>describe the steps―do not just name a method</w:t>
      </w:r>
      <w:r w:rsidR="006C3A4F" w:rsidRPr="00653D4A">
        <w:rPr>
          <w:rFonts w:cstheme="minorHAnsi"/>
          <w:bCs/>
          <w:i/>
        </w:rPr>
        <w:t>; what statistical analysis was used</w:t>
      </w:r>
      <w:r w:rsidR="00A96B17" w:rsidRPr="00653D4A">
        <w:rPr>
          <w:rFonts w:cstheme="minorHAnsi"/>
          <w:bCs/>
        </w:rPr>
        <w:t>)</w:t>
      </w:r>
    </w:p>
    <w:p w14:paraId="4B2D17FA" w14:textId="77777777" w:rsidR="0070157C" w:rsidRPr="00B96284" w:rsidRDefault="0070157C" w:rsidP="0070157C">
      <w:pPr>
        <w:pBdr>
          <w:top w:val="single" w:sz="4" w:space="1" w:color="auto"/>
          <w:left w:val="single" w:sz="4" w:space="4" w:color="auto"/>
          <w:bottom w:val="single" w:sz="4" w:space="1" w:color="auto"/>
          <w:right w:val="single" w:sz="4" w:space="4" w:color="auto"/>
        </w:pBdr>
        <w:spacing w:line="240" w:lineRule="auto"/>
        <w:contextualSpacing/>
        <w:rPr>
          <w:rFonts w:cstheme="minorHAnsi"/>
          <w:bCs/>
          <w:u w:val="single"/>
        </w:rPr>
      </w:pPr>
      <w:r w:rsidRPr="00B96284">
        <w:rPr>
          <w:rFonts w:cstheme="minorHAnsi"/>
          <w:bCs/>
          <w:u w:val="single"/>
        </w:rPr>
        <w:t>Approach to assessing model performance</w:t>
      </w:r>
    </w:p>
    <w:p w14:paraId="1BFDBB9F" w14:textId="77777777" w:rsidR="0070157C" w:rsidRDefault="0070157C" w:rsidP="0070157C">
      <w:pPr>
        <w:pBdr>
          <w:top w:val="single" w:sz="4" w:space="1" w:color="auto"/>
          <w:left w:val="single" w:sz="4" w:space="4" w:color="auto"/>
          <w:bottom w:val="single" w:sz="4" w:space="1" w:color="auto"/>
          <w:right w:val="single" w:sz="4" w:space="4" w:color="auto"/>
        </w:pBdr>
        <w:spacing w:line="240" w:lineRule="auto"/>
        <w:contextualSpacing/>
        <w:rPr>
          <w:rFonts w:cstheme="minorHAnsi"/>
          <w:bCs/>
        </w:rPr>
      </w:pPr>
      <w:r w:rsidRPr="00B96284">
        <w:rPr>
          <w:rFonts w:cstheme="minorHAnsi"/>
          <w:bCs/>
        </w:rPr>
        <w:t xml:space="preserve">During measure development, we computed </w:t>
      </w:r>
      <w:r>
        <w:rPr>
          <w:rFonts w:cstheme="minorHAnsi"/>
          <w:bCs/>
        </w:rPr>
        <w:t>three</w:t>
      </w:r>
      <w:r w:rsidRPr="00B96284">
        <w:rPr>
          <w:rFonts w:cstheme="minorHAnsi"/>
          <w:bCs/>
        </w:rPr>
        <w:t xml:space="preserve"> summary statistics for assessing model performan</w:t>
      </w:r>
      <w:r>
        <w:rPr>
          <w:rFonts w:cstheme="minorHAnsi"/>
          <w:bCs/>
        </w:rPr>
        <w:t xml:space="preserve">ce (Harrell and Shih, 2001) for </w:t>
      </w:r>
      <w:r w:rsidRPr="00B96284">
        <w:rPr>
          <w:rFonts w:cstheme="minorHAnsi"/>
          <w:bCs/>
        </w:rPr>
        <w:t>the development and validation cohort:</w:t>
      </w:r>
    </w:p>
    <w:p w14:paraId="70138884" w14:textId="77777777" w:rsidR="0070157C" w:rsidRPr="005A6A0E" w:rsidRDefault="0070157C" w:rsidP="0070157C">
      <w:pPr>
        <w:pBdr>
          <w:top w:val="single" w:sz="4" w:space="1" w:color="auto"/>
          <w:left w:val="single" w:sz="4" w:space="4" w:color="auto"/>
          <w:bottom w:val="single" w:sz="4" w:space="1" w:color="auto"/>
          <w:right w:val="single" w:sz="4" w:space="4" w:color="auto"/>
        </w:pBdr>
        <w:spacing w:line="240" w:lineRule="auto"/>
        <w:contextualSpacing/>
        <w:rPr>
          <w:rFonts w:cstheme="minorHAnsi"/>
          <w:b/>
          <w:bCs/>
          <w:i/>
        </w:rPr>
      </w:pPr>
      <w:r w:rsidRPr="005A6A0E">
        <w:rPr>
          <w:rFonts w:cstheme="minorHAnsi"/>
          <w:b/>
          <w:bCs/>
          <w:i/>
        </w:rPr>
        <w:t>Discrimination Statistics</w:t>
      </w:r>
      <w:r>
        <w:rPr>
          <w:rFonts w:cstheme="minorHAnsi"/>
          <w:b/>
          <w:bCs/>
          <w:i/>
        </w:rPr>
        <w:t>:</w:t>
      </w:r>
    </w:p>
    <w:p w14:paraId="38693447" w14:textId="45DE6439" w:rsidR="0070157C" w:rsidRPr="00B96284" w:rsidRDefault="0070157C" w:rsidP="0070157C">
      <w:pPr>
        <w:pBdr>
          <w:top w:val="single" w:sz="4" w:space="1" w:color="auto"/>
          <w:left w:val="single" w:sz="4" w:space="4" w:color="auto"/>
          <w:bottom w:val="single" w:sz="4" w:space="1" w:color="auto"/>
          <w:right w:val="single" w:sz="4" w:space="4" w:color="auto"/>
        </w:pBdr>
        <w:spacing w:line="240" w:lineRule="auto"/>
        <w:contextualSpacing/>
        <w:rPr>
          <w:rFonts w:cstheme="minorHAnsi"/>
          <w:bCs/>
        </w:rPr>
      </w:pPr>
      <w:r w:rsidRPr="00B96284">
        <w:rPr>
          <w:rFonts w:cstheme="minorHAnsi"/>
          <w:bCs/>
        </w:rPr>
        <w:t>(</w:t>
      </w:r>
      <w:r>
        <w:rPr>
          <w:rFonts w:cstheme="minorHAnsi"/>
          <w:bCs/>
        </w:rPr>
        <w:t>1</w:t>
      </w:r>
      <w:r w:rsidR="009644C5">
        <w:rPr>
          <w:rFonts w:cstheme="minorHAnsi"/>
          <w:bCs/>
        </w:rPr>
        <w:t>) A</w:t>
      </w:r>
      <w:r w:rsidRPr="00B96284">
        <w:rPr>
          <w:rFonts w:cstheme="minorHAnsi"/>
          <w:bCs/>
        </w:rPr>
        <w:t>rea under the receiver operating characteristic (ROC) curve</w:t>
      </w:r>
      <w:r>
        <w:rPr>
          <w:rFonts w:cstheme="minorHAnsi"/>
          <w:bCs/>
        </w:rPr>
        <w:t xml:space="preserve"> </w:t>
      </w:r>
      <w:r w:rsidRPr="005A6A0E">
        <w:rPr>
          <w:rFonts w:cstheme="minorHAnsi"/>
          <w:bCs/>
        </w:rPr>
        <w:t>(the c statistic (also called ROC) is the probability that predicting the outcome is better than chance, which is a measure of how accurately a statistical model is able to distinguish between a patient with and without an outcome.)</w:t>
      </w:r>
    </w:p>
    <w:p w14:paraId="37075917" w14:textId="472C9927" w:rsidR="0070157C" w:rsidRDefault="009644C5" w:rsidP="0070157C">
      <w:pPr>
        <w:pBdr>
          <w:top w:val="single" w:sz="4" w:space="1" w:color="auto"/>
          <w:left w:val="single" w:sz="4" w:space="4" w:color="auto"/>
          <w:bottom w:val="single" w:sz="4" w:space="1" w:color="auto"/>
          <w:right w:val="single" w:sz="4" w:space="4" w:color="auto"/>
        </w:pBdr>
        <w:spacing w:line="240" w:lineRule="auto"/>
        <w:contextualSpacing/>
      </w:pPr>
      <w:r>
        <w:rPr>
          <w:rFonts w:cstheme="minorHAnsi"/>
          <w:bCs/>
        </w:rPr>
        <w:t>(2) P</w:t>
      </w:r>
      <w:r w:rsidR="0070157C" w:rsidRPr="00B96284">
        <w:rPr>
          <w:rFonts w:cstheme="minorHAnsi"/>
          <w:bCs/>
        </w:rPr>
        <w:t>redictive ability</w:t>
      </w:r>
      <w:r w:rsidR="0070157C">
        <w:rPr>
          <w:rFonts w:cstheme="minorHAnsi"/>
          <w:bCs/>
        </w:rPr>
        <w:t xml:space="preserve"> </w:t>
      </w:r>
      <w:r w:rsidR="0070157C">
        <w:t>(</w:t>
      </w:r>
      <w:r w:rsidR="0070157C" w:rsidRPr="00A9743D">
        <w:t>discrimination in predictive ability measures the ability to distinguish high-risk subjects from low-risk subjects. Therefore, we would hope to see a wide range between the lowest decile and highest decile</w:t>
      </w:r>
      <w:r w:rsidR="0070157C">
        <w:t>)</w:t>
      </w:r>
    </w:p>
    <w:p w14:paraId="2FF1A445" w14:textId="77777777" w:rsidR="0070157C" w:rsidRPr="00CC63A4" w:rsidRDefault="0070157C" w:rsidP="0070157C">
      <w:pPr>
        <w:pBdr>
          <w:top w:val="single" w:sz="4" w:space="1" w:color="auto"/>
          <w:left w:val="single" w:sz="4" w:space="4" w:color="auto"/>
          <w:bottom w:val="single" w:sz="4" w:space="1" w:color="auto"/>
          <w:right w:val="single" w:sz="4" w:space="4" w:color="auto"/>
        </w:pBdr>
        <w:spacing w:line="240" w:lineRule="auto"/>
        <w:contextualSpacing/>
        <w:rPr>
          <w:rFonts w:cstheme="minorHAnsi"/>
          <w:b/>
          <w:bCs/>
          <w:i/>
        </w:rPr>
      </w:pPr>
      <w:r w:rsidRPr="00CC63A4">
        <w:rPr>
          <w:b/>
          <w:i/>
        </w:rPr>
        <w:t>Calibration Statistics:</w:t>
      </w:r>
    </w:p>
    <w:p w14:paraId="6437A788" w14:textId="2A9687EC" w:rsidR="0070157C" w:rsidRDefault="0070157C" w:rsidP="0070157C">
      <w:pPr>
        <w:pBdr>
          <w:top w:val="single" w:sz="4" w:space="1" w:color="auto"/>
          <w:left w:val="single" w:sz="4" w:space="4" w:color="auto"/>
          <w:bottom w:val="single" w:sz="4" w:space="1" w:color="auto"/>
          <w:right w:val="single" w:sz="4" w:space="4" w:color="auto"/>
        </w:pBdr>
        <w:spacing w:line="240" w:lineRule="auto"/>
        <w:contextualSpacing/>
        <w:rPr>
          <w:rFonts w:cstheme="minorHAnsi"/>
          <w:bCs/>
        </w:rPr>
      </w:pPr>
      <w:r w:rsidRPr="00B96284">
        <w:rPr>
          <w:rFonts w:cstheme="minorHAnsi"/>
          <w:bCs/>
        </w:rPr>
        <w:t>(</w:t>
      </w:r>
      <w:r>
        <w:rPr>
          <w:rFonts w:cstheme="minorHAnsi"/>
          <w:bCs/>
        </w:rPr>
        <w:t>3</w:t>
      </w:r>
      <w:r w:rsidR="009644C5">
        <w:rPr>
          <w:rFonts w:cstheme="minorHAnsi"/>
          <w:bCs/>
        </w:rPr>
        <w:t>) O</w:t>
      </w:r>
      <w:r w:rsidRPr="00B96284">
        <w:rPr>
          <w:rFonts w:cstheme="minorHAnsi"/>
          <w:bCs/>
        </w:rPr>
        <w:t>ver-fitting indices (over-fitting refers to the phenomenon in which a model accurately describes the relationship between</w:t>
      </w:r>
      <w:r>
        <w:rPr>
          <w:rFonts w:cstheme="minorHAnsi"/>
          <w:bCs/>
        </w:rPr>
        <w:t xml:space="preserve"> </w:t>
      </w:r>
      <w:r w:rsidRPr="00B96284">
        <w:rPr>
          <w:rFonts w:cstheme="minorHAnsi"/>
          <w:bCs/>
        </w:rPr>
        <w:t>predictive variables and outcome in the development dataset but fails to provide valid predictions in new patients)</w:t>
      </w:r>
    </w:p>
    <w:p w14:paraId="4FCD78C7" w14:textId="2DC845B6" w:rsidR="00653D4A" w:rsidRPr="00653D4A" w:rsidRDefault="00653D4A" w:rsidP="00660AB2">
      <w:pPr>
        <w:pBdr>
          <w:top w:val="single" w:sz="4" w:space="1" w:color="auto"/>
          <w:left w:val="single" w:sz="4" w:space="4" w:color="auto"/>
          <w:bottom w:val="single" w:sz="4" w:space="1" w:color="auto"/>
          <w:right w:val="single" w:sz="4" w:space="4" w:color="auto"/>
        </w:pBdr>
        <w:spacing w:line="240" w:lineRule="auto"/>
        <w:contextualSpacing/>
        <w:rPr>
          <w:rFonts w:cs="Arial"/>
          <w:color w:val="000000"/>
        </w:rPr>
      </w:pPr>
      <w:r w:rsidRPr="00653D4A">
        <w:rPr>
          <w:rFonts w:cs="Arial"/>
          <w:color w:val="000000"/>
        </w:rPr>
        <w:t xml:space="preserve">We compared the model performance in the development sample with its performance in a similarly derived sample from patients discharged in 2006 who had undergone PCI. There were 117,375 cases discharged from the 618 hospitals in the 2006 validation dataset. This validation sample had a crude </w:t>
      </w:r>
      <w:r w:rsidRPr="00653D4A">
        <w:rPr>
          <w:rFonts w:cs="Arial"/>
          <w:color w:val="000000"/>
        </w:rPr>
        <w:lastRenderedPageBreak/>
        <w:t>readmission rate of 10.7%.</w:t>
      </w:r>
      <w:r w:rsidR="00660AB2">
        <w:rPr>
          <w:rFonts w:cs="Arial"/>
          <w:color w:val="000000"/>
        </w:rPr>
        <w:t xml:space="preserve"> </w:t>
      </w:r>
      <w:r w:rsidR="00660AB2">
        <w:rPr>
          <w:rFonts w:cstheme="minorHAnsi"/>
          <w:bCs/>
        </w:rPr>
        <w:t>We also computed statistics (1) and (2) for the current measure cohort, which includes discharges from 2010-2011.</w:t>
      </w:r>
    </w:p>
    <w:p w14:paraId="152D408A" w14:textId="77777777"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FB10FA">
        <w:rPr>
          <w:rFonts w:cstheme="minorHAnsi"/>
          <w:b/>
          <w:bCs/>
          <w:i/>
        </w:rPr>
        <w:t>If</w:t>
      </w:r>
      <w:r w:rsidR="00743E46" w:rsidRPr="00FB10FA">
        <w:rPr>
          <w:rFonts w:cstheme="minorHAnsi"/>
          <w:b/>
          <w:bCs/>
          <w:i/>
        </w:rPr>
        <w:t xml:space="preserve"> stratified, skip to </w:t>
      </w:r>
      <w:hyperlink w:anchor="question2b49" w:history="1">
        <w:r w:rsidR="00743E46" w:rsidRPr="00FB10FA">
          <w:rPr>
            <w:rStyle w:val="Hyperlink"/>
            <w:rFonts w:cstheme="minorHAnsi"/>
            <w:b/>
            <w:bCs/>
            <w:i/>
          </w:rPr>
          <w:t>2b4.9</w:t>
        </w:r>
      </w:hyperlink>
    </w:p>
    <w:p w14:paraId="0411A582" w14:textId="77777777" w:rsidR="00743E46" w:rsidRDefault="00743E46" w:rsidP="00092566">
      <w:pPr>
        <w:autoSpaceDE w:val="0"/>
        <w:autoSpaceDN w:val="0"/>
        <w:adjustRightInd w:val="0"/>
        <w:spacing w:after="0" w:line="240" w:lineRule="auto"/>
        <w:rPr>
          <w:rFonts w:cstheme="minorHAnsi"/>
          <w:b/>
          <w:bCs/>
        </w:rPr>
      </w:pPr>
    </w:p>
    <w:p w14:paraId="3407289F" w14:textId="52306F61" w:rsidR="00001D73"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p>
    <w:p w14:paraId="03CFC0C0" w14:textId="77777777" w:rsidR="00653D4A" w:rsidRPr="003072D5" w:rsidRDefault="00653D4A" w:rsidP="00653D4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r w:rsidRPr="003072D5">
        <w:t>For the development cohort the results are summarized below:</w:t>
      </w:r>
    </w:p>
    <w:p w14:paraId="542234F4" w14:textId="64646A0B" w:rsidR="00653D4A" w:rsidRDefault="00653D4A" w:rsidP="00653D4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r>
        <w:t>C-statistic=</w:t>
      </w:r>
      <w:r w:rsidR="000448DE">
        <w:t>0.665</w:t>
      </w:r>
    </w:p>
    <w:p w14:paraId="3F565F1D" w14:textId="1C5ED700" w:rsidR="00653D4A" w:rsidRPr="003072D5" w:rsidRDefault="00653D4A" w:rsidP="00653D4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r w:rsidRPr="003072D5">
        <w:t xml:space="preserve">Predictive ability (lowest </w:t>
      </w:r>
      <w:r>
        <w:t xml:space="preserve">decile %, highest decile %): </w:t>
      </w:r>
      <w:r w:rsidR="000448DE">
        <w:t>4.05</w:t>
      </w:r>
      <w:r>
        <w:t xml:space="preserve">%, </w:t>
      </w:r>
      <w:r w:rsidR="000448DE">
        <w:t>25.08</w:t>
      </w:r>
      <w:r w:rsidRPr="003072D5">
        <w:t>%</w:t>
      </w:r>
    </w:p>
    <w:p w14:paraId="6F8BB9A4" w14:textId="77777777" w:rsidR="00653D4A" w:rsidRDefault="00653D4A" w:rsidP="00653D4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p>
    <w:p w14:paraId="5E5DCE2C" w14:textId="77777777" w:rsidR="00653D4A" w:rsidRPr="003072D5" w:rsidRDefault="00653D4A" w:rsidP="00653D4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r w:rsidRPr="003072D5">
        <w:t>For the validation cohort the results are summarized below:</w:t>
      </w:r>
    </w:p>
    <w:p w14:paraId="4FBB6917" w14:textId="7B45207A" w:rsidR="00653D4A" w:rsidRDefault="00653D4A" w:rsidP="00653D4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r>
        <w:t>C statistic=</w:t>
      </w:r>
      <w:r w:rsidR="000448DE">
        <w:t>0.663</w:t>
      </w:r>
    </w:p>
    <w:p w14:paraId="63BB81E7" w14:textId="08DB6954" w:rsidR="00653D4A" w:rsidRPr="003072D5" w:rsidRDefault="00653D4A" w:rsidP="00653D4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r w:rsidRPr="003072D5">
        <w:t xml:space="preserve">Predictive ability (lowest </w:t>
      </w:r>
      <w:r>
        <w:t xml:space="preserve">decile %, highest decile %): </w:t>
      </w:r>
      <w:r w:rsidR="000448DE">
        <w:t>3.80</w:t>
      </w:r>
      <w:r>
        <w:t xml:space="preserve">%, </w:t>
      </w:r>
      <w:r w:rsidR="000448DE">
        <w:t>23.80</w:t>
      </w:r>
      <w:r w:rsidRPr="003072D5">
        <w:t>%</w:t>
      </w:r>
    </w:p>
    <w:p w14:paraId="20E3A23E" w14:textId="77777777" w:rsidR="00EE6026" w:rsidRDefault="00EE6026" w:rsidP="00653D4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p>
    <w:p w14:paraId="043694C1" w14:textId="3E01D617" w:rsidR="00653D4A" w:rsidRPr="00087B01" w:rsidRDefault="00653D4A" w:rsidP="00653D4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r w:rsidRPr="00087B01">
        <w:t>For the current measure cohort</w:t>
      </w:r>
      <w:r w:rsidR="00F627EA">
        <w:t xml:space="preserve"> (combined data from 2010 and 2011)</w:t>
      </w:r>
      <w:r w:rsidRPr="00087B01">
        <w:t xml:space="preserve"> the results are summarized below: </w:t>
      </w:r>
    </w:p>
    <w:p w14:paraId="3CF55ECB" w14:textId="26CDCE0E" w:rsidR="00653D4A" w:rsidRPr="00087B01" w:rsidRDefault="00653D4A" w:rsidP="00653D4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r w:rsidRPr="00087B01">
        <w:t>C statistic=</w:t>
      </w:r>
      <w:r w:rsidR="00AD7463" w:rsidRPr="00087B01">
        <w:t>0.668</w:t>
      </w:r>
    </w:p>
    <w:p w14:paraId="2C4271CE" w14:textId="7BFBD944" w:rsidR="00653D4A" w:rsidRDefault="00653D4A" w:rsidP="00653D4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r w:rsidRPr="00087B01">
        <w:t xml:space="preserve">Predictive ability (lowest decile %, highest decile %): </w:t>
      </w:r>
      <w:r w:rsidR="00F627EA">
        <w:t>4.2</w:t>
      </w:r>
      <w:r w:rsidRPr="00087B01">
        <w:t xml:space="preserve">%, </w:t>
      </w:r>
      <w:r w:rsidR="00F627EA">
        <w:t>26.1</w:t>
      </w:r>
      <w:r w:rsidRPr="00087B01">
        <w:t>%</w:t>
      </w:r>
    </w:p>
    <w:p w14:paraId="6DC50C48" w14:textId="269CCD2F" w:rsidR="000448DE" w:rsidRDefault="000448DE" w:rsidP="00092566">
      <w:pPr>
        <w:autoSpaceDE w:val="0"/>
        <w:autoSpaceDN w:val="0"/>
        <w:adjustRightInd w:val="0"/>
        <w:spacing w:after="0" w:line="240" w:lineRule="auto"/>
        <w:rPr>
          <w:rFonts w:cstheme="minorHAnsi"/>
          <w:b/>
          <w:bCs/>
        </w:rPr>
      </w:pPr>
    </w:p>
    <w:p w14:paraId="021ECCC4" w14:textId="77777777" w:rsidR="00087B01" w:rsidRDefault="00087B01" w:rsidP="00087B01">
      <w:pPr>
        <w:autoSpaceDE w:val="0"/>
        <w:autoSpaceDN w:val="0"/>
        <w:adjustRightInd w:val="0"/>
        <w:spacing w:after="0" w:line="240" w:lineRule="auto"/>
        <w:rPr>
          <w:rFonts w:cstheme="minorHAnsi"/>
          <w:bCs/>
        </w:rPr>
      </w:pPr>
      <w:r>
        <w:rPr>
          <w:rFonts w:cstheme="minorHAnsi"/>
          <w:b/>
          <w:bCs/>
        </w:rPr>
        <w:t xml:space="preserve">2b4.7. Statistical </w:t>
      </w:r>
      <w:r w:rsidRPr="00A25024">
        <w:rPr>
          <w:rFonts w:cstheme="minorHAnsi"/>
          <w:b/>
          <w:bCs/>
        </w:rPr>
        <w:t>Risk Model Calibration Statistics</w:t>
      </w:r>
      <w:r>
        <w:rPr>
          <w:rFonts w:cstheme="minorHAnsi"/>
          <w:b/>
          <w:bCs/>
        </w:rPr>
        <w:t xml:space="preserve"> </w:t>
      </w:r>
      <w:r w:rsidRPr="003605B4">
        <w:rPr>
          <w:rFonts w:cstheme="minorHAnsi"/>
          <w:bCs/>
        </w:rPr>
        <w:t>(</w:t>
      </w:r>
      <w:r w:rsidRPr="003605B4">
        <w:rPr>
          <w:rFonts w:cstheme="minorHAnsi"/>
          <w:bCs/>
          <w:i/>
        </w:rPr>
        <w:t>e.g., Hosmer-Lemeshow statistic</w:t>
      </w:r>
      <w:r w:rsidRPr="003605B4">
        <w:rPr>
          <w:rFonts w:cstheme="minorHAnsi"/>
          <w:bCs/>
        </w:rPr>
        <w:t>)</w:t>
      </w:r>
      <w:r w:rsidRPr="00A25024">
        <w:rPr>
          <w:rFonts w:cstheme="minorHAnsi"/>
          <w:bCs/>
        </w:rPr>
        <w:t>:</w:t>
      </w:r>
      <w:r>
        <w:rPr>
          <w:rFonts w:cstheme="minorHAnsi"/>
          <w:bCs/>
        </w:rPr>
        <w:t xml:space="preserve">  </w:t>
      </w:r>
    </w:p>
    <w:p w14:paraId="2245E6EA" w14:textId="77777777" w:rsidR="00087B01" w:rsidRPr="003072D5" w:rsidRDefault="00087B01" w:rsidP="00087B0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r w:rsidRPr="003072D5">
        <w:t>For the development cohort the results are summarized below:</w:t>
      </w:r>
    </w:p>
    <w:p w14:paraId="3454A1C6" w14:textId="1FBBBA05" w:rsidR="00087B01" w:rsidRDefault="00087B01" w:rsidP="00087B0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r>
        <w:t xml:space="preserve">Calibration: </w:t>
      </w:r>
      <w:r w:rsidRPr="00B33D75">
        <w:t>(0</w:t>
      </w:r>
      <w:r w:rsidR="00455259">
        <w:t>.00</w:t>
      </w:r>
      <w:r w:rsidRPr="00B33D75">
        <w:t>,1</w:t>
      </w:r>
      <w:r w:rsidR="00455259">
        <w:t>.00</w:t>
      </w:r>
      <w:r w:rsidRPr="00B33D75">
        <w:t>)</w:t>
      </w:r>
    </w:p>
    <w:p w14:paraId="2DCF029F" w14:textId="77777777" w:rsidR="00087B01" w:rsidRDefault="00087B01" w:rsidP="00087B0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p>
    <w:p w14:paraId="79A4517E" w14:textId="77777777" w:rsidR="00087B01" w:rsidRPr="003072D5" w:rsidRDefault="00087B01" w:rsidP="00087B0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r w:rsidRPr="003072D5">
        <w:t>For the validation cohort the results are summarized below:</w:t>
      </w:r>
    </w:p>
    <w:p w14:paraId="7328911D" w14:textId="7806238E" w:rsidR="00087B01" w:rsidRDefault="00087B01" w:rsidP="00087B0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r>
        <w:t xml:space="preserve">Calibration: </w:t>
      </w:r>
      <w:r w:rsidR="00F43C99">
        <w:t>(-0.06, 0.99)</w:t>
      </w:r>
    </w:p>
    <w:p w14:paraId="765405A9" w14:textId="77777777" w:rsidR="00087B01" w:rsidRDefault="00087B01" w:rsidP="00087B0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p>
    <w:p w14:paraId="106A159D" w14:textId="77777777" w:rsidR="00087B01" w:rsidRPr="00AD7463" w:rsidRDefault="00087B01" w:rsidP="00087B0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r w:rsidRPr="00AD7463">
        <w:t xml:space="preserve">For the current measure cohort the results are summarized below: </w:t>
      </w:r>
    </w:p>
    <w:p w14:paraId="3A5763BE" w14:textId="77777777" w:rsidR="00087B01" w:rsidRPr="003072D5" w:rsidRDefault="00087B01" w:rsidP="00087B0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pPr>
      <w:r>
        <w:t>Calibration: (-0.004, 1.008)</w:t>
      </w:r>
    </w:p>
    <w:p w14:paraId="21211FB9" w14:textId="77777777" w:rsidR="00026892" w:rsidRDefault="00026892" w:rsidP="00026892">
      <w:pPr>
        <w:autoSpaceDE w:val="0"/>
        <w:autoSpaceDN w:val="0"/>
        <w:adjustRightInd w:val="0"/>
        <w:spacing w:after="0" w:line="240" w:lineRule="auto"/>
        <w:rPr>
          <w:rFonts w:cstheme="minorHAnsi"/>
          <w:b/>
          <w:bCs/>
          <w:highlight w:val="yellow"/>
        </w:rPr>
      </w:pPr>
    </w:p>
    <w:p w14:paraId="0ECAC33F" w14:textId="77777777" w:rsidR="00026892" w:rsidRPr="00A25024" w:rsidRDefault="00026892" w:rsidP="00026892">
      <w:pPr>
        <w:autoSpaceDE w:val="0"/>
        <w:autoSpaceDN w:val="0"/>
        <w:adjustRightInd w:val="0"/>
        <w:spacing w:after="0" w:line="240" w:lineRule="auto"/>
        <w:rPr>
          <w:rFonts w:cstheme="minorHAnsi"/>
        </w:rPr>
      </w:pPr>
      <w:r w:rsidRPr="00544E2C">
        <w:rPr>
          <w:rFonts w:cstheme="minorHAnsi"/>
          <w:b/>
          <w:bCs/>
        </w:rPr>
        <w:t>2b4.8. Statistical Risk Model Calibration – Risk decile plots or calibration curves</w:t>
      </w:r>
      <w:r w:rsidRPr="00544E2C">
        <w:rPr>
          <w:rFonts w:cstheme="minorHAnsi"/>
          <w:bCs/>
        </w:rPr>
        <w:t>:</w:t>
      </w:r>
    </w:p>
    <w:p w14:paraId="32CAD87E" w14:textId="77777777" w:rsidR="00660AB2" w:rsidRDefault="00660AB2" w:rsidP="00660AB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i/>
        </w:rPr>
      </w:pPr>
      <w:bookmarkStart w:id="17" w:name="question2b49"/>
      <w:bookmarkEnd w:id="17"/>
      <w:r>
        <w:rPr>
          <w:rFonts w:cstheme="minorHAnsi"/>
          <w:bCs/>
        </w:rPr>
        <w:t xml:space="preserve">The risk decile plot </w:t>
      </w:r>
      <w:r w:rsidRPr="00A70364">
        <w:rPr>
          <w:rFonts w:cstheme="minorHAnsi"/>
          <w:bCs/>
        </w:rPr>
        <w:t>is a graphical depiction of the deciles calculated to measure predictive ability</w:t>
      </w:r>
      <w:r>
        <w:rPr>
          <w:rFonts w:cstheme="minorHAnsi"/>
          <w:bCs/>
        </w:rPr>
        <w:t xml:space="preserve">. </w:t>
      </w:r>
      <w:r w:rsidRPr="00CF38D2">
        <w:rPr>
          <w:rFonts w:cstheme="minorHAnsi"/>
        </w:rPr>
        <w:t>Below, we present the risk decile plot</w:t>
      </w:r>
      <w:r>
        <w:rPr>
          <w:rFonts w:cstheme="minorHAnsi"/>
        </w:rPr>
        <w:t xml:space="preserve"> showing the distributions</w:t>
      </w:r>
      <w:r w:rsidRPr="00CF38D2">
        <w:rPr>
          <w:rFonts w:cstheme="minorHAnsi"/>
        </w:rPr>
        <w:t xml:space="preserve"> for the current measure cohort.</w:t>
      </w:r>
    </w:p>
    <w:p w14:paraId="166975D8" w14:textId="38FF6F88" w:rsidR="00BD7C7A" w:rsidRDefault="00BD7C7A" w:rsidP="00BB0620">
      <w:pPr>
        <w:pStyle w:val="Caption"/>
        <w:pBdr>
          <w:top w:val="single" w:sz="4" w:space="1" w:color="auto"/>
          <w:left w:val="single" w:sz="4" w:space="4" w:color="auto"/>
          <w:bottom w:val="single" w:sz="4" w:space="1" w:color="auto"/>
          <w:right w:val="single" w:sz="4" w:space="4" w:color="auto"/>
        </w:pBdr>
        <w:spacing w:after="0"/>
      </w:pPr>
      <w:r>
        <w:t xml:space="preserve">Figure </w:t>
      </w:r>
      <w:fldSimple w:instr=" SEQ Figure \* ARABIC ">
        <w:r>
          <w:rPr>
            <w:noProof/>
          </w:rPr>
          <w:t>2</w:t>
        </w:r>
      </w:fldSimple>
      <w:r>
        <w:t>. Risk decile plot, 2010-2011 study sample.</w:t>
      </w:r>
    </w:p>
    <w:p w14:paraId="067A1E0A" w14:textId="17295781" w:rsidR="00026892" w:rsidRDefault="00BD7C7A" w:rsidP="00BD7C7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rPr>
      </w:pPr>
      <w:r>
        <w:rPr>
          <w:noProof/>
        </w:rPr>
        <w:drawing>
          <wp:inline distT="0" distB="0" distL="0" distR="0" wp14:anchorId="280EB480" wp14:editId="2376A527">
            <wp:extent cx="3521122" cy="1856095"/>
            <wp:effectExtent l="0" t="0" r="3175"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5DF2360" w14:textId="77777777" w:rsidR="00026892" w:rsidRPr="00A25024" w:rsidRDefault="00026892" w:rsidP="00C8458C">
      <w:pPr>
        <w:autoSpaceDE w:val="0"/>
        <w:autoSpaceDN w:val="0"/>
        <w:adjustRightInd w:val="0"/>
        <w:spacing w:before="120" w:after="0" w:line="240" w:lineRule="auto"/>
        <w:rPr>
          <w:rFonts w:cstheme="minorHAnsi"/>
          <w:bCs/>
        </w:rPr>
      </w:pPr>
      <w:r>
        <w:rPr>
          <w:rFonts w:cstheme="minorHAnsi"/>
          <w:b/>
        </w:rPr>
        <w:t xml:space="preserve">2b4.9. Results of </w:t>
      </w:r>
      <w:r w:rsidRPr="00A25024">
        <w:rPr>
          <w:rFonts w:cstheme="minorHAnsi"/>
          <w:b/>
        </w:rPr>
        <w:t>Risk Stratification Analysis</w:t>
      </w:r>
      <w:r w:rsidRPr="00A25024">
        <w:rPr>
          <w:rFonts w:cstheme="minorHAnsi"/>
        </w:rPr>
        <w:t xml:space="preserve">: </w:t>
      </w:r>
      <w:r w:rsidRPr="00A25024">
        <w:rPr>
          <w:rFonts w:cstheme="minorHAnsi"/>
          <w:bCs/>
        </w:rPr>
        <w:t xml:space="preserve"> </w:t>
      </w:r>
    </w:p>
    <w:p w14:paraId="19AA8F27" w14:textId="3F4297AC" w:rsidR="00BB0620" w:rsidRDefault="00BB0620" w:rsidP="00BB0620">
      <w:pPr>
        <w:pBdr>
          <w:top w:val="single" w:sz="4" w:space="1" w:color="000000"/>
          <w:left w:val="single" w:sz="4" w:space="4" w:color="000000"/>
          <w:bottom w:val="single" w:sz="4" w:space="1" w:color="000000"/>
          <w:right w:val="single" w:sz="4" w:space="4" w:color="000000"/>
        </w:pBdr>
        <w:autoSpaceDE w:val="0"/>
        <w:autoSpaceDN w:val="0"/>
        <w:adjustRightInd w:val="0"/>
        <w:spacing w:after="120" w:line="240" w:lineRule="auto"/>
        <w:rPr>
          <w:rFonts w:cstheme="minorHAnsi"/>
          <w:bCs/>
        </w:rPr>
      </w:pPr>
      <w:r>
        <w:rPr>
          <w:rFonts w:cstheme="minorHAnsi"/>
          <w:bCs/>
        </w:rPr>
        <w:t>N/A</w:t>
      </w:r>
    </w:p>
    <w:p w14:paraId="403959B0" w14:textId="77777777" w:rsidR="00CB3A04" w:rsidRPr="00A25024" w:rsidRDefault="00CB3A04" w:rsidP="00CB3A04">
      <w:pPr>
        <w:autoSpaceDE w:val="0"/>
        <w:autoSpaceDN w:val="0"/>
        <w:adjustRightInd w:val="0"/>
        <w:spacing w:after="0" w:line="240" w:lineRule="auto"/>
        <w:rPr>
          <w:rFonts w:cstheme="minorHAnsi"/>
          <w:bCs/>
        </w:rPr>
      </w:pPr>
      <w:r>
        <w:rPr>
          <w:rFonts w:cstheme="minorHAnsi"/>
          <w:b/>
          <w:bCs/>
        </w:rPr>
        <w:lastRenderedPageBreak/>
        <w:t xml:space="preserve">2b4.10. </w:t>
      </w:r>
      <w:r w:rsidRPr="00A25024">
        <w:rPr>
          <w:rFonts w:cstheme="minorHAnsi"/>
          <w:b/>
          <w:bCs/>
        </w:rPr>
        <w:t>What is your interpretation of the results in terms of demonstrating adequacy of controlling for differences in patient characteristics (case mix)?</w:t>
      </w:r>
      <w:r w:rsidRPr="00A25024">
        <w:rPr>
          <w:rFonts w:cstheme="minorHAnsi"/>
          <w:bCs/>
        </w:rPr>
        <w:t xml:space="preserve"> (i</w:t>
      </w:r>
      <w:r w:rsidRPr="00A25024">
        <w:rPr>
          <w:rFonts w:cstheme="minorHAnsi"/>
          <w:bCs/>
          <w:i/>
        </w:rPr>
        <w:t>.e., what do the results mean and what are the norms for the test conducted</w:t>
      </w:r>
      <w:r>
        <w:rPr>
          <w:rFonts w:cstheme="minorHAnsi"/>
          <w:bCs/>
        </w:rPr>
        <w:t>)</w:t>
      </w:r>
    </w:p>
    <w:p w14:paraId="733299DD" w14:textId="77777777" w:rsidR="00CB3A04" w:rsidRPr="006067B9" w:rsidRDefault="00CB3A04" w:rsidP="00CB3A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bCs/>
        </w:rPr>
      </w:pPr>
      <w:r w:rsidRPr="006067B9">
        <w:rPr>
          <w:rFonts w:cstheme="minorHAnsi"/>
          <w:b/>
          <w:bCs/>
        </w:rPr>
        <w:t>Discrimination Statistics</w:t>
      </w:r>
    </w:p>
    <w:p w14:paraId="01FD2086" w14:textId="0B66CC6D" w:rsidR="00660AB2" w:rsidRDefault="00660AB2" w:rsidP="00660AB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r w:rsidRPr="004D436C">
        <w:rPr>
          <w:rFonts w:cstheme="minorHAnsi"/>
          <w:bCs/>
        </w:rPr>
        <w:t xml:space="preserve">The </w:t>
      </w:r>
      <w:r>
        <w:rPr>
          <w:rFonts w:cstheme="minorHAnsi"/>
          <w:bCs/>
        </w:rPr>
        <w:t>C-statistics of 0.665, 0.663 and 0.668 indicate good</w:t>
      </w:r>
      <w:r w:rsidRPr="004D436C">
        <w:rPr>
          <w:rFonts w:cstheme="minorHAnsi"/>
          <w:bCs/>
        </w:rPr>
        <w:t xml:space="preserve"> model discrimination</w:t>
      </w:r>
      <w:r>
        <w:rPr>
          <w:rFonts w:cstheme="minorHAnsi"/>
          <w:bCs/>
        </w:rPr>
        <w:t xml:space="preserve">. Readmission, as opposed to other outcomes such as mortality consistently has a lower c-statistic, even in medical record models. This is likely because readmission is less determined by patient comorbidities and more by health system factors. </w:t>
      </w:r>
      <w:r w:rsidRPr="005A6A0E">
        <w:rPr>
          <w:rFonts w:cstheme="minorHAnsi"/>
          <w:bCs/>
        </w:rPr>
        <w:t xml:space="preserve">The model indicated a wide range between the lowest decile and highest decile, indicating the ability to distinguish high-risk </w:t>
      </w:r>
      <w:r w:rsidR="002B3FDA">
        <w:rPr>
          <w:rFonts w:cstheme="minorHAnsi"/>
          <w:bCs/>
        </w:rPr>
        <w:t>patients</w:t>
      </w:r>
      <w:r w:rsidRPr="005A6A0E">
        <w:rPr>
          <w:rFonts w:cstheme="minorHAnsi"/>
          <w:bCs/>
        </w:rPr>
        <w:t xml:space="preserve"> from low-risk </w:t>
      </w:r>
      <w:r w:rsidR="002B3FDA">
        <w:rPr>
          <w:rFonts w:cstheme="minorHAnsi"/>
          <w:bCs/>
        </w:rPr>
        <w:t>patients</w:t>
      </w:r>
      <w:r w:rsidRPr="005A6A0E">
        <w:rPr>
          <w:rFonts w:cstheme="minorHAnsi"/>
          <w:bCs/>
        </w:rPr>
        <w:t>.</w:t>
      </w:r>
    </w:p>
    <w:p w14:paraId="51FA4290" w14:textId="77777777" w:rsidR="00105A5E" w:rsidRPr="001B38D4" w:rsidRDefault="00105A5E" w:rsidP="00CB3A0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3F13E9EE" w14:textId="77777777" w:rsidR="00C8458C" w:rsidRDefault="00C8458C" w:rsidP="00C8458C">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bCs/>
        </w:rPr>
      </w:pPr>
      <w:r>
        <w:rPr>
          <w:rFonts w:cstheme="minorHAnsi"/>
          <w:b/>
          <w:bCs/>
        </w:rPr>
        <w:t>Calibration Statistics</w:t>
      </w:r>
    </w:p>
    <w:p w14:paraId="7A022626" w14:textId="77777777" w:rsidR="00C8458C" w:rsidRPr="0004218D" w:rsidRDefault="00C8458C" w:rsidP="00C8458C">
      <w:pPr>
        <w:pBdr>
          <w:top w:val="single" w:sz="4" w:space="1" w:color="auto"/>
          <w:left w:val="single" w:sz="4" w:space="4" w:color="auto"/>
          <w:bottom w:val="single" w:sz="4" w:space="1" w:color="auto"/>
          <w:right w:val="single" w:sz="4" w:space="4" w:color="auto"/>
        </w:pBdr>
        <w:spacing w:after="0" w:line="240" w:lineRule="auto"/>
        <w:rPr>
          <w:i/>
        </w:rPr>
      </w:pPr>
      <w:r w:rsidRPr="0004218D">
        <w:rPr>
          <w:bCs/>
          <w:i/>
        </w:rPr>
        <w:t xml:space="preserve">Over-fitting (Calibration γ0, γ1) </w:t>
      </w:r>
    </w:p>
    <w:p w14:paraId="35E5CC52" w14:textId="77777777" w:rsidR="00105A5E" w:rsidRDefault="00105A5E" w:rsidP="00105A5E">
      <w:pPr>
        <w:pBdr>
          <w:top w:val="single" w:sz="4" w:space="1" w:color="auto"/>
          <w:left w:val="single" w:sz="4" w:space="4" w:color="auto"/>
          <w:bottom w:val="single" w:sz="4" w:space="1" w:color="auto"/>
          <w:right w:val="single" w:sz="4" w:space="4" w:color="auto"/>
        </w:pBdr>
        <w:spacing w:after="0" w:line="240" w:lineRule="auto"/>
      </w:pPr>
      <w:r>
        <w:t>If the γ0 in the validation samples are substantially far from zero and the γ1 is substantially far from 1, there is potential evidence of over-fitting. The calibration value close to 0 at one end and close to 1 on the other end indicates good calibration of the model.</w:t>
      </w:r>
    </w:p>
    <w:p w14:paraId="5D5D5342" w14:textId="77777777" w:rsidR="00801973" w:rsidRDefault="00801973" w:rsidP="00C8458C">
      <w:pPr>
        <w:pBdr>
          <w:top w:val="single" w:sz="4" w:space="1" w:color="auto"/>
          <w:left w:val="single" w:sz="4" w:space="4" w:color="auto"/>
          <w:bottom w:val="single" w:sz="4" w:space="1" w:color="auto"/>
          <w:right w:val="single" w:sz="4" w:space="4" w:color="auto"/>
        </w:pBdr>
        <w:spacing w:after="0" w:line="240" w:lineRule="auto"/>
      </w:pPr>
    </w:p>
    <w:p w14:paraId="04A6E32A" w14:textId="77777777" w:rsidR="00801973" w:rsidRPr="00102C14" w:rsidRDefault="00801973" w:rsidP="0080197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
          <w:bCs/>
        </w:rPr>
      </w:pPr>
      <w:r>
        <w:rPr>
          <w:rFonts w:cstheme="minorHAnsi"/>
          <w:b/>
          <w:bCs/>
        </w:rPr>
        <w:t>Risk Decile Plots</w:t>
      </w:r>
    </w:p>
    <w:p w14:paraId="4EB430F4" w14:textId="77777777" w:rsidR="009346EF" w:rsidRPr="0017650F" w:rsidRDefault="009346EF" w:rsidP="009346EF">
      <w:pPr>
        <w:pBdr>
          <w:top w:val="single" w:sz="4" w:space="1" w:color="auto"/>
          <w:left w:val="single" w:sz="4" w:space="4" w:color="auto"/>
          <w:bottom w:val="single" w:sz="4" w:space="1" w:color="auto"/>
          <w:right w:val="single" w:sz="4" w:space="4" w:color="auto"/>
        </w:pBdr>
        <w:spacing w:after="0" w:line="240" w:lineRule="auto"/>
        <w:rPr>
          <w:bCs/>
        </w:rPr>
      </w:pPr>
      <w:r w:rsidRPr="0017650F">
        <w:rPr>
          <w:bCs/>
        </w:rPr>
        <w:t>Higher deciles of the predicted outcomes are associated with higher observed outcomes, which show a good calibration of the model. This plot indicates excellent discrimination of the model and good predictive ability.</w:t>
      </w:r>
    </w:p>
    <w:p w14:paraId="5523C2D4" w14:textId="77777777" w:rsidR="00813122" w:rsidRDefault="00813122" w:rsidP="0080197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bCs/>
        </w:rPr>
      </w:pPr>
    </w:p>
    <w:p w14:paraId="5D89C275" w14:textId="77777777" w:rsidR="00801973" w:rsidRPr="00CB3A04" w:rsidRDefault="00801973" w:rsidP="00801973">
      <w:pPr>
        <w:pBdr>
          <w:top w:val="single" w:sz="4" w:space="1" w:color="auto"/>
          <w:left w:val="single" w:sz="4" w:space="4" w:color="auto"/>
          <w:bottom w:val="single" w:sz="4" w:space="1" w:color="auto"/>
          <w:right w:val="single" w:sz="4" w:space="4" w:color="auto"/>
        </w:pBdr>
        <w:spacing w:after="0" w:line="240" w:lineRule="auto"/>
      </w:pPr>
      <w:r w:rsidRPr="00CB3A04">
        <w:rPr>
          <w:b/>
          <w:bCs/>
        </w:rPr>
        <w:t xml:space="preserve">Overall Interpretation </w:t>
      </w:r>
    </w:p>
    <w:p w14:paraId="08F5EBA2" w14:textId="5BB9D1A7" w:rsidR="00801973" w:rsidRPr="0004218D" w:rsidRDefault="00801973" w:rsidP="00801973">
      <w:pPr>
        <w:pBdr>
          <w:top w:val="single" w:sz="4" w:space="1" w:color="auto"/>
          <w:left w:val="single" w:sz="4" w:space="4" w:color="auto"/>
          <w:bottom w:val="single" w:sz="4" w:space="1" w:color="auto"/>
          <w:right w:val="single" w:sz="4" w:space="4" w:color="auto"/>
        </w:pBdr>
        <w:spacing w:after="0" w:line="240" w:lineRule="auto"/>
      </w:pPr>
      <w:r w:rsidRPr="0004218D">
        <w:t>Interpreted together, our diagnostic results demonstrate the risk-adjustment model adequately controls for differences in patient characteristics (case mix).</w:t>
      </w:r>
    </w:p>
    <w:p w14:paraId="14226A31" w14:textId="77777777" w:rsidR="00801973" w:rsidRDefault="00801973" w:rsidP="00801973">
      <w:pPr>
        <w:spacing w:after="120" w:line="240" w:lineRule="auto"/>
        <w:rPr>
          <w:rFonts w:cstheme="minorHAnsi"/>
          <w:b/>
        </w:rPr>
      </w:pPr>
    </w:p>
    <w:p w14:paraId="1D4E924A" w14:textId="77777777" w:rsidR="00801973" w:rsidRDefault="00801973" w:rsidP="00801973">
      <w:pPr>
        <w:spacing w:after="120" w:line="240" w:lineRule="auto"/>
        <w:rPr>
          <w:rFonts w:cstheme="minorHAnsi"/>
        </w:rPr>
      </w:pPr>
      <w:r w:rsidRPr="00FB10FA">
        <w:rPr>
          <w:rFonts w:cstheme="minorHAnsi"/>
          <w:b/>
        </w:rPr>
        <w:t>2b4.11.</w:t>
      </w:r>
      <w:r w:rsidRPr="00FB10FA">
        <w:rPr>
          <w:rFonts w:cstheme="minorHAnsi"/>
        </w:rPr>
        <w:t xml:space="preserve"> </w:t>
      </w:r>
      <w:r w:rsidRPr="00FB10FA">
        <w:rPr>
          <w:rFonts w:cstheme="minorHAnsi"/>
          <w:b/>
        </w:rPr>
        <w:t xml:space="preserve">Optional Additional Testing for Risk Adjustment </w:t>
      </w:r>
      <w:r w:rsidRPr="00FB10FA">
        <w:rPr>
          <w:rFonts w:cstheme="minorHAnsi"/>
        </w:rPr>
        <w:t>(</w:t>
      </w:r>
      <w:r w:rsidRPr="00FB10FA">
        <w:rPr>
          <w:rFonts w:cstheme="minorHAnsi"/>
          <w:i/>
          <w:u w:val="single"/>
        </w:rPr>
        <w:t>not required</w:t>
      </w:r>
      <w:r w:rsidRPr="00FB10FA">
        <w:rPr>
          <w:rFonts w:cstheme="minorHAnsi"/>
          <w:i/>
        </w:rPr>
        <w:t>, but would provide additional support of adequacy of risk model, e.g., testing of risk</w:t>
      </w:r>
      <w:r>
        <w:rPr>
          <w:rFonts w:cstheme="minorHAnsi"/>
          <w:i/>
        </w:rPr>
        <w:t xml:space="preserve"> model in another data set; sensitivity analysis for missing data; other methods that were assessed</w:t>
      </w:r>
      <w:r>
        <w:rPr>
          <w:rFonts w:cstheme="minorHAnsi"/>
        </w:rPr>
        <w:t>)</w:t>
      </w:r>
    </w:p>
    <w:p w14:paraId="6A4EEAAF" w14:textId="77777777" w:rsidR="00801973" w:rsidRPr="008C1239" w:rsidRDefault="00801973" w:rsidP="00801973">
      <w:pPr>
        <w:pBdr>
          <w:top w:val="single" w:sz="4" w:space="1" w:color="auto"/>
          <w:left w:val="single" w:sz="4" w:space="4" w:color="auto"/>
          <w:bottom w:val="single" w:sz="4" w:space="0" w:color="auto"/>
          <w:right w:val="single" w:sz="4" w:space="4" w:color="auto"/>
        </w:pBdr>
        <w:spacing w:after="0"/>
        <w:rPr>
          <w:rFonts w:cstheme="minorHAnsi"/>
          <w:bCs/>
        </w:rPr>
      </w:pPr>
      <w:r w:rsidRPr="008C1239">
        <w:rPr>
          <w:rFonts w:cstheme="minorHAnsi"/>
          <w:bCs/>
        </w:rPr>
        <w:t>N/A</w:t>
      </w:r>
    </w:p>
    <w:p w14:paraId="708E388D" w14:textId="77777777" w:rsidR="00801973" w:rsidRPr="00A25024" w:rsidRDefault="00801973" w:rsidP="00801973">
      <w:pPr>
        <w:autoSpaceDE w:val="0"/>
        <w:autoSpaceDN w:val="0"/>
        <w:adjustRightInd w:val="0"/>
        <w:spacing w:after="0" w:line="240" w:lineRule="auto"/>
        <w:rPr>
          <w:rFonts w:cstheme="minorHAnsi"/>
          <w:bCs/>
        </w:rPr>
      </w:pPr>
      <w:r>
        <w:rPr>
          <w:rFonts w:cstheme="minorHAnsi"/>
          <w:bCs/>
        </w:rPr>
        <w:t>__________________</w:t>
      </w:r>
    </w:p>
    <w:p w14:paraId="1B1C7887" w14:textId="77777777" w:rsidR="00801973" w:rsidRPr="00A25024" w:rsidRDefault="00801973" w:rsidP="00801973">
      <w:pPr>
        <w:autoSpaceDE w:val="0"/>
        <w:autoSpaceDN w:val="0"/>
        <w:adjustRightInd w:val="0"/>
        <w:spacing w:after="0" w:line="240" w:lineRule="auto"/>
        <w:rPr>
          <w:rFonts w:cstheme="minorHAnsi"/>
          <w:b/>
          <w:bCs/>
        </w:rPr>
      </w:pPr>
      <w:bookmarkStart w:id="18" w:name="section2b5"/>
      <w:bookmarkEnd w:id="18"/>
      <w:r w:rsidRPr="00A25024">
        <w:rPr>
          <w:rFonts w:cstheme="minorHAnsi"/>
          <w:b/>
          <w:bCs/>
        </w:rPr>
        <w:t>2b5. IDENTIFICATION OF STATISTICALLY SIGNIFICANT &amp; MEANINGFUL DIFFERENCES IN PERFORMANCE</w:t>
      </w:r>
    </w:p>
    <w:p w14:paraId="2E489DE6" w14:textId="77777777" w:rsidR="00801973" w:rsidRDefault="00801973" w:rsidP="00801973">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p>
    <w:p w14:paraId="32DE45A4" w14:textId="77777777" w:rsidR="00801973" w:rsidRPr="00BD42E3" w:rsidRDefault="00801973" w:rsidP="00801973">
      <w:pPr>
        <w:pBdr>
          <w:top w:val="single" w:sz="4" w:space="1" w:color="auto"/>
          <w:left w:val="single" w:sz="4" w:space="4" w:color="auto"/>
          <w:bottom w:val="single" w:sz="4" w:space="1" w:color="auto"/>
          <w:right w:val="single" w:sz="4" w:space="4" w:color="auto"/>
        </w:pBdr>
        <w:shd w:val="clear" w:color="auto" w:fill="FFFFFF"/>
        <w:spacing w:line="240" w:lineRule="auto"/>
        <w:rPr>
          <w:rFonts w:cstheme="minorHAnsi"/>
          <w:b/>
          <w:bCs/>
        </w:rPr>
      </w:pPr>
      <w:r w:rsidRPr="00BD42E3">
        <w:rPr>
          <w:rFonts w:cstheme="minorHAnsi"/>
          <w:bCs/>
        </w:rPr>
        <w:t xml:space="preserve"> For the currently publicly reported measures of hospital outcomes, including the PCI readmission measure, CMS estimates an interval estimate for each risk-standardized rate to characterize the amount of uncertainty associated with the rate. It then compares the interval estimate to the national crude rate for the outcome and categorizes hospitals as “better than,” “worse than,” or “no different than” the U.S. national rate (NCDR registry rate for PCI). </w:t>
      </w:r>
      <w:r>
        <w:rPr>
          <w:rFonts w:cstheme="minorHAnsi"/>
          <w:bCs/>
        </w:rPr>
        <w:t>We assessed variation in RSR</w:t>
      </w:r>
      <w:r w:rsidRPr="00BD42E3">
        <w:rPr>
          <w:rFonts w:cstheme="minorHAnsi"/>
          <w:bCs/>
        </w:rPr>
        <w:t xml:space="preserve">Rs among hospitals by examining the </w:t>
      </w:r>
      <w:r>
        <w:rPr>
          <w:rFonts w:cstheme="minorHAnsi"/>
          <w:bCs/>
        </w:rPr>
        <w:t>distribution of the hospital RSR</w:t>
      </w:r>
      <w:r w:rsidRPr="00BD42E3">
        <w:rPr>
          <w:rFonts w:cstheme="minorHAnsi"/>
          <w:bCs/>
        </w:rPr>
        <w:t>Rs and plotting t</w:t>
      </w:r>
      <w:r>
        <w:rPr>
          <w:rFonts w:cstheme="minorHAnsi"/>
          <w:bCs/>
        </w:rPr>
        <w:t>he histogram of the hospital RSR</w:t>
      </w:r>
      <w:r w:rsidRPr="00BD42E3">
        <w:rPr>
          <w:rFonts w:cstheme="minorHAnsi"/>
          <w:bCs/>
        </w:rPr>
        <w:t xml:space="preserve">Rs. </w:t>
      </w:r>
    </w:p>
    <w:p w14:paraId="3E0CEE90" w14:textId="77777777" w:rsidR="00801973" w:rsidRDefault="00801973" w:rsidP="00801973">
      <w:pPr>
        <w:autoSpaceDE w:val="0"/>
        <w:autoSpaceDN w:val="0"/>
        <w:adjustRightInd w:val="0"/>
        <w:spacing w:after="0" w:line="240" w:lineRule="auto"/>
        <w:rPr>
          <w:rFonts w:cstheme="minorHAnsi"/>
          <w:bCs/>
        </w:rPr>
      </w:pPr>
      <w:r>
        <w:rPr>
          <w:rFonts w:cstheme="minorHAnsi"/>
          <w:b/>
          <w:bCs/>
        </w:rPr>
        <w:t xml:space="preserve">2b5.2. </w:t>
      </w:r>
      <w:r w:rsidRPr="00A25024">
        <w:rPr>
          <w:rFonts w:cstheme="minorHAnsi"/>
          <w:b/>
          <w:bCs/>
        </w:rPr>
        <w:t xml:space="preserve">What were the statistical results from testing the ability to identify </w:t>
      </w:r>
      <w:r>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Pr>
          <w:rFonts w:cstheme="minorHAnsi"/>
          <w:bCs/>
          <w:i/>
        </w:rPr>
        <w:t xml:space="preserve">of entities with scores that were </w:t>
      </w:r>
      <w:r w:rsidRPr="00A25024">
        <w:rPr>
          <w:rFonts w:cstheme="minorHAnsi"/>
          <w:bCs/>
          <w:i/>
        </w:rPr>
        <w:t xml:space="preserve">statistically </w:t>
      </w:r>
      <w:r>
        <w:rPr>
          <w:rFonts w:cstheme="minorHAnsi"/>
          <w:bCs/>
          <w:i/>
        </w:rPr>
        <w:t xml:space="preserve">significantly </w:t>
      </w:r>
      <w:r w:rsidRPr="00A25024">
        <w:rPr>
          <w:rFonts w:cstheme="minorHAnsi"/>
          <w:bCs/>
          <w:i/>
        </w:rPr>
        <w:lastRenderedPageBreak/>
        <w:t xml:space="preserve">different from mean </w:t>
      </w:r>
      <w:r>
        <w:rPr>
          <w:rFonts w:cstheme="minorHAnsi"/>
          <w:bCs/>
          <w:i/>
        </w:rPr>
        <w:t>or some benchmark, different from expected; how was meaningful difference defined</w:t>
      </w:r>
      <w:r w:rsidRPr="00A25024">
        <w:rPr>
          <w:rFonts w:cstheme="minorHAnsi"/>
          <w:bCs/>
        </w:rPr>
        <w:t>)</w:t>
      </w:r>
    </w:p>
    <w:p w14:paraId="1128D611" w14:textId="2BC38631" w:rsidR="00801973" w:rsidRDefault="00801973" w:rsidP="004804CB">
      <w:pPr>
        <w:pBdr>
          <w:top w:val="single" w:sz="4" w:space="1" w:color="000000"/>
          <w:left w:val="single" w:sz="4" w:space="4" w:color="000000"/>
          <w:bottom w:val="single" w:sz="4" w:space="1" w:color="000000"/>
          <w:right w:val="single" w:sz="4" w:space="4" w:color="000000"/>
        </w:pBdr>
        <w:autoSpaceDE w:val="0"/>
        <w:autoSpaceDN w:val="0"/>
        <w:adjustRightInd w:val="0"/>
        <w:spacing w:after="0" w:line="240" w:lineRule="auto"/>
        <w:rPr>
          <w:rFonts w:cstheme="minorHAnsi"/>
          <w:bCs/>
        </w:rPr>
      </w:pPr>
      <w:r w:rsidRPr="007D56AF">
        <w:rPr>
          <w:rFonts w:cstheme="minorHAnsi"/>
        </w:rPr>
        <w:t xml:space="preserve">Recent analyses of Medicare FFS data show </w:t>
      </w:r>
      <w:r>
        <w:rPr>
          <w:rFonts w:cstheme="minorHAnsi"/>
        </w:rPr>
        <w:t xml:space="preserve">variation in </w:t>
      </w:r>
      <w:r w:rsidRPr="007D56AF">
        <w:rPr>
          <w:rFonts w:cstheme="minorHAnsi"/>
        </w:rPr>
        <w:t>RSRRs a</w:t>
      </w:r>
      <w:r w:rsidR="00127B5D">
        <w:rPr>
          <w:rFonts w:cstheme="minorHAnsi"/>
        </w:rPr>
        <w:t xml:space="preserve">mong hospitals. Using </w:t>
      </w:r>
      <w:r>
        <w:rPr>
          <w:rFonts w:cstheme="minorHAnsi"/>
        </w:rPr>
        <w:t>the most recent data sample (2010-2011)</w:t>
      </w:r>
      <w:r w:rsidRPr="007D56AF">
        <w:rPr>
          <w:rFonts w:cstheme="minorHAnsi"/>
        </w:rPr>
        <w:t xml:space="preserve"> and updating the measure by applying </w:t>
      </w:r>
      <w:r>
        <w:rPr>
          <w:rFonts w:cstheme="minorHAnsi"/>
        </w:rPr>
        <w:t>Version 2.1 of the</w:t>
      </w:r>
      <w:r w:rsidRPr="007D56AF">
        <w:rPr>
          <w:rFonts w:cstheme="minorHAnsi"/>
        </w:rPr>
        <w:t xml:space="preserve"> planned readmission algorithm, </w:t>
      </w:r>
      <w:r w:rsidRPr="007754BA">
        <w:rPr>
          <w:rFonts w:cstheme="minorHAnsi"/>
          <w:bCs/>
        </w:rPr>
        <w:t>the mean hospital RS</w:t>
      </w:r>
      <w:r>
        <w:rPr>
          <w:rFonts w:cstheme="minorHAnsi"/>
          <w:bCs/>
        </w:rPr>
        <w:t>R</w:t>
      </w:r>
      <w:r w:rsidRPr="007754BA">
        <w:rPr>
          <w:rFonts w:cstheme="minorHAnsi"/>
          <w:bCs/>
        </w:rPr>
        <w:t xml:space="preserve">R was </w:t>
      </w:r>
      <w:r>
        <w:rPr>
          <w:rFonts w:cstheme="minorHAnsi"/>
          <w:bCs/>
        </w:rPr>
        <w:t>11.8%, with a range of 8.5% to 16.7%.</w:t>
      </w:r>
      <w:r w:rsidRPr="007754BA">
        <w:rPr>
          <w:rFonts w:cstheme="minorHAnsi"/>
          <w:bCs/>
        </w:rPr>
        <w:t xml:space="preserve"> The interquartile range was </w:t>
      </w:r>
      <w:r>
        <w:rPr>
          <w:rFonts w:cstheme="minorHAnsi"/>
          <w:bCs/>
        </w:rPr>
        <w:t xml:space="preserve">10.9% to 12.6%. </w:t>
      </w:r>
      <w:r w:rsidR="007D69B5" w:rsidRPr="007D69B5">
        <w:rPr>
          <w:rFonts w:cstheme="minorHAnsi"/>
          <w:bCs/>
        </w:rPr>
        <w:t xml:space="preserve">Out of </w:t>
      </w:r>
      <w:r w:rsidR="0049470A">
        <w:rPr>
          <w:rFonts w:cstheme="minorHAnsi"/>
          <w:bCs/>
        </w:rPr>
        <w:t>361</w:t>
      </w:r>
      <w:r w:rsidR="007D69B5" w:rsidRPr="007D69B5">
        <w:rPr>
          <w:rFonts w:cstheme="minorHAnsi"/>
          <w:bCs/>
        </w:rPr>
        <w:t xml:space="preserve"> hospitals </w:t>
      </w:r>
      <w:r w:rsidR="0049470A">
        <w:rPr>
          <w:rFonts w:cstheme="minorHAnsi"/>
          <w:bCs/>
        </w:rPr>
        <w:t>voluntarily reporting rates</w:t>
      </w:r>
      <w:r w:rsidR="00010254">
        <w:rPr>
          <w:rFonts w:cstheme="minorHAnsi"/>
          <w:bCs/>
        </w:rPr>
        <w:t xml:space="preserve"> on Hospital Compare in 2013</w:t>
      </w:r>
      <w:r w:rsidR="0049470A">
        <w:rPr>
          <w:rFonts w:cstheme="minorHAnsi"/>
          <w:bCs/>
        </w:rPr>
        <w:t xml:space="preserve">, 14 </w:t>
      </w:r>
      <w:r w:rsidR="007D69B5" w:rsidRPr="007D69B5">
        <w:rPr>
          <w:rFonts w:cstheme="minorHAnsi"/>
          <w:bCs/>
        </w:rPr>
        <w:t xml:space="preserve">performed “better than the </w:t>
      </w:r>
      <w:r w:rsidR="0049470A">
        <w:rPr>
          <w:rFonts w:cstheme="minorHAnsi"/>
          <w:bCs/>
        </w:rPr>
        <w:t>NCDR registry average</w:t>
      </w:r>
      <w:r w:rsidR="007D69B5" w:rsidRPr="007D69B5">
        <w:rPr>
          <w:rFonts w:cstheme="minorHAnsi"/>
          <w:bCs/>
        </w:rPr>
        <w:t xml:space="preserve">,” </w:t>
      </w:r>
      <w:r w:rsidR="0049470A">
        <w:rPr>
          <w:rFonts w:cstheme="minorHAnsi"/>
          <w:bCs/>
        </w:rPr>
        <w:t>297</w:t>
      </w:r>
      <w:r w:rsidR="007D69B5" w:rsidRPr="007D69B5">
        <w:rPr>
          <w:rFonts w:cstheme="minorHAnsi"/>
          <w:bCs/>
        </w:rPr>
        <w:t xml:space="preserve"> performed “no different from the </w:t>
      </w:r>
      <w:r w:rsidR="0049470A">
        <w:rPr>
          <w:rFonts w:cstheme="minorHAnsi"/>
          <w:bCs/>
        </w:rPr>
        <w:t xml:space="preserve">NCDR registry average,” and 2 </w:t>
      </w:r>
      <w:r w:rsidR="007D69B5" w:rsidRPr="007D69B5">
        <w:rPr>
          <w:rFonts w:cstheme="minorHAnsi"/>
          <w:bCs/>
        </w:rPr>
        <w:t xml:space="preserve">performed “worse than the </w:t>
      </w:r>
      <w:r w:rsidR="0049470A">
        <w:rPr>
          <w:rFonts w:cstheme="minorHAnsi"/>
          <w:bCs/>
        </w:rPr>
        <w:t>NCDR registry average</w:t>
      </w:r>
      <w:r w:rsidR="007D69B5" w:rsidRPr="007D69B5">
        <w:rPr>
          <w:rFonts w:cstheme="minorHAnsi"/>
          <w:bCs/>
        </w:rPr>
        <w:t xml:space="preserve">.” </w:t>
      </w:r>
      <w:r w:rsidR="0049470A">
        <w:rPr>
          <w:rFonts w:cstheme="minorHAnsi"/>
          <w:bCs/>
        </w:rPr>
        <w:t>Additionally, 31 did not have r</w:t>
      </w:r>
      <w:r w:rsidR="0049470A" w:rsidRPr="0049470A">
        <w:rPr>
          <w:rFonts w:cstheme="minorHAnsi"/>
          <w:bCs/>
        </w:rPr>
        <w:t xml:space="preserve">esults available for </w:t>
      </w:r>
      <w:r w:rsidR="0049470A">
        <w:rPr>
          <w:rFonts w:cstheme="minorHAnsi"/>
          <w:bCs/>
        </w:rPr>
        <w:t>the reporting period</w:t>
      </w:r>
      <w:r w:rsidR="0049470A" w:rsidRPr="0049470A">
        <w:rPr>
          <w:rFonts w:cstheme="minorHAnsi"/>
          <w:bCs/>
        </w:rPr>
        <w:t xml:space="preserve">. </w:t>
      </w:r>
      <w:r w:rsidR="0049470A">
        <w:rPr>
          <w:rFonts w:cstheme="minorHAnsi"/>
          <w:bCs/>
        </w:rPr>
        <w:t xml:space="preserve">17 </w:t>
      </w:r>
      <w:r w:rsidR="007D69B5" w:rsidRPr="007D69B5">
        <w:rPr>
          <w:rFonts w:cstheme="minorHAnsi"/>
          <w:bCs/>
        </w:rPr>
        <w:t>were classified as “number of cases too small” (fewer than 25) to reliably tell how well the hospital is performing.</w:t>
      </w:r>
    </w:p>
    <w:p w14:paraId="66A91627" w14:textId="77777777" w:rsidR="00801973" w:rsidRPr="00F041E5" w:rsidRDefault="00801973" w:rsidP="004804CB">
      <w:pPr>
        <w:pStyle w:val="Caption"/>
        <w:pBdr>
          <w:top w:val="single" w:sz="4" w:space="1" w:color="000000"/>
          <w:left w:val="single" w:sz="4" w:space="4" w:color="000000"/>
          <w:bottom w:val="single" w:sz="4" w:space="1" w:color="000000"/>
          <w:right w:val="single" w:sz="4" w:space="4" w:color="000000"/>
        </w:pBdr>
        <w:spacing w:after="0"/>
        <w:rPr>
          <w:rFonts w:asciiTheme="minorHAnsi" w:hAnsiTheme="minorHAnsi" w:cstheme="minorHAnsi"/>
          <w:szCs w:val="22"/>
        </w:rPr>
      </w:pPr>
      <w:r w:rsidRPr="00F041E5">
        <w:rPr>
          <w:rFonts w:asciiTheme="minorHAnsi" w:hAnsiTheme="minorHAnsi" w:cstheme="minorHAnsi"/>
          <w:szCs w:val="22"/>
        </w:rPr>
        <w:t xml:space="preserve">Figure </w:t>
      </w:r>
      <w:r>
        <w:rPr>
          <w:rFonts w:asciiTheme="minorHAnsi" w:hAnsiTheme="minorHAnsi" w:cstheme="minorHAnsi"/>
          <w:szCs w:val="22"/>
        </w:rPr>
        <w:fldChar w:fldCharType="begin"/>
      </w:r>
      <w:r>
        <w:rPr>
          <w:rFonts w:asciiTheme="minorHAnsi" w:hAnsiTheme="minorHAnsi" w:cstheme="minorHAnsi"/>
          <w:szCs w:val="22"/>
        </w:rPr>
        <w:instrText xml:space="preserve"> SEQ Figure \* ARABIC </w:instrText>
      </w:r>
      <w:r>
        <w:rPr>
          <w:rFonts w:asciiTheme="minorHAnsi" w:hAnsiTheme="minorHAnsi" w:cstheme="minorHAnsi"/>
          <w:szCs w:val="22"/>
        </w:rPr>
        <w:fldChar w:fldCharType="separate"/>
      </w:r>
      <w:r>
        <w:rPr>
          <w:rFonts w:asciiTheme="minorHAnsi" w:hAnsiTheme="minorHAnsi" w:cstheme="minorHAnsi"/>
          <w:noProof/>
          <w:szCs w:val="22"/>
        </w:rPr>
        <w:t>3</w:t>
      </w:r>
      <w:r>
        <w:rPr>
          <w:rFonts w:asciiTheme="minorHAnsi" w:hAnsiTheme="minorHAnsi" w:cstheme="minorHAnsi"/>
          <w:szCs w:val="22"/>
        </w:rPr>
        <w:fldChar w:fldCharType="end"/>
      </w:r>
      <w:r w:rsidRPr="00F041E5">
        <w:rPr>
          <w:rFonts w:asciiTheme="minorHAnsi" w:hAnsiTheme="minorHAnsi" w:cstheme="minorHAnsi"/>
          <w:szCs w:val="22"/>
        </w:rPr>
        <w:t xml:space="preserve">. </w:t>
      </w:r>
      <w:r w:rsidRPr="004866A4">
        <w:rPr>
          <w:rFonts w:asciiTheme="minorHAnsi" w:hAnsiTheme="minorHAnsi"/>
          <w:b w:val="0"/>
          <w:szCs w:val="22"/>
        </w:rPr>
        <w:t>Distribution of risk-standardized mortality rates (RSMRs); 2010-2011 combined sample.</w:t>
      </w:r>
      <w:r w:rsidRPr="00F041E5">
        <w:rPr>
          <w:rFonts w:asciiTheme="minorHAnsi" w:hAnsiTheme="minorHAnsi"/>
          <w:szCs w:val="22"/>
        </w:rPr>
        <w:t xml:space="preserve"> </w:t>
      </w:r>
    </w:p>
    <w:p w14:paraId="7FC3B70C" w14:textId="77777777" w:rsidR="00801973" w:rsidRPr="00F041E5" w:rsidRDefault="00801973" w:rsidP="004804CB">
      <w:pPr>
        <w:pBdr>
          <w:top w:val="single" w:sz="4" w:space="1" w:color="000000"/>
          <w:left w:val="single" w:sz="4" w:space="4" w:color="000000"/>
          <w:bottom w:val="single" w:sz="4" w:space="1" w:color="000000"/>
          <w:right w:val="single" w:sz="4" w:space="4" w:color="000000"/>
        </w:pBdr>
        <w:spacing w:after="0"/>
        <w:rPr>
          <w:rFonts w:cstheme="minorHAnsi"/>
        </w:rPr>
      </w:pPr>
      <w:r>
        <w:rPr>
          <w:noProof/>
        </w:rPr>
        <w:drawing>
          <wp:inline distT="0" distB="0" distL="0" distR="0" wp14:anchorId="1252423F" wp14:editId="78C41A2A">
            <wp:extent cx="2536190" cy="1856095"/>
            <wp:effectExtent l="0" t="0" r="0" b="0"/>
            <wp:docPr id="1843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5" name="Picture 3"/>
                    <pic:cNvPicPr>
                      <a:picLocks noChangeAspect="1" noChangeArrowheads="1"/>
                    </pic:cNvPicPr>
                  </pic:nvPicPr>
                  <pic:blipFill>
                    <a:blip r:embed="rId12"/>
                    <a:srcRect/>
                    <a:stretch>
                      <a:fillRect/>
                    </a:stretch>
                  </pic:blipFill>
                  <pic:spPr bwMode="auto">
                    <a:xfrm>
                      <a:off x="0" y="0"/>
                      <a:ext cx="2536481" cy="1856308"/>
                    </a:xfrm>
                    <a:prstGeom prst="rect">
                      <a:avLst/>
                    </a:prstGeom>
                    <a:noFill/>
                  </pic:spPr>
                </pic:pic>
              </a:graphicData>
            </a:graphic>
          </wp:inline>
        </w:drawing>
      </w:r>
    </w:p>
    <w:p w14:paraId="2BC48DD0" w14:textId="77777777" w:rsidR="00801973" w:rsidRDefault="00801973" w:rsidP="00801973">
      <w:pPr>
        <w:autoSpaceDE w:val="0"/>
        <w:autoSpaceDN w:val="0"/>
        <w:adjustRightInd w:val="0"/>
        <w:spacing w:before="120" w:after="0" w:line="240" w:lineRule="auto"/>
        <w:rPr>
          <w:rFonts w:cstheme="minorHAnsi"/>
          <w:bCs/>
        </w:rPr>
      </w:pPr>
      <w:r>
        <w:rPr>
          <w:rFonts w:cstheme="minorHAnsi"/>
          <w:b/>
          <w:bCs/>
        </w:rPr>
        <w:t xml:space="preserve">2b5.3. </w:t>
      </w:r>
      <w:r w:rsidRPr="00A25024">
        <w:rPr>
          <w:rFonts w:cstheme="minorHAnsi"/>
          <w:b/>
          <w:bCs/>
        </w:rPr>
        <w:t>What is your interpretation of the results in terms of demonstrating the ability to identify statistically significant and</w:t>
      </w:r>
      <w:r>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Pr>
          <w:rFonts w:cstheme="minorHAnsi"/>
          <w:bCs/>
          <w:i/>
        </w:rPr>
        <w:t>o the results mean in terms of statistical and meaningful differences?</w:t>
      </w:r>
      <w:r>
        <w:rPr>
          <w:rFonts w:cstheme="minorHAnsi"/>
          <w:bCs/>
        </w:rPr>
        <w:t>)</w:t>
      </w:r>
    </w:p>
    <w:p w14:paraId="2E813ABB" w14:textId="77777777" w:rsidR="00801973" w:rsidRPr="001F415F" w:rsidRDefault="00801973" w:rsidP="00801973">
      <w:pPr>
        <w:pBdr>
          <w:top w:val="single" w:sz="4" w:space="1" w:color="auto"/>
          <w:left w:val="single" w:sz="4" w:space="4" w:color="auto"/>
          <w:bottom w:val="single" w:sz="4" w:space="1" w:color="auto"/>
          <w:right w:val="single" w:sz="4" w:space="4" w:color="auto"/>
        </w:pBdr>
        <w:shd w:val="clear" w:color="auto" w:fill="FFFFFF"/>
        <w:spacing w:after="0" w:line="240" w:lineRule="auto"/>
        <w:rPr>
          <w:rFonts w:cstheme="minorHAnsi"/>
          <w:b/>
          <w:bCs/>
        </w:rPr>
      </w:pPr>
      <w:r w:rsidRPr="001F415F">
        <w:rPr>
          <w:rFonts w:cstheme="minorHAnsi"/>
          <w:bCs/>
        </w:rPr>
        <w:t xml:space="preserve">The variation in rates suggests there are </w:t>
      </w:r>
      <w:r>
        <w:rPr>
          <w:rFonts w:cstheme="minorHAnsi"/>
          <w:bCs/>
        </w:rPr>
        <w:t xml:space="preserve">clinically </w:t>
      </w:r>
      <w:r w:rsidRPr="001F415F">
        <w:rPr>
          <w:rFonts w:cstheme="minorHAnsi"/>
          <w:bCs/>
        </w:rPr>
        <w:t xml:space="preserve">meaningful differences across hospitals in the 30-day risk-standardized </w:t>
      </w:r>
      <w:r>
        <w:rPr>
          <w:rFonts w:cstheme="minorHAnsi"/>
          <w:bCs/>
        </w:rPr>
        <w:t>readmission after PCI.</w:t>
      </w:r>
      <w:r w:rsidRPr="001F415F">
        <w:rPr>
          <w:rFonts w:cstheme="minorHAnsi"/>
          <w:bCs/>
        </w:rPr>
        <w:t xml:space="preserve"> </w:t>
      </w:r>
    </w:p>
    <w:p w14:paraId="2EB6ED6E" w14:textId="77777777" w:rsidR="00801973" w:rsidRDefault="00801973" w:rsidP="00801973">
      <w:pPr>
        <w:spacing w:after="0" w:line="240" w:lineRule="auto"/>
        <w:rPr>
          <w:rFonts w:cstheme="minorHAnsi"/>
          <w:b/>
          <w:bCs/>
        </w:rPr>
      </w:pPr>
      <w:r>
        <w:rPr>
          <w:rFonts w:cstheme="minorHAnsi"/>
          <w:b/>
          <w:bCs/>
        </w:rPr>
        <w:t>_______________________________________</w:t>
      </w:r>
    </w:p>
    <w:p w14:paraId="3ABF521A" w14:textId="77777777" w:rsidR="00801973" w:rsidRDefault="00801973" w:rsidP="00801973">
      <w:pPr>
        <w:autoSpaceDE w:val="0"/>
        <w:autoSpaceDN w:val="0"/>
        <w:adjustRightInd w:val="0"/>
        <w:spacing w:after="0" w:line="240" w:lineRule="auto"/>
        <w:rPr>
          <w:rFonts w:cstheme="minorHAnsi"/>
          <w:b/>
          <w:bCs/>
        </w:rPr>
      </w:pPr>
      <w:r w:rsidRPr="00A25024">
        <w:rPr>
          <w:rFonts w:cstheme="minorHAnsi"/>
          <w:b/>
          <w:bCs/>
        </w:rPr>
        <w:t xml:space="preserve">2b6. COMPARABILITY OF PERFORMANCE SCORES </w:t>
      </w:r>
      <w:r>
        <w:rPr>
          <w:rFonts w:cstheme="minorHAnsi"/>
          <w:b/>
          <w:bCs/>
        </w:rPr>
        <w:t>WHEN</w:t>
      </w:r>
      <w:r w:rsidRPr="00A25024">
        <w:rPr>
          <w:rFonts w:cstheme="minorHAnsi"/>
          <w:b/>
          <w:bCs/>
        </w:rPr>
        <w:t xml:space="preserve"> MORE THAN ONE SET OF SPECIFICATIONS </w:t>
      </w:r>
    </w:p>
    <w:p w14:paraId="58BD91AD" w14:textId="77777777" w:rsidR="00801973" w:rsidRPr="0086464B" w:rsidRDefault="00801973" w:rsidP="00801973">
      <w:pPr>
        <w:spacing w:after="0" w:line="240" w:lineRule="auto"/>
        <w:rPr>
          <w:rFonts w:cstheme="minorHAnsi"/>
          <w:b/>
          <w:bCs/>
        </w:rPr>
      </w:pPr>
      <w:r w:rsidRPr="00FB10FA">
        <w:rPr>
          <w:rFonts w:cstheme="minorHAnsi"/>
          <w:b/>
          <w:bCs/>
          <w:i/>
        </w:rPr>
        <w:t>If only one set of specifications, this section can be skipped.</w:t>
      </w:r>
    </w:p>
    <w:p w14:paraId="7B8A78B4" w14:textId="77777777" w:rsidR="00801973" w:rsidRDefault="00801973" w:rsidP="00801973">
      <w:pPr>
        <w:autoSpaceDE w:val="0"/>
        <w:autoSpaceDN w:val="0"/>
        <w:adjustRightInd w:val="0"/>
        <w:spacing w:after="0" w:line="240" w:lineRule="auto"/>
        <w:rPr>
          <w:rFonts w:cstheme="minorHAnsi"/>
          <w:b/>
          <w:bCs/>
          <w:i/>
        </w:rPr>
      </w:pPr>
      <w:r w:rsidRPr="00A25024">
        <w:rPr>
          <w:rFonts w:cstheme="minorHAnsi"/>
          <w:b/>
          <w:bCs/>
          <w:u w:val="single"/>
        </w:rPr>
        <w:t>Note</w:t>
      </w:r>
      <w:r w:rsidRPr="00A25024">
        <w:rPr>
          <w:rFonts w:cstheme="minorHAnsi"/>
          <w:bCs/>
          <w:i/>
        </w:rPr>
        <w:t>: This criterion is directed to measures with more than one set of specifications/instructions (e.g., one set of specifications for how to identify and compute the measure from medical record</w:t>
      </w:r>
      <w:r>
        <w:rPr>
          <w:rFonts w:cstheme="minorHAnsi"/>
          <w:bCs/>
          <w:i/>
        </w:rPr>
        <w:t xml:space="preserve"> abstraction</w:t>
      </w:r>
      <w:r w:rsidRPr="00A25024">
        <w:rPr>
          <w:rFonts w:cstheme="minorHAnsi"/>
          <w:bCs/>
          <w:i/>
        </w:rPr>
        <w:t xml:space="preserve"> and a different set of specifications for claims</w:t>
      </w:r>
      <w:r>
        <w:rPr>
          <w:rFonts w:cstheme="minorHAnsi"/>
          <w:bCs/>
          <w:i/>
        </w:rPr>
        <w:t xml:space="preserve"> or eMeasures</w:t>
      </w:r>
      <w:r w:rsidRPr="00A25024">
        <w:rPr>
          <w:rFonts w:cstheme="minorHAnsi"/>
          <w:bCs/>
          <w:i/>
        </w:rPr>
        <w:t xml:space="preserve">). It does not apply to measures that use more than one </w:t>
      </w:r>
      <w:r>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Pr>
          <w:rFonts w:cstheme="minorHAnsi"/>
          <w:bCs/>
          <w:i/>
        </w:rPr>
        <w:t xml:space="preserve"> </w:t>
      </w:r>
      <w:r w:rsidRPr="00D61410">
        <w:rPr>
          <w:rFonts w:cstheme="minorHAnsi"/>
          <w:b/>
          <w:bCs/>
          <w:i/>
        </w:rPr>
        <w:t xml:space="preserve">If comparability is not demonstrated, the </w:t>
      </w:r>
      <w:r>
        <w:rPr>
          <w:rFonts w:cstheme="minorHAnsi"/>
          <w:b/>
          <w:bCs/>
          <w:i/>
        </w:rPr>
        <w:t>different specifications</w:t>
      </w:r>
      <w:r w:rsidRPr="00D61410">
        <w:rPr>
          <w:rFonts w:cstheme="minorHAnsi"/>
          <w:b/>
          <w:bCs/>
          <w:i/>
        </w:rPr>
        <w:t xml:space="preserve"> </w:t>
      </w:r>
      <w:r>
        <w:rPr>
          <w:rFonts w:cstheme="minorHAnsi"/>
          <w:b/>
          <w:bCs/>
          <w:i/>
        </w:rPr>
        <w:t xml:space="preserve">should </w:t>
      </w:r>
      <w:r w:rsidRPr="00D61410">
        <w:rPr>
          <w:rFonts w:cstheme="minorHAnsi"/>
          <w:b/>
          <w:bCs/>
          <w:i/>
        </w:rPr>
        <w:t>be submitted as separate measures.</w:t>
      </w:r>
    </w:p>
    <w:p w14:paraId="02C49EC9" w14:textId="77777777" w:rsidR="00D46B06" w:rsidRDefault="00D46B06" w:rsidP="00801973">
      <w:pPr>
        <w:autoSpaceDE w:val="0"/>
        <w:autoSpaceDN w:val="0"/>
        <w:adjustRightInd w:val="0"/>
        <w:spacing w:after="0" w:line="240" w:lineRule="auto"/>
        <w:rPr>
          <w:rFonts w:cstheme="minorHAnsi"/>
          <w:bCs/>
          <w:i/>
        </w:rPr>
      </w:pPr>
    </w:p>
    <w:p w14:paraId="73A1C157" w14:textId="77777777" w:rsidR="00D46B06" w:rsidRPr="00A25024" w:rsidRDefault="00D46B06" w:rsidP="00D46B06">
      <w:pPr>
        <w:autoSpaceDE w:val="0"/>
        <w:autoSpaceDN w:val="0"/>
        <w:adjustRightInd w:val="0"/>
        <w:spacing w:after="0" w:line="240" w:lineRule="auto"/>
        <w:rPr>
          <w:rFonts w:cstheme="minorHAnsi"/>
          <w:bCs/>
        </w:rPr>
      </w:pPr>
      <w:r>
        <w:rPr>
          <w:rFonts w:cstheme="minorHAnsi"/>
          <w:b/>
          <w:bCs/>
        </w:rPr>
        <w:t xml:space="preserve">2b6.1. Describe the method of </w:t>
      </w:r>
      <w:r w:rsidRPr="00A25024">
        <w:rPr>
          <w:rFonts w:cstheme="minorHAnsi"/>
          <w:b/>
          <w:bCs/>
        </w:rPr>
        <w:t>testing conducted</w:t>
      </w:r>
      <w:r>
        <w:rPr>
          <w:rFonts w:cstheme="minorHAnsi"/>
          <w:b/>
          <w:bCs/>
        </w:rPr>
        <w:t xml:space="preserve"> to demonstrate comparability</w:t>
      </w:r>
      <w:r w:rsidRPr="00A25024">
        <w:rPr>
          <w:rFonts w:cstheme="minorHAnsi"/>
          <w:b/>
          <w:bCs/>
        </w:rPr>
        <w:t xml:space="preserve"> of performance scores for the same entities across the different </w:t>
      </w:r>
      <w:r>
        <w:rPr>
          <w:rFonts w:cstheme="minorHAnsi"/>
          <w:b/>
          <w:bCs/>
        </w:rPr>
        <w:t>data sources/</w:t>
      </w:r>
      <w:r w:rsidRPr="00A25024">
        <w:rPr>
          <w:rFonts w:cstheme="minorHAnsi"/>
          <w:b/>
          <w:bCs/>
        </w:rPr>
        <w:t>specifications</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r>
      <w:r w:rsidRPr="00DE053D">
        <w:rPr>
          <w:rFonts w:cstheme="minorHAnsi"/>
          <w:bCs/>
          <w:bdr w:val="single" w:sz="8" w:space="0" w:color="000000"/>
        </w:rPr>
        <w:t xml:space="preserve"> N/A . This measure has only one set of specifications.</w:t>
      </w:r>
      <w:r w:rsidRPr="00DE053D">
        <w:rPr>
          <w:rFonts w:cstheme="minorHAnsi"/>
          <w:bCs/>
          <w:bdr w:val="single" w:sz="8" w:space="0" w:color="000000"/>
        </w:rPr>
        <w:tab/>
      </w:r>
      <w:r w:rsidRPr="00DE053D">
        <w:rPr>
          <w:rFonts w:cstheme="minorHAnsi"/>
          <w:bCs/>
        </w:rPr>
        <w:tab/>
      </w:r>
      <w:r w:rsidRPr="00DE053D">
        <w:rPr>
          <w:rFonts w:cstheme="minorHAnsi"/>
          <w:bCs/>
        </w:rPr>
        <w:tab/>
      </w:r>
      <w:r w:rsidRPr="00DE053D">
        <w:rPr>
          <w:rFonts w:cstheme="minorHAnsi"/>
          <w:bCs/>
        </w:rPr>
        <w:tab/>
      </w:r>
      <w:r w:rsidRPr="00DE053D">
        <w:rPr>
          <w:rFonts w:cstheme="minorHAnsi"/>
          <w:bCs/>
        </w:rPr>
        <w:tab/>
      </w:r>
      <w:r w:rsidRPr="00DE053D">
        <w:rPr>
          <w:rFonts w:cstheme="minorHAnsi"/>
          <w:bCs/>
        </w:rPr>
        <w:tab/>
      </w:r>
      <w:r w:rsidRPr="00DE053D">
        <w:rPr>
          <w:rFonts w:cstheme="minorHAnsi"/>
          <w:bCs/>
        </w:rPr>
        <w:tab/>
      </w:r>
      <w:r>
        <w:rPr>
          <w:rFonts w:cstheme="minorHAnsi"/>
          <w:bCs/>
          <w:bdr w:val="single" w:sz="12" w:space="0" w:color="000000"/>
        </w:rPr>
        <w:t xml:space="preserve"> </w:t>
      </w:r>
    </w:p>
    <w:p w14:paraId="1F8318A6" w14:textId="77777777" w:rsidR="00D46B06" w:rsidRDefault="00D46B06" w:rsidP="00D46B06">
      <w:pPr>
        <w:autoSpaceDE w:val="0"/>
        <w:autoSpaceDN w:val="0"/>
        <w:adjustRightInd w:val="0"/>
        <w:spacing w:after="0" w:line="240" w:lineRule="auto"/>
        <w:rPr>
          <w:rFonts w:cstheme="minorHAnsi"/>
          <w:bCs/>
        </w:rPr>
      </w:pPr>
      <w:r>
        <w:rPr>
          <w:rFonts w:cstheme="minorHAnsi"/>
          <w:b/>
          <w:bCs/>
        </w:rPr>
        <w:t xml:space="preserve">2b6.2. </w:t>
      </w:r>
      <w:r w:rsidRPr="00A25024">
        <w:rPr>
          <w:rFonts w:cstheme="minorHAnsi"/>
          <w:b/>
          <w:bCs/>
        </w:rPr>
        <w:t xml:space="preserve">What were the statistical results from testing comparability of performance scores for the same entities when using different </w:t>
      </w:r>
      <w:r>
        <w:rPr>
          <w:rFonts w:cstheme="minorHAnsi"/>
          <w:b/>
          <w:bCs/>
        </w:rPr>
        <w:t>data sources/</w:t>
      </w:r>
      <w:r w:rsidRPr="00A25024">
        <w:rPr>
          <w:rFonts w:cstheme="minorHAnsi"/>
          <w:b/>
          <w:bCs/>
        </w:rPr>
        <w:t>specifications?</w:t>
      </w:r>
      <w:r w:rsidRPr="00A25024">
        <w:rPr>
          <w:rFonts w:cstheme="minorHAnsi"/>
          <w:bCs/>
        </w:rPr>
        <w:t xml:space="preserve"> (</w:t>
      </w:r>
      <w:r w:rsidRPr="00A25024">
        <w:rPr>
          <w:rFonts w:cstheme="minorHAnsi"/>
          <w:bCs/>
          <w:i/>
        </w:rPr>
        <w:t>e.g., correlation</w:t>
      </w:r>
      <w:r>
        <w:rPr>
          <w:rFonts w:cstheme="minorHAnsi"/>
          <w:bCs/>
          <w:i/>
        </w:rPr>
        <w:t>, rank order</w:t>
      </w:r>
      <w:r w:rsidRPr="00A25024">
        <w:rPr>
          <w:rFonts w:cstheme="minorHAnsi"/>
          <w:bCs/>
        </w:rPr>
        <w:t>)</w:t>
      </w:r>
      <w:r w:rsidRPr="00A25024">
        <w:rPr>
          <w:rFonts w:cstheme="minorHAnsi"/>
          <w:bCs/>
        </w:rPr>
        <w:br/>
      </w:r>
      <w:r w:rsidRPr="00DE053D">
        <w:rPr>
          <w:rFonts w:cstheme="minorHAnsi"/>
          <w:bCs/>
          <w:bdr w:val="single" w:sz="8" w:space="0" w:color="000000"/>
        </w:rPr>
        <w:t>N/A . This measure has only one set of specifications.</w:t>
      </w:r>
      <w:r w:rsidRPr="00DE053D">
        <w:rPr>
          <w:rFonts w:cstheme="minorHAnsi"/>
          <w:bCs/>
          <w:bdr w:val="single" w:sz="8" w:space="0" w:color="000000"/>
        </w:rPr>
        <w:tab/>
      </w:r>
    </w:p>
    <w:p w14:paraId="03555D51" w14:textId="77777777" w:rsidR="00D46B06" w:rsidRDefault="00D46B06" w:rsidP="00D46B06">
      <w:pPr>
        <w:autoSpaceDE w:val="0"/>
        <w:autoSpaceDN w:val="0"/>
        <w:adjustRightInd w:val="0"/>
        <w:spacing w:after="0" w:line="240" w:lineRule="auto"/>
        <w:rPr>
          <w:rFonts w:cstheme="minorHAnsi"/>
          <w:bCs/>
        </w:rPr>
      </w:pPr>
      <w:r>
        <w:rPr>
          <w:rFonts w:cstheme="minorHAnsi"/>
          <w:b/>
          <w:bCs/>
        </w:rPr>
        <w:t xml:space="preserve">2b6.3. </w:t>
      </w:r>
      <w:r w:rsidRPr="00A25024">
        <w:rPr>
          <w:rFonts w:cstheme="minorHAnsi"/>
          <w:b/>
          <w:bCs/>
        </w:rPr>
        <w:t xml:space="preserve">What is your interpretation of the results in terms of demonstrating comparability of performance measure scores for the same entities across the different </w:t>
      </w:r>
      <w:r>
        <w:rPr>
          <w:rFonts w:cstheme="minorHAnsi"/>
          <w:b/>
          <w:bCs/>
        </w:rPr>
        <w:t>data sources/</w:t>
      </w:r>
      <w:r w:rsidRPr="00A25024">
        <w:rPr>
          <w:rFonts w:cstheme="minorHAnsi"/>
          <w:b/>
          <w:bCs/>
        </w:rPr>
        <w:t>specifications?</w:t>
      </w:r>
      <w:r w:rsidRPr="00A25024">
        <w:rPr>
          <w:rFonts w:cstheme="minorHAnsi"/>
          <w:bCs/>
        </w:rPr>
        <w:t xml:space="preserve"> </w:t>
      </w:r>
      <w:r w:rsidRPr="00A25024">
        <w:rPr>
          <w:rFonts w:cstheme="minorHAnsi"/>
          <w:bCs/>
        </w:rPr>
        <w:lastRenderedPageBreak/>
        <w:t>(i</w:t>
      </w:r>
      <w:r w:rsidRPr="00A25024">
        <w:rPr>
          <w:rFonts w:cstheme="minorHAnsi"/>
          <w:bCs/>
          <w:i/>
        </w:rPr>
        <w:t>.e., what do the results mean and what are the norms for the test conducted</w:t>
      </w:r>
      <w:r w:rsidRPr="00A25024">
        <w:rPr>
          <w:rFonts w:cstheme="minorHAnsi"/>
          <w:bCs/>
        </w:rPr>
        <w:t>)</w:t>
      </w:r>
      <w:r w:rsidRPr="00DB3627">
        <w:rPr>
          <w:rFonts w:cstheme="minorHAnsi"/>
          <w:bCs/>
        </w:rPr>
        <w:br/>
      </w:r>
      <w:r w:rsidRPr="00DE053D">
        <w:rPr>
          <w:rFonts w:cstheme="minorHAnsi"/>
          <w:bCs/>
          <w:bdr w:val="single" w:sz="8" w:space="0" w:color="000000"/>
        </w:rPr>
        <w:t>N/A . This measure has only one set of specifications.</w:t>
      </w:r>
      <w:r w:rsidRPr="00DE053D">
        <w:rPr>
          <w:rFonts w:cstheme="minorHAnsi"/>
          <w:bCs/>
          <w:bdr w:val="single" w:sz="8" w:space="0" w:color="000000"/>
        </w:rPr>
        <w:tab/>
      </w:r>
    </w:p>
    <w:p w14:paraId="7CE9AB10" w14:textId="77777777" w:rsidR="00D46B06" w:rsidRDefault="00D46B06" w:rsidP="00D46B06">
      <w:pPr>
        <w:spacing w:after="0" w:line="240" w:lineRule="auto"/>
        <w:rPr>
          <w:rFonts w:cstheme="minorHAnsi"/>
          <w:b/>
          <w:bCs/>
        </w:rPr>
      </w:pPr>
      <w:r>
        <w:rPr>
          <w:rFonts w:cstheme="minorHAnsi"/>
          <w:b/>
          <w:bCs/>
        </w:rPr>
        <w:t>_______________________________________</w:t>
      </w:r>
    </w:p>
    <w:p w14:paraId="2B547F53" w14:textId="77777777" w:rsidR="00D46B06" w:rsidRPr="001F188D" w:rsidRDefault="00D46B06" w:rsidP="00D46B06">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 xml:space="preserve">MISSING DATA ANALYSIS AND MINIMIZING BIAS </w:t>
      </w:r>
    </w:p>
    <w:p w14:paraId="63A55CF4" w14:textId="77777777" w:rsidR="00D46B06" w:rsidRDefault="00D46B06" w:rsidP="00D46B06">
      <w:pPr>
        <w:pStyle w:val="ListParagraph"/>
        <w:autoSpaceDE w:val="0"/>
        <w:autoSpaceDN w:val="0"/>
        <w:adjustRightInd w:val="0"/>
        <w:spacing w:after="0" w:line="240" w:lineRule="auto"/>
        <w:ind w:left="0"/>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Pr="008B604D">
        <w:rPr>
          <w:rFonts w:ascii="Calibri" w:eastAsia="Calibri" w:hAnsi="Calibri" w:cs="Calibri"/>
          <w:b/>
        </w:rPr>
        <w:t>identify the extent and distribution of missing data (or nonresponse) and demonstrate that performance results are not biased</w:t>
      </w:r>
      <w:r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p>
    <w:p w14:paraId="59EBF99F" w14:textId="77777777" w:rsidR="00D46B06" w:rsidRPr="00C8458C" w:rsidRDefault="00D46B06" w:rsidP="00D46B06">
      <w:pPr>
        <w:pStyle w:val="ListParagraph"/>
        <w:pBdr>
          <w:top w:val="single" w:sz="4" w:space="1" w:color="000000"/>
          <w:left w:val="single" w:sz="4" w:space="4" w:color="000000"/>
          <w:bottom w:val="single" w:sz="4" w:space="1" w:color="000000"/>
          <w:right w:val="single" w:sz="4" w:space="4" w:color="000000"/>
        </w:pBdr>
        <w:autoSpaceDE w:val="0"/>
        <w:autoSpaceDN w:val="0"/>
        <w:adjustRightInd w:val="0"/>
        <w:spacing w:after="120" w:line="240" w:lineRule="auto"/>
        <w:ind w:left="0"/>
        <w:rPr>
          <w:rFonts w:cstheme="minorHAnsi"/>
        </w:rPr>
      </w:pPr>
      <w:r w:rsidRPr="000768DF">
        <w:rPr>
          <w:rFonts w:cstheme="minorHAnsi"/>
        </w:rPr>
        <w:t>We examined rates of missing data for all candidate variables</w:t>
      </w:r>
      <w:r>
        <w:rPr>
          <w:rFonts w:cstheme="minorHAnsi"/>
        </w:rPr>
        <w:t xml:space="preserve"> and examined histograms of the frequency of missingness by hospital</w:t>
      </w:r>
      <w:r w:rsidRPr="000768DF">
        <w:rPr>
          <w:rFonts w:cstheme="minorHAnsi"/>
        </w:rPr>
        <w:t xml:space="preserve">. </w:t>
      </w:r>
    </w:p>
    <w:p w14:paraId="4CD421B3" w14:textId="77777777" w:rsidR="00D46B06" w:rsidRDefault="00D46B06" w:rsidP="00D46B06">
      <w:pPr>
        <w:autoSpaceDE w:val="0"/>
        <w:autoSpaceDN w:val="0"/>
        <w:adjustRightInd w:val="0"/>
        <w:spacing w:after="0" w:line="240" w:lineRule="auto"/>
        <w:rPr>
          <w:rFonts w:cstheme="minorHAnsi"/>
          <w:bCs/>
        </w:rPr>
      </w:pPr>
      <w:r>
        <w:rPr>
          <w:rFonts w:cstheme="minorHAnsi"/>
          <w:b/>
          <w:bCs/>
        </w:rPr>
        <w:t xml:space="preserve">2b7.2. </w:t>
      </w:r>
      <w:r w:rsidRPr="00FC5DE1">
        <w:rPr>
          <w:rFonts w:cstheme="minorHAnsi"/>
          <w:b/>
          <w:bCs/>
        </w:rPr>
        <w:t>What is the overall frequency of missing data</w:t>
      </w:r>
      <w:r>
        <w:rPr>
          <w:rFonts w:cstheme="minorHAnsi"/>
          <w:b/>
          <w:bCs/>
        </w:rPr>
        <w:t>,</w:t>
      </w:r>
      <w:r w:rsidRPr="00FC5DE1">
        <w:rPr>
          <w:rFonts w:cstheme="minorHAnsi"/>
          <w:b/>
          <w:bCs/>
        </w:rPr>
        <w:t xml:space="preserve"> the distribution of missing data across providers</w:t>
      </w:r>
      <w:r>
        <w:rPr>
          <w:rFonts w:cstheme="minorHAnsi"/>
          <w:b/>
          <w:bCs/>
        </w:rPr>
        <w:t>,</w:t>
      </w:r>
      <w:r w:rsidRPr="00A25024">
        <w:rPr>
          <w:rFonts w:cstheme="minorHAnsi"/>
          <w:b/>
          <w:bCs/>
        </w:rPr>
        <w:t xml:space="preserve"> </w:t>
      </w:r>
      <w:r>
        <w:rPr>
          <w:rFonts w:cstheme="minorHAnsi"/>
          <w:b/>
          <w:bCs/>
        </w:rPr>
        <w:t>and the</w:t>
      </w:r>
      <w:r w:rsidRPr="00A25024">
        <w:rPr>
          <w:rFonts w:cstheme="minorHAnsi"/>
          <w:b/>
          <w:bCs/>
        </w:rPr>
        <w:t xml:space="preserve"> results from testing </w:t>
      </w:r>
      <w:r>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Pr="008B604D">
        <w:rPr>
          <w:rFonts w:cstheme="minorHAnsi"/>
          <w:b/>
          <w:bCs/>
        </w:rPr>
        <w:t xml:space="preserve"> </w:t>
      </w:r>
      <w:r w:rsidRPr="00FC5DE1">
        <w:rPr>
          <w:rFonts w:cstheme="minorHAnsi"/>
          <w:bCs/>
          <w:i/>
        </w:rPr>
        <w:t xml:space="preserve">results of sensitivity analysis of </w:t>
      </w:r>
      <w:r>
        <w:rPr>
          <w:rFonts w:cstheme="minorHAnsi"/>
          <w:bCs/>
          <w:i/>
        </w:rPr>
        <w:t xml:space="preserve">the </w:t>
      </w:r>
      <w:r w:rsidRPr="00FC5DE1">
        <w:rPr>
          <w:rFonts w:cstheme="minorHAnsi"/>
          <w:bCs/>
          <w:i/>
        </w:rPr>
        <w:t>effect of various rules for missing data</w:t>
      </w:r>
      <w:r>
        <w:rPr>
          <w:rFonts w:cstheme="minorHAnsi"/>
          <w:bCs/>
          <w:i/>
        </w:rPr>
        <w:t>/nonresponse</w:t>
      </w:r>
      <w:r w:rsidRPr="00FC5DE1">
        <w:rPr>
          <w:rFonts w:cstheme="minorHAnsi"/>
          <w:bCs/>
          <w:i/>
        </w:rPr>
        <w:t xml:space="preserve">; </w:t>
      </w:r>
      <w:r w:rsidRPr="00FC5DE1">
        <w:rPr>
          <w:rFonts w:cstheme="minorHAnsi"/>
          <w:bCs/>
          <w:i/>
          <w:u w:val="single"/>
        </w:rPr>
        <w:t xml:space="preserve">if no empirical </w:t>
      </w:r>
      <w:r>
        <w:rPr>
          <w:rFonts w:cstheme="minorHAnsi"/>
          <w:bCs/>
          <w:i/>
          <w:u w:val="single"/>
        </w:rPr>
        <w:t xml:space="preserve">sensitivity </w:t>
      </w:r>
      <w:r w:rsidRPr="00FC5DE1">
        <w:rPr>
          <w:rFonts w:cstheme="minorHAnsi"/>
          <w:bCs/>
          <w:i/>
          <w:u w:val="single"/>
        </w:rPr>
        <w:t>analysis</w:t>
      </w:r>
      <w:r w:rsidRPr="00FC5DE1">
        <w:rPr>
          <w:rFonts w:cstheme="minorHAnsi"/>
          <w:bCs/>
          <w:i/>
        </w:rPr>
        <w:t>, identify the approaches for handling missing data that were considered and pros and cons of each</w:t>
      </w:r>
      <w:r>
        <w:rPr>
          <w:rFonts w:cstheme="minorHAnsi"/>
          <w:bCs/>
        </w:rPr>
        <w:t>)</w:t>
      </w:r>
    </w:p>
    <w:p w14:paraId="011DC12C" w14:textId="77777777" w:rsidR="00D46B06" w:rsidRDefault="00D46B06" w:rsidP="00D46B06">
      <w:pPr>
        <w:pBdr>
          <w:top w:val="single" w:sz="4" w:space="1" w:color="000000"/>
          <w:left w:val="single" w:sz="4" w:space="4" w:color="000000"/>
          <w:bottom w:val="single" w:sz="4" w:space="1" w:color="000000"/>
          <w:right w:val="single" w:sz="4" w:space="4" w:color="000000"/>
        </w:pBdr>
        <w:autoSpaceDE w:val="0"/>
        <w:autoSpaceDN w:val="0"/>
        <w:adjustRightInd w:val="0"/>
        <w:spacing w:after="120" w:line="240" w:lineRule="auto"/>
        <w:rPr>
          <w:rFonts w:cstheme="minorHAnsi"/>
          <w:bCs/>
        </w:rPr>
      </w:pPr>
      <w:r w:rsidRPr="0093737C">
        <w:rPr>
          <w:rFonts w:cstheme="minorHAnsi"/>
          <w:bCs/>
        </w:rPr>
        <w:t>Overall, the percentage of missing values for all categorical variables was very small (&lt;1%). There were three continuous variables with missing values: body mass index (BMI, 0.1%), glomerular filtration rate (GFR, 3.7%), and left ventricular ejection fraction (LVEF, 28.5%); we considered the missing of GFR and LVEF as an independent category of “unmeasured” and for BMI; we stratified by gender and imputed the missing values to the median of the corresponding groups.</w:t>
      </w:r>
    </w:p>
    <w:p w14:paraId="6D887319" w14:textId="77777777" w:rsidR="00D46B06" w:rsidRDefault="00D46B06" w:rsidP="00D46B06">
      <w:pPr>
        <w:autoSpaceDE w:val="0"/>
        <w:autoSpaceDN w:val="0"/>
        <w:adjustRightInd w:val="0"/>
        <w:spacing w:after="0" w:line="240" w:lineRule="auto"/>
        <w:rPr>
          <w:rFonts w:cstheme="minorHAnsi"/>
          <w:bCs/>
        </w:rPr>
      </w:pPr>
      <w:r>
        <w:rPr>
          <w:rFonts w:cstheme="minorHAnsi"/>
          <w:b/>
          <w:bCs/>
        </w:rPr>
        <w:t xml:space="preserve">2b7.3. </w:t>
      </w:r>
      <w:r w:rsidRPr="00A25024">
        <w:rPr>
          <w:rFonts w:cstheme="minorHAnsi"/>
          <w:b/>
          <w:bCs/>
        </w:rPr>
        <w:t>What is your interpretation of the results in terms of demonstrating</w:t>
      </w:r>
      <w:r>
        <w:rPr>
          <w:rFonts w:cstheme="minorHAnsi"/>
          <w:b/>
          <w:bCs/>
        </w:rPr>
        <w:t xml:space="preserve"> that </w:t>
      </w:r>
      <w:r w:rsidRPr="00A831B4">
        <w:rPr>
          <w:rFonts w:ascii="Calibri" w:eastAsia="Calibri" w:hAnsi="Calibri" w:cs="Calibri"/>
          <w:b/>
        </w:rPr>
        <w:t>performance results are not biased</w:t>
      </w:r>
      <w:r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Pr="00FC5DE1">
        <w:rPr>
          <w:rFonts w:cstheme="minorHAnsi"/>
          <w:bCs/>
          <w:i/>
        </w:rPr>
        <w:t>in terms of supporting the selected approach for missing data</w:t>
      </w:r>
      <w:r w:rsidRPr="00A25024">
        <w:rPr>
          <w:rFonts w:cstheme="minorHAnsi"/>
          <w:bCs/>
          <w:i/>
        </w:rPr>
        <w:t xml:space="preserve"> and what are the norms for the test conducted</w:t>
      </w:r>
      <w:r>
        <w:rPr>
          <w:rFonts w:cstheme="minorHAnsi"/>
          <w:bCs/>
          <w:i/>
        </w:rPr>
        <w:t>;</w:t>
      </w:r>
      <w:r w:rsidRPr="00FC5DE1">
        <w:rPr>
          <w:rFonts w:cstheme="minorHAnsi"/>
          <w:bCs/>
          <w:i/>
        </w:rPr>
        <w:t xml:space="preserve"> </w:t>
      </w:r>
      <w:r w:rsidRPr="00FC5DE1">
        <w:rPr>
          <w:rFonts w:cstheme="minorHAnsi"/>
          <w:bCs/>
          <w:i/>
          <w:u w:val="single"/>
        </w:rPr>
        <w:t>if no empirical analysis</w:t>
      </w:r>
      <w:r w:rsidRPr="00FC5DE1">
        <w:rPr>
          <w:rFonts w:cstheme="minorHAnsi"/>
          <w:bCs/>
          <w:i/>
        </w:rPr>
        <w:t>, provide rationale for the selected approach for missing data</w:t>
      </w:r>
      <w:r w:rsidRPr="00A25024">
        <w:rPr>
          <w:rFonts w:cstheme="minorHAnsi"/>
          <w:bCs/>
        </w:rPr>
        <w:t>)</w:t>
      </w:r>
    </w:p>
    <w:p w14:paraId="26B4762E" w14:textId="77777777" w:rsidR="00D46B06" w:rsidRPr="005560E7" w:rsidRDefault="00D46B06" w:rsidP="00D46B06">
      <w:pPr>
        <w:pBdr>
          <w:top w:val="single" w:sz="4" w:space="1" w:color="000000"/>
          <w:left w:val="single" w:sz="4" w:space="4" w:color="000000"/>
          <w:bottom w:val="single" w:sz="4" w:space="1" w:color="000000"/>
          <w:right w:val="single" w:sz="4" w:space="4" w:color="000000"/>
        </w:pBdr>
        <w:autoSpaceDE w:val="0"/>
        <w:autoSpaceDN w:val="0"/>
        <w:adjustRightInd w:val="0"/>
        <w:spacing w:after="0" w:line="240" w:lineRule="auto"/>
        <w:rPr>
          <w:rFonts w:cstheme="minorHAnsi"/>
          <w:bCs/>
        </w:rPr>
      </w:pPr>
      <w:r>
        <w:rPr>
          <w:rFonts w:cstheme="minorHAnsi"/>
          <w:bCs/>
        </w:rPr>
        <w:t xml:space="preserve">As noted above, model performance was comparable when we included or excluded cases with missing data. </w:t>
      </w:r>
    </w:p>
    <w:p w14:paraId="74267788" w14:textId="77777777" w:rsidR="00D46B06" w:rsidRPr="005560E7" w:rsidRDefault="00D46B06" w:rsidP="00D46B06">
      <w:pPr>
        <w:autoSpaceDE w:val="0"/>
        <w:autoSpaceDN w:val="0"/>
        <w:adjustRightInd w:val="0"/>
        <w:spacing w:after="0" w:line="240" w:lineRule="auto"/>
        <w:rPr>
          <w:rFonts w:cstheme="minorHAnsi"/>
          <w:bCs/>
        </w:rPr>
      </w:pPr>
    </w:p>
    <w:p w14:paraId="03C88F98" w14:textId="77777777" w:rsidR="00CB3A04" w:rsidRDefault="00CB3A04" w:rsidP="00D46B06">
      <w:pPr>
        <w:rPr>
          <w:rFonts w:cstheme="minorHAnsi"/>
          <w:bCs/>
        </w:rPr>
      </w:pPr>
    </w:p>
    <w:p w14:paraId="7E29B214" w14:textId="77777777" w:rsidR="00D46B06" w:rsidRDefault="00D46B06" w:rsidP="00D46B06">
      <w:pPr>
        <w:rPr>
          <w:rFonts w:cstheme="minorHAnsi"/>
          <w:bCs/>
        </w:rPr>
      </w:pPr>
    </w:p>
    <w:p w14:paraId="45EF97D2" w14:textId="77777777" w:rsidR="00321646" w:rsidRPr="00A25024" w:rsidRDefault="00321646" w:rsidP="00321646">
      <w:pPr>
        <w:autoSpaceDE w:val="0"/>
        <w:autoSpaceDN w:val="0"/>
        <w:adjustRightInd w:val="0"/>
        <w:spacing w:after="0" w:line="240" w:lineRule="auto"/>
        <w:rPr>
          <w:rFonts w:cstheme="minorHAnsi"/>
          <w:bCs/>
        </w:rPr>
      </w:pPr>
    </w:p>
    <w:sectPr w:rsidR="00321646" w:rsidRPr="00A25024" w:rsidSect="008505D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4627E8" w14:textId="77777777" w:rsidR="0008757D" w:rsidRDefault="0008757D" w:rsidP="005C73CA">
      <w:pPr>
        <w:spacing w:after="0" w:line="240" w:lineRule="auto"/>
      </w:pPr>
      <w:r>
        <w:separator/>
      </w:r>
    </w:p>
  </w:endnote>
  <w:endnote w:type="continuationSeparator" w:id="0">
    <w:p w14:paraId="1C85DB59" w14:textId="77777777" w:rsidR="0008757D" w:rsidRDefault="0008757D"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Meiryo">
    <w:altName w:val="メイリオ"/>
    <w:charset w:val="80"/>
    <w:family w:val="swiss"/>
    <w:pitch w:val="variable"/>
    <w:sig w:usb0="E10102FF" w:usb1="EAC7FFFF" w:usb2="00010012" w:usb3="00000000" w:csb0="0002009F" w:csb1="00000000"/>
  </w:font>
  <w:font w:name="MS Mincho">
    <w:altName w:val="ＭＳ 明朝"/>
    <w:charset w:val="80"/>
    <w:family w:val="modern"/>
    <w:pitch w:val="fixed"/>
    <w:sig w:usb0="E00002FF" w:usb1="6AC7FDFB" w:usb2="00000012" w:usb3="00000000" w:csb0="0002009F" w:csb1="00000000"/>
  </w:font>
  <w:font w:name="Cambria Math">
    <w:panose1 w:val="0204050305040603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752FF" w14:textId="01C8F67B" w:rsidR="0008757D" w:rsidRDefault="0008757D">
    <w:pPr>
      <w:pStyle w:val="Footer"/>
    </w:pPr>
    <w:r>
      <w:ptab w:relativeTo="margin" w:alignment="center" w:leader="none"/>
    </w:r>
    <w:r>
      <w:ptab w:relativeTo="margin" w:alignment="right" w:leader="none"/>
    </w:r>
    <w:r>
      <w:fldChar w:fldCharType="begin"/>
    </w:r>
    <w:r>
      <w:instrText xml:space="preserve"> PAGE   \* MERGEFORMAT </w:instrText>
    </w:r>
    <w:r>
      <w:fldChar w:fldCharType="separate"/>
    </w:r>
    <w:r w:rsidR="00A509FB">
      <w:rPr>
        <w:noProof/>
      </w:rPr>
      <w:t>10</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00ACF2" w14:textId="77777777" w:rsidR="0008757D" w:rsidRDefault="0008757D" w:rsidP="005C73CA">
      <w:pPr>
        <w:spacing w:after="0" w:line="240" w:lineRule="auto"/>
      </w:pPr>
      <w:r>
        <w:separator/>
      </w:r>
    </w:p>
  </w:footnote>
  <w:footnote w:type="continuationSeparator" w:id="0">
    <w:p w14:paraId="59B38DC2" w14:textId="77777777" w:rsidR="0008757D" w:rsidRDefault="0008757D" w:rsidP="005C73CA">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373AE6" w14:textId="77777777" w:rsidR="0008757D" w:rsidRPr="00105D8B" w:rsidRDefault="0008757D" w:rsidP="00105D8B">
    <w:pPr>
      <w:pStyle w:val="Header"/>
      <w:jc w:val="center"/>
      <w:rPr>
        <w:color w:val="808080" w:themeColor="background1" w:themeShade="8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5612668"/>
    <w:multiLevelType w:val="hybridMultilevel"/>
    <w:tmpl w:val="AEA20BB0"/>
    <w:lvl w:ilvl="0" w:tplc="2F8A2C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72E51C9"/>
    <w:multiLevelType w:val="hybridMultilevel"/>
    <w:tmpl w:val="FC9EEB92"/>
    <w:lvl w:ilvl="0" w:tplc="3708895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3">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BF91CB5"/>
    <w:multiLevelType w:val="hybridMultilevel"/>
    <w:tmpl w:val="0EA890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0"/>
  </w:num>
  <w:num w:numId="3">
    <w:abstractNumId w:val="2"/>
  </w:num>
  <w:num w:numId="4">
    <w:abstractNumId w:val="5"/>
  </w:num>
  <w:num w:numId="5">
    <w:abstractNumId w:val="1"/>
  </w:num>
  <w:num w:numId="6">
    <w:abstractNumId w:val="0"/>
  </w:num>
  <w:num w:numId="7">
    <w:abstractNumId w:val="3"/>
  </w:num>
  <w:num w:numId="8">
    <w:abstractNumId w:val="19"/>
  </w:num>
  <w:num w:numId="9">
    <w:abstractNumId w:val="9"/>
  </w:num>
  <w:num w:numId="10">
    <w:abstractNumId w:val="26"/>
  </w:num>
  <w:num w:numId="11">
    <w:abstractNumId w:val="11"/>
  </w:num>
  <w:num w:numId="12">
    <w:abstractNumId w:val="23"/>
  </w:num>
  <w:num w:numId="13">
    <w:abstractNumId w:val="17"/>
  </w:num>
  <w:num w:numId="14">
    <w:abstractNumId w:val="17"/>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6"/>
  </w:num>
  <w:num w:numId="16">
    <w:abstractNumId w:val="7"/>
  </w:num>
  <w:num w:numId="17">
    <w:abstractNumId w:val="25"/>
  </w:num>
  <w:num w:numId="18">
    <w:abstractNumId w:val="21"/>
  </w:num>
  <w:num w:numId="19">
    <w:abstractNumId w:val="20"/>
  </w:num>
  <w:num w:numId="20">
    <w:abstractNumId w:val="15"/>
  </w:num>
  <w:num w:numId="21">
    <w:abstractNumId w:val="18"/>
  </w:num>
  <w:num w:numId="22">
    <w:abstractNumId w:val="14"/>
  </w:num>
  <w:num w:numId="23">
    <w:abstractNumId w:val="6"/>
  </w:num>
  <w:num w:numId="24">
    <w:abstractNumId w:val="13"/>
  </w:num>
  <w:num w:numId="25">
    <w:abstractNumId w:val="12"/>
  </w:num>
  <w:num w:numId="26">
    <w:abstractNumId w:val="27"/>
  </w:num>
  <w:num w:numId="27">
    <w:abstractNumId w:val="8"/>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06A1F"/>
    <w:rsid w:val="00010254"/>
    <w:rsid w:val="0001094F"/>
    <w:rsid w:val="00021170"/>
    <w:rsid w:val="0002128B"/>
    <w:rsid w:val="00024DFD"/>
    <w:rsid w:val="00026892"/>
    <w:rsid w:val="00027AB8"/>
    <w:rsid w:val="000309DD"/>
    <w:rsid w:val="00031414"/>
    <w:rsid w:val="00033038"/>
    <w:rsid w:val="00033D63"/>
    <w:rsid w:val="0003436F"/>
    <w:rsid w:val="00034DD7"/>
    <w:rsid w:val="00035794"/>
    <w:rsid w:val="00036E48"/>
    <w:rsid w:val="000414E8"/>
    <w:rsid w:val="000448DE"/>
    <w:rsid w:val="0004593A"/>
    <w:rsid w:val="00050A3E"/>
    <w:rsid w:val="00052A6F"/>
    <w:rsid w:val="00053F02"/>
    <w:rsid w:val="0005612B"/>
    <w:rsid w:val="000574AB"/>
    <w:rsid w:val="0006147A"/>
    <w:rsid w:val="00063527"/>
    <w:rsid w:val="000637EF"/>
    <w:rsid w:val="000651B0"/>
    <w:rsid w:val="00066188"/>
    <w:rsid w:val="00072FA3"/>
    <w:rsid w:val="0007709D"/>
    <w:rsid w:val="000775F8"/>
    <w:rsid w:val="00080CF7"/>
    <w:rsid w:val="00083C5A"/>
    <w:rsid w:val="000851B2"/>
    <w:rsid w:val="0008757D"/>
    <w:rsid w:val="00087B01"/>
    <w:rsid w:val="00092230"/>
    <w:rsid w:val="00092566"/>
    <w:rsid w:val="0009592E"/>
    <w:rsid w:val="000968F8"/>
    <w:rsid w:val="00097012"/>
    <w:rsid w:val="000A69DC"/>
    <w:rsid w:val="000B032A"/>
    <w:rsid w:val="000B2DF7"/>
    <w:rsid w:val="000B3004"/>
    <w:rsid w:val="000B3880"/>
    <w:rsid w:val="000C42C7"/>
    <w:rsid w:val="000C63A8"/>
    <w:rsid w:val="000D2D1D"/>
    <w:rsid w:val="000D7948"/>
    <w:rsid w:val="000D7B3A"/>
    <w:rsid w:val="000D7C84"/>
    <w:rsid w:val="000E0042"/>
    <w:rsid w:val="000E2A20"/>
    <w:rsid w:val="000E4E13"/>
    <w:rsid w:val="000E78F6"/>
    <w:rsid w:val="000F034A"/>
    <w:rsid w:val="000F06B5"/>
    <w:rsid w:val="000F3693"/>
    <w:rsid w:val="000F39E9"/>
    <w:rsid w:val="00102C14"/>
    <w:rsid w:val="00104B45"/>
    <w:rsid w:val="00105A5E"/>
    <w:rsid w:val="00105D8B"/>
    <w:rsid w:val="0011342F"/>
    <w:rsid w:val="00116191"/>
    <w:rsid w:val="001175D5"/>
    <w:rsid w:val="00117D2E"/>
    <w:rsid w:val="001202E9"/>
    <w:rsid w:val="001244D0"/>
    <w:rsid w:val="0012454F"/>
    <w:rsid w:val="00124B0A"/>
    <w:rsid w:val="00125273"/>
    <w:rsid w:val="0012575E"/>
    <w:rsid w:val="00127B5D"/>
    <w:rsid w:val="00127C06"/>
    <w:rsid w:val="00140804"/>
    <w:rsid w:val="0014149A"/>
    <w:rsid w:val="00145149"/>
    <w:rsid w:val="00145D4F"/>
    <w:rsid w:val="0014773C"/>
    <w:rsid w:val="00150E19"/>
    <w:rsid w:val="0016615A"/>
    <w:rsid w:val="00166850"/>
    <w:rsid w:val="00167F38"/>
    <w:rsid w:val="001703F9"/>
    <w:rsid w:val="00174CDF"/>
    <w:rsid w:val="0017696D"/>
    <w:rsid w:val="001818D1"/>
    <w:rsid w:val="001848FC"/>
    <w:rsid w:val="00186040"/>
    <w:rsid w:val="001969C5"/>
    <w:rsid w:val="001A6CDD"/>
    <w:rsid w:val="001B38D4"/>
    <w:rsid w:val="001C0698"/>
    <w:rsid w:val="001C12EE"/>
    <w:rsid w:val="001C7B02"/>
    <w:rsid w:val="001E1BC4"/>
    <w:rsid w:val="001E4CE5"/>
    <w:rsid w:val="001E4DD4"/>
    <w:rsid w:val="001E69DC"/>
    <w:rsid w:val="001E7ADF"/>
    <w:rsid w:val="001F169D"/>
    <w:rsid w:val="001F188D"/>
    <w:rsid w:val="001F1DA1"/>
    <w:rsid w:val="001F415F"/>
    <w:rsid w:val="001F6F93"/>
    <w:rsid w:val="001F7A20"/>
    <w:rsid w:val="001F7ECC"/>
    <w:rsid w:val="00205F5E"/>
    <w:rsid w:val="0021195A"/>
    <w:rsid w:val="002124AD"/>
    <w:rsid w:val="00213383"/>
    <w:rsid w:val="00220250"/>
    <w:rsid w:val="0022691B"/>
    <w:rsid w:val="00230D96"/>
    <w:rsid w:val="00232163"/>
    <w:rsid w:val="002376F8"/>
    <w:rsid w:val="002408E4"/>
    <w:rsid w:val="00241591"/>
    <w:rsid w:val="00242190"/>
    <w:rsid w:val="00250B4F"/>
    <w:rsid w:val="00255E1F"/>
    <w:rsid w:val="0025762F"/>
    <w:rsid w:val="00263310"/>
    <w:rsid w:val="002638B3"/>
    <w:rsid w:val="00270355"/>
    <w:rsid w:val="0028114D"/>
    <w:rsid w:val="00281FE3"/>
    <w:rsid w:val="00287649"/>
    <w:rsid w:val="00287E84"/>
    <w:rsid w:val="0029286C"/>
    <w:rsid w:val="0029300E"/>
    <w:rsid w:val="00294AA0"/>
    <w:rsid w:val="002968F4"/>
    <w:rsid w:val="002A6E37"/>
    <w:rsid w:val="002B0C3A"/>
    <w:rsid w:val="002B2116"/>
    <w:rsid w:val="002B2CAB"/>
    <w:rsid w:val="002B2D9B"/>
    <w:rsid w:val="002B3FDA"/>
    <w:rsid w:val="002B5016"/>
    <w:rsid w:val="002B5FF4"/>
    <w:rsid w:val="002B742C"/>
    <w:rsid w:val="002B7F4D"/>
    <w:rsid w:val="002C285C"/>
    <w:rsid w:val="002C3456"/>
    <w:rsid w:val="002C7BE4"/>
    <w:rsid w:val="002D0729"/>
    <w:rsid w:val="002D417D"/>
    <w:rsid w:val="002D5E5D"/>
    <w:rsid w:val="002E0624"/>
    <w:rsid w:val="002E681E"/>
    <w:rsid w:val="002E78A0"/>
    <w:rsid w:val="002F2687"/>
    <w:rsid w:val="002F48E1"/>
    <w:rsid w:val="002F4F3B"/>
    <w:rsid w:val="002F5009"/>
    <w:rsid w:val="00304D3C"/>
    <w:rsid w:val="003059EB"/>
    <w:rsid w:val="00307A29"/>
    <w:rsid w:val="003116AC"/>
    <w:rsid w:val="00315567"/>
    <w:rsid w:val="003158A5"/>
    <w:rsid w:val="00317D77"/>
    <w:rsid w:val="00321646"/>
    <w:rsid w:val="0032416B"/>
    <w:rsid w:val="0032463F"/>
    <w:rsid w:val="00330144"/>
    <w:rsid w:val="00335F07"/>
    <w:rsid w:val="003413E6"/>
    <w:rsid w:val="00343144"/>
    <w:rsid w:val="00345356"/>
    <w:rsid w:val="00346245"/>
    <w:rsid w:val="00346286"/>
    <w:rsid w:val="00355002"/>
    <w:rsid w:val="00356267"/>
    <w:rsid w:val="00356BAD"/>
    <w:rsid w:val="003605B4"/>
    <w:rsid w:val="00361AFE"/>
    <w:rsid w:val="003627AC"/>
    <w:rsid w:val="00366914"/>
    <w:rsid w:val="00372FE3"/>
    <w:rsid w:val="003755CB"/>
    <w:rsid w:val="00383A0A"/>
    <w:rsid w:val="00383F85"/>
    <w:rsid w:val="00387A59"/>
    <w:rsid w:val="003A306C"/>
    <w:rsid w:val="003A3C3A"/>
    <w:rsid w:val="003A7DE7"/>
    <w:rsid w:val="003B1006"/>
    <w:rsid w:val="003B704C"/>
    <w:rsid w:val="003C5F11"/>
    <w:rsid w:val="003D6401"/>
    <w:rsid w:val="003E1863"/>
    <w:rsid w:val="003E453B"/>
    <w:rsid w:val="003F426F"/>
    <w:rsid w:val="00411101"/>
    <w:rsid w:val="0041606D"/>
    <w:rsid w:val="00416962"/>
    <w:rsid w:val="004348CC"/>
    <w:rsid w:val="0043787D"/>
    <w:rsid w:val="00441AD3"/>
    <w:rsid w:val="0044654D"/>
    <w:rsid w:val="00450660"/>
    <w:rsid w:val="00455259"/>
    <w:rsid w:val="00457C59"/>
    <w:rsid w:val="00460CAD"/>
    <w:rsid w:val="004658FF"/>
    <w:rsid w:val="00465C2A"/>
    <w:rsid w:val="00472EFE"/>
    <w:rsid w:val="00474ED7"/>
    <w:rsid w:val="004756E1"/>
    <w:rsid w:val="0048008A"/>
    <w:rsid w:val="004804CB"/>
    <w:rsid w:val="00483435"/>
    <w:rsid w:val="00483E94"/>
    <w:rsid w:val="00484120"/>
    <w:rsid w:val="004853A0"/>
    <w:rsid w:val="004866A4"/>
    <w:rsid w:val="00490F7A"/>
    <w:rsid w:val="004912DD"/>
    <w:rsid w:val="004946D6"/>
    <w:rsid w:val="0049470A"/>
    <w:rsid w:val="004955FA"/>
    <w:rsid w:val="00496B5F"/>
    <w:rsid w:val="004A0278"/>
    <w:rsid w:val="004A2E10"/>
    <w:rsid w:val="004B17FF"/>
    <w:rsid w:val="004B1BA0"/>
    <w:rsid w:val="004B4641"/>
    <w:rsid w:val="004B5726"/>
    <w:rsid w:val="004B6CEE"/>
    <w:rsid w:val="004C2084"/>
    <w:rsid w:val="004C2443"/>
    <w:rsid w:val="004C3B3E"/>
    <w:rsid w:val="004C498F"/>
    <w:rsid w:val="004C5D29"/>
    <w:rsid w:val="004C681A"/>
    <w:rsid w:val="004D22AE"/>
    <w:rsid w:val="004D4D8A"/>
    <w:rsid w:val="004D5DAD"/>
    <w:rsid w:val="004D613C"/>
    <w:rsid w:val="004D7401"/>
    <w:rsid w:val="004E5077"/>
    <w:rsid w:val="004F68EE"/>
    <w:rsid w:val="005038D5"/>
    <w:rsid w:val="00505A15"/>
    <w:rsid w:val="00511BA4"/>
    <w:rsid w:val="005135E0"/>
    <w:rsid w:val="005149E7"/>
    <w:rsid w:val="00515115"/>
    <w:rsid w:val="005232D6"/>
    <w:rsid w:val="00523A26"/>
    <w:rsid w:val="005333CC"/>
    <w:rsid w:val="005363F1"/>
    <w:rsid w:val="00544E2C"/>
    <w:rsid w:val="0055007C"/>
    <w:rsid w:val="00550536"/>
    <w:rsid w:val="00551835"/>
    <w:rsid w:val="00554922"/>
    <w:rsid w:val="00555282"/>
    <w:rsid w:val="005560E7"/>
    <w:rsid w:val="005612CC"/>
    <w:rsid w:val="00563029"/>
    <w:rsid w:val="00566D12"/>
    <w:rsid w:val="00567D12"/>
    <w:rsid w:val="00573F81"/>
    <w:rsid w:val="0057594F"/>
    <w:rsid w:val="00576062"/>
    <w:rsid w:val="0059559F"/>
    <w:rsid w:val="005A49FF"/>
    <w:rsid w:val="005A5218"/>
    <w:rsid w:val="005A7634"/>
    <w:rsid w:val="005B53D9"/>
    <w:rsid w:val="005C0447"/>
    <w:rsid w:val="005C0FD7"/>
    <w:rsid w:val="005C739F"/>
    <w:rsid w:val="005C73CA"/>
    <w:rsid w:val="005D4768"/>
    <w:rsid w:val="005E2CAB"/>
    <w:rsid w:val="005E429E"/>
    <w:rsid w:val="005F193F"/>
    <w:rsid w:val="00601ED4"/>
    <w:rsid w:val="006030BC"/>
    <w:rsid w:val="006067B9"/>
    <w:rsid w:val="00610F4E"/>
    <w:rsid w:val="00611AC8"/>
    <w:rsid w:val="00612866"/>
    <w:rsid w:val="00616EB5"/>
    <w:rsid w:val="00622877"/>
    <w:rsid w:val="006269D4"/>
    <w:rsid w:val="006277FE"/>
    <w:rsid w:val="00627B8D"/>
    <w:rsid w:val="006327D8"/>
    <w:rsid w:val="00636CB5"/>
    <w:rsid w:val="0064070A"/>
    <w:rsid w:val="00642F59"/>
    <w:rsid w:val="00643A01"/>
    <w:rsid w:val="0064677C"/>
    <w:rsid w:val="00650B2A"/>
    <w:rsid w:val="00653D4A"/>
    <w:rsid w:val="006574D2"/>
    <w:rsid w:val="00660AB2"/>
    <w:rsid w:val="006676D4"/>
    <w:rsid w:val="0066783C"/>
    <w:rsid w:val="00672595"/>
    <w:rsid w:val="00675535"/>
    <w:rsid w:val="00676CAA"/>
    <w:rsid w:val="00681359"/>
    <w:rsid w:val="00692163"/>
    <w:rsid w:val="00696262"/>
    <w:rsid w:val="006A1D2F"/>
    <w:rsid w:val="006A38A8"/>
    <w:rsid w:val="006A4024"/>
    <w:rsid w:val="006C3A4F"/>
    <w:rsid w:val="006C4845"/>
    <w:rsid w:val="006C4E09"/>
    <w:rsid w:val="006C74B8"/>
    <w:rsid w:val="006D6BC1"/>
    <w:rsid w:val="006E2BFC"/>
    <w:rsid w:val="006E5C57"/>
    <w:rsid w:val="006F22A5"/>
    <w:rsid w:val="007004B6"/>
    <w:rsid w:val="007010D0"/>
    <w:rsid w:val="0070157C"/>
    <w:rsid w:val="00702C73"/>
    <w:rsid w:val="00711A40"/>
    <w:rsid w:val="00712C2B"/>
    <w:rsid w:val="00713394"/>
    <w:rsid w:val="0071432E"/>
    <w:rsid w:val="00714F99"/>
    <w:rsid w:val="00715709"/>
    <w:rsid w:val="007228B3"/>
    <w:rsid w:val="00724677"/>
    <w:rsid w:val="00725AC2"/>
    <w:rsid w:val="00732880"/>
    <w:rsid w:val="007346EF"/>
    <w:rsid w:val="007416B9"/>
    <w:rsid w:val="007422FD"/>
    <w:rsid w:val="00742768"/>
    <w:rsid w:val="00743E46"/>
    <w:rsid w:val="00744F43"/>
    <w:rsid w:val="00747C45"/>
    <w:rsid w:val="00751543"/>
    <w:rsid w:val="00755D2F"/>
    <w:rsid w:val="00756FDB"/>
    <w:rsid w:val="007612A9"/>
    <w:rsid w:val="007629B6"/>
    <w:rsid w:val="00764A3A"/>
    <w:rsid w:val="007665BF"/>
    <w:rsid w:val="00771B2A"/>
    <w:rsid w:val="007757CE"/>
    <w:rsid w:val="00775800"/>
    <w:rsid w:val="0079180E"/>
    <w:rsid w:val="007950CC"/>
    <w:rsid w:val="0079538B"/>
    <w:rsid w:val="007961B8"/>
    <w:rsid w:val="00797624"/>
    <w:rsid w:val="007A1240"/>
    <w:rsid w:val="007A152E"/>
    <w:rsid w:val="007A2BE3"/>
    <w:rsid w:val="007A4828"/>
    <w:rsid w:val="007B093D"/>
    <w:rsid w:val="007B2069"/>
    <w:rsid w:val="007B5F03"/>
    <w:rsid w:val="007C04A1"/>
    <w:rsid w:val="007C0DE4"/>
    <w:rsid w:val="007C21FA"/>
    <w:rsid w:val="007D1E6B"/>
    <w:rsid w:val="007D4351"/>
    <w:rsid w:val="007D69B5"/>
    <w:rsid w:val="007D7019"/>
    <w:rsid w:val="007D7D4D"/>
    <w:rsid w:val="007E18DB"/>
    <w:rsid w:val="007E2C12"/>
    <w:rsid w:val="007E490E"/>
    <w:rsid w:val="007E5FC2"/>
    <w:rsid w:val="007E6F1C"/>
    <w:rsid w:val="007F432D"/>
    <w:rsid w:val="00801973"/>
    <w:rsid w:val="00804C69"/>
    <w:rsid w:val="0080711D"/>
    <w:rsid w:val="00810399"/>
    <w:rsid w:val="00813122"/>
    <w:rsid w:val="008155CD"/>
    <w:rsid w:val="008217C2"/>
    <w:rsid w:val="00833325"/>
    <w:rsid w:val="00840A41"/>
    <w:rsid w:val="00842F3C"/>
    <w:rsid w:val="008505D1"/>
    <w:rsid w:val="0085366C"/>
    <w:rsid w:val="00855158"/>
    <w:rsid w:val="00856457"/>
    <w:rsid w:val="00856E66"/>
    <w:rsid w:val="00857EE8"/>
    <w:rsid w:val="0086305F"/>
    <w:rsid w:val="0086464B"/>
    <w:rsid w:val="008647FC"/>
    <w:rsid w:val="00864CA8"/>
    <w:rsid w:val="00865E2D"/>
    <w:rsid w:val="008702B7"/>
    <w:rsid w:val="00870E6C"/>
    <w:rsid w:val="0087159A"/>
    <w:rsid w:val="00882F4A"/>
    <w:rsid w:val="00884486"/>
    <w:rsid w:val="008871A9"/>
    <w:rsid w:val="00890CE3"/>
    <w:rsid w:val="008916BA"/>
    <w:rsid w:val="00892176"/>
    <w:rsid w:val="008A1DB7"/>
    <w:rsid w:val="008A3648"/>
    <w:rsid w:val="008A403A"/>
    <w:rsid w:val="008A4C13"/>
    <w:rsid w:val="008A689F"/>
    <w:rsid w:val="008B2618"/>
    <w:rsid w:val="008B2F3C"/>
    <w:rsid w:val="008B604D"/>
    <w:rsid w:val="008C1239"/>
    <w:rsid w:val="008C54A9"/>
    <w:rsid w:val="008D57FF"/>
    <w:rsid w:val="008E67C3"/>
    <w:rsid w:val="008F589F"/>
    <w:rsid w:val="008F6BA1"/>
    <w:rsid w:val="008F76A9"/>
    <w:rsid w:val="008F7E67"/>
    <w:rsid w:val="00900DBF"/>
    <w:rsid w:val="009048B9"/>
    <w:rsid w:val="00904E91"/>
    <w:rsid w:val="00912A31"/>
    <w:rsid w:val="009143FA"/>
    <w:rsid w:val="00915886"/>
    <w:rsid w:val="009214DC"/>
    <w:rsid w:val="00921F79"/>
    <w:rsid w:val="00927027"/>
    <w:rsid w:val="009322EF"/>
    <w:rsid w:val="009344BA"/>
    <w:rsid w:val="009346EF"/>
    <w:rsid w:val="0093737C"/>
    <w:rsid w:val="0094143A"/>
    <w:rsid w:val="00943917"/>
    <w:rsid w:val="00947639"/>
    <w:rsid w:val="00947F78"/>
    <w:rsid w:val="00953234"/>
    <w:rsid w:val="0095334F"/>
    <w:rsid w:val="0095340F"/>
    <w:rsid w:val="00960B04"/>
    <w:rsid w:val="00961EAF"/>
    <w:rsid w:val="00962183"/>
    <w:rsid w:val="0096278F"/>
    <w:rsid w:val="009644C5"/>
    <w:rsid w:val="00964EBD"/>
    <w:rsid w:val="00966EC9"/>
    <w:rsid w:val="009726E1"/>
    <w:rsid w:val="00977591"/>
    <w:rsid w:val="00980E75"/>
    <w:rsid w:val="0098496A"/>
    <w:rsid w:val="0098689D"/>
    <w:rsid w:val="00994BE0"/>
    <w:rsid w:val="009A0A2C"/>
    <w:rsid w:val="009A25B1"/>
    <w:rsid w:val="009A329B"/>
    <w:rsid w:val="009A4608"/>
    <w:rsid w:val="009A6A57"/>
    <w:rsid w:val="009A70BF"/>
    <w:rsid w:val="009B1A15"/>
    <w:rsid w:val="009C0852"/>
    <w:rsid w:val="009C13CA"/>
    <w:rsid w:val="009C32C6"/>
    <w:rsid w:val="009C665F"/>
    <w:rsid w:val="009C6A9B"/>
    <w:rsid w:val="009D734F"/>
    <w:rsid w:val="009D7E38"/>
    <w:rsid w:val="009E095B"/>
    <w:rsid w:val="009E1846"/>
    <w:rsid w:val="009E3FC3"/>
    <w:rsid w:val="009E687C"/>
    <w:rsid w:val="009E78FF"/>
    <w:rsid w:val="009F5658"/>
    <w:rsid w:val="00A01494"/>
    <w:rsid w:val="00A22FA9"/>
    <w:rsid w:val="00A25024"/>
    <w:rsid w:val="00A27FDC"/>
    <w:rsid w:val="00A33823"/>
    <w:rsid w:val="00A35F8F"/>
    <w:rsid w:val="00A41377"/>
    <w:rsid w:val="00A42493"/>
    <w:rsid w:val="00A4263D"/>
    <w:rsid w:val="00A44A65"/>
    <w:rsid w:val="00A509B8"/>
    <w:rsid w:val="00A509FB"/>
    <w:rsid w:val="00A52AB9"/>
    <w:rsid w:val="00A61FC6"/>
    <w:rsid w:val="00A6210B"/>
    <w:rsid w:val="00A7323A"/>
    <w:rsid w:val="00A7592D"/>
    <w:rsid w:val="00A831B4"/>
    <w:rsid w:val="00A8446F"/>
    <w:rsid w:val="00A8610C"/>
    <w:rsid w:val="00A965AD"/>
    <w:rsid w:val="00A96B17"/>
    <w:rsid w:val="00A97798"/>
    <w:rsid w:val="00AA3B21"/>
    <w:rsid w:val="00AA5213"/>
    <w:rsid w:val="00AA65A6"/>
    <w:rsid w:val="00AC1D8E"/>
    <w:rsid w:val="00AC42E6"/>
    <w:rsid w:val="00AC48FA"/>
    <w:rsid w:val="00AC7273"/>
    <w:rsid w:val="00AD0240"/>
    <w:rsid w:val="00AD2D14"/>
    <w:rsid w:val="00AD387C"/>
    <w:rsid w:val="00AD4137"/>
    <w:rsid w:val="00AD6798"/>
    <w:rsid w:val="00AD7463"/>
    <w:rsid w:val="00AE01B2"/>
    <w:rsid w:val="00AE36FA"/>
    <w:rsid w:val="00AE6286"/>
    <w:rsid w:val="00B037BA"/>
    <w:rsid w:val="00B05D41"/>
    <w:rsid w:val="00B20139"/>
    <w:rsid w:val="00B21776"/>
    <w:rsid w:val="00B218DA"/>
    <w:rsid w:val="00B31964"/>
    <w:rsid w:val="00B32BE6"/>
    <w:rsid w:val="00B330AA"/>
    <w:rsid w:val="00B342FA"/>
    <w:rsid w:val="00B4743C"/>
    <w:rsid w:val="00B5053C"/>
    <w:rsid w:val="00B53E8B"/>
    <w:rsid w:val="00B5408B"/>
    <w:rsid w:val="00B64764"/>
    <w:rsid w:val="00B704CD"/>
    <w:rsid w:val="00B70BA8"/>
    <w:rsid w:val="00B774D2"/>
    <w:rsid w:val="00B8015A"/>
    <w:rsid w:val="00B82A57"/>
    <w:rsid w:val="00BA053B"/>
    <w:rsid w:val="00BA53F6"/>
    <w:rsid w:val="00BB0620"/>
    <w:rsid w:val="00BB0EDF"/>
    <w:rsid w:val="00BB1D4F"/>
    <w:rsid w:val="00BB35AE"/>
    <w:rsid w:val="00BC03A1"/>
    <w:rsid w:val="00BC0D25"/>
    <w:rsid w:val="00BD2505"/>
    <w:rsid w:val="00BD42E3"/>
    <w:rsid w:val="00BD7C7A"/>
    <w:rsid w:val="00BD7D24"/>
    <w:rsid w:val="00BE17DC"/>
    <w:rsid w:val="00BE17F5"/>
    <w:rsid w:val="00BE2C81"/>
    <w:rsid w:val="00BE571A"/>
    <w:rsid w:val="00BE592D"/>
    <w:rsid w:val="00BF38DF"/>
    <w:rsid w:val="00BF52B0"/>
    <w:rsid w:val="00BF5697"/>
    <w:rsid w:val="00C015C3"/>
    <w:rsid w:val="00C031E0"/>
    <w:rsid w:val="00C14CCC"/>
    <w:rsid w:val="00C160B1"/>
    <w:rsid w:val="00C22093"/>
    <w:rsid w:val="00C22C1C"/>
    <w:rsid w:val="00C2429E"/>
    <w:rsid w:val="00C33F2E"/>
    <w:rsid w:val="00C34936"/>
    <w:rsid w:val="00C34C14"/>
    <w:rsid w:val="00C355B9"/>
    <w:rsid w:val="00C37A20"/>
    <w:rsid w:val="00C37AA4"/>
    <w:rsid w:val="00C401C4"/>
    <w:rsid w:val="00C41680"/>
    <w:rsid w:val="00C53547"/>
    <w:rsid w:val="00C576CE"/>
    <w:rsid w:val="00C60A25"/>
    <w:rsid w:val="00C6461D"/>
    <w:rsid w:val="00C67699"/>
    <w:rsid w:val="00C765C5"/>
    <w:rsid w:val="00C82479"/>
    <w:rsid w:val="00C8458C"/>
    <w:rsid w:val="00C867F0"/>
    <w:rsid w:val="00C93F95"/>
    <w:rsid w:val="00C9564B"/>
    <w:rsid w:val="00C96E69"/>
    <w:rsid w:val="00CA06D8"/>
    <w:rsid w:val="00CA17DD"/>
    <w:rsid w:val="00CA26B1"/>
    <w:rsid w:val="00CA345A"/>
    <w:rsid w:val="00CB3A04"/>
    <w:rsid w:val="00CB49FF"/>
    <w:rsid w:val="00CB5BD5"/>
    <w:rsid w:val="00CB7725"/>
    <w:rsid w:val="00CC02CF"/>
    <w:rsid w:val="00CC0799"/>
    <w:rsid w:val="00CC086A"/>
    <w:rsid w:val="00CC1C88"/>
    <w:rsid w:val="00CD0F66"/>
    <w:rsid w:val="00CD364B"/>
    <w:rsid w:val="00CD4EF9"/>
    <w:rsid w:val="00CD588D"/>
    <w:rsid w:val="00CE23B8"/>
    <w:rsid w:val="00CE50D7"/>
    <w:rsid w:val="00CE5BDB"/>
    <w:rsid w:val="00CF16B7"/>
    <w:rsid w:val="00CF6739"/>
    <w:rsid w:val="00CF7FDA"/>
    <w:rsid w:val="00D00344"/>
    <w:rsid w:val="00D07FB3"/>
    <w:rsid w:val="00D1754D"/>
    <w:rsid w:val="00D21EFF"/>
    <w:rsid w:val="00D22170"/>
    <w:rsid w:val="00D2223F"/>
    <w:rsid w:val="00D274A4"/>
    <w:rsid w:val="00D277AF"/>
    <w:rsid w:val="00D31163"/>
    <w:rsid w:val="00D320B1"/>
    <w:rsid w:val="00D33AFD"/>
    <w:rsid w:val="00D36489"/>
    <w:rsid w:val="00D42195"/>
    <w:rsid w:val="00D46B06"/>
    <w:rsid w:val="00D50704"/>
    <w:rsid w:val="00D5760A"/>
    <w:rsid w:val="00D57B4E"/>
    <w:rsid w:val="00D61410"/>
    <w:rsid w:val="00D70481"/>
    <w:rsid w:val="00D8181D"/>
    <w:rsid w:val="00D968D8"/>
    <w:rsid w:val="00DA1899"/>
    <w:rsid w:val="00DA1EE6"/>
    <w:rsid w:val="00DA563D"/>
    <w:rsid w:val="00DA5AB4"/>
    <w:rsid w:val="00DA7277"/>
    <w:rsid w:val="00DB3627"/>
    <w:rsid w:val="00DB4724"/>
    <w:rsid w:val="00DB55A8"/>
    <w:rsid w:val="00DC4746"/>
    <w:rsid w:val="00DE053D"/>
    <w:rsid w:val="00DE2D6F"/>
    <w:rsid w:val="00DE58A0"/>
    <w:rsid w:val="00DE7149"/>
    <w:rsid w:val="00DF2E26"/>
    <w:rsid w:val="00E0314C"/>
    <w:rsid w:val="00E10D9A"/>
    <w:rsid w:val="00E1508F"/>
    <w:rsid w:val="00E22822"/>
    <w:rsid w:val="00E27240"/>
    <w:rsid w:val="00E27EDD"/>
    <w:rsid w:val="00E30584"/>
    <w:rsid w:val="00E310B9"/>
    <w:rsid w:val="00E34087"/>
    <w:rsid w:val="00E37E1B"/>
    <w:rsid w:val="00E507DF"/>
    <w:rsid w:val="00E562C0"/>
    <w:rsid w:val="00E67170"/>
    <w:rsid w:val="00E672D6"/>
    <w:rsid w:val="00E76024"/>
    <w:rsid w:val="00E779E1"/>
    <w:rsid w:val="00E8175F"/>
    <w:rsid w:val="00E82A2F"/>
    <w:rsid w:val="00E83D9D"/>
    <w:rsid w:val="00E844F2"/>
    <w:rsid w:val="00E856A2"/>
    <w:rsid w:val="00E87084"/>
    <w:rsid w:val="00E938B1"/>
    <w:rsid w:val="00E94D72"/>
    <w:rsid w:val="00E96884"/>
    <w:rsid w:val="00E975A9"/>
    <w:rsid w:val="00EA3757"/>
    <w:rsid w:val="00EA5435"/>
    <w:rsid w:val="00EA5F47"/>
    <w:rsid w:val="00EB087B"/>
    <w:rsid w:val="00EC3DA5"/>
    <w:rsid w:val="00EC79DE"/>
    <w:rsid w:val="00ED4ACE"/>
    <w:rsid w:val="00ED6157"/>
    <w:rsid w:val="00EE4D35"/>
    <w:rsid w:val="00EE6026"/>
    <w:rsid w:val="00EE6D43"/>
    <w:rsid w:val="00EE76D4"/>
    <w:rsid w:val="00EF2DA7"/>
    <w:rsid w:val="00EF43BE"/>
    <w:rsid w:val="00EF48E0"/>
    <w:rsid w:val="00EF558D"/>
    <w:rsid w:val="00F041E5"/>
    <w:rsid w:val="00F067E4"/>
    <w:rsid w:val="00F15170"/>
    <w:rsid w:val="00F1597F"/>
    <w:rsid w:val="00F27F28"/>
    <w:rsid w:val="00F32092"/>
    <w:rsid w:val="00F435AA"/>
    <w:rsid w:val="00F43C99"/>
    <w:rsid w:val="00F5738A"/>
    <w:rsid w:val="00F612D4"/>
    <w:rsid w:val="00F61666"/>
    <w:rsid w:val="00F627EA"/>
    <w:rsid w:val="00F64590"/>
    <w:rsid w:val="00F71028"/>
    <w:rsid w:val="00F77831"/>
    <w:rsid w:val="00F77F1D"/>
    <w:rsid w:val="00F8563C"/>
    <w:rsid w:val="00F87CCB"/>
    <w:rsid w:val="00F9218C"/>
    <w:rsid w:val="00FA35F3"/>
    <w:rsid w:val="00FA48C7"/>
    <w:rsid w:val="00FA53B3"/>
    <w:rsid w:val="00FA7CF2"/>
    <w:rsid w:val="00FB0F30"/>
    <w:rsid w:val="00FB10FA"/>
    <w:rsid w:val="00FB69BA"/>
    <w:rsid w:val="00FB73C1"/>
    <w:rsid w:val="00FC7091"/>
    <w:rsid w:val="00FE6D26"/>
    <w:rsid w:val="00FE7A55"/>
    <w:rsid w:val="00FF1CC7"/>
    <w:rsid w:val="00FF2981"/>
    <w:rsid w:val="00FF42FD"/>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789B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customStyle="1" w:styleId="Default">
    <w:name w:val="Default"/>
    <w:rsid w:val="00E67170"/>
    <w:pPr>
      <w:autoSpaceDE w:val="0"/>
      <w:autoSpaceDN w:val="0"/>
      <w:adjustRightInd w:val="0"/>
      <w:spacing w:after="0" w:line="240" w:lineRule="auto"/>
    </w:pPr>
    <w:rPr>
      <w:rFonts w:ascii="Trebuchet MS" w:hAnsi="Trebuchet MS" w:cs="Trebuchet MS"/>
      <w:color w:val="000000"/>
      <w:sz w:val="24"/>
      <w:szCs w:val="24"/>
    </w:rPr>
  </w:style>
  <w:style w:type="paragraph" w:customStyle="1" w:styleId="CM29">
    <w:name w:val="CM29"/>
    <w:basedOn w:val="Default"/>
    <w:next w:val="Default"/>
    <w:uiPriority w:val="99"/>
    <w:rsid w:val="0064677C"/>
    <w:rPr>
      <w:rFonts w:ascii="Calibri" w:hAnsi="Calibri" w:cstheme="minorBidi"/>
      <w:color w:val="auto"/>
    </w:rPr>
  </w:style>
  <w:style w:type="paragraph" w:customStyle="1" w:styleId="CM7">
    <w:name w:val="CM7"/>
    <w:basedOn w:val="Default"/>
    <w:next w:val="Default"/>
    <w:uiPriority w:val="99"/>
    <w:rsid w:val="006C74B8"/>
    <w:pPr>
      <w:spacing w:line="311" w:lineRule="atLeast"/>
    </w:pPr>
    <w:rPr>
      <w:rFonts w:ascii="Calibri" w:hAnsi="Calibri" w:cstheme="minorBidi"/>
      <w:color w:val="auto"/>
    </w:rPr>
  </w:style>
  <w:style w:type="paragraph" w:styleId="Caption">
    <w:name w:val="caption"/>
    <w:basedOn w:val="Normal"/>
    <w:next w:val="Normal"/>
    <w:uiPriority w:val="99"/>
    <w:unhideWhenUsed/>
    <w:qFormat/>
    <w:rsid w:val="00611AC8"/>
    <w:pPr>
      <w:keepNext/>
      <w:widowControl w:val="0"/>
      <w:adjustRightInd w:val="0"/>
      <w:spacing w:line="240" w:lineRule="auto"/>
    </w:pPr>
    <w:rPr>
      <w:rFonts w:ascii="Calibri" w:eastAsia="Times New Roman" w:hAnsi="Calibri" w:cs="Calibri"/>
      <w:b/>
      <w:bCs/>
      <w:szCs w:val="18"/>
      <w:lang w:eastAsia="ja-JP"/>
    </w:rPr>
  </w:style>
  <w:style w:type="table" w:customStyle="1" w:styleId="TableGrid1">
    <w:name w:val="Table Grid1"/>
    <w:basedOn w:val="TableNormal"/>
    <w:next w:val="TableGrid"/>
    <w:uiPriority w:val="59"/>
    <w:rsid w:val="00CC07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CC07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customStyle="1" w:styleId="Default">
    <w:name w:val="Default"/>
    <w:rsid w:val="00E67170"/>
    <w:pPr>
      <w:autoSpaceDE w:val="0"/>
      <w:autoSpaceDN w:val="0"/>
      <w:adjustRightInd w:val="0"/>
      <w:spacing w:after="0" w:line="240" w:lineRule="auto"/>
    </w:pPr>
    <w:rPr>
      <w:rFonts w:ascii="Trebuchet MS" w:hAnsi="Trebuchet MS" w:cs="Trebuchet MS"/>
      <w:color w:val="000000"/>
      <w:sz w:val="24"/>
      <w:szCs w:val="24"/>
    </w:rPr>
  </w:style>
  <w:style w:type="paragraph" w:customStyle="1" w:styleId="CM29">
    <w:name w:val="CM29"/>
    <w:basedOn w:val="Default"/>
    <w:next w:val="Default"/>
    <w:uiPriority w:val="99"/>
    <w:rsid w:val="0064677C"/>
    <w:rPr>
      <w:rFonts w:ascii="Calibri" w:hAnsi="Calibri" w:cstheme="minorBidi"/>
      <w:color w:val="auto"/>
    </w:rPr>
  </w:style>
  <w:style w:type="paragraph" w:customStyle="1" w:styleId="CM7">
    <w:name w:val="CM7"/>
    <w:basedOn w:val="Default"/>
    <w:next w:val="Default"/>
    <w:uiPriority w:val="99"/>
    <w:rsid w:val="006C74B8"/>
    <w:pPr>
      <w:spacing w:line="311" w:lineRule="atLeast"/>
    </w:pPr>
    <w:rPr>
      <w:rFonts w:ascii="Calibri" w:hAnsi="Calibri" w:cstheme="minorBidi"/>
      <w:color w:val="auto"/>
    </w:rPr>
  </w:style>
  <w:style w:type="paragraph" w:styleId="Caption">
    <w:name w:val="caption"/>
    <w:basedOn w:val="Normal"/>
    <w:next w:val="Normal"/>
    <w:uiPriority w:val="99"/>
    <w:unhideWhenUsed/>
    <w:qFormat/>
    <w:rsid w:val="00611AC8"/>
    <w:pPr>
      <w:keepNext/>
      <w:widowControl w:val="0"/>
      <w:adjustRightInd w:val="0"/>
      <w:spacing w:line="240" w:lineRule="auto"/>
    </w:pPr>
    <w:rPr>
      <w:rFonts w:ascii="Calibri" w:eastAsia="Times New Roman" w:hAnsi="Calibri" w:cs="Calibri"/>
      <w:b/>
      <w:bCs/>
      <w:szCs w:val="18"/>
      <w:lang w:eastAsia="ja-JP"/>
    </w:rPr>
  </w:style>
  <w:style w:type="table" w:customStyle="1" w:styleId="TableGrid1">
    <w:name w:val="Table Grid1"/>
    <w:basedOn w:val="TableNormal"/>
    <w:next w:val="TableGrid"/>
    <w:uiPriority w:val="59"/>
    <w:rsid w:val="00CC07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CC07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34421">
      <w:bodyDiv w:val="1"/>
      <w:marLeft w:val="0"/>
      <w:marRight w:val="0"/>
      <w:marTop w:val="0"/>
      <w:marBottom w:val="0"/>
      <w:divBdr>
        <w:top w:val="none" w:sz="0" w:space="0" w:color="auto"/>
        <w:left w:val="none" w:sz="0" w:space="0" w:color="auto"/>
        <w:bottom w:val="none" w:sz="0" w:space="0" w:color="auto"/>
        <w:right w:val="none" w:sz="0" w:space="0" w:color="auto"/>
      </w:divBdr>
    </w:div>
    <w:div w:id="137848599">
      <w:bodyDiv w:val="1"/>
      <w:marLeft w:val="0"/>
      <w:marRight w:val="0"/>
      <w:marTop w:val="0"/>
      <w:marBottom w:val="0"/>
      <w:divBdr>
        <w:top w:val="none" w:sz="0" w:space="0" w:color="auto"/>
        <w:left w:val="none" w:sz="0" w:space="0" w:color="auto"/>
        <w:bottom w:val="none" w:sz="0" w:space="0" w:color="auto"/>
        <w:right w:val="none" w:sz="0" w:space="0" w:color="auto"/>
      </w:divBdr>
    </w:div>
    <w:div w:id="173617864">
      <w:bodyDiv w:val="1"/>
      <w:marLeft w:val="0"/>
      <w:marRight w:val="0"/>
      <w:marTop w:val="0"/>
      <w:marBottom w:val="0"/>
      <w:divBdr>
        <w:top w:val="none" w:sz="0" w:space="0" w:color="auto"/>
        <w:left w:val="none" w:sz="0" w:space="0" w:color="auto"/>
        <w:bottom w:val="none" w:sz="0" w:space="0" w:color="auto"/>
        <w:right w:val="none" w:sz="0" w:space="0" w:color="auto"/>
      </w:divBdr>
    </w:div>
    <w:div w:id="209731579">
      <w:bodyDiv w:val="1"/>
      <w:marLeft w:val="0"/>
      <w:marRight w:val="0"/>
      <w:marTop w:val="0"/>
      <w:marBottom w:val="0"/>
      <w:divBdr>
        <w:top w:val="none" w:sz="0" w:space="0" w:color="auto"/>
        <w:left w:val="none" w:sz="0" w:space="0" w:color="auto"/>
        <w:bottom w:val="none" w:sz="0" w:space="0" w:color="auto"/>
        <w:right w:val="none" w:sz="0" w:space="0" w:color="auto"/>
      </w:divBdr>
    </w:div>
    <w:div w:id="302540746">
      <w:bodyDiv w:val="1"/>
      <w:marLeft w:val="0"/>
      <w:marRight w:val="0"/>
      <w:marTop w:val="0"/>
      <w:marBottom w:val="0"/>
      <w:divBdr>
        <w:top w:val="none" w:sz="0" w:space="0" w:color="auto"/>
        <w:left w:val="none" w:sz="0" w:space="0" w:color="auto"/>
        <w:bottom w:val="none" w:sz="0" w:space="0" w:color="auto"/>
        <w:right w:val="none" w:sz="0" w:space="0" w:color="auto"/>
      </w:divBdr>
    </w:div>
    <w:div w:id="501042950">
      <w:bodyDiv w:val="1"/>
      <w:marLeft w:val="0"/>
      <w:marRight w:val="0"/>
      <w:marTop w:val="0"/>
      <w:marBottom w:val="0"/>
      <w:divBdr>
        <w:top w:val="none" w:sz="0" w:space="0" w:color="auto"/>
        <w:left w:val="none" w:sz="0" w:space="0" w:color="auto"/>
        <w:bottom w:val="none" w:sz="0" w:space="0" w:color="auto"/>
        <w:right w:val="none" w:sz="0" w:space="0" w:color="auto"/>
      </w:divBdr>
    </w:div>
    <w:div w:id="513106730">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607350491">
      <w:bodyDiv w:val="1"/>
      <w:marLeft w:val="0"/>
      <w:marRight w:val="0"/>
      <w:marTop w:val="0"/>
      <w:marBottom w:val="0"/>
      <w:divBdr>
        <w:top w:val="none" w:sz="0" w:space="0" w:color="auto"/>
        <w:left w:val="none" w:sz="0" w:space="0" w:color="auto"/>
        <w:bottom w:val="none" w:sz="0" w:space="0" w:color="auto"/>
        <w:right w:val="none" w:sz="0" w:space="0" w:color="auto"/>
      </w:divBdr>
    </w:div>
    <w:div w:id="763301950">
      <w:bodyDiv w:val="1"/>
      <w:marLeft w:val="0"/>
      <w:marRight w:val="0"/>
      <w:marTop w:val="0"/>
      <w:marBottom w:val="0"/>
      <w:divBdr>
        <w:top w:val="none" w:sz="0" w:space="0" w:color="auto"/>
        <w:left w:val="none" w:sz="0" w:space="0" w:color="auto"/>
        <w:bottom w:val="none" w:sz="0" w:space="0" w:color="auto"/>
        <w:right w:val="none" w:sz="0" w:space="0" w:color="auto"/>
      </w:divBdr>
    </w:div>
    <w:div w:id="776102251">
      <w:bodyDiv w:val="1"/>
      <w:marLeft w:val="0"/>
      <w:marRight w:val="0"/>
      <w:marTop w:val="0"/>
      <w:marBottom w:val="0"/>
      <w:divBdr>
        <w:top w:val="none" w:sz="0" w:space="0" w:color="auto"/>
        <w:left w:val="none" w:sz="0" w:space="0" w:color="auto"/>
        <w:bottom w:val="none" w:sz="0" w:space="0" w:color="auto"/>
        <w:right w:val="none" w:sz="0" w:space="0" w:color="auto"/>
      </w:divBdr>
    </w:div>
    <w:div w:id="782261505">
      <w:bodyDiv w:val="1"/>
      <w:marLeft w:val="0"/>
      <w:marRight w:val="0"/>
      <w:marTop w:val="0"/>
      <w:marBottom w:val="0"/>
      <w:divBdr>
        <w:top w:val="none" w:sz="0" w:space="0" w:color="auto"/>
        <w:left w:val="none" w:sz="0" w:space="0" w:color="auto"/>
        <w:bottom w:val="none" w:sz="0" w:space="0" w:color="auto"/>
        <w:right w:val="none" w:sz="0" w:space="0" w:color="auto"/>
      </w:divBdr>
    </w:div>
    <w:div w:id="870344431">
      <w:bodyDiv w:val="1"/>
      <w:marLeft w:val="0"/>
      <w:marRight w:val="0"/>
      <w:marTop w:val="0"/>
      <w:marBottom w:val="0"/>
      <w:divBdr>
        <w:top w:val="none" w:sz="0" w:space="0" w:color="auto"/>
        <w:left w:val="none" w:sz="0" w:space="0" w:color="auto"/>
        <w:bottom w:val="none" w:sz="0" w:space="0" w:color="auto"/>
        <w:right w:val="none" w:sz="0" w:space="0" w:color="auto"/>
      </w:divBdr>
    </w:div>
    <w:div w:id="923303044">
      <w:bodyDiv w:val="1"/>
      <w:marLeft w:val="0"/>
      <w:marRight w:val="0"/>
      <w:marTop w:val="0"/>
      <w:marBottom w:val="0"/>
      <w:divBdr>
        <w:top w:val="none" w:sz="0" w:space="0" w:color="auto"/>
        <w:left w:val="none" w:sz="0" w:space="0" w:color="auto"/>
        <w:bottom w:val="none" w:sz="0" w:space="0" w:color="auto"/>
        <w:right w:val="none" w:sz="0" w:space="0" w:color="auto"/>
      </w:divBdr>
    </w:div>
    <w:div w:id="1219438788">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48814683">
      <w:bodyDiv w:val="1"/>
      <w:marLeft w:val="0"/>
      <w:marRight w:val="0"/>
      <w:marTop w:val="0"/>
      <w:marBottom w:val="0"/>
      <w:divBdr>
        <w:top w:val="none" w:sz="0" w:space="0" w:color="auto"/>
        <w:left w:val="none" w:sz="0" w:space="0" w:color="auto"/>
        <w:bottom w:val="none" w:sz="0" w:space="0" w:color="auto"/>
        <w:right w:val="none" w:sz="0" w:space="0" w:color="auto"/>
      </w:divBdr>
    </w:div>
    <w:div w:id="1494642964">
      <w:bodyDiv w:val="1"/>
      <w:marLeft w:val="0"/>
      <w:marRight w:val="0"/>
      <w:marTop w:val="0"/>
      <w:marBottom w:val="0"/>
      <w:divBdr>
        <w:top w:val="none" w:sz="0" w:space="0" w:color="auto"/>
        <w:left w:val="none" w:sz="0" w:space="0" w:color="auto"/>
        <w:bottom w:val="none" w:sz="0" w:space="0" w:color="auto"/>
        <w:right w:val="none" w:sz="0" w:space="0" w:color="auto"/>
      </w:divBdr>
    </w:div>
    <w:div w:id="1686247592">
      <w:bodyDiv w:val="1"/>
      <w:marLeft w:val="0"/>
      <w:marRight w:val="0"/>
      <w:marTop w:val="0"/>
      <w:marBottom w:val="0"/>
      <w:divBdr>
        <w:top w:val="none" w:sz="0" w:space="0" w:color="auto"/>
        <w:left w:val="none" w:sz="0" w:space="0" w:color="auto"/>
        <w:bottom w:val="none" w:sz="0" w:space="0" w:color="auto"/>
        <w:right w:val="none" w:sz="0" w:space="0" w:color="auto"/>
      </w:divBdr>
    </w:div>
    <w:div w:id="1709140240">
      <w:bodyDiv w:val="1"/>
      <w:marLeft w:val="0"/>
      <w:marRight w:val="0"/>
      <w:marTop w:val="0"/>
      <w:marBottom w:val="0"/>
      <w:divBdr>
        <w:top w:val="none" w:sz="0" w:space="0" w:color="auto"/>
        <w:left w:val="none" w:sz="0" w:space="0" w:color="auto"/>
        <w:bottom w:val="none" w:sz="0" w:space="0" w:color="auto"/>
        <w:right w:val="none" w:sz="0" w:space="0" w:color="auto"/>
      </w:divBdr>
    </w:div>
    <w:div w:id="1723744747">
      <w:bodyDiv w:val="1"/>
      <w:marLeft w:val="0"/>
      <w:marRight w:val="0"/>
      <w:marTop w:val="0"/>
      <w:marBottom w:val="0"/>
      <w:divBdr>
        <w:top w:val="none" w:sz="0" w:space="0" w:color="auto"/>
        <w:left w:val="none" w:sz="0" w:space="0" w:color="auto"/>
        <w:bottom w:val="none" w:sz="0" w:space="0" w:color="auto"/>
        <w:right w:val="none" w:sz="0" w:space="0" w:color="auto"/>
      </w:divBdr>
    </w:div>
    <w:div w:id="1824857341">
      <w:bodyDiv w:val="1"/>
      <w:marLeft w:val="0"/>
      <w:marRight w:val="0"/>
      <w:marTop w:val="0"/>
      <w:marBottom w:val="0"/>
      <w:divBdr>
        <w:top w:val="none" w:sz="0" w:space="0" w:color="auto"/>
        <w:left w:val="none" w:sz="0" w:space="0" w:color="auto"/>
        <w:bottom w:val="none" w:sz="0" w:space="0" w:color="auto"/>
        <w:right w:val="none" w:sz="0" w:space="0" w:color="auto"/>
      </w:divBdr>
    </w:div>
    <w:div w:id="1853570265">
      <w:bodyDiv w:val="1"/>
      <w:marLeft w:val="0"/>
      <w:marRight w:val="0"/>
      <w:marTop w:val="0"/>
      <w:marBottom w:val="0"/>
      <w:divBdr>
        <w:top w:val="none" w:sz="0" w:space="0" w:color="auto"/>
        <w:left w:val="none" w:sz="0" w:space="0" w:color="auto"/>
        <w:bottom w:val="none" w:sz="0" w:space="0" w:color="auto"/>
        <w:right w:val="none" w:sz="0" w:space="0" w:color="auto"/>
      </w:divBdr>
    </w:div>
    <w:div w:id="1867448810">
      <w:bodyDiv w:val="1"/>
      <w:marLeft w:val="0"/>
      <w:marRight w:val="0"/>
      <w:marTop w:val="0"/>
      <w:marBottom w:val="0"/>
      <w:divBdr>
        <w:top w:val="none" w:sz="0" w:space="0" w:color="auto"/>
        <w:left w:val="none" w:sz="0" w:space="0" w:color="auto"/>
        <w:bottom w:val="none" w:sz="0" w:space="0" w:color="auto"/>
        <w:right w:val="none" w:sz="0" w:space="0" w:color="auto"/>
      </w:divBdr>
    </w:div>
    <w:div w:id="1908374452">
      <w:bodyDiv w:val="1"/>
      <w:marLeft w:val="0"/>
      <w:marRight w:val="0"/>
      <w:marTop w:val="0"/>
      <w:marBottom w:val="0"/>
      <w:divBdr>
        <w:top w:val="none" w:sz="0" w:space="0" w:color="auto"/>
        <w:left w:val="none" w:sz="0" w:space="0" w:color="auto"/>
        <w:bottom w:val="none" w:sz="0" w:space="0" w:color="auto"/>
        <w:right w:val="none" w:sz="0" w:space="0" w:color="auto"/>
      </w:divBdr>
    </w:div>
    <w:div w:id="1941258899">
      <w:bodyDiv w:val="1"/>
      <w:marLeft w:val="0"/>
      <w:marRight w:val="0"/>
      <w:marTop w:val="0"/>
      <w:marBottom w:val="0"/>
      <w:divBdr>
        <w:top w:val="none" w:sz="0" w:space="0" w:color="auto"/>
        <w:left w:val="none" w:sz="0" w:space="0" w:color="auto"/>
        <w:bottom w:val="none" w:sz="0" w:space="0" w:color="auto"/>
        <w:right w:val="none" w:sz="0" w:space="0" w:color="auto"/>
      </w:divBdr>
    </w:div>
    <w:div w:id="2074303915">
      <w:bodyDiv w:val="1"/>
      <w:marLeft w:val="0"/>
      <w:marRight w:val="0"/>
      <w:marTop w:val="0"/>
      <w:marBottom w:val="0"/>
      <w:divBdr>
        <w:top w:val="none" w:sz="0" w:space="0" w:color="auto"/>
        <w:left w:val="none" w:sz="0" w:space="0" w:color="auto"/>
        <w:bottom w:val="none" w:sz="0" w:space="0" w:color="auto"/>
        <w:right w:val="none" w:sz="0" w:space="0" w:color="auto"/>
      </w:divBdr>
    </w:div>
    <w:div w:id="210190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chart" Target="charts/chart1.xml"/><Relationship Id="rId12" Type="http://schemas.openxmlformats.org/officeDocument/2006/relationships/image" Target="media/image1.emf"/><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qualityforum.org/Measuring_Performance/Submitting_Standards.aspx" TargetMode="External"/><Relationship Id="rId9" Type="http://schemas.openxmlformats.org/officeDocument/2006/relationships/header" Target="header1.xml"/><Relationship Id="rId10"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fka4\Desktop\NQF\PCI%20Readmissions\CPRA1011%2001-29-1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7220990748564"/>
          <c:y val="0.0560301837270341"/>
          <c:w val="0.824800664569769"/>
          <c:h val="0.716071011956839"/>
        </c:manualLayout>
      </c:layout>
      <c:barChart>
        <c:barDir val="col"/>
        <c:grouping val="clustered"/>
        <c:varyColors val="0"/>
        <c:ser>
          <c:idx val="0"/>
          <c:order val="0"/>
          <c:tx>
            <c:v>Predicted Readmisison Rate</c:v>
          </c:tx>
          <c:invertIfNegative val="0"/>
          <c:val>
            <c:numRef>
              <c:f>'T4'!$C$17:$C$26</c:f>
              <c:numCache>
                <c:formatCode>0.0000</c:formatCode>
                <c:ptCount val="10"/>
                <c:pt idx="0">
                  <c:v>0.0479969352</c:v>
                </c:pt>
                <c:pt idx="1">
                  <c:v>0.0618037851</c:v>
                </c:pt>
                <c:pt idx="2">
                  <c:v>0.0722780636</c:v>
                </c:pt>
                <c:pt idx="3">
                  <c:v>0.0823769019</c:v>
                </c:pt>
                <c:pt idx="4">
                  <c:v>0.0933170105</c:v>
                </c:pt>
                <c:pt idx="5">
                  <c:v>0.1060114325</c:v>
                </c:pt>
                <c:pt idx="6">
                  <c:v>0.1216541286</c:v>
                </c:pt>
                <c:pt idx="7">
                  <c:v>0.1427172103</c:v>
                </c:pt>
                <c:pt idx="8">
                  <c:v>0.1761246703</c:v>
                </c:pt>
                <c:pt idx="9">
                  <c:v>0.2705122828</c:v>
                </c:pt>
              </c:numCache>
            </c:numRef>
          </c:val>
        </c:ser>
        <c:ser>
          <c:idx val="1"/>
          <c:order val="1"/>
          <c:tx>
            <c:v>Observed Readmission Rate</c:v>
          </c:tx>
          <c:invertIfNegative val="0"/>
          <c:val>
            <c:numRef>
              <c:f>'T4'!$D$17:$D$26</c:f>
              <c:numCache>
                <c:formatCode>0.0000</c:formatCode>
                <c:ptCount val="10"/>
                <c:pt idx="0">
                  <c:v>0.0415840871</c:v>
                </c:pt>
                <c:pt idx="1">
                  <c:v>0.0549850467</c:v>
                </c:pt>
                <c:pt idx="2">
                  <c:v>0.0699845039</c:v>
                </c:pt>
                <c:pt idx="3">
                  <c:v>0.0804626694</c:v>
                </c:pt>
                <c:pt idx="4">
                  <c:v>0.0946272206</c:v>
                </c:pt>
                <c:pt idx="5">
                  <c:v>0.110770783</c:v>
                </c:pt>
                <c:pt idx="6">
                  <c:v>0.127954742</c:v>
                </c:pt>
                <c:pt idx="7">
                  <c:v>0.1482108753</c:v>
                </c:pt>
                <c:pt idx="8">
                  <c:v>0.1856509675</c:v>
                </c:pt>
                <c:pt idx="9">
                  <c:v>0.260531152</c:v>
                </c:pt>
              </c:numCache>
            </c:numRef>
          </c:val>
        </c:ser>
        <c:dLbls>
          <c:showLegendKey val="0"/>
          <c:showVal val="0"/>
          <c:showCatName val="0"/>
          <c:showSerName val="0"/>
          <c:showPercent val="0"/>
          <c:showBubbleSize val="0"/>
        </c:dLbls>
        <c:gapWidth val="150"/>
        <c:axId val="2078576008"/>
        <c:axId val="2078582920"/>
      </c:barChart>
      <c:catAx>
        <c:axId val="2078576008"/>
        <c:scaling>
          <c:orientation val="minMax"/>
        </c:scaling>
        <c:delete val="0"/>
        <c:axPos val="b"/>
        <c:title>
          <c:tx>
            <c:rich>
              <a:bodyPr/>
              <a:lstStyle/>
              <a:p>
                <a:pPr>
                  <a:defRPr/>
                </a:pPr>
                <a:r>
                  <a:rPr lang="en-US"/>
                  <a:t>Decile of Predicted Readmission Rate</a:t>
                </a:r>
              </a:p>
            </c:rich>
          </c:tx>
          <c:layout/>
          <c:overlay val="0"/>
        </c:title>
        <c:majorTickMark val="out"/>
        <c:minorTickMark val="none"/>
        <c:tickLblPos val="nextTo"/>
        <c:crossAx val="2078582920"/>
        <c:crosses val="autoZero"/>
        <c:auto val="1"/>
        <c:lblAlgn val="ctr"/>
        <c:lblOffset val="100"/>
        <c:noMultiLvlLbl val="0"/>
      </c:catAx>
      <c:valAx>
        <c:axId val="2078582920"/>
        <c:scaling>
          <c:orientation val="minMax"/>
        </c:scaling>
        <c:delete val="0"/>
        <c:axPos val="l"/>
        <c:majorGridlines>
          <c:spPr>
            <a:ln>
              <a:noFill/>
            </a:ln>
          </c:spPr>
        </c:majorGridlines>
        <c:title>
          <c:tx>
            <c:rich>
              <a:bodyPr rot="-5400000" vert="horz"/>
              <a:lstStyle/>
              <a:p>
                <a:pPr>
                  <a:defRPr/>
                </a:pPr>
                <a:r>
                  <a:rPr lang="en-US"/>
                  <a:t>Readmission Rate</a:t>
                </a:r>
              </a:p>
            </c:rich>
          </c:tx>
          <c:layout/>
          <c:overlay val="0"/>
        </c:title>
        <c:numFmt formatCode="0.00" sourceLinked="0"/>
        <c:majorTickMark val="out"/>
        <c:minorTickMark val="none"/>
        <c:tickLblPos val="nextTo"/>
        <c:crossAx val="2078576008"/>
        <c:crosses val="autoZero"/>
        <c:crossBetween val="between"/>
      </c:valAx>
    </c:plotArea>
    <c:legend>
      <c:legendPos val="r"/>
      <c:layout>
        <c:manualLayout>
          <c:xMode val="edge"/>
          <c:yMode val="edge"/>
          <c:x val="0.163084648905097"/>
          <c:y val="0.0694923658156694"/>
          <c:w val="0.507936674730384"/>
          <c:h val="0.293620484297779"/>
        </c:manualLayout>
      </c:layout>
      <c:overlay val="0"/>
    </c:legend>
    <c:plotVisOnly val="1"/>
    <c:dispBlanksAs val="gap"/>
    <c:showDLblsOverMax val="0"/>
  </c:chart>
  <c:spPr>
    <a:ln>
      <a:noFill/>
    </a:ln>
  </c:spPr>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918A7CBE42644BFAA7D3E074B7510853"/>
        <w:category>
          <w:name w:val="General"/>
          <w:gallery w:val="placeholder"/>
        </w:category>
        <w:types>
          <w:type w:val="bbPlcHdr"/>
        </w:types>
        <w:behaviors>
          <w:behavior w:val="content"/>
        </w:behaviors>
        <w:guid w:val="{CBE95F17-AF5B-4842-837F-C33B495AD570}"/>
      </w:docPartPr>
      <w:docPartBody>
        <w:p w:rsidR="00CD627D" w:rsidRDefault="00DF39EA" w:rsidP="00DF39EA">
          <w:pPr>
            <w:pStyle w:val="918A7CBE42644BFAA7D3E074B7510853"/>
          </w:pPr>
          <w:r w:rsidRPr="00B83B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Meiryo">
    <w:altName w:val="メイリオ"/>
    <w:charset w:val="80"/>
    <w:family w:val="swiss"/>
    <w:pitch w:val="variable"/>
    <w:sig w:usb0="E10102FF" w:usb1="EAC7FFFF" w:usb2="00010012" w:usb3="00000000" w:csb0="0002009F" w:csb1="00000000"/>
  </w:font>
  <w:font w:name="MS Mincho">
    <w:altName w:val="ＭＳ 明朝"/>
    <w:charset w:val="80"/>
    <w:family w:val="modern"/>
    <w:pitch w:val="fixed"/>
    <w:sig w:usb0="E00002FF" w:usb1="6AC7FDFB" w:usb2="00000012" w:usb3="00000000" w:csb0="0002009F" w:csb1="00000000"/>
  </w:font>
  <w:font w:name="Cambria Math">
    <w:panose1 w:val="0204050305040603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C1618"/>
    <w:rsid w:val="00127222"/>
    <w:rsid w:val="0014106F"/>
    <w:rsid w:val="001868DB"/>
    <w:rsid w:val="00190AF4"/>
    <w:rsid w:val="002069C1"/>
    <w:rsid w:val="00223FA3"/>
    <w:rsid w:val="002A288F"/>
    <w:rsid w:val="002E0847"/>
    <w:rsid w:val="002F052A"/>
    <w:rsid w:val="00350176"/>
    <w:rsid w:val="003840F0"/>
    <w:rsid w:val="003B6D45"/>
    <w:rsid w:val="00437537"/>
    <w:rsid w:val="00460C96"/>
    <w:rsid w:val="005200C5"/>
    <w:rsid w:val="0053654E"/>
    <w:rsid w:val="00632A7E"/>
    <w:rsid w:val="00632AB6"/>
    <w:rsid w:val="00636DEF"/>
    <w:rsid w:val="006A291A"/>
    <w:rsid w:val="00730B33"/>
    <w:rsid w:val="00772B2A"/>
    <w:rsid w:val="007C672A"/>
    <w:rsid w:val="007D4368"/>
    <w:rsid w:val="00822666"/>
    <w:rsid w:val="00823ECC"/>
    <w:rsid w:val="00843A1B"/>
    <w:rsid w:val="008633CC"/>
    <w:rsid w:val="00866C97"/>
    <w:rsid w:val="008C7A5A"/>
    <w:rsid w:val="009017AE"/>
    <w:rsid w:val="009C542D"/>
    <w:rsid w:val="00A00A55"/>
    <w:rsid w:val="00A74547"/>
    <w:rsid w:val="00A95183"/>
    <w:rsid w:val="00AB4AF7"/>
    <w:rsid w:val="00AD7C4F"/>
    <w:rsid w:val="00AF2795"/>
    <w:rsid w:val="00B41A94"/>
    <w:rsid w:val="00B445F5"/>
    <w:rsid w:val="00B97A2D"/>
    <w:rsid w:val="00BD40CB"/>
    <w:rsid w:val="00C362A2"/>
    <w:rsid w:val="00C90121"/>
    <w:rsid w:val="00C90B70"/>
    <w:rsid w:val="00C97BB1"/>
    <w:rsid w:val="00CA344F"/>
    <w:rsid w:val="00CD627D"/>
    <w:rsid w:val="00D1676E"/>
    <w:rsid w:val="00DB75E7"/>
    <w:rsid w:val="00DC0246"/>
    <w:rsid w:val="00DF39EA"/>
    <w:rsid w:val="00E6518A"/>
    <w:rsid w:val="00E97ED7"/>
    <w:rsid w:val="00F540AB"/>
    <w:rsid w:val="00F915BA"/>
    <w:rsid w:val="00FF1A58"/>
    <w:rsid w:val="00FF7D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F39EA"/>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918A7CBE42644BFAA7D3E074B7510853">
    <w:name w:val="918A7CBE42644BFAA7D3E074B7510853"/>
    <w:rsid w:val="00DF39E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F39EA"/>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918A7CBE42644BFAA7D3E074B7510853">
    <w:name w:val="918A7CBE42644BFAA7D3E074B7510853"/>
    <w:rsid w:val="00DF39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20</Pages>
  <Words>8508</Words>
  <Characters>48500</Characters>
  <Application>Microsoft Macintosh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56895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Faseeha</cp:lastModifiedBy>
  <cp:revision>8</cp:revision>
  <dcterms:created xsi:type="dcterms:W3CDTF">2014-02-05T14:15:00Z</dcterms:created>
  <dcterms:modified xsi:type="dcterms:W3CDTF">2014-02-05T16:51:00Z</dcterms:modified>
</cp:coreProperties>
</file>