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C253B3" w:rsidRDefault="00C253B3" w:rsidP="00C253B3">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07225D4CA52546879DB3E24588819A00"/>
          </w:placeholder>
        </w:sdtPr>
        <w:sdtEndPr>
          <w:rPr>
            <w:rStyle w:val="DefaultParagraphFont"/>
            <w:rFonts w:cstheme="minorHAnsi"/>
            <w:b/>
            <w:noProof/>
            <w:color w:val="auto"/>
          </w:rPr>
        </w:sdtEndPr>
        <w:sdtContent>
          <w:sdt>
            <w:sdtPr>
              <w:rPr>
                <w:rFonts w:ascii="Calibri" w:eastAsia="Calibri" w:hAnsi="Calibri" w:cs="Times New Roman"/>
                <w:b/>
                <w:color w:val="FF0000"/>
              </w:rPr>
              <w:id w:val="1745064703"/>
              <w:placeholder>
                <w:docPart w:val="BFC88832826F4E068694DDE1784D42A3"/>
              </w:placeholder>
            </w:sdtPr>
            <w:sdtEndPr>
              <w:rPr>
                <w:rFonts w:cs="Calibri"/>
                <w:noProof/>
              </w:rPr>
            </w:sdtEndPr>
            <w:sdtContent>
              <w:r w:rsidR="00801FAB" w:rsidRPr="00801FAB">
                <w:rPr>
                  <w:rFonts w:ascii="Calibri" w:eastAsia="Calibri" w:hAnsi="Calibri" w:cs="Times New Roman"/>
                  <w:b/>
                  <w:color w:val="FF0000"/>
                </w:rPr>
                <w:t>2605(New Measure)</w:t>
              </w:r>
            </w:sdtContent>
          </w:sdt>
        </w:sdtContent>
      </w:sdt>
    </w:p>
    <w:p w:rsidR="00C253B3" w:rsidRPr="00A25024" w:rsidRDefault="00C253B3" w:rsidP="00C253B3">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AD314D8C03D94047A34F45DCDDDF1560"/>
          </w:placeholder>
        </w:sdtPr>
        <w:sdtEndPr>
          <w:rPr>
            <w:rStyle w:val="DefaultParagraphFont"/>
            <w:noProof/>
            <w:color w:val="auto"/>
          </w:rPr>
        </w:sdtEndPr>
        <w:sdtContent>
          <w:r w:rsidRPr="00322721">
            <w:rPr>
              <w:rFonts w:eastAsia="Trebuchet MS" w:cstheme="minorHAnsi"/>
              <w:b/>
              <w:bCs/>
              <w:color w:val="FF0000"/>
              <w:szCs w:val="20"/>
            </w:rPr>
            <w:t>Follow-up after Discharge from the Emergency Department for Mental Health or Alcohol or Other Drug Dependence</w:t>
          </w:r>
        </w:sdtContent>
      </w:sdt>
    </w:p>
    <w:p w:rsidR="00C253B3" w:rsidRDefault="00C253B3" w:rsidP="00C253B3">
      <w:pPr>
        <w:spacing w:after="0"/>
        <w:rPr>
          <w:rStyle w:val="Style2"/>
          <w:rFonts w:cstheme="minorHAnsi"/>
        </w:rPr>
      </w:pPr>
      <w:r w:rsidRPr="00A25024">
        <w:rPr>
          <w:rFonts w:cstheme="minorHAnsi"/>
          <w:b/>
          <w:noProof/>
        </w:rPr>
        <w:t>Date of Submission</w:t>
      </w:r>
      <w:r w:rsidRPr="00322721">
        <w:rPr>
          <w:rFonts w:eastAsia="Trebuchet MS" w:cstheme="minorHAnsi"/>
          <w:b/>
          <w:bCs/>
          <w:szCs w:val="20"/>
        </w:rPr>
        <w:t>:</w:t>
      </w:r>
      <w:r w:rsidRPr="00322721">
        <w:rPr>
          <w:rFonts w:eastAsia="Trebuchet MS" w:cstheme="minorHAnsi"/>
          <w:b/>
          <w:bCs/>
          <w:color w:val="FF0000"/>
          <w:szCs w:val="20"/>
        </w:rPr>
        <w:t xml:space="preserve">  </w:t>
      </w:r>
      <w:sdt>
        <w:sdtPr>
          <w:rPr>
            <w:rFonts w:eastAsia="Trebuchet MS" w:cstheme="minorHAnsi"/>
            <w:b/>
            <w:bCs/>
            <w:color w:val="FF0000"/>
            <w:szCs w:val="20"/>
          </w:rPr>
          <w:id w:val="-1689821638"/>
          <w:placeholder>
            <w:docPart w:val="B2088F21885C4479BE67966F95DE065F"/>
          </w:placeholder>
          <w:date w:fullDate="2014-07-25T00:00:00Z">
            <w:dateFormat w:val="M/d/yyyy"/>
            <w:lid w:val="en-US"/>
            <w:storeMappedDataAs w:val="dateTime"/>
            <w:calendar w:val="gregorian"/>
          </w:date>
        </w:sdtPr>
        <w:sdtEndPr/>
        <w:sdtContent>
          <w:r w:rsidRPr="00322721">
            <w:rPr>
              <w:rFonts w:eastAsia="Trebuchet MS" w:cstheme="minorHAnsi"/>
              <w:b/>
              <w:bCs/>
              <w:color w:val="FF0000"/>
              <w:szCs w:val="20"/>
            </w:rPr>
            <w:t>7/25/2014</w:t>
          </w:r>
        </w:sdtContent>
      </w:sdt>
    </w:p>
    <w:p w:rsidR="00C253B3" w:rsidRPr="009E1846" w:rsidRDefault="00C253B3" w:rsidP="00C253B3">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253B3" w:rsidRPr="00B82A57" w:rsidTr="00C253B3">
        <w:trPr>
          <w:jc w:val="center"/>
        </w:trPr>
        <w:tc>
          <w:tcPr>
            <w:tcW w:w="2547" w:type="pct"/>
          </w:tcPr>
          <w:p w:rsidR="00C253B3" w:rsidRPr="00B82A57" w:rsidRDefault="006414C7" w:rsidP="00C253B3">
            <w:pPr>
              <w:autoSpaceDE w:val="0"/>
              <w:autoSpaceDN w:val="0"/>
              <w:adjustRightInd w:val="0"/>
              <w:rPr>
                <w:rFonts w:cstheme="minorHAnsi"/>
                <w:bCs/>
              </w:rPr>
            </w:pPr>
            <w:sdt>
              <w:sdtPr>
                <w:rPr>
                  <w:rFonts w:cstheme="minorHAnsi"/>
                  <w:bCs/>
                  <w:color w:val="0000FF"/>
                  <w:u w:val="single"/>
                </w:rPr>
                <w:id w:val="-1406217088"/>
              </w:sdtPr>
              <w:sdtEndPr/>
              <w:sdtContent>
                <w:r w:rsidR="00C253B3" w:rsidRPr="006574D2">
                  <w:rPr>
                    <w:rFonts w:ascii="MS Gothic" w:eastAsia="MS Gothic" w:cstheme="minorHAnsi" w:hint="eastAsia"/>
                    <w:bCs/>
                    <w:color w:val="0000FF"/>
                  </w:rPr>
                  <w:t>☐</w:t>
                </w:r>
              </w:sdtContent>
            </w:sdt>
            <w:r w:rsidR="00C253B3">
              <w:rPr>
                <w:rFonts w:cstheme="minorHAnsi"/>
                <w:bCs/>
                <w:color w:val="0000FF"/>
              </w:rPr>
              <w:t xml:space="preserve"> </w:t>
            </w:r>
            <w:r w:rsidR="00C253B3" w:rsidRPr="00B82A57">
              <w:rPr>
                <w:rFonts w:cstheme="minorHAnsi"/>
                <w:bCs/>
              </w:rPr>
              <w:t>Composite</w:t>
            </w:r>
            <w:r w:rsidR="00C253B3">
              <w:rPr>
                <w:rFonts w:cstheme="minorHAnsi"/>
                <w:bCs/>
              </w:rPr>
              <w:t xml:space="preserve"> – </w:t>
            </w:r>
            <w:r w:rsidR="00C253B3">
              <w:rPr>
                <w:rFonts w:cstheme="minorHAnsi"/>
                <w:b/>
                <w:bCs/>
                <w:i/>
              </w:rPr>
              <w:t xml:space="preserve">STOP – </w:t>
            </w:r>
            <w:r w:rsidR="00C253B3" w:rsidRPr="00BC03A1">
              <w:rPr>
                <w:rFonts w:cstheme="minorHAnsi"/>
                <w:b/>
                <w:bCs/>
                <w:i/>
              </w:rPr>
              <w:t xml:space="preserve">use composite </w:t>
            </w:r>
            <w:r w:rsidR="00C253B3">
              <w:rPr>
                <w:rFonts w:cstheme="minorHAnsi"/>
                <w:b/>
                <w:bCs/>
                <w:i/>
              </w:rPr>
              <w:t xml:space="preserve">testing </w:t>
            </w:r>
            <w:r w:rsidR="00C253B3" w:rsidRPr="00BC03A1">
              <w:rPr>
                <w:rFonts w:cstheme="minorHAnsi"/>
                <w:b/>
                <w:bCs/>
                <w:i/>
              </w:rPr>
              <w:t>form</w:t>
            </w:r>
          </w:p>
        </w:tc>
        <w:tc>
          <w:tcPr>
            <w:tcW w:w="2453" w:type="pct"/>
          </w:tcPr>
          <w:p w:rsidR="00C253B3" w:rsidRPr="00B82A57" w:rsidRDefault="006414C7" w:rsidP="00C253B3">
            <w:pPr>
              <w:autoSpaceDE w:val="0"/>
              <w:autoSpaceDN w:val="0"/>
              <w:adjustRightInd w:val="0"/>
              <w:rPr>
                <w:rFonts w:cstheme="minorHAnsi"/>
                <w:bCs/>
              </w:rPr>
            </w:pPr>
            <w:sdt>
              <w:sdtPr>
                <w:rPr>
                  <w:rFonts w:cstheme="minorHAnsi"/>
                  <w:bCs/>
                  <w:color w:val="0000FF"/>
                </w:rPr>
                <w:id w:val="40960739"/>
              </w:sdtPr>
              <w:sdtEndPr/>
              <w:sdtContent>
                <w:r w:rsidR="00C253B3" w:rsidRPr="006574D2">
                  <w:rPr>
                    <w:rFonts w:ascii="MS Gothic" w:eastAsia="MS Gothic" w:cstheme="minorHAnsi" w:hint="eastAsia"/>
                    <w:bCs/>
                    <w:color w:val="0000FF"/>
                  </w:rPr>
                  <w:t>☐</w:t>
                </w:r>
              </w:sdtContent>
            </w:sdt>
            <w:r w:rsidR="00C253B3" w:rsidRPr="00B82A57">
              <w:rPr>
                <w:rFonts w:cstheme="minorHAnsi"/>
                <w:bCs/>
              </w:rPr>
              <w:t xml:space="preserve"> Outcome</w:t>
            </w:r>
            <w:r w:rsidR="00C253B3">
              <w:rPr>
                <w:rFonts w:cstheme="minorHAnsi"/>
                <w:bCs/>
              </w:rPr>
              <w:t xml:space="preserve"> (</w:t>
            </w:r>
            <w:r w:rsidR="00C253B3" w:rsidRPr="00BC0D25">
              <w:rPr>
                <w:rFonts w:cstheme="minorHAnsi"/>
                <w:bCs/>
                <w:i/>
              </w:rPr>
              <w:t>including PRO-PM</w:t>
            </w:r>
            <w:r w:rsidR="00C253B3">
              <w:rPr>
                <w:rFonts w:cstheme="minorHAnsi"/>
                <w:bCs/>
              </w:rPr>
              <w:t>)</w:t>
            </w:r>
          </w:p>
        </w:tc>
      </w:tr>
      <w:tr w:rsidR="00C253B3" w:rsidRPr="00B82A57" w:rsidTr="00C253B3">
        <w:trPr>
          <w:jc w:val="center"/>
        </w:trPr>
        <w:tc>
          <w:tcPr>
            <w:tcW w:w="2547" w:type="pct"/>
          </w:tcPr>
          <w:p w:rsidR="00C253B3" w:rsidRPr="00B82A57" w:rsidRDefault="006414C7" w:rsidP="00C253B3">
            <w:pPr>
              <w:autoSpaceDE w:val="0"/>
              <w:autoSpaceDN w:val="0"/>
              <w:adjustRightInd w:val="0"/>
              <w:rPr>
                <w:rFonts w:cstheme="minorHAnsi"/>
                <w:bCs/>
              </w:rPr>
            </w:pPr>
            <w:sdt>
              <w:sdtPr>
                <w:rPr>
                  <w:rFonts w:cstheme="minorHAnsi"/>
                  <w:bCs/>
                  <w:color w:val="0000FF"/>
                </w:rPr>
                <w:id w:val="-1629553688"/>
              </w:sdtPr>
              <w:sdtEndPr/>
              <w:sdtContent>
                <w:r w:rsidR="00C253B3" w:rsidRPr="006574D2">
                  <w:rPr>
                    <w:rFonts w:ascii="MS Gothic" w:eastAsia="MS Gothic" w:cstheme="minorHAnsi" w:hint="eastAsia"/>
                    <w:bCs/>
                    <w:color w:val="0000FF"/>
                  </w:rPr>
                  <w:t>☐</w:t>
                </w:r>
              </w:sdtContent>
            </w:sdt>
            <w:r w:rsidR="00C253B3" w:rsidRPr="00B82A57">
              <w:rPr>
                <w:rFonts w:cstheme="minorHAnsi"/>
                <w:bCs/>
              </w:rPr>
              <w:t xml:space="preserve"> </w:t>
            </w:r>
            <w:r w:rsidR="00C253B3" w:rsidRPr="00B82A57">
              <w:rPr>
                <w:rFonts w:eastAsia="MS Gothic" w:cstheme="minorHAnsi"/>
                <w:bCs/>
              </w:rPr>
              <w:t>Cost/resource</w:t>
            </w:r>
          </w:p>
        </w:tc>
        <w:tc>
          <w:tcPr>
            <w:tcW w:w="2453" w:type="pct"/>
          </w:tcPr>
          <w:p w:rsidR="00C253B3" w:rsidRPr="00B82A57" w:rsidRDefault="006414C7" w:rsidP="00C253B3">
            <w:pPr>
              <w:autoSpaceDE w:val="0"/>
              <w:autoSpaceDN w:val="0"/>
              <w:adjustRightInd w:val="0"/>
              <w:rPr>
                <w:rFonts w:cstheme="minorHAnsi"/>
                <w:bCs/>
              </w:rPr>
            </w:pPr>
            <w:sdt>
              <w:sdtPr>
                <w:rPr>
                  <w:rFonts w:cstheme="minorHAnsi"/>
                  <w:bCs/>
                  <w:color w:val="0000FF"/>
                </w:rPr>
                <w:id w:val="-1952933063"/>
              </w:sdtPr>
              <w:sdtEndPr/>
              <w:sdtContent>
                <w:r w:rsidR="00C253B3" w:rsidRPr="00327E90">
                  <w:rPr>
                    <w:rFonts w:ascii="MS Gothic" w:eastAsia="MS Gothic" w:hAnsi="MS Gothic" w:cstheme="minorHAnsi" w:hint="eastAsia"/>
                    <w:bCs/>
                    <w:color w:val="0000FF"/>
                  </w:rPr>
                  <w:t>☒</w:t>
                </w:r>
              </w:sdtContent>
            </w:sdt>
            <w:r w:rsidR="00C253B3" w:rsidRPr="00327E90">
              <w:rPr>
                <w:rFonts w:cstheme="minorHAnsi"/>
                <w:bCs/>
              </w:rPr>
              <w:t xml:space="preserve"> </w:t>
            </w:r>
            <w:r w:rsidR="00C253B3" w:rsidRPr="00327E90">
              <w:rPr>
                <w:rFonts w:eastAsia="MS Gothic" w:cstheme="minorHAnsi"/>
                <w:bCs/>
              </w:rPr>
              <w:t>Process</w:t>
            </w:r>
          </w:p>
        </w:tc>
      </w:tr>
      <w:tr w:rsidR="00C253B3" w:rsidRPr="00B82A57" w:rsidTr="00C253B3">
        <w:trPr>
          <w:jc w:val="center"/>
        </w:trPr>
        <w:tc>
          <w:tcPr>
            <w:tcW w:w="2547" w:type="pct"/>
          </w:tcPr>
          <w:p w:rsidR="00C253B3" w:rsidRPr="00B82A57" w:rsidRDefault="006414C7" w:rsidP="00C253B3">
            <w:pPr>
              <w:autoSpaceDE w:val="0"/>
              <w:autoSpaceDN w:val="0"/>
              <w:adjustRightInd w:val="0"/>
              <w:rPr>
                <w:rFonts w:cstheme="minorHAnsi"/>
                <w:bCs/>
              </w:rPr>
            </w:pPr>
            <w:sdt>
              <w:sdtPr>
                <w:rPr>
                  <w:rFonts w:cstheme="minorHAnsi"/>
                  <w:bCs/>
                  <w:color w:val="0000FF"/>
                </w:rPr>
                <w:id w:val="1581719781"/>
              </w:sdtPr>
              <w:sdtEndPr/>
              <w:sdtContent>
                <w:r w:rsidR="00C253B3" w:rsidRPr="006574D2">
                  <w:rPr>
                    <w:rFonts w:ascii="MS Gothic" w:eastAsia="MS Gothic" w:cstheme="minorHAnsi" w:hint="eastAsia"/>
                    <w:bCs/>
                    <w:color w:val="0000FF"/>
                  </w:rPr>
                  <w:t>☐</w:t>
                </w:r>
              </w:sdtContent>
            </w:sdt>
            <w:r w:rsidR="00C253B3" w:rsidRPr="00B82A57">
              <w:rPr>
                <w:rFonts w:cstheme="minorHAnsi"/>
                <w:bCs/>
              </w:rPr>
              <w:t xml:space="preserve"> </w:t>
            </w:r>
            <w:r w:rsidR="00C253B3" w:rsidRPr="00B82A57">
              <w:rPr>
                <w:rFonts w:eastAsia="MS Gothic" w:cstheme="minorHAnsi"/>
                <w:bCs/>
              </w:rPr>
              <w:t>Efficiency</w:t>
            </w:r>
          </w:p>
        </w:tc>
        <w:tc>
          <w:tcPr>
            <w:tcW w:w="2453" w:type="pct"/>
          </w:tcPr>
          <w:p w:rsidR="00C253B3" w:rsidRPr="00B82A57" w:rsidRDefault="006414C7" w:rsidP="00C253B3">
            <w:pPr>
              <w:autoSpaceDE w:val="0"/>
              <w:autoSpaceDN w:val="0"/>
              <w:adjustRightInd w:val="0"/>
              <w:rPr>
                <w:rFonts w:cstheme="minorHAnsi"/>
                <w:bCs/>
              </w:rPr>
            </w:pPr>
            <w:sdt>
              <w:sdtPr>
                <w:rPr>
                  <w:rFonts w:cstheme="minorHAnsi"/>
                  <w:bCs/>
                  <w:color w:val="0000FF"/>
                </w:rPr>
                <w:id w:val="-1898113707"/>
              </w:sdtPr>
              <w:sdtEndPr/>
              <w:sdtContent>
                <w:r w:rsidR="00C253B3" w:rsidRPr="006574D2">
                  <w:rPr>
                    <w:rFonts w:ascii="MS Gothic" w:eastAsia="MS Gothic" w:cstheme="minorHAnsi" w:hint="eastAsia"/>
                    <w:bCs/>
                    <w:color w:val="0000FF"/>
                  </w:rPr>
                  <w:t>☐</w:t>
                </w:r>
              </w:sdtContent>
            </w:sdt>
            <w:r w:rsidR="00C253B3" w:rsidRPr="00B82A57">
              <w:rPr>
                <w:rFonts w:cstheme="minorHAnsi"/>
                <w:bCs/>
              </w:rPr>
              <w:t xml:space="preserve"> </w:t>
            </w:r>
            <w:r w:rsidR="00C253B3"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w:t>
            </w:r>
            <w:r w:rsidRPr="00480DAF">
              <w:rPr>
                <w:rFonts w:cstheme="minorHAnsi"/>
                <w:b/>
                <w:noProof/>
              </w:rPr>
              <w:t xml:space="preserve">1, 2a2, 2b2, 2b3, </w:t>
            </w:r>
            <w:r w:rsidR="004D4D8A" w:rsidRPr="00480DAF">
              <w:rPr>
                <w:rFonts w:cstheme="minorHAnsi"/>
                <w:b/>
                <w:noProof/>
              </w:rPr>
              <w:t xml:space="preserve">and </w:t>
            </w:r>
            <w:r w:rsidRPr="00480DAF">
              <w:rPr>
                <w:rFonts w:cstheme="minorHAnsi"/>
                <w:b/>
                <w:noProof/>
              </w:rPr>
              <w:t>2b5 must</w:t>
            </w:r>
            <w:r w:rsidRPr="00053F02">
              <w:rPr>
                <w:rFonts w:cstheme="minorHAnsi"/>
                <w:b/>
                <w:noProof/>
              </w:rPr>
              <w:t xml:space="preserve">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B25C02">
              <w:rPr>
                <w:rFonts w:cstheme="minorHAnsi"/>
                <w:b/>
                <w:noProof/>
                <w:u w:val="single"/>
              </w:rPr>
              <w:t>/sets of specifica</w:t>
            </w:r>
            <w:r w:rsidR="004D4D8A">
              <w:rPr>
                <w:rFonts w:cstheme="minorHAnsi"/>
                <w:b/>
                <w:noProof/>
                <w:u w:val="single"/>
              </w:rPr>
              <w:t>t</w:t>
            </w:r>
            <w:r w:rsidR="00B25C02">
              <w:rPr>
                <w:rFonts w:cstheme="minorHAnsi"/>
                <w:b/>
                <w:noProof/>
                <w:u w:val="single"/>
              </w:rPr>
              <w: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C253B3" w:rsidRPr="00A01494" w:rsidTr="0014773C">
        <w:trPr>
          <w:jc w:val="center"/>
        </w:trPr>
        <w:tc>
          <w:tcPr>
            <w:tcW w:w="5208" w:type="dxa"/>
            <w:shd w:val="clear" w:color="auto" w:fill="D9D9D9" w:themeFill="background1" w:themeFillShade="D9"/>
          </w:tcPr>
          <w:p w:rsidR="00C253B3" w:rsidRPr="00B25C02" w:rsidRDefault="00C253B3" w:rsidP="00C253B3">
            <w:pPr>
              <w:autoSpaceDE w:val="0"/>
              <w:autoSpaceDN w:val="0"/>
              <w:adjustRightInd w:val="0"/>
              <w:rPr>
                <w:rFonts w:cstheme="minorHAnsi"/>
                <w:b/>
                <w:bCs/>
              </w:rPr>
            </w:pPr>
            <w:r w:rsidRPr="00B25C02">
              <w:rPr>
                <w:rFonts w:cstheme="minorHAnsi"/>
                <w:b/>
                <w:bCs/>
              </w:rPr>
              <w:t>Measure Specified to Use Data From:</w:t>
            </w:r>
          </w:p>
          <w:p w:rsidR="00C253B3" w:rsidRPr="00A01494" w:rsidRDefault="00C253B3" w:rsidP="00C253B3">
            <w:pPr>
              <w:autoSpaceDE w:val="0"/>
              <w:autoSpaceDN w:val="0"/>
              <w:adjustRightInd w:val="0"/>
              <w:rPr>
                <w:rFonts w:cstheme="minorHAnsi"/>
                <w:b/>
                <w:bCs/>
              </w:rPr>
            </w:pPr>
            <w:r w:rsidRPr="00B25C02">
              <w:rPr>
                <w:rFonts w:cstheme="minorHAnsi"/>
                <w:b/>
                <w:bCs/>
              </w:rPr>
              <w:t>(</w:t>
            </w:r>
            <w:r w:rsidRPr="00B25C02">
              <w:rPr>
                <w:rFonts w:cstheme="minorHAnsi"/>
                <w:b/>
                <w:bCs/>
                <w:i/>
              </w:rPr>
              <w:t>must be consistent with data sources entered in S.23</w:t>
            </w:r>
            <w:r w:rsidRPr="00B25C02">
              <w:rPr>
                <w:rFonts w:cstheme="minorHAnsi"/>
                <w:b/>
                <w:bCs/>
              </w:rPr>
              <w:t>)</w:t>
            </w:r>
          </w:p>
        </w:tc>
        <w:tc>
          <w:tcPr>
            <w:tcW w:w="4847" w:type="dxa"/>
            <w:shd w:val="clear" w:color="auto" w:fill="D9D9D9" w:themeFill="background1" w:themeFillShade="D9"/>
          </w:tcPr>
          <w:p w:rsidR="00C253B3" w:rsidRPr="00A01494" w:rsidRDefault="00C253B3" w:rsidP="00C253B3">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C253B3" w:rsidRPr="00A01494" w:rsidTr="0014773C">
        <w:trPr>
          <w:jc w:val="center"/>
        </w:trPr>
        <w:tc>
          <w:tcPr>
            <w:tcW w:w="520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839233565"/>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abstracted from paper record</w:t>
            </w:r>
          </w:p>
        </w:tc>
        <w:tc>
          <w:tcPr>
            <w:tcW w:w="484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98917060"/>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abstracted from paper record</w:t>
            </w:r>
          </w:p>
        </w:tc>
      </w:tr>
      <w:tr w:rsidR="00C253B3" w:rsidRPr="00A01494" w:rsidTr="00327E90">
        <w:trPr>
          <w:jc w:val="center"/>
        </w:trPr>
        <w:tc>
          <w:tcPr>
            <w:tcW w:w="5208" w:type="dxa"/>
            <w:shd w:val="clear" w:color="auto" w:fill="auto"/>
          </w:tcPr>
          <w:p w:rsidR="00C253B3" w:rsidRPr="00327E90" w:rsidRDefault="006414C7" w:rsidP="00C253B3">
            <w:pPr>
              <w:autoSpaceDE w:val="0"/>
              <w:autoSpaceDN w:val="0"/>
              <w:adjustRightInd w:val="0"/>
              <w:rPr>
                <w:rFonts w:cstheme="minorHAnsi"/>
                <w:bCs/>
              </w:rPr>
            </w:pPr>
            <w:sdt>
              <w:sdtPr>
                <w:rPr>
                  <w:rFonts w:cstheme="minorHAnsi"/>
                  <w:bCs/>
                  <w:color w:val="0000FF"/>
                </w:rPr>
                <w:id w:val="560149406"/>
              </w:sdtPr>
              <w:sdtEndPr/>
              <w:sdtContent>
                <w:sdt>
                  <w:sdtPr>
                    <w:rPr>
                      <w:rFonts w:cstheme="minorHAnsi"/>
                      <w:bCs/>
                      <w:color w:val="0000FF"/>
                    </w:rPr>
                    <w:id w:val="3321793"/>
                  </w:sdtPr>
                  <w:sdtEndPr/>
                  <w:sdtContent>
                    <w:r w:rsidR="00C253B3" w:rsidRPr="00327E90">
                      <w:rPr>
                        <w:rFonts w:ascii="MS Gothic" w:eastAsia="MS Gothic" w:hAnsi="MS Gothic" w:cstheme="minorHAnsi" w:hint="eastAsia"/>
                        <w:bCs/>
                        <w:color w:val="0000FF"/>
                      </w:rPr>
                      <w:t>☒</w:t>
                    </w:r>
                  </w:sdtContent>
                </w:sdt>
              </w:sdtContent>
            </w:sdt>
            <w:r w:rsidR="00C253B3" w:rsidRPr="00327E90">
              <w:rPr>
                <w:rFonts w:cstheme="minorHAnsi"/>
                <w:bCs/>
              </w:rPr>
              <w:t xml:space="preserve"> </w:t>
            </w:r>
            <w:r w:rsidR="00C253B3" w:rsidRPr="00327E90">
              <w:rPr>
                <w:rFonts w:eastAsia="MS Gothic" w:cstheme="minorHAnsi"/>
                <w:bCs/>
              </w:rPr>
              <w:t xml:space="preserve">administrative </w:t>
            </w:r>
            <w:r w:rsidR="00C253B3" w:rsidRPr="00327E90">
              <w:rPr>
                <w:rFonts w:cstheme="minorHAnsi"/>
                <w:bCs/>
              </w:rPr>
              <w:t>claims</w:t>
            </w:r>
          </w:p>
        </w:tc>
        <w:tc>
          <w:tcPr>
            <w:tcW w:w="4847" w:type="dxa"/>
            <w:shd w:val="clear" w:color="auto" w:fill="auto"/>
          </w:tcPr>
          <w:p w:rsidR="00C253B3" w:rsidRPr="00327E90" w:rsidRDefault="006414C7" w:rsidP="00C253B3">
            <w:pPr>
              <w:autoSpaceDE w:val="0"/>
              <w:autoSpaceDN w:val="0"/>
              <w:adjustRightInd w:val="0"/>
              <w:rPr>
                <w:rFonts w:cstheme="minorHAnsi"/>
                <w:bCs/>
              </w:rPr>
            </w:pPr>
            <w:sdt>
              <w:sdtPr>
                <w:rPr>
                  <w:rFonts w:cstheme="minorHAnsi"/>
                  <w:bCs/>
                  <w:color w:val="0000FF"/>
                </w:rPr>
                <w:id w:val="-387195507"/>
              </w:sdtPr>
              <w:sdtEndPr/>
              <w:sdtContent>
                <w:sdt>
                  <w:sdtPr>
                    <w:rPr>
                      <w:rFonts w:cstheme="minorHAnsi"/>
                      <w:bCs/>
                      <w:color w:val="0000FF"/>
                    </w:rPr>
                    <w:id w:val="3321794"/>
                  </w:sdtPr>
                  <w:sdtEndPr/>
                  <w:sdtContent>
                    <w:r w:rsidR="00C253B3" w:rsidRPr="00327E90">
                      <w:rPr>
                        <w:rFonts w:ascii="MS Gothic" w:eastAsia="MS Gothic" w:hAnsi="MS Gothic" w:cstheme="minorHAnsi" w:hint="eastAsia"/>
                        <w:bCs/>
                        <w:color w:val="0000FF"/>
                      </w:rPr>
                      <w:t>☒</w:t>
                    </w:r>
                  </w:sdtContent>
                </w:sdt>
              </w:sdtContent>
            </w:sdt>
            <w:r w:rsidR="00C253B3" w:rsidRPr="00327E90">
              <w:rPr>
                <w:rFonts w:cstheme="minorHAnsi"/>
                <w:bCs/>
              </w:rPr>
              <w:t xml:space="preserve"> </w:t>
            </w:r>
            <w:r w:rsidR="00C253B3" w:rsidRPr="00327E90">
              <w:rPr>
                <w:rFonts w:eastAsia="MS Gothic" w:cstheme="minorHAnsi"/>
                <w:bCs/>
              </w:rPr>
              <w:t xml:space="preserve">administrative </w:t>
            </w:r>
            <w:r w:rsidR="00C253B3" w:rsidRPr="00327E90">
              <w:rPr>
                <w:rFonts w:cstheme="minorHAnsi"/>
                <w:bCs/>
              </w:rPr>
              <w:t>claims</w:t>
            </w:r>
          </w:p>
        </w:tc>
      </w:tr>
      <w:tr w:rsidR="00C253B3" w:rsidRPr="00A01494" w:rsidTr="0014773C">
        <w:trPr>
          <w:jc w:val="center"/>
        </w:trPr>
        <w:tc>
          <w:tcPr>
            <w:tcW w:w="520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751091068"/>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eastAsia="MS Gothic" w:cstheme="minorHAnsi"/>
                <w:bCs/>
              </w:rPr>
              <w:t>clinical database/registry</w:t>
            </w:r>
          </w:p>
        </w:tc>
        <w:tc>
          <w:tcPr>
            <w:tcW w:w="484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547026371"/>
              </w:sdtPr>
              <w:sdtEndPr/>
              <w:sdtContent>
                <w:r w:rsidR="00C253B3" w:rsidRPr="006574D2">
                  <w:rPr>
                    <w:rFonts w:ascii="MS Gothic" w:eastAsia="MS Gothic" w:cstheme="minorHAnsi" w:hint="eastAsia"/>
                    <w:bCs/>
                    <w:color w:val="0000FF"/>
                  </w:rPr>
                  <w:t>☐</w:t>
                </w:r>
              </w:sdtContent>
            </w:sdt>
            <w:r w:rsidR="00C253B3">
              <w:rPr>
                <w:rFonts w:cstheme="minorHAnsi"/>
                <w:bCs/>
                <w:color w:val="0000FF"/>
              </w:rPr>
              <w:t xml:space="preserve"> </w:t>
            </w:r>
            <w:r w:rsidR="00C253B3" w:rsidRPr="00A01494">
              <w:rPr>
                <w:rFonts w:eastAsia="MS Gothic" w:cstheme="minorHAnsi"/>
                <w:bCs/>
              </w:rPr>
              <w:t>clinical database/registry</w:t>
            </w:r>
          </w:p>
        </w:tc>
      </w:tr>
      <w:tr w:rsidR="00C253B3" w:rsidRPr="00A01494" w:rsidTr="0014773C">
        <w:trPr>
          <w:jc w:val="center"/>
        </w:trPr>
        <w:tc>
          <w:tcPr>
            <w:tcW w:w="520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1121342177"/>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abstracted from electronic health record</w:t>
            </w:r>
          </w:p>
        </w:tc>
        <w:tc>
          <w:tcPr>
            <w:tcW w:w="484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359203911"/>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abstracted from electronic health record</w:t>
            </w:r>
          </w:p>
        </w:tc>
      </w:tr>
      <w:tr w:rsidR="00C253B3" w:rsidRPr="00A01494" w:rsidTr="0014773C">
        <w:trPr>
          <w:jc w:val="center"/>
        </w:trPr>
        <w:tc>
          <w:tcPr>
            <w:tcW w:w="520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615648267"/>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 xml:space="preserve">eMeasure </w:t>
            </w:r>
            <w:r w:rsidR="00C253B3">
              <w:rPr>
                <w:rFonts w:cstheme="minorHAnsi"/>
                <w:bCs/>
              </w:rPr>
              <w:t xml:space="preserve">(HQMF) </w:t>
            </w:r>
            <w:r w:rsidR="00C253B3" w:rsidRPr="00A01494">
              <w:rPr>
                <w:rFonts w:cstheme="minorHAnsi"/>
                <w:bCs/>
              </w:rPr>
              <w:t xml:space="preserve">implemented in </w:t>
            </w:r>
            <w:r w:rsidR="00C253B3">
              <w:rPr>
                <w:rFonts w:cstheme="minorHAnsi"/>
                <w:bCs/>
              </w:rPr>
              <w:t>EHRs</w:t>
            </w:r>
          </w:p>
        </w:tc>
        <w:tc>
          <w:tcPr>
            <w:tcW w:w="484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498854310"/>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 xml:space="preserve">eMeasure </w:t>
            </w:r>
            <w:r w:rsidR="00C253B3">
              <w:rPr>
                <w:rFonts w:cstheme="minorHAnsi"/>
                <w:bCs/>
              </w:rPr>
              <w:t xml:space="preserve">(HQMF) </w:t>
            </w:r>
            <w:r w:rsidR="00C253B3" w:rsidRPr="00A01494">
              <w:rPr>
                <w:rFonts w:cstheme="minorHAnsi"/>
                <w:bCs/>
              </w:rPr>
              <w:t>impleme</w:t>
            </w:r>
            <w:r w:rsidR="00C253B3">
              <w:rPr>
                <w:rFonts w:cstheme="minorHAnsi"/>
                <w:bCs/>
              </w:rPr>
              <w:t>nted in EHRs</w:t>
            </w:r>
          </w:p>
        </w:tc>
      </w:tr>
      <w:tr w:rsidR="00C253B3" w:rsidRPr="00A01494" w:rsidTr="0014773C">
        <w:trPr>
          <w:jc w:val="center"/>
        </w:trPr>
        <w:tc>
          <w:tcPr>
            <w:tcW w:w="520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1316375390"/>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C253B3" w:rsidRPr="00A01494">
                  <w:rPr>
                    <w:rStyle w:val="PlaceholderText"/>
                  </w:rPr>
                  <w:t>Click here to describe</w:t>
                </w:r>
              </w:sdtContent>
            </w:sdt>
          </w:p>
        </w:tc>
        <w:tc>
          <w:tcPr>
            <w:tcW w:w="484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1689098749"/>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C253B3"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C253B3" w:rsidRPr="00585B92" w:rsidRDefault="00C253B3" w:rsidP="00C253B3">
      <w:pPr>
        <w:autoSpaceDE w:val="0"/>
        <w:autoSpaceDN w:val="0"/>
        <w:adjustRightInd w:val="0"/>
        <w:spacing w:after="0" w:line="240" w:lineRule="auto"/>
        <w:rPr>
          <w:rFonts w:cstheme="minorHAnsi"/>
          <w:bCs/>
        </w:rPr>
      </w:pPr>
      <w:r>
        <w:rPr>
          <w:rFonts w:cstheme="minorHAnsi"/>
          <w:b/>
          <w:bCs/>
        </w:rPr>
        <w:t>1.</w:t>
      </w:r>
      <w:r w:rsidRPr="00A25024">
        <w:rPr>
          <w:rFonts w:cstheme="minorHAnsi"/>
          <w:b/>
          <w:bCs/>
        </w:rPr>
        <w:t>2. If an existing dataset</w:t>
      </w:r>
      <w:r>
        <w:rPr>
          <w:rFonts w:cstheme="minorHAnsi"/>
          <w:b/>
          <w:bCs/>
        </w:rPr>
        <w:t xml:space="preserve"> was used</w:t>
      </w:r>
      <w:r w:rsidRPr="00A25024">
        <w:rPr>
          <w:rFonts w:cstheme="minorHAnsi"/>
          <w:b/>
          <w:bCs/>
        </w:rPr>
        <w:t xml:space="preserve">, identify the </w:t>
      </w:r>
      <w:r>
        <w:rPr>
          <w:rFonts w:cstheme="minorHAnsi"/>
          <w:b/>
          <w:bCs/>
        </w:rPr>
        <w:t xml:space="preserve">specific </w:t>
      </w:r>
      <w:r w:rsidRPr="00A25024">
        <w:rPr>
          <w:rFonts w:cstheme="minorHAnsi"/>
          <w:b/>
          <w:bCs/>
        </w:rPr>
        <w:t>dataset</w:t>
      </w:r>
      <w:r w:rsidRPr="00A25024">
        <w:rPr>
          <w:rFonts w:cstheme="minorHAnsi"/>
          <w:bCs/>
        </w:rPr>
        <w:t xml:space="preserve"> (</w:t>
      </w:r>
      <w:r>
        <w:rPr>
          <w:rFonts w:cstheme="minorHAnsi"/>
          <w:bCs/>
          <w:i/>
        </w:rPr>
        <w:t xml:space="preserve">the dataset used for testing must be consistent with the measure specifications for target population and healthcare entities being measured; </w:t>
      </w:r>
      <w:r w:rsidRPr="00241591">
        <w:rPr>
          <w:rFonts w:cstheme="minorHAnsi"/>
          <w:bCs/>
          <w:i/>
        </w:rPr>
        <w:t>e.g., Medicare Part A claims, Medicaid claims, other commercial insurance, nursing home MDS, home health OASIS, clinical registry</w:t>
      </w:r>
      <w:r w:rsidRPr="00A25024">
        <w:rPr>
          <w:rFonts w:cstheme="minorHAnsi"/>
          <w:bCs/>
        </w:rPr>
        <w:t>)</w:t>
      </w:r>
      <w:r>
        <w:rPr>
          <w:rFonts w:cstheme="minorHAnsi"/>
          <w:bCs/>
        </w:rPr>
        <w:t xml:space="preserve">. </w:t>
      </w:r>
      <w:r w:rsidRPr="00A25024">
        <w:rPr>
          <w:rFonts w:cstheme="minorHAnsi"/>
          <w:bCs/>
        </w:rPr>
        <w:t xml:space="preserve">  </w:t>
      </w:r>
    </w:p>
    <w:p w:rsidR="00C253B3" w:rsidRDefault="00C253B3" w:rsidP="00C253B3">
      <w:pPr>
        <w:autoSpaceDE w:val="0"/>
        <w:autoSpaceDN w:val="0"/>
        <w:adjustRightInd w:val="0"/>
        <w:spacing w:after="0" w:line="240" w:lineRule="auto"/>
        <w:rPr>
          <w:rFonts w:cstheme="minorHAnsi"/>
          <w:bCs/>
        </w:rPr>
      </w:pPr>
    </w:p>
    <w:p w:rsidR="00C253B3" w:rsidRPr="00322721" w:rsidRDefault="006F3374" w:rsidP="00C253B3">
      <w:pPr>
        <w:autoSpaceDE w:val="0"/>
        <w:autoSpaceDN w:val="0"/>
        <w:adjustRightInd w:val="0"/>
        <w:spacing w:after="0" w:line="240" w:lineRule="auto"/>
        <w:rPr>
          <w:rFonts w:cstheme="minorHAnsi"/>
          <w:b/>
          <w:bCs/>
          <w:color w:val="FF0000"/>
        </w:rPr>
      </w:pPr>
      <w:r>
        <w:rPr>
          <w:rFonts w:cstheme="minorHAnsi"/>
          <w:b/>
          <w:bCs/>
          <w:color w:val="FF0000"/>
        </w:rPr>
        <w:t xml:space="preserve">Medicaid claims; </w:t>
      </w:r>
      <w:r w:rsidR="00C253B3" w:rsidRPr="00322721">
        <w:rPr>
          <w:rFonts w:cstheme="minorHAnsi"/>
          <w:b/>
          <w:bCs/>
          <w:color w:val="FF0000"/>
        </w:rPr>
        <w:t>Medicaid Analytic eXtract (MAX)</w:t>
      </w:r>
    </w:p>
    <w:p w:rsidR="00C253B3" w:rsidRDefault="00C253B3" w:rsidP="00C253B3">
      <w:pPr>
        <w:autoSpaceDE w:val="0"/>
        <w:autoSpaceDN w:val="0"/>
        <w:adjustRightInd w:val="0"/>
        <w:spacing w:after="0" w:line="240" w:lineRule="auto"/>
        <w:rPr>
          <w:rFonts w:cstheme="minorHAnsi"/>
          <w:b/>
        </w:rPr>
      </w:pPr>
    </w:p>
    <w:p w:rsidR="00C253B3" w:rsidRPr="00A25024" w:rsidRDefault="00C253B3" w:rsidP="00C253B3">
      <w:pPr>
        <w:autoSpaceDE w:val="0"/>
        <w:autoSpaceDN w:val="0"/>
        <w:adjustRightInd w:val="0"/>
        <w:spacing w:after="0" w:line="240" w:lineRule="auto"/>
        <w:rPr>
          <w:rFonts w:cstheme="minorHAnsi"/>
          <w:bCs/>
        </w:rPr>
      </w:pPr>
      <w:r>
        <w:rPr>
          <w:rFonts w:cstheme="minorHAnsi"/>
          <w:b/>
        </w:rPr>
        <w:t>1.</w:t>
      </w:r>
      <w:r w:rsidRPr="00A25024">
        <w:rPr>
          <w:rFonts w:cstheme="minorHAnsi"/>
          <w:b/>
        </w:rPr>
        <w:t>3. What are the dates of the data used in testing</w:t>
      </w:r>
      <w:r w:rsidRPr="00A25024">
        <w:rPr>
          <w:rFonts w:cstheme="minorHAnsi"/>
        </w:rPr>
        <w:t xml:space="preserve">?  </w:t>
      </w:r>
      <w:sdt>
        <w:sdtPr>
          <w:rPr>
            <w:rFonts w:cstheme="minorHAnsi"/>
            <w:b/>
            <w:bCs/>
            <w:color w:val="FF0000"/>
          </w:rPr>
          <w:id w:val="950514773"/>
          <w:text/>
        </w:sdtPr>
        <w:sdtEndPr/>
        <w:sdtContent>
          <w:r w:rsidR="006F3374">
            <w:rPr>
              <w:rFonts w:cstheme="minorHAnsi"/>
              <w:b/>
              <w:bCs/>
              <w:color w:val="FF0000"/>
            </w:rPr>
            <w:t xml:space="preserve">Calendar year </w:t>
          </w:r>
          <w:r w:rsidR="006F3374" w:rsidRPr="00322721">
            <w:rPr>
              <w:rFonts w:cstheme="minorHAnsi"/>
              <w:b/>
              <w:bCs/>
              <w:color w:val="FF0000"/>
            </w:rPr>
            <w:t>2008</w:t>
          </w:r>
        </w:sdtContent>
      </w:sdt>
    </w:p>
    <w:p w:rsidR="00C253B3" w:rsidRDefault="00C253B3" w:rsidP="00C253B3">
      <w:pPr>
        <w:autoSpaceDE w:val="0"/>
        <w:autoSpaceDN w:val="0"/>
        <w:adjustRightInd w:val="0"/>
        <w:spacing w:after="0" w:line="240" w:lineRule="auto"/>
        <w:rPr>
          <w:rFonts w:cstheme="minorHAnsi"/>
          <w:bCs/>
        </w:rPr>
      </w:pPr>
    </w:p>
    <w:p w:rsidR="00C253B3" w:rsidRDefault="00C253B3" w:rsidP="00C253B3">
      <w:pPr>
        <w:autoSpaceDE w:val="0"/>
        <w:autoSpaceDN w:val="0"/>
        <w:adjustRightInd w:val="0"/>
        <w:spacing w:after="0" w:line="240" w:lineRule="auto"/>
        <w:rPr>
          <w:rFonts w:cstheme="minorHAnsi"/>
          <w:bCs/>
        </w:rPr>
      </w:pPr>
      <w:r>
        <w:rPr>
          <w:rFonts w:cstheme="minorHAnsi"/>
          <w:b/>
          <w:bCs/>
        </w:rPr>
        <w:t>1.</w:t>
      </w:r>
      <w:r w:rsidRPr="00A25024">
        <w:rPr>
          <w:rFonts w:cstheme="minorHAnsi"/>
          <w:b/>
          <w:bCs/>
        </w:rPr>
        <w:t>4. What levels of analysis</w:t>
      </w:r>
      <w:r w:rsidRPr="00A25024">
        <w:rPr>
          <w:rFonts w:cstheme="minorHAnsi"/>
          <w:bCs/>
        </w:rPr>
        <w:t xml:space="preserve"> </w:t>
      </w:r>
      <w:r w:rsidRPr="00A25024">
        <w:rPr>
          <w:rFonts w:cstheme="minorHAnsi"/>
          <w:b/>
          <w:bCs/>
        </w:rPr>
        <w:t>were tested</w:t>
      </w:r>
      <w:r w:rsidRPr="00A25024">
        <w:rPr>
          <w:rFonts w:cstheme="minorHAnsi"/>
          <w:bCs/>
        </w:rPr>
        <w:t>? (</w:t>
      </w:r>
      <w:r w:rsidRPr="00A25024">
        <w:rPr>
          <w:rFonts w:cstheme="minorHAnsi"/>
          <w:bCs/>
          <w:i/>
        </w:rPr>
        <w:t xml:space="preserve">testing </w:t>
      </w:r>
      <w:r>
        <w:rPr>
          <w:rFonts w:cstheme="minorHAnsi"/>
          <w:bCs/>
          <w:i/>
        </w:rPr>
        <w:t>must be provided for</w:t>
      </w:r>
      <w:r w:rsidRPr="00A25024">
        <w:rPr>
          <w:rFonts w:cstheme="minorHAnsi"/>
          <w:bCs/>
          <w:i/>
        </w:rPr>
        <w:t xml:space="preserve"> </w:t>
      </w:r>
      <w:r w:rsidRPr="00A25024">
        <w:rPr>
          <w:rFonts w:cstheme="minorHAnsi"/>
          <w:bCs/>
          <w:i/>
          <w:u w:val="single"/>
        </w:rPr>
        <w:t>all</w:t>
      </w:r>
      <w:r w:rsidRPr="00A25024">
        <w:rPr>
          <w:rFonts w:cstheme="minorHAnsi"/>
          <w:bCs/>
          <w:i/>
        </w:rPr>
        <w:t xml:space="preserve"> the levels specified and intended for measure implementation, e.g., individual clinician, hospital, health plan</w:t>
      </w:r>
      <w:r>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C253B3" w:rsidRPr="00A01494" w:rsidTr="00C253B3">
        <w:trPr>
          <w:jc w:val="center"/>
        </w:trPr>
        <w:tc>
          <w:tcPr>
            <w:tcW w:w="5027" w:type="dxa"/>
            <w:shd w:val="clear" w:color="auto" w:fill="D9D9D9" w:themeFill="background1" w:themeFillShade="D9"/>
          </w:tcPr>
          <w:p w:rsidR="00C253B3" w:rsidRDefault="00C253B3" w:rsidP="00C253B3">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C253B3" w:rsidRPr="00A01494" w:rsidRDefault="00C253B3" w:rsidP="00C253B3">
            <w:pPr>
              <w:autoSpaceDE w:val="0"/>
              <w:autoSpaceDN w:val="0"/>
              <w:adjustRightInd w:val="0"/>
              <w:rPr>
                <w:rFonts w:cstheme="minorHAnsi"/>
                <w:b/>
                <w:bCs/>
              </w:rPr>
            </w:pPr>
            <w:r>
              <w:rPr>
                <w:rFonts w:cstheme="minorHAnsi"/>
                <w:b/>
                <w:bCs/>
              </w:rPr>
              <w:t>(</w:t>
            </w:r>
            <w:r>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C253B3" w:rsidRPr="00A01494" w:rsidRDefault="00C253B3" w:rsidP="00C253B3">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C253B3" w:rsidRPr="00A01494" w:rsidTr="00C253B3">
        <w:trPr>
          <w:jc w:val="center"/>
        </w:trPr>
        <w:tc>
          <w:tcPr>
            <w:tcW w:w="502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447514278"/>
              </w:sdtPr>
              <w:sdtEndPr/>
              <w:sdtContent>
                <w:r w:rsidR="00C253B3" w:rsidRPr="006574D2">
                  <w:rPr>
                    <w:rFonts w:ascii="MS Gothic" w:eastAsia="MS Gothic" w:cstheme="minorHAnsi" w:hint="eastAsia"/>
                    <w:bCs/>
                    <w:color w:val="0000FF"/>
                  </w:rPr>
                  <w:t>☐</w:t>
                </w:r>
              </w:sdtContent>
            </w:sdt>
            <w:r w:rsidR="00C253B3">
              <w:rPr>
                <w:rFonts w:cstheme="minorHAnsi"/>
                <w:bCs/>
              </w:rPr>
              <w:t xml:space="preserve"> individual clinician</w:t>
            </w:r>
          </w:p>
        </w:tc>
        <w:tc>
          <w:tcPr>
            <w:tcW w:w="502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1571624283"/>
              </w:sdtPr>
              <w:sdtEndPr/>
              <w:sdtContent>
                <w:r w:rsidR="00C253B3" w:rsidRPr="006574D2">
                  <w:rPr>
                    <w:rFonts w:ascii="MS Gothic" w:eastAsia="MS Gothic" w:cstheme="minorHAnsi" w:hint="eastAsia"/>
                    <w:bCs/>
                    <w:color w:val="0000FF"/>
                  </w:rPr>
                  <w:t>☐</w:t>
                </w:r>
              </w:sdtContent>
            </w:sdt>
            <w:r w:rsidR="00C253B3">
              <w:rPr>
                <w:rFonts w:cstheme="minorHAnsi"/>
                <w:bCs/>
              </w:rPr>
              <w:t xml:space="preserve"> individual clinician</w:t>
            </w:r>
          </w:p>
        </w:tc>
      </w:tr>
      <w:tr w:rsidR="00C253B3" w:rsidRPr="00A01494" w:rsidTr="00C253B3">
        <w:trPr>
          <w:jc w:val="center"/>
        </w:trPr>
        <w:tc>
          <w:tcPr>
            <w:tcW w:w="502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834455086"/>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Pr>
                <w:rFonts w:eastAsia="MS Gothic" w:cstheme="minorHAnsi"/>
                <w:bCs/>
              </w:rPr>
              <w:t>group/practice</w:t>
            </w:r>
          </w:p>
        </w:tc>
        <w:tc>
          <w:tcPr>
            <w:tcW w:w="502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412627602"/>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Pr>
                <w:rFonts w:eastAsia="MS Gothic" w:cstheme="minorHAnsi"/>
                <w:bCs/>
              </w:rPr>
              <w:t>group/practice</w:t>
            </w:r>
          </w:p>
        </w:tc>
      </w:tr>
      <w:tr w:rsidR="00C253B3" w:rsidRPr="00A01494" w:rsidTr="00C253B3">
        <w:trPr>
          <w:jc w:val="center"/>
        </w:trPr>
        <w:tc>
          <w:tcPr>
            <w:tcW w:w="502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1855098074"/>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Pr>
                <w:rFonts w:eastAsia="MS Gothic" w:cstheme="minorHAnsi"/>
                <w:bCs/>
              </w:rPr>
              <w:t>hospital/facility/agency</w:t>
            </w:r>
          </w:p>
        </w:tc>
        <w:tc>
          <w:tcPr>
            <w:tcW w:w="502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1857455968"/>
              </w:sdtPr>
              <w:sdtEndPr/>
              <w:sdtContent>
                <w:r w:rsidR="00C253B3" w:rsidRPr="006574D2">
                  <w:rPr>
                    <w:rFonts w:ascii="MS Gothic" w:eastAsia="MS Gothic" w:cstheme="minorHAnsi" w:hint="eastAsia"/>
                    <w:bCs/>
                    <w:color w:val="0000FF"/>
                  </w:rPr>
                  <w:t>☐</w:t>
                </w:r>
              </w:sdtContent>
            </w:sdt>
            <w:r w:rsidR="00C253B3">
              <w:rPr>
                <w:rFonts w:cstheme="minorHAnsi"/>
                <w:bCs/>
              </w:rPr>
              <w:t xml:space="preserve"> </w:t>
            </w:r>
            <w:r w:rsidR="00C253B3">
              <w:rPr>
                <w:rFonts w:eastAsia="MS Gothic" w:cstheme="minorHAnsi"/>
                <w:bCs/>
              </w:rPr>
              <w:t>hospital/facility/agency</w:t>
            </w:r>
          </w:p>
        </w:tc>
      </w:tr>
      <w:tr w:rsidR="00C253B3" w:rsidRPr="00A01494" w:rsidTr="00C253B3">
        <w:trPr>
          <w:jc w:val="center"/>
        </w:trPr>
        <w:tc>
          <w:tcPr>
            <w:tcW w:w="5027"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275535217"/>
              </w:sdtPr>
              <w:sdtEndPr/>
              <w:sdtContent>
                <w:sdt>
                  <w:sdtPr>
                    <w:rPr>
                      <w:rFonts w:cstheme="minorHAnsi"/>
                      <w:bCs/>
                      <w:color w:val="0000FF"/>
                    </w:rPr>
                    <w:id w:val="3321796"/>
                  </w:sdtPr>
                  <w:sdtEndPr/>
                  <w:sdtContent>
                    <w:sdt>
                      <w:sdtPr>
                        <w:rPr>
                          <w:rFonts w:cstheme="minorHAnsi"/>
                          <w:bCs/>
                          <w:color w:val="0000FF"/>
                          <w:highlight w:val="yellow"/>
                        </w:rPr>
                        <w:id w:val="-1566481130"/>
                      </w:sdtPr>
                      <w:sdtEndPr>
                        <w:rPr>
                          <w:highlight w:val="none"/>
                        </w:rPr>
                      </w:sdtEndPr>
                      <w:sdtContent>
                        <w:sdt>
                          <w:sdtPr>
                            <w:rPr>
                              <w:rFonts w:cstheme="minorHAnsi"/>
                              <w:bCs/>
                            </w:rPr>
                            <w:id w:val="-1080670232"/>
                          </w:sdtPr>
                          <w:sdtEndPr/>
                          <w:sdtContent>
                            <w:r w:rsidR="00C253B3" w:rsidRPr="00327E90">
                              <w:rPr>
                                <w:rFonts w:ascii="MS Gothic" w:eastAsia="MS Gothic" w:hAnsi="MS Gothic" w:cstheme="minorHAnsi" w:hint="eastAsia"/>
                                <w:bCs/>
                              </w:rPr>
                              <w:t>☒</w:t>
                            </w:r>
                          </w:sdtContent>
                        </w:sdt>
                      </w:sdtContent>
                    </w:sdt>
                  </w:sdtContent>
                </w:sdt>
              </w:sdtContent>
            </w:sdt>
            <w:r w:rsidR="00C253B3" w:rsidRPr="00327E90">
              <w:rPr>
                <w:rFonts w:cstheme="minorHAnsi"/>
                <w:bCs/>
                <w:color w:val="0000FF"/>
              </w:rPr>
              <w:t xml:space="preserve"> </w:t>
            </w:r>
            <w:r w:rsidR="00C253B3" w:rsidRPr="00327E90">
              <w:rPr>
                <w:rFonts w:cstheme="minorHAnsi"/>
                <w:bCs/>
              </w:rPr>
              <w:t>health plan</w:t>
            </w:r>
          </w:p>
        </w:tc>
        <w:tc>
          <w:tcPr>
            <w:tcW w:w="5028" w:type="dxa"/>
          </w:tcPr>
          <w:p w:rsidR="00C253B3" w:rsidRPr="00A01494" w:rsidRDefault="006414C7" w:rsidP="00C253B3">
            <w:pPr>
              <w:autoSpaceDE w:val="0"/>
              <w:autoSpaceDN w:val="0"/>
              <w:adjustRightInd w:val="0"/>
              <w:rPr>
                <w:rFonts w:cstheme="minorHAnsi"/>
                <w:bCs/>
              </w:rPr>
            </w:pPr>
            <w:sdt>
              <w:sdtPr>
                <w:rPr>
                  <w:rFonts w:cstheme="minorHAnsi"/>
                  <w:bCs/>
                  <w:color w:val="0000FF"/>
                </w:rPr>
                <w:id w:val="1896924375"/>
              </w:sdtPr>
              <w:sdtEndPr/>
              <w:sdtContent>
                <w:r w:rsidR="00C253B3" w:rsidRPr="006574D2">
                  <w:rPr>
                    <w:rFonts w:ascii="MS Gothic" w:eastAsia="MS Gothic" w:cstheme="minorHAnsi" w:hint="eastAsia"/>
                    <w:bCs/>
                    <w:color w:val="0000FF"/>
                  </w:rPr>
                  <w:t>☐</w:t>
                </w:r>
              </w:sdtContent>
            </w:sdt>
            <w:r w:rsidR="00C253B3">
              <w:rPr>
                <w:rFonts w:cstheme="minorHAnsi"/>
                <w:bCs/>
              </w:rPr>
              <w:t xml:space="preserve"> health plan</w:t>
            </w:r>
          </w:p>
        </w:tc>
      </w:tr>
      <w:tr w:rsidR="00C253B3" w:rsidRPr="00A01494" w:rsidTr="00C253B3">
        <w:trPr>
          <w:jc w:val="center"/>
        </w:trPr>
        <w:tc>
          <w:tcPr>
            <w:tcW w:w="5027" w:type="dxa"/>
          </w:tcPr>
          <w:p w:rsidR="00C253B3" w:rsidRPr="00327E90" w:rsidRDefault="006414C7" w:rsidP="00C253B3">
            <w:pPr>
              <w:autoSpaceDE w:val="0"/>
              <w:autoSpaceDN w:val="0"/>
              <w:adjustRightInd w:val="0"/>
              <w:rPr>
                <w:rFonts w:cstheme="minorHAnsi"/>
                <w:bCs/>
              </w:rPr>
            </w:pPr>
            <w:sdt>
              <w:sdtPr>
                <w:rPr>
                  <w:rFonts w:cstheme="minorHAnsi"/>
                  <w:bCs/>
                </w:rPr>
                <w:id w:val="-1138024150"/>
              </w:sdtPr>
              <w:sdtEndPr/>
              <w:sdtContent>
                <w:sdt>
                  <w:sdtPr>
                    <w:rPr>
                      <w:rFonts w:cstheme="minorHAnsi"/>
                      <w:bCs/>
                    </w:rPr>
                    <w:id w:val="3321795"/>
                  </w:sdtPr>
                  <w:sdtEndPr/>
                  <w:sdtContent>
                    <w:r w:rsidR="00C253B3" w:rsidRPr="00327E90">
                      <w:rPr>
                        <w:rFonts w:ascii="MS Gothic" w:eastAsia="MS Gothic" w:hAnsi="MS Gothic" w:cstheme="minorHAnsi" w:hint="eastAsia"/>
                        <w:bCs/>
                      </w:rPr>
                      <w:t>☒</w:t>
                    </w:r>
                  </w:sdtContent>
                </w:sdt>
              </w:sdtContent>
            </w:sdt>
            <w:r w:rsidR="00C253B3" w:rsidRPr="00327E90">
              <w:rPr>
                <w:rFonts w:cstheme="minorHAnsi"/>
                <w:bCs/>
              </w:rPr>
              <w:t xml:space="preserve"> other:  </w:t>
            </w:r>
            <w:sdt>
              <w:sdtPr>
                <w:rPr>
                  <w:rStyle w:val="Style1"/>
                  <w:color w:val="auto"/>
                </w:rPr>
                <w:id w:val="1923679898"/>
                <w:text/>
              </w:sdtPr>
              <w:sdtEndPr>
                <w:rPr>
                  <w:rStyle w:val="DefaultParagraphFont"/>
                  <w:rFonts w:cstheme="minorHAnsi"/>
                  <w:bCs/>
                </w:rPr>
              </w:sdtEndPr>
              <w:sdtContent>
                <w:r w:rsidR="00C253B3" w:rsidRPr="00327E90">
                  <w:rPr>
                    <w:rStyle w:val="Style1"/>
                    <w:color w:val="auto"/>
                  </w:rPr>
                  <w:t>state</w:t>
                </w:r>
              </w:sdtContent>
            </w:sdt>
          </w:p>
        </w:tc>
        <w:tc>
          <w:tcPr>
            <w:tcW w:w="5028" w:type="dxa"/>
          </w:tcPr>
          <w:p w:rsidR="00C253B3" w:rsidRPr="00327E90" w:rsidRDefault="006414C7" w:rsidP="00C253B3">
            <w:pPr>
              <w:autoSpaceDE w:val="0"/>
              <w:autoSpaceDN w:val="0"/>
              <w:adjustRightInd w:val="0"/>
              <w:rPr>
                <w:rFonts w:cstheme="minorHAnsi"/>
                <w:bCs/>
              </w:rPr>
            </w:pPr>
            <w:sdt>
              <w:sdtPr>
                <w:rPr>
                  <w:rFonts w:cstheme="minorHAnsi"/>
                  <w:bCs/>
                  <w:color w:val="0000FF"/>
                </w:rPr>
                <w:id w:val="-417333514"/>
              </w:sdtPr>
              <w:sdtEndPr/>
              <w:sdtContent>
                <w:sdt>
                  <w:sdtPr>
                    <w:rPr>
                      <w:rFonts w:cstheme="minorHAnsi"/>
                      <w:bCs/>
                      <w:color w:val="0000FF"/>
                    </w:rPr>
                    <w:id w:val="3321797"/>
                  </w:sdtPr>
                  <w:sdtEndPr/>
                  <w:sdtContent>
                    <w:r w:rsidR="00C253B3" w:rsidRPr="00327E90">
                      <w:rPr>
                        <w:rFonts w:ascii="MS Gothic" w:eastAsia="MS Gothic" w:hAnsi="MS Gothic" w:cstheme="minorHAnsi" w:hint="eastAsia"/>
                        <w:bCs/>
                      </w:rPr>
                      <w:t>☒</w:t>
                    </w:r>
                  </w:sdtContent>
                </w:sdt>
              </w:sdtContent>
            </w:sdt>
            <w:r w:rsidR="00C253B3" w:rsidRPr="00327E90">
              <w:rPr>
                <w:rFonts w:cstheme="minorHAnsi"/>
                <w:bCs/>
              </w:rPr>
              <w:t xml:space="preserve"> other:  </w:t>
            </w:r>
            <w:sdt>
              <w:sdtPr>
                <w:rPr>
                  <w:rStyle w:val="Style1"/>
                  <w:color w:val="auto"/>
                </w:rPr>
                <w:id w:val="2034217519"/>
                <w:text/>
              </w:sdtPr>
              <w:sdtEndPr>
                <w:rPr>
                  <w:rStyle w:val="DefaultParagraphFont"/>
                  <w:rFonts w:cstheme="minorHAnsi"/>
                  <w:bCs/>
                </w:rPr>
              </w:sdtEndPr>
              <w:sdtContent>
                <w:r w:rsidR="00C253B3" w:rsidRPr="00327E90">
                  <w:rPr>
                    <w:rStyle w:val="Style1"/>
                    <w:color w:val="auto"/>
                  </w:rPr>
                  <w:t>state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Pr="006414C7" w:rsidRDefault="002B5016" w:rsidP="00DB3627">
      <w:pPr>
        <w:autoSpaceDE w:val="0"/>
        <w:autoSpaceDN w:val="0"/>
        <w:adjustRightInd w:val="0"/>
        <w:spacing w:after="0" w:line="240" w:lineRule="auto"/>
        <w:rPr>
          <w:rFonts w:cstheme="minorHAnsi"/>
          <w:bCs/>
          <w:u w:val="single"/>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721328" w:rsidRPr="006414C7">
        <w:rPr>
          <w:rFonts w:eastAsia="Times New Roman" w:cs="Times New Roman"/>
          <w:b/>
          <w:color w:val="FF0000"/>
          <w:u w:val="single"/>
        </w:rPr>
        <w:t>RELIABILITY, VALIDITY AND MEANINGFUL DIFFERENCES</w:t>
      </w:r>
    </w:p>
    <w:p w:rsidR="0080735D" w:rsidRDefault="00C96148" w:rsidP="00B3219A">
      <w:pPr>
        <w:autoSpaceDE w:val="0"/>
        <w:autoSpaceDN w:val="0"/>
        <w:adjustRightInd w:val="0"/>
        <w:spacing w:after="0" w:line="240" w:lineRule="auto"/>
        <w:rPr>
          <w:rFonts w:cstheme="minorHAnsi"/>
          <w:b/>
          <w:bCs/>
          <w:color w:val="FF0000"/>
        </w:rPr>
      </w:pPr>
      <w:r w:rsidRPr="00B3219A">
        <w:rPr>
          <w:rFonts w:cstheme="minorHAnsi"/>
          <w:b/>
          <w:bCs/>
          <w:color w:val="FF0000"/>
        </w:rPr>
        <w:t xml:space="preserve">We tested the reliability, validity, and variation in performance on this measure among </w:t>
      </w:r>
      <w:r w:rsidR="00B25C02" w:rsidRPr="00B3219A">
        <w:rPr>
          <w:rFonts w:cstheme="minorHAnsi"/>
          <w:b/>
          <w:bCs/>
          <w:color w:val="FF0000"/>
        </w:rPr>
        <w:t>16</w:t>
      </w:r>
      <w:r w:rsidRPr="00B3219A">
        <w:rPr>
          <w:rFonts w:cstheme="minorHAnsi"/>
          <w:b/>
          <w:bCs/>
          <w:color w:val="FF0000"/>
        </w:rPr>
        <w:t xml:space="preserve"> states</w:t>
      </w:r>
      <w:r w:rsidR="00B25C02" w:rsidRPr="00B3219A">
        <w:rPr>
          <w:rFonts w:cstheme="minorHAnsi"/>
          <w:b/>
          <w:bCs/>
          <w:color w:val="FF0000"/>
        </w:rPr>
        <w:t xml:space="preserve"> </w:t>
      </w:r>
      <w:r w:rsidR="001633A1" w:rsidRPr="00B3219A">
        <w:rPr>
          <w:rFonts w:cstheme="minorHAnsi"/>
          <w:b/>
          <w:bCs/>
          <w:color w:val="FF0000"/>
        </w:rPr>
        <w:t xml:space="preserve">for the rate of follow-up for </w:t>
      </w:r>
      <w:r w:rsidR="00C7391D">
        <w:rPr>
          <w:rFonts w:cstheme="minorHAnsi"/>
          <w:b/>
          <w:bCs/>
          <w:color w:val="FF0000"/>
        </w:rPr>
        <w:t>mental health (MH)</w:t>
      </w:r>
      <w:r w:rsidR="001633A1" w:rsidRPr="00B3219A">
        <w:rPr>
          <w:rFonts w:cstheme="minorHAnsi"/>
          <w:b/>
          <w:bCs/>
          <w:color w:val="FF0000"/>
        </w:rPr>
        <w:t xml:space="preserve"> </w:t>
      </w:r>
      <w:r w:rsidR="00C7391D">
        <w:rPr>
          <w:b/>
          <w:color w:val="FF0000"/>
        </w:rPr>
        <w:t xml:space="preserve">emergency department </w:t>
      </w:r>
      <w:r w:rsidR="001633A1" w:rsidRPr="00B3219A">
        <w:rPr>
          <w:rFonts w:cstheme="minorHAnsi"/>
          <w:b/>
          <w:bCs/>
          <w:color w:val="FF0000"/>
        </w:rPr>
        <w:t xml:space="preserve"> visits and </w:t>
      </w:r>
      <w:r w:rsidR="00B25C02" w:rsidRPr="00B3219A">
        <w:rPr>
          <w:rFonts w:cstheme="minorHAnsi"/>
          <w:b/>
          <w:bCs/>
          <w:color w:val="FF0000"/>
        </w:rPr>
        <w:t xml:space="preserve">15 states </w:t>
      </w:r>
      <w:r w:rsidR="001633A1" w:rsidRPr="00B3219A">
        <w:rPr>
          <w:rFonts w:cstheme="minorHAnsi"/>
          <w:b/>
          <w:bCs/>
          <w:color w:val="FF0000"/>
        </w:rPr>
        <w:t xml:space="preserve">for the rate of follow-up for </w:t>
      </w:r>
      <w:r w:rsidR="00C7391D">
        <w:rPr>
          <w:rFonts w:cstheme="minorHAnsi"/>
          <w:b/>
          <w:bCs/>
          <w:color w:val="FF0000"/>
        </w:rPr>
        <w:t xml:space="preserve">alcohol and other drug dependence (AOD) </w:t>
      </w:r>
      <w:r w:rsidR="00C7391D">
        <w:rPr>
          <w:b/>
          <w:color w:val="FF0000"/>
        </w:rPr>
        <w:t>emergency department</w:t>
      </w:r>
      <w:r w:rsidR="001633A1" w:rsidRPr="00B3219A">
        <w:rPr>
          <w:rFonts w:cstheme="minorHAnsi"/>
          <w:b/>
          <w:bCs/>
          <w:color w:val="FF0000"/>
        </w:rPr>
        <w:t xml:space="preserve"> visits</w:t>
      </w:r>
      <w:r w:rsidRPr="00B3219A">
        <w:rPr>
          <w:rFonts w:cstheme="minorHAnsi"/>
          <w:b/>
          <w:bCs/>
          <w:color w:val="FF0000"/>
        </w:rPr>
        <w:t xml:space="preserve"> using </w:t>
      </w:r>
      <w:r w:rsidR="006F3374" w:rsidRPr="00B3219A">
        <w:rPr>
          <w:rFonts w:cstheme="minorHAnsi"/>
          <w:b/>
          <w:bCs/>
          <w:color w:val="FF0000"/>
        </w:rPr>
        <w:t>f</w:t>
      </w:r>
      <w:r w:rsidR="00B2250B" w:rsidRPr="00B3219A">
        <w:rPr>
          <w:rFonts w:cstheme="minorHAnsi"/>
          <w:b/>
          <w:bCs/>
          <w:color w:val="FF0000"/>
        </w:rPr>
        <w:t xml:space="preserve">ee-for-service (FFS) </w:t>
      </w:r>
      <w:r w:rsidR="006F3374" w:rsidRPr="00B3219A">
        <w:rPr>
          <w:rFonts w:cstheme="minorHAnsi"/>
          <w:b/>
          <w:bCs/>
          <w:color w:val="FF0000"/>
        </w:rPr>
        <w:t xml:space="preserve">Medicaid claims derived from the </w:t>
      </w:r>
      <w:r w:rsidRPr="00B3219A">
        <w:rPr>
          <w:rFonts w:cstheme="minorHAnsi"/>
          <w:b/>
          <w:bCs/>
          <w:color w:val="FF0000"/>
        </w:rPr>
        <w:t xml:space="preserve">MAX data. </w:t>
      </w:r>
      <w:r w:rsidR="00B2250B" w:rsidRPr="00B3219A">
        <w:rPr>
          <w:rFonts w:cstheme="minorHAnsi"/>
          <w:b/>
          <w:bCs/>
          <w:color w:val="FF0000"/>
        </w:rPr>
        <w:t xml:space="preserve">We used FFS </w:t>
      </w:r>
      <w:r w:rsidR="006F3374" w:rsidRPr="00B3219A">
        <w:rPr>
          <w:rFonts w:cstheme="minorHAnsi"/>
          <w:b/>
          <w:bCs/>
          <w:color w:val="FF0000"/>
        </w:rPr>
        <w:t>claims</w:t>
      </w:r>
      <w:r w:rsidR="00B2250B" w:rsidRPr="00B3219A">
        <w:rPr>
          <w:rFonts w:cstheme="minorHAnsi"/>
          <w:b/>
          <w:bCs/>
          <w:color w:val="FF0000"/>
        </w:rPr>
        <w:t xml:space="preserve"> because </w:t>
      </w:r>
      <w:r w:rsidR="006F3374" w:rsidRPr="00B3219A">
        <w:rPr>
          <w:rFonts w:cstheme="minorHAnsi"/>
          <w:b/>
          <w:bCs/>
          <w:color w:val="FF0000"/>
        </w:rPr>
        <w:t xml:space="preserve">Medicaid </w:t>
      </w:r>
      <w:r w:rsidR="00B2250B" w:rsidRPr="00B3219A">
        <w:rPr>
          <w:rFonts w:cstheme="minorHAnsi"/>
          <w:b/>
          <w:bCs/>
          <w:color w:val="FF0000"/>
        </w:rPr>
        <w:lastRenderedPageBreak/>
        <w:t xml:space="preserve">managed care </w:t>
      </w:r>
      <w:r w:rsidR="006F3374" w:rsidRPr="00B3219A">
        <w:rPr>
          <w:rFonts w:cstheme="minorHAnsi"/>
          <w:b/>
          <w:bCs/>
          <w:color w:val="FF0000"/>
        </w:rPr>
        <w:t xml:space="preserve">organizations do not submit encounters in many states or submit incomplete data that limits the ability to observe every medical or behavioral health encounter. </w:t>
      </w:r>
      <w:r w:rsidR="00B25C02" w:rsidRPr="00B3219A">
        <w:rPr>
          <w:rFonts w:cstheme="minorHAnsi"/>
          <w:b/>
          <w:bCs/>
          <w:color w:val="FF0000"/>
        </w:rPr>
        <w:t xml:space="preserve"> </w:t>
      </w:r>
    </w:p>
    <w:p w:rsidR="00721328" w:rsidRPr="00B3219A" w:rsidRDefault="00721328" w:rsidP="00B3219A">
      <w:pPr>
        <w:autoSpaceDE w:val="0"/>
        <w:autoSpaceDN w:val="0"/>
        <w:adjustRightInd w:val="0"/>
        <w:spacing w:after="0" w:line="240" w:lineRule="auto"/>
        <w:rPr>
          <w:rFonts w:cstheme="minorHAnsi"/>
          <w:b/>
          <w:bCs/>
          <w:color w:val="FF0000"/>
        </w:rPr>
      </w:pPr>
    </w:p>
    <w:p w:rsidR="00EF0619" w:rsidRPr="00B3219A" w:rsidRDefault="002024DB" w:rsidP="00B3219A">
      <w:pPr>
        <w:autoSpaceDE w:val="0"/>
        <w:autoSpaceDN w:val="0"/>
        <w:adjustRightInd w:val="0"/>
        <w:spacing w:after="0" w:line="240" w:lineRule="auto"/>
        <w:rPr>
          <w:rFonts w:cstheme="minorHAnsi"/>
          <w:b/>
          <w:bCs/>
          <w:color w:val="FF0000"/>
        </w:rPr>
      </w:pPr>
      <w:r w:rsidRPr="00B3219A">
        <w:rPr>
          <w:rFonts w:cstheme="minorHAnsi"/>
          <w:b/>
          <w:bCs/>
          <w:color w:val="FF0000"/>
        </w:rPr>
        <w:t>We</w:t>
      </w:r>
      <w:r w:rsidR="00B2250B" w:rsidRPr="00B3219A">
        <w:rPr>
          <w:rFonts w:cstheme="minorHAnsi"/>
          <w:b/>
          <w:bCs/>
          <w:color w:val="FF0000"/>
        </w:rPr>
        <w:t xml:space="preserve"> excluded states </w:t>
      </w:r>
      <w:r w:rsidR="0080735D" w:rsidRPr="00B3219A">
        <w:rPr>
          <w:rFonts w:cstheme="minorHAnsi"/>
          <w:b/>
          <w:bCs/>
          <w:color w:val="FF0000"/>
        </w:rPr>
        <w:t xml:space="preserve">where </w:t>
      </w:r>
      <w:r w:rsidR="00B2250B" w:rsidRPr="00B3219A">
        <w:rPr>
          <w:rFonts w:cstheme="minorHAnsi"/>
          <w:b/>
          <w:bCs/>
          <w:color w:val="FF0000"/>
        </w:rPr>
        <w:t xml:space="preserve">FFS data were not expected to be representative (e.g. </w:t>
      </w:r>
      <w:r w:rsidR="0049460E" w:rsidRPr="00B3219A">
        <w:rPr>
          <w:rFonts w:cstheme="minorHAnsi"/>
          <w:b/>
          <w:bCs/>
          <w:color w:val="FF0000"/>
        </w:rPr>
        <w:t xml:space="preserve">where only a small percentage of </w:t>
      </w:r>
      <w:r w:rsidR="006F3374" w:rsidRPr="00B3219A">
        <w:rPr>
          <w:rFonts w:cstheme="minorHAnsi"/>
          <w:b/>
          <w:bCs/>
          <w:color w:val="FF0000"/>
        </w:rPr>
        <w:t>Medicaid adults were enrolled in</w:t>
      </w:r>
      <w:r w:rsidR="0049460E" w:rsidRPr="00B3219A">
        <w:rPr>
          <w:rFonts w:cstheme="minorHAnsi"/>
          <w:b/>
          <w:bCs/>
          <w:color w:val="FF0000"/>
        </w:rPr>
        <w:t xml:space="preserve"> FFS</w:t>
      </w:r>
      <w:r w:rsidR="00B2250B" w:rsidRPr="00B3219A">
        <w:rPr>
          <w:rFonts w:cstheme="minorHAnsi"/>
          <w:b/>
          <w:bCs/>
          <w:color w:val="FF0000"/>
        </w:rPr>
        <w:t>)</w:t>
      </w:r>
      <w:r w:rsidR="00F05E89" w:rsidRPr="00B3219A">
        <w:rPr>
          <w:rFonts w:cstheme="minorHAnsi"/>
          <w:b/>
          <w:bCs/>
          <w:color w:val="FF0000"/>
        </w:rPr>
        <w:t xml:space="preserve">, </w:t>
      </w:r>
      <w:r w:rsidR="00B2250B" w:rsidRPr="00B3219A">
        <w:rPr>
          <w:rFonts w:cstheme="minorHAnsi"/>
          <w:b/>
          <w:bCs/>
          <w:color w:val="FF0000"/>
        </w:rPr>
        <w:t xml:space="preserve">where </w:t>
      </w:r>
      <w:r w:rsidR="00D77AC0" w:rsidRPr="00B3219A">
        <w:rPr>
          <w:rFonts w:cstheme="minorHAnsi"/>
          <w:b/>
          <w:bCs/>
          <w:color w:val="FF0000"/>
        </w:rPr>
        <w:t xml:space="preserve">there was a problem with the Medicaid enrollment file or </w:t>
      </w:r>
      <w:r w:rsidR="00F05E89" w:rsidRPr="00B3219A">
        <w:rPr>
          <w:rFonts w:cstheme="minorHAnsi"/>
          <w:b/>
          <w:bCs/>
          <w:color w:val="FF0000"/>
        </w:rPr>
        <w:t xml:space="preserve">with </w:t>
      </w:r>
      <w:r w:rsidR="00D77AC0" w:rsidRPr="00B3219A">
        <w:rPr>
          <w:rFonts w:cstheme="minorHAnsi"/>
          <w:b/>
          <w:bCs/>
          <w:color w:val="FF0000"/>
        </w:rPr>
        <w:t>FFS claims</w:t>
      </w:r>
      <w:r w:rsidR="00F05E89" w:rsidRPr="00B3219A">
        <w:rPr>
          <w:rFonts w:cstheme="minorHAnsi"/>
          <w:b/>
          <w:bCs/>
          <w:color w:val="FF0000"/>
        </w:rPr>
        <w:t xml:space="preserve"> (e.g. inability to identify our population of interest, or missing claims)</w:t>
      </w:r>
      <w:r w:rsidR="00D77AC0" w:rsidRPr="00B3219A">
        <w:rPr>
          <w:rFonts w:cstheme="minorHAnsi"/>
          <w:b/>
          <w:bCs/>
          <w:color w:val="FF0000"/>
        </w:rPr>
        <w:t xml:space="preserve">, or where </w:t>
      </w:r>
      <w:r w:rsidR="00BC618B">
        <w:rPr>
          <w:rFonts w:cstheme="minorHAnsi"/>
          <w:b/>
          <w:bCs/>
          <w:color w:val="FF0000"/>
        </w:rPr>
        <w:t xml:space="preserve">the denominator size of </w:t>
      </w:r>
      <w:r w:rsidR="00C7391D">
        <w:rPr>
          <w:b/>
          <w:color w:val="FF0000"/>
        </w:rPr>
        <w:t>emergency department</w:t>
      </w:r>
      <w:r w:rsidR="00B2250B" w:rsidRPr="00B3219A">
        <w:rPr>
          <w:rFonts w:cstheme="minorHAnsi"/>
          <w:b/>
          <w:bCs/>
          <w:color w:val="FF0000"/>
        </w:rPr>
        <w:t xml:space="preserve"> </w:t>
      </w:r>
      <w:r w:rsidR="002D2AC6" w:rsidRPr="00B3219A">
        <w:rPr>
          <w:rFonts w:cstheme="minorHAnsi"/>
          <w:b/>
          <w:bCs/>
          <w:color w:val="FF0000"/>
        </w:rPr>
        <w:t>discharges</w:t>
      </w:r>
      <w:r w:rsidR="00B2250B" w:rsidRPr="00B3219A">
        <w:rPr>
          <w:rFonts w:cstheme="minorHAnsi"/>
          <w:b/>
          <w:bCs/>
          <w:color w:val="FF0000"/>
        </w:rPr>
        <w:t xml:space="preserve"> was very small (less than 150). </w:t>
      </w:r>
    </w:p>
    <w:p w:rsidR="00C253B3" w:rsidRDefault="00C253B3" w:rsidP="00DB3627">
      <w:pPr>
        <w:autoSpaceDE w:val="0"/>
        <w:autoSpaceDN w:val="0"/>
        <w:adjustRightInd w:val="0"/>
        <w:spacing w:after="0" w:line="240" w:lineRule="auto"/>
        <w:rPr>
          <w:rFonts w:cstheme="minorHAnsi"/>
          <w:b/>
          <w:bCs/>
        </w:rPr>
      </w:pPr>
    </w:p>
    <w:p w:rsidR="00C253B3" w:rsidRPr="006414C7" w:rsidRDefault="00C253B3" w:rsidP="00C253B3">
      <w:pPr>
        <w:autoSpaceDE w:val="0"/>
        <w:autoSpaceDN w:val="0"/>
        <w:adjustRightInd w:val="0"/>
        <w:spacing w:after="0" w:line="240" w:lineRule="auto"/>
        <w:rPr>
          <w:rFonts w:eastAsia="Times New Roman" w:cs="Times New Roman"/>
          <w:b/>
          <w:color w:val="FF0000"/>
          <w:szCs w:val="20"/>
          <w:u w:val="single"/>
        </w:rPr>
      </w:pPr>
      <w:r w:rsidRPr="006414C7">
        <w:rPr>
          <w:rFonts w:eastAsia="Times New Roman" w:cs="Times New Roman"/>
          <w:b/>
          <w:color w:val="FF0000"/>
          <w:szCs w:val="20"/>
          <w:u w:val="single"/>
        </w:rPr>
        <w:t>Systematic Evaluation of Face Validity</w:t>
      </w:r>
    </w:p>
    <w:p w:rsidR="00C253B3" w:rsidRPr="00322721" w:rsidRDefault="00C253B3" w:rsidP="00C253B3">
      <w:pPr>
        <w:autoSpaceDE w:val="0"/>
        <w:autoSpaceDN w:val="0"/>
        <w:adjustRightInd w:val="0"/>
        <w:spacing w:after="0" w:line="240" w:lineRule="auto"/>
        <w:rPr>
          <w:rFonts w:eastAsia="Times New Roman" w:cs="Times New Roman"/>
          <w:b/>
          <w:color w:val="FF0000"/>
          <w:szCs w:val="20"/>
        </w:rPr>
      </w:pPr>
      <w:r w:rsidRPr="00322721">
        <w:rPr>
          <w:rFonts w:eastAsia="Times New Roman" w:cs="Times New Roman"/>
          <w:b/>
          <w:color w:val="FF0000"/>
          <w:szCs w:val="20"/>
        </w:rPr>
        <w:t>This measure was tested for validity with an expert panel (n=16), focus group (n=29), and public comment (n=20).</w:t>
      </w:r>
    </w:p>
    <w:p w:rsidR="00C96148" w:rsidRPr="00A25024" w:rsidRDefault="00C96148"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w:t>
      </w:r>
      <w:r w:rsidR="007422FD" w:rsidRPr="0077303F">
        <w:rPr>
          <w:rFonts w:cstheme="minorHAnsi"/>
          <w:b/>
          <w:bCs/>
        </w:rPr>
        <w:t xml:space="preserve">and which </w:t>
      </w:r>
      <w:r w:rsidR="007422FD" w:rsidRPr="0077303F">
        <w:rPr>
          <w:rFonts w:cstheme="minorHAnsi"/>
          <w:b/>
          <w:bCs/>
          <w:u w:val="single"/>
        </w:rPr>
        <w:t>patients</w:t>
      </w:r>
      <w:r w:rsidR="007422FD" w:rsidRPr="0077303F">
        <w:rPr>
          <w:rFonts w:cstheme="minorHAnsi"/>
          <w:b/>
          <w:bCs/>
        </w:rPr>
        <w:t xml:space="preserve"> were included in the testing and analysis</w:t>
      </w:r>
      <w:r w:rsidR="00AA65A6" w:rsidRPr="0077303F">
        <w:rPr>
          <w:rFonts w:cstheme="minorHAnsi"/>
          <w:b/>
          <w:bCs/>
        </w:rPr>
        <w:t xml:space="preserve"> </w:t>
      </w:r>
      <w:r w:rsidR="00616EB5" w:rsidRPr="0077303F">
        <w:rPr>
          <w:rFonts w:cstheme="minorHAnsi"/>
          <w:b/>
          <w:bCs/>
        </w:rPr>
        <w:t>(</w:t>
      </w:r>
      <w:r w:rsidR="00AA65A6" w:rsidRPr="0077303F">
        <w:rPr>
          <w:rFonts w:cstheme="minorHAnsi"/>
          <w:b/>
          <w:bCs/>
        </w:rPr>
        <w:t>by level of analysis and data source</w:t>
      </w:r>
      <w:r w:rsidR="00616EB5" w:rsidRPr="0077303F">
        <w:rPr>
          <w:rFonts w:cstheme="minorHAnsi"/>
          <w:b/>
          <w:bCs/>
        </w:rPr>
        <w:t>)</w:t>
      </w:r>
      <w:r w:rsidR="007422FD" w:rsidRPr="0077303F">
        <w:rPr>
          <w:rFonts w:cstheme="minorHAnsi"/>
          <w:bCs/>
        </w:rPr>
        <w:t>? (</w:t>
      </w:r>
      <w:r w:rsidR="007422FD" w:rsidRPr="0077303F">
        <w:rPr>
          <w:rFonts w:cstheme="minorHAnsi"/>
          <w:bCs/>
          <w:i/>
        </w:rPr>
        <w:t xml:space="preserve">identify </w:t>
      </w:r>
      <w:r w:rsidR="00F435AA" w:rsidRPr="0077303F">
        <w:rPr>
          <w:rFonts w:cstheme="minorHAnsi"/>
          <w:bCs/>
          <w:i/>
        </w:rPr>
        <w:t>the number</w:t>
      </w:r>
      <w:r w:rsidR="007422FD" w:rsidRPr="0077303F">
        <w:rPr>
          <w:rFonts w:cstheme="minorHAnsi"/>
          <w:bCs/>
          <w:i/>
        </w:rPr>
        <w:t xml:space="preserve"> and </w:t>
      </w:r>
      <w:r w:rsidR="005A7634" w:rsidRPr="0077303F">
        <w:rPr>
          <w:rFonts w:cstheme="minorHAnsi"/>
          <w:bCs/>
          <w:i/>
        </w:rPr>
        <w:t xml:space="preserve">descriptive </w:t>
      </w:r>
      <w:r w:rsidR="007422FD" w:rsidRPr="0077303F">
        <w:rPr>
          <w:rFonts w:cstheme="minorHAnsi"/>
          <w:bCs/>
          <w:i/>
        </w:rPr>
        <w:t>characteristics of patients</w:t>
      </w:r>
      <w:r w:rsidR="00DA7277" w:rsidRPr="0077303F">
        <w:rPr>
          <w:rFonts w:cstheme="minorHAnsi"/>
          <w:bCs/>
          <w:i/>
        </w:rPr>
        <w:t xml:space="preserve"> </w:t>
      </w:r>
      <w:r w:rsidR="007422FD" w:rsidRPr="0077303F">
        <w:rPr>
          <w:rFonts w:cstheme="minorHAnsi"/>
          <w:bCs/>
          <w:i/>
        </w:rPr>
        <w:t>included in the analysis</w:t>
      </w:r>
      <w:r w:rsidR="00DA7277" w:rsidRPr="0077303F">
        <w:rPr>
          <w:rFonts w:cstheme="minorHAnsi"/>
          <w:bCs/>
          <w:i/>
        </w:rPr>
        <w:t xml:space="preserve"> (e.g., age, sex, race, diagnosis</w:t>
      </w:r>
      <w:r w:rsidR="00DA7277" w:rsidRPr="00A25024">
        <w:rPr>
          <w:rFonts w:cstheme="minorHAnsi"/>
          <w:bCs/>
          <w:i/>
        </w:rPr>
        <w:t>)</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EF0619" w:rsidRPr="00C253B3" w:rsidRDefault="00F05E89" w:rsidP="002637BF">
      <w:pPr>
        <w:rPr>
          <w:b/>
          <w:color w:val="FF0000"/>
        </w:rPr>
      </w:pPr>
      <w:r w:rsidRPr="00C253B3">
        <w:rPr>
          <w:b/>
          <w:color w:val="FF0000"/>
        </w:rPr>
        <w:t xml:space="preserve">Our </w:t>
      </w:r>
      <w:r w:rsidR="00627076">
        <w:rPr>
          <w:b/>
          <w:color w:val="FF0000"/>
        </w:rPr>
        <w:t>analysis</w:t>
      </w:r>
      <w:r w:rsidRPr="00C253B3">
        <w:rPr>
          <w:b/>
          <w:color w:val="FF0000"/>
        </w:rPr>
        <w:t xml:space="preserve"> includes all Medicaid enrollees age</w:t>
      </w:r>
      <w:r w:rsidR="001735E2">
        <w:rPr>
          <w:b/>
          <w:color w:val="FF0000"/>
        </w:rPr>
        <w:t>s</w:t>
      </w:r>
      <w:r w:rsidRPr="00C253B3">
        <w:rPr>
          <w:b/>
          <w:color w:val="FF0000"/>
        </w:rPr>
        <w:t xml:space="preserve"> 18</w:t>
      </w:r>
      <w:r w:rsidR="001735E2">
        <w:rPr>
          <w:b/>
          <w:color w:val="FF0000"/>
        </w:rPr>
        <w:t xml:space="preserve"> and over</w:t>
      </w:r>
      <w:r w:rsidRPr="00C253B3">
        <w:rPr>
          <w:b/>
          <w:color w:val="FF0000"/>
        </w:rPr>
        <w:t xml:space="preserve">. </w:t>
      </w:r>
      <w:r w:rsidR="004376A6" w:rsidRPr="00C253B3">
        <w:rPr>
          <w:b/>
          <w:color w:val="FF0000"/>
        </w:rPr>
        <w:t xml:space="preserve">We </w:t>
      </w:r>
      <w:r w:rsidRPr="00C253B3">
        <w:rPr>
          <w:b/>
          <w:color w:val="FF0000"/>
        </w:rPr>
        <w:t xml:space="preserve">excluded </w:t>
      </w:r>
      <w:r w:rsidR="00627076">
        <w:rPr>
          <w:b/>
          <w:color w:val="FF0000"/>
        </w:rPr>
        <w:t>enrollees</w:t>
      </w:r>
      <w:r w:rsidRPr="00C253B3">
        <w:rPr>
          <w:b/>
          <w:color w:val="FF0000"/>
        </w:rPr>
        <w:t xml:space="preserve"> for whom Medicaid data would not be expected to include all instances of care provision</w:t>
      </w:r>
      <w:r w:rsidR="00627076">
        <w:rPr>
          <w:b/>
          <w:color w:val="FF0000"/>
        </w:rPr>
        <w:t xml:space="preserve"> including</w:t>
      </w:r>
      <w:r w:rsidRPr="00C253B3">
        <w:rPr>
          <w:b/>
          <w:color w:val="FF0000"/>
        </w:rPr>
        <w:t xml:space="preserve"> individuals who were </w:t>
      </w:r>
      <w:r w:rsidR="00627076">
        <w:rPr>
          <w:b/>
          <w:color w:val="FF0000"/>
        </w:rPr>
        <w:t xml:space="preserve">(1) </w:t>
      </w:r>
      <w:r w:rsidR="00BC618B">
        <w:rPr>
          <w:b/>
          <w:color w:val="FF0000"/>
        </w:rPr>
        <w:t xml:space="preserve">dually eligible for Medicare, </w:t>
      </w:r>
      <w:r w:rsidR="00627076">
        <w:rPr>
          <w:b/>
          <w:color w:val="FF0000"/>
        </w:rPr>
        <w:t>(2) did not have full Medicaid benefits</w:t>
      </w:r>
      <w:r w:rsidRPr="00C253B3">
        <w:rPr>
          <w:b/>
          <w:color w:val="FF0000"/>
        </w:rPr>
        <w:t xml:space="preserve">, </w:t>
      </w:r>
      <w:r w:rsidR="00627076">
        <w:rPr>
          <w:b/>
          <w:color w:val="FF0000"/>
        </w:rPr>
        <w:t xml:space="preserve">(3) had </w:t>
      </w:r>
      <w:r w:rsidRPr="00C253B3">
        <w:rPr>
          <w:b/>
          <w:color w:val="FF0000"/>
        </w:rPr>
        <w:t xml:space="preserve">private insurance, or </w:t>
      </w:r>
      <w:r w:rsidR="00627076">
        <w:rPr>
          <w:b/>
          <w:color w:val="FF0000"/>
        </w:rPr>
        <w:t xml:space="preserve">(4) </w:t>
      </w:r>
      <w:r w:rsidRPr="00C253B3">
        <w:rPr>
          <w:b/>
          <w:color w:val="FF0000"/>
        </w:rPr>
        <w:t xml:space="preserve">were </w:t>
      </w:r>
      <w:r w:rsidR="004376A6" w:rsidRPr="00C253B3">
        <w:rPr>
          <w:b/>
          <w:color w:val="FF0000"/>
        </w:rPr>
        <w:t>enrolled</w:t>
      </w:r>
      <w:r w:rsidRPr="00C253B3">
        <w:rPr>
          <w:b/>
          <w:color w:val="FF0000"/>
        </w:rPr>
        <w:t xml:space="preserve"> </w:t>
      </w:r>
      <w:r w:rsidR="00627076">
        <w:rPr>
          <w:b/>
          <w:color w:val="FF0000"/>
        </w:rPr>
        <w:t xml:space="preserve">in Medicaid </w:t>
      </w:r>
      <w:r w:rsidRPr="00C253B3">
        <w:rPr>
          <w:b/>
          <w:color w:val="FF0000"/>
        </w:rPr>
        <w:t xml:space="preserve">for less than one </w:t>
      </w:r>
      <w:r w:rsidR="00627076">
        <w:rPr>
          <w:b/>
          <w:color w:val="FF0000"/>
        </w:rPr>
        <w:t xml:space="preserve">calendar </w:t>
      </w:r>
      <w:r w:rsidRPr="00C253B3">
        <w:rPr>
          <w:b/>
          <w:color w:val="FF0000"/>
        </w:rPr>
        <w:t xml:space="preserve">year. </w:t>
      </w:r>
    </w:p>
    <w:p w:rsidR="001633A1" w:rsidRDefault="00627076" w:rsidP="00D14DF0">
      <w:pPr>
        <w:rPr>
          <w:b/>
          <w:color w:val="FF0000"/>
        </w:rPr>
      </w:pPr>
      <w:r>
        <w:rPr>
          <w:b/>
          <w:color w:val="FF0000"/>
        </w:rPr>
        <w:t xml:space="preserve">The measure </w:t>
      </w:r>
      <w:r w:rsidR="001633A1">
        <w:rPr>
          <w:b/>
          <w:color w:val="FF0000"/>
        </w:rPr>
        <w:t xml:space="preserve">is calculated </w:t>
      </w:r>
      <w:r w:rsidR="00721328">
        <w:rPr>
          <w:b/>
          <w:color w:val="FF0000"/>
        </w:rPr>
        <w:t>for</w:t>
      </w:r>
      <w:r w:rsidR="001633A1">
        <w:rPr>
          <w:b/>
          <w:color w:val="FF0000"/>
        </w:rPr>
        <w:t xml:space="preserve"> two </w:t>
      </w:r>
      <w:r w:rsidR="00721328">
        <w:rPr>
          <w:b/>
          <w:color w:val="FF0000"/>
        </w:rPr>
        <w:t>populations</w:t>
      </w:r>
      <w:r w:rsidR="001633A1">
        <w:rPr>
          <w:b/>
          <w:color w:val="FF0000"/>
        </w:rPr>
        <w:t xml:space="preserve">: (1) </w:t>
      </w:r>
      <w:r w:rsidR="00721328">
        <w:rPr>
          <w:b/>
          <w:color w:val="FF0000"/>
        </w:rPr>
        <w:t>patients</w:t>
      </w:r>
      <w:r w:rsidR="001633A1">
        <w:rPr>
          <w:b/>
          <w:color w:val="FF0000"/>
        </w:rPr>
        <w:t xml:space="preserve"> with a mental health </w:t>
      </w:r>
      <w:r w:rsidR="00C7391D">
        <w:rPr>
          <w:b/>
          <w:color w:val="FF0000"/>
        </w:rPr>
        <w:t>emergency department</w:t>
      </w:r>
      <w:r w:rsidR="001633A1">
        <w:rPr>
          <w:b/>
          <w:color w:val="FF0000"/>
        </w:rPr>
        <w:t xml:space="preserve"> visit and (2) </w:t>
      </w:r>
      <w:r w:rsidR="00721328">
        <w:rPr>
          <w:b/>
          <w:color w:val="FF0000"/>
        </w:rPr>
        <w:t>patients</w:t>
      </w:r>
      <w:r w:rsidR="001633A1">
        <w:rPr>
          <w:b/>
          <w:color w:val="FF0000"/>
        </w:rPr>
        <w:t xml:space="preserve"> with an </w:t>
      </w:r>
      <w:r w:rsidR="00C7391D">
        <w:rPr>
          <w:b/>
          <w:color w:val="FF0000"/>
        </w:rPr>
        <w:t xml:space="preserve">alcohol or other drug dependence emergency department </w:t>
      </w:r>
      <w:r w:rsidR="001633A1">
        <w:rPr>
          <w:b/>
          <w:color w:val="FF0000"/>
        </w:rPr>
        <w:t>visi</w:t>
      </w:r>
      <w:r w:rsidR="00EC58C4">
        <w:rPr>
          <w:b/>
          <w:color w:val="FF0000"/>
        </w:rPr>
        <w:t xml:space="preserve">t. </w:t>
      </w:r>
      <w:r w:rsidR="00721328">
        <w:rPr>
          <w:b/>
          <w:color w:val="FF0000"/>
        </w:rPr>
        <w:t>For each populatio</w:t>
      </w:r>
      <w:r w:rsidR="00C7391D">
        <w:rPr>
          <w:b/>
          <w:color w:val="FF0000"/>
        </w:rPr>
        <w:t>n, there are two rates – follow-</w:t>
      </w:r>
      <w:r w:rsidR="00721328">
        <w:rPr>
          <w:b/>
          <w:color w:val="FF0000"/>
        </w:rPr>
        <w:t xml:space="preserve">up within 7 days of </w:t>
      </w:r>
      <w:r w:rsidR="00C7391D">
        <w:rPr>
          <w:b/>
          <w:color w:val="FF0000"/>
        </w:rPr>
        <w:t xml:space="preserve">emergency department </w:t>
      </w:r>
      <w:r w:rsidR="00721328">
        <w:rPr>
          <w:b/>
          <w:color w:val="FF0000"/>
        </w:rPr>
        <w:t xml:space="preserve">discharge and follow up within 30 days of </w:t>
      </w:r>
      <w:r w:rsidR="00C7391D">
        <w:rPr>
          <w:b/>
          <w:color w:val="FF0000"/>
        </w:rPr>
        <w:t>emergency department</w:t>
      </w:r>
      <w:r w:rsidR="00721328">
        <w:rPr>
          <w:b/>
          <w:color w:val="FF0000"/>
        </w:rPr>
        <w:t xml:space="preserve"> discharge. </w:t>
      </w:r>
      <w:r w:rsidR="00EC58C4">
        <w:rPr>
          <w:b/>
          <w:color w:val="FF0000"/>
        </w:rPr>
        <w:t xml:space="preserve">Table 1 summarizes the number and </w:t>
      </w:r>
      <w:r w:rsidR="00C7391D">
        <w:rPr>
          <w:b/>
          <w:color w:val="FF0000"/>
        </w:rPr>
        <w:t>c</w:t>
      </w:r>
      <w:r w:rsidR="00EC58C4">
        <w:rPr>
          <w:b/>
          <w:color w:val="FF0000"/>
        </w:rPr>
        <w:t>haracteristics of individuals used to calculate</w:t>
      </w:r>
      <w:r w:rsidR="00987FA3">
        <w:rPr>
          <w:b/>
          <w:color w:val="FF0000"/>
        </w:rPr>
        <w:t xml:space="preserve"> the rates.</w:t>
      </w:r>
      <w:r w:rsidR="00EC58C4">
        <w:rPr>
          <w:b/>
          <w:color w:val="FF0000"/>
        </w:rPr>
        <w:t xml:space="preserve"> </w:t>
      </w:r>
    </w:p>
    <w:p w:rsidR="00D14DF0" w:rsidRPr="00C253B3" w:rsidRDefault="00530F24" w:rsidP="00D14DF0">
      <w:pPr>
        <w:rPr>
          <w:b/>
          <w:color w:val="FF0000"/>
        </w:rPr>
      </w:pPr>
      <w:r>
        <w:rPr>
          <w:b/>
          <w:color w:val="FF0000"/>
        </w:rPr>
        <w:t xml:space="preserve">Table 1. </w:t>
      </w:r>
      <w:r w:rsidR="00D14DF0" w:rsidRPr="00C253B3">
        <w:rPr>
          <w:b/>
          <w:color w:val="FF0000"/>
        </w:rPr>
        <w:t xml:space="preserve">Characteristics of </w:t>
      </w:r>
      <w:r w:rsidR="002637BF" w:rsidRPr="00C253B3">
        <w:rPr>
          <w:b/>
          <w:color w:val="FF0000"/>
        </w:rPr>
        <w:t>patients in each denominator</w:t>
      </w:r>
      <w:r w:rsidR="001633A1">
        <w:rPr>
          <w:b/>
          <w:color w:val="FF0000"/>
        </w:rPr>
        <w:t xml:space="preserve"> across all states included in analysis</w:t>
      </w:r>
      <w:r w:rsidR="002637BF" w:rsidRPr="00C253B3">
        <w:rPr>
          <w:b/>
          <w:color w:val="FF0000"/>
        </w:rPr>
        <w:t xml:space="preserve">: </w:t>
      </w:r>
      <w:r w:rsidR="00D14DF0" w:rsidRPr="00C253B3">
        <w:rPr>
          <w:b/>
          <w:color w:val="FF000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1224"/>
        <w:gridCol w:w="1577"/>
        <w:gridCol w:w="965"/>
        <w:gridCol w:w="1243"/>
      </w:tblGrid>
      <w:tr w:rsidR="00C253B3" w:rsidRPr="008D7986" w:rsidTr="003F67C1">
        <w:trPr>
          <w:trHeight w:val="315"/>
        </w:trPr>
        <w:tc>
          <w:tcPr>
            <w:tcW w:w="0" w:type="auto"/>
            <w:shd w:val="clear" w:color="auto" w:fill="auto"/>
            <w:noWrap/>
            <w:vAlign w:val="bottom"/>
            <w:hideMark/>
          </w:tcPr>
          <w:p w:rsidR="002637BF" w:rsidRPr="008D7986" w:rsidRDefault="002637BF" w:rsidP="00232755">
            <w:pPr>
              <w:spacing w:before="40" w:after="40" w:line="240" w:lineRule="auto"/>
              <w:contextualSpacing/>
              <w:rPr>
                <w:rFonts w:eastAsia="Times New Roman" w:cs="Arial"/>
                <w:b/>
                <w:color w:val="FF0000"/>
              </w:rPr>
            </w:pPr>
          </w:p>
        </w:tc>
        <w:tc>
          <w:tcPr>
            <w:tcW w:w="0" w:type="auto"/>
            <w:gridSpan w:val="2"/>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Mental Health Denominator</w:t>
            </w:r>
          </w:p>
        </w:tc>
        <w:tc>
          <w:tcPr>
            <w:tcW w:w="0" w:type="auto"/>
            <w:gridSpan w:val="2"/>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AOD Denominator</w:t>
            </w:r>
          </w:p>
        </w:tc>
      </w:tr>
      <w:tr w:rsidR="001633A1" w:rsidRPr="008D7986" w:rsidTr="003F67C1">
        <w:trPr>
          <w:trHeight w:val="315"/>
        </w:trPr>
        <w:tc>
          <w:tcPr>
            <w:tcW w:w="0" w:type="auto"/>
            <w:shd w:val="clear" w:color="auto" w:fill="auto"/>
            <w:noWrap/>
            <w:vAlign w:val="bottom"/>
            <w:hideMark/>
          </w:tcPr>
          <w:p w:rsidR="001633A1" w:rsidRPr="008D7986" w:rsidRDefault="001633A1" w:rsidP="00232755">
            <w:pPr>
              <w:spacing w:before="40" w:after="40" w:line="240" w:lineRule="auto"/>
              <w:contextualSpacing/>
              <w:rPr>
                <w:rFonts w:eastAsia="Times New Roman" w:cs="Arial"/>
                <w:b/>
                <w:color w:val="FF0000"/>
              </w:rPr>
            </w:pPr>
            <w:r w:rsidRPr="008D7986">
              <w:rPr>
                <w:rFonts w:eastAsia="Times New Roman" w:cs="Arial"/>
                <w:b/>
                <w:color w:val="FF0000"/>
              </w:rPr>
              <w:t>Number of states</w:t>
            </w:r>
          </w:p>
        </w:tc>
        <w:tc>
          <w:tcPr>
            <w:tcW w:w="0" w:type="auto"/>
            <w:gridSpan w:val="2"/>
            <w:vAlign w:val="bottom"/>
          </w:tcPr>
          <w:p w:rsidR="001633A1" w:rsidRPr="008D7986" w:rsidRDefault="001633A1" w:rsidP="003F67C1">
            <w:pPr>
              <w:spacing w:before="40" w:after="40" w:line="240" w:lineRule="auto"/>
              <w:contextualSpacing/>
              <w:jc w:val="center"/>
              <w:rPr>
                <w:rFonts w:eastAsia="Times New Roman" w:cs="Arial"/>
                <w:b/>
                <w:color w:val="FF0000"/>
              </w:rPr>
            </w:pPr>
            <w:r w:rsidRPr="008D7986">
              <w:rPr>
                <w:rFonts w:eastAsia="Times New Roman" w:cs="Arial"/>
                <w:b/>
                <w:color w:val="FF0000"/>
              </w:rPr>
              <w:t>N = 16</w:t>
            </w:r>
          </w:p>
        </w:tc>
        <w:tc>
          <w:tcPr>
            <w:tcW w:w="0" w:type="auto"/>
            <w:gridSpan w:val="2"/>
            <w:shd w:val="clear" w:color="auto" w:fill="auto"/>
            <w:noWrap/>
            <w:vAlign w:val="bottom"/>
            <w:hideMark/>
          </w:tcPr>
          <w:p w:rsidR="001633A1" w:rsidRPr="008D7986" w:rsidRDefault="001633A1" w:rsidP="00232755">
            <w:pPr>
              <w:spacing w:before="40" w:after="40" w:line="240" w:lineRule="auto"/>
              <w:contextualSpacing/>
              <w:jc w:val="center"/>
              <w:rPr>
                <w:rFonts w:eastAsia="Times New Roman" w:cs="Arial"/>
                <w:b/>
                <w:color w:val="FF0000"/>
              </w:rPr>
            </w:pPr>
            <w:r w:rsidRPr="008D7986">
              <w:rPr>
                <w:rFonts w:eastAsia="Times New Roman" w:cs="Arial"/>
                <w:b/>
                <w:color w:val="FF0000"/>
              </w:rPr>
              <w:t>N = 15</w:t>
            </w:r>
          </w:p>
        </w:tc>
      </w:tr>
      <w:tr w:rsidR="00C253B3" w:rsidRPr="008D7986" w:rsidTr="003F67C1">
        <w:trPr>
          <w:trHeight w:val="315"/>
        </w:trPr>
        <w:tc>
          <w:tcPr>
            <w:tcW w:w="0" w:type="auto"/>
            <w:shd w:val="clear" w:color="auto" w:fill="auto"/>
            <w:noWrap/>
            <w:vAlign w:val="bottom"/>
            <w:hideMark/>
          </w:tcPr>
          <w:p w:rsidR="002637BF" w:rsidRPr="008D7986" w:rsidRDefault="002637BF" w:rsidP="00232755">
            <w:pPr>
              <w:spacing w:before="40" w:after="40" w:line="240" w:lineRule="auto"/>
              <w:contextualSpacing/>
              <w:rPr>
                <w:rFonts w:eastAsia="Times New Roman" w:cs="Arial"/>
                <w:b/>
                <w:color w:val="FF0000"/>
              </w:rPr>
            </w:pPr>
            <w:r w:rsidRPr="008D7986">
              <w:rPr>
                <w:rFonts w:eastAsia="Times New Roman" w:cs="Arial"/>
                <w:b/>
                <w:color w:val="FF0000"/>
              </w:rPr>
              <w:t>Characteristic</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Number</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Percentage</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Number</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Percentage</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contextualSpacing/>
              <w:rPr>
                <w:rFonts w:eastAsia="Times New Roman" w:cs="Arial"/>
                <w:b/>
                <w:color w:val="FF0000"/>
              </w:rPr>
            </w:pPr>
            <w:r w:rsidRPr="008D7986">
              <w:rPr>
                <w:rFonts w:eastAsia="Times New Roman" w:cs="Arial"/>
                <w:b/>
                <w:color w:val="FF0000"/>
              </w:rPr>
              <w:t>Total Individuals</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26,982</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100</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11,743</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100</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200" w:firstLine="442"/>
              <w:contextualSpacing/>
              <w:rPr>
                <w:rFonts w:eastAsia="Times New Roman" w:cs="Arial"/>
                <w:b/>
                <w:color w:val="FF0000"/>
              </w:rPr>
            </w:pPr>
            <w:r w:rsidRPr="008D7986">
              <w:rPr>
                <w:rFonts w:eastAsia="Times New Roman" w:cs="Arial"/>
                <w:b/>
                <w:color w:val="FF0000"/>
              </w:rPr>
              <w:t>Gender</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Male</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10,744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39.8</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6,068</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51.7</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Female</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16,238</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60.2</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5,675</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48.3</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Unknown</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0</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0.0</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0</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0.0</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200" w:firstLine="442"/>
              <w:contextualSpacing/>
              <w:rPr>
                <w:rFonts w:eastAsia="Times New Roman" w:cs="Arial"/>
                <w:b/>
                <w:color w:val="FF0000"/>
              </w:rPr>
            </w:pPr>
            <w:r w:rsidRPr="008D7986">
              <w:rPr>
                <w:rFonts w:eastAsia="Times New Roman" w:cs="Arial"/>
                <w:b/>
                <w:color w:val="FF0000"/>
              </w:rPr>
              <w:t>Age</w:t>
            </w:r>
          </w:p>
        </w:tc>
        <w:tc>
          <w:tcPr>
            <w:tcW w:w="0" w:type="auto"/>
            <w:vAlign w:val="bottom"/>
          </w:tcPr>
          <w:p w:rsidR="002637BF" w:rsidRPr="008D7986" w:rsidRDefault="002637BF" w:rsidP="003F67C1">
            <w:pPr>
              <w:spacing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vAlign w:val="bottom"/>
          </w:tcPr>
          <w:p w:rsidR="002637BF" w:rsidRPr="008D7986" w:rsidRDefault="002637BF" w:rsidP="003F67C1">
            <w:pPr>
              <w:spacing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15 to 20</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2,015</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7.5</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550</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4.7</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21 to 44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15,602</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57.8</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5,447</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46.4</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45 to 64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9,214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34.1</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5,656</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48.2</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65 to 74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132</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0.5</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84</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0.7</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75 to 84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17</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0.1</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6</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0.1</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lastRenderedPageBreak/>
              <w:t>85+</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2</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0.0</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0</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0.0</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200" w:firstLine="442"/>
              <w:contextualSpacing/>
              <w:rPr>
                <w:rFonts w:eastAsia="Times New Roman" w:cs="Arial"/>
                <w:b/>
                <w:color w:val="FF0000"/>
              </w:rPr>
            </w:pPr>
            <w:r w:rsidRPr="008D7986">
              <w:rPr>
                <w:rFonts w:eastAsia="Times New Roman" w:cs="Arial"/>
                <w:b/>
                <w:color w:val="FF0000"/>
              </w:rPr>
              <w:t>Race/Ethnicity</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African American</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8,920</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33.1</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3,324</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28.3</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Caucasian</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15,144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56.1</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6,934</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59.0</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Hispanic</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883</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3.3</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326</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2.8</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Other</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485</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1.8</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377</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3.2</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Unknown</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1,550</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5.7</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782</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6.7</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left="1590" w:hangingChars="720" w:hanging="1590"/>
              <w:contextualSpacing/>
              <w:rPr>
                <w:rFonts w:eastAsia="Times New Roman" w:cs="Arial"/>
                <w:b/>
                <w:color w:val="FF0000"/>
              </w:rPr>
            </w:pPr>
            <w:r w:rsidRPr="008D7986">
              <w:rPr>
                <w:rFonts w:eastAsia="Times New Roman" w:cs="Arial"/>
                <w:b/>
                <w:color w:val="FF0000"/>
              </w:rPr>
              <w:t>Medicaid Eligibility category</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Adult</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3,877</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14.4</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1,876</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16.0</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Disabled</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22,439</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83.2</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9,575</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81.5</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Children</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666</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2.5</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292</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2.5</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200" w:firstLine="442"/>
              <w:contextualSpacing/>
              <w:rPr>
                <w:rFonts w:eastAsia="Times New Roman" w:cs="Arial"/>
                <w:b/>
                <w:color w:val="FF0000"/>
              </w:rPr>
            </w:pPr>
            <w:r w:rsidRPr="008D7986">
              <w:rPr>
                <w:rFonts w:eastAsia="Times New Roman" w:cs="Arial"/>
                <w:b/>
                <w:color w:val="FF0000"/>
              </w:rPr>
              <w:t>Geography</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 xml:space="preserve">  </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 xml:space="preserve">Metropolitan </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11,146</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41.3</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5,021</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42.8</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Micropolitan</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7,887</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29.2</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3,315</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28.2</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Neither</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7,845</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29.1</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3,383</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28.8</w:t>
            </w:r>
          </w:p>
        </w:tc>
      </w:tr>
      <w:tr w:rsidR="00C253B3" w:rsidRPr="008D7986" w:rsidTr="003F67C1">
        <w:trPr>
          <w:trHeight w:val="300"/>
        </w:trPr>
        <w:tc>
          <w:tcPr>
            <w:tcW w:w="0" w:type="auto"/>
            <w:shd w:val="clear" w:color="auto" w:fill="auto"/>
            <w:noWrap/>
            <w:vAlign w:val="bottom"/>
            <w:hideMark/>
          </w:tcPr>
          <w:p w:rsidR="002637BF" w:rsidRPr="008D7986" w:rsidRDefault="002637BF" w:rsidP="00232755">
            <w:pPr>
              <w:spacing w:before="40" w:after="40" w:line="240" w:lineRule="auto"/>
              <w:ind w:firstLineChars="400" w:firstLine="883"/>
              <w:contextualSpacing/>
              <w:rPr>
                <w:rFonts w:eastAsia="Times New Roman" w:cs="Arial"/>
                <w:b/>
                <w:color w:val="FF0000"/>
              </w:rPr>
            </w:pPr>
            <w:r w:rsidRPr="008D7986">
              <w:rPr>
                <w:rFonts w:eastAsia="Times New Roman" w:cs="Arial"/>
                <w:b/>
                <w:color w:val="FF0000"/>
              </w:rPr>
              <w:t>Unknown</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104</w:t>
            </w:r>
          </w:p>
        </w:tc>
        <w:tc>
          <w:tcPr>
            <w:tcW w:w="0" w:type="auto"/>
            <w:vAlign w:val="bottom"/>
          </w:tcPr>
          <w:p w:rsidR="002637BF" w:rsidRPr="008D7986" w:rsidRDefault="002637BF" w:rsidP="003F67C1">
            <w:pPr>
              <w:spacing w:before="40" w:after="40" w:line="240" w:lineRule="auto"/>
              <w:contextualSpacing/>
              <w:jc w:val="center"/>
              <w:rPr>
                <w:rFonts w:eastAsia="Times New Roman" w:cs="Arial"/>
                <w:b/>
                <w:color w:val="FF0000"/>
              </w:rPr>
            </w:pPr>
            <w:r w:rsidRPr="008D7986">
              <w:rPr>
                <w:rFonts w:eastAsia="Times New Roman" w:cs="Arial"/>
                <w:b/>
                <w:color w:val="FF0000"/>
              </w:rPr>
              <w:t>0.4</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24</w:t>
            </w:r>
          </w:p>
        </w:tc>
        <w:tc>
          <w:tcPr>
            <w:tcW w:w="0" w:type="auto"/>
            <w:shd w:val="clear" w:color="auto" w:fill="auto"/>
            <w:noWrap/>
            <w:vAlign w:val="bottom"/>
            <w:hideMark/>
          </w:tcPr>
          <w:p w:rsidR="002637BF" w:rsidRPr="008D7986" w:rsidRDefault="002637BF" w:rsidP="00232755">
            <w:pPr>
              <w:spacing w:before="40" w:after="40" w:line="240" w:lineRule="auto"/>
              <w:contextualSpacing/>
              <w:jc w:val="center"/>
              <w:rPr>
                <w:rFonts w:eastAsia="Times New Roman" w:cs="Arial"/>
                <w:b/>
                <w:color w:val="FF0000"/>
              </w:rPr>
            </w:pPr>
            <w:r w:rsidRPr="008D7986">
              <w:rPr>
                <w:rFonts w:eastAsia="Times New Roman" w:cs="Arial"/>
                <w:b/>
                <w:color w:val="FF0000"/>
              </w:rPr>
              <w:t>0.2</w:t>
            </w:r>
          </w:p>
        </w:tc>
      </w:tr>
    </w:tbl>
    <w:p w:rsidR="00D14DF0" w:rsidRPr="00BC618B" w:rsidRDefault="001633A1" w:rsidP="00F05E89">
      <w:pPr>
        <w:rPr>
          <w:b/>
          <w:color w:val="FF0000"/>
        </w:rPr>
      </w:pPr>
      <w:r w:rsidRPr="00BC618B">
        <w:rPr>
          <w:b/>
          <w:color w:val="FF0000"/>
        </w:rPr>
        <w:t>Source: MAX data from calendar year 2008</w:t>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C253B3" w:rsidRDefault="00C253B3" w:rsidP="00E37E1B">
      <w:pPr>
        <w:autoSpaceDE w:val="0"/>
        <w:autoSpaceDN w:val="0"/>
        <w:adjustRightInd w:val="0"/>
        <w:spacing w:after="0" w:line="240" w:lineRule="auto"/>
        <w:rPr>
          <w:rFonts w:cstheme="minorHAnsi"/>
          <w:bCs/>
          <w:color w:val="7030A0"/>
        </w:rPr>
      </w:pPr>
    </w:p>
    <w:p w:rsidR="00B2250B" w:rsidRPr="00C253B3" w:rsidRDefault="00A138F1" w:rsidP="00E37E1B">
      <w:pPr>
        <w:autoSpaceDE w:val="0"/>
        <w:autoSpaceDN w:val="0"/>
        <w:adjustRightInd w:val="0"/>
        <w:spacing w:after="0" w:line="240" w:lineRule="auto"/>
        <w:rPr>
          <w:rFonts w:cstheme="minorHAnsi"/>
          <w:b/>
          <w:bCs/>
          <w:color w:val="FF0000"/>
        </w:rPr>
      </w:pPr>
      <w:r>
        <w:rPr>
          <w:rFonts w:cstheme="minorHAnsi"/>
          <w:b/>
          <w:bCs/>
          <w:color w:val="FF0000"/>
        </w:rPr>
        <w:t xml:space="preserve"> The number of states used for each denominator is different; 16 states were included in our analysis of the follow-up rate for </w:t>
      </w:r>
      <w:r w:rsidR="00C7391D">
        <w:rPr>
          <w:b/>
          <w:color w:val="FF0000"/>
        </w:rPr>
        <w:t>emergency department</w:t>
      </w:r>
      <w:r>
        <w:rPr>
          <w:rFonts w:cstheme="minorHAnsi"/>
          <w:b/>
          <w:bCs/>
          <w:color w:val="FF0000"/>
        </w:rPr>
        <w:t xml:space="preserve"> visits for mental health diagnoses whereas 15 states were included in our analysis of the follow-up rate for </w:t>
      </w:r>
      <w:r w:rsidR="001E57A1">
        <w:rPr>
          <w:b/>
          <w:color w:val="FF0000"/>
        </w:rPr>
        <w:t>emergency department</w:t>
      </w:r>
      <w:r>
        <w:rPr>
          <w:rFonts w:cstheme="minorHAnsi"/>
          <w:b/>
          <w:bCs/>
          <w:color w:val="FF0000"/>
        </w:rPr>
        <w:t xml:space="preserve"> visits for AOD diagnoses</w:t>
      </w:r>
      <w:r w:rsidR="00F05E89" w:rsidRPr="00C253B3">
        <w:rPr>
          <w:rFonts w:cstheme="minorHAnsi"/>
          <w:b/>
          <w:bCs/>
          <w:color w:val="FF0000"/>
        </w:rPr>
        <w:t xml:space="preserve">. </w:t>
      </w:r>
      <w:r>
        <w:rPr>
          <w:rFonts w:cstheme="minorHAnsi"/>
          <w:b/>
          <w:bCs/>
          <w:color w:val="FF0000"/>
        </w:rPr>
        <w:t xml:space="preserve">As seen in Table 2, The District of Columbia was not included in the AOD analysis due to a small sample size. </w:t>
      </w:r>
      <w:r w:rsidR="00B2250B" w:rsidRPr="00C253B3">
        <w:rPr>
          <w:rFonts w:cstheme="minorHAnsi"/>
          <w:b/>
          <w:bCs/>
          <w:color w:val="FF0000"/>
        </w:rPr>
        <w:t xml:space="preserve">There were no </w:t>
      </w:r>
      <w:r>
        <w:rPr>
          <w:rFonts w:cstheme="minorHAnsi"/>
          <w:b/>
          <w:bCs/>
          <w:color w:val="FF0000"/>
        </w:rPr>
        <w:t xml:space="preserve">other </w:t>
      </w:r>
      <w:r w:rsidR="00B2250B" w:rsidRPr="00C253B3">
        <w:rPr>
          <w:rFonts w:cstheme="minorHAnsi"/>
          <w:b/>
          <w:bCs/>
          <w:color w:val="FF0000"/>
        </w:rPr>
        <w:t>differences in the data used for each aspect of testing.</w:t>
      </w:r>
      <w:r>
        <w:rPr>
          <w:rFonts w:cstheme="minorHAnsi"/>
          <w:b/>
          <w:bCs/>
          <w:color w:val="FF0000"/>
        </w:rPr>
        <w:t xml:space="preserve"> </w:t>
      </w:r>
      <w:r w:rsidR="00B2250B" w:rsidRPr="00C253B3">
        <w:rPr>
          <w:rFonts w:cstheme="minorHAnsi"/>
          <w:b/>
          <w:bCs/>
          <w:color w:val="FF0000"/>
        </w:rPr>
        <w:t xml:space="preserve"> </w:t>
      </w:r>
    </w:p>
    <w:p w:rsidR="0077303F" w:rsidRPr="00C253B3" w:rsidRDefault="0077303F" w:rsidP="00E37E1B">
      <w:pPr>
        <w:autoSpaceDE w:val="0"/>
        <w:autoSpaceDN w:val="0"/>
        <w:adjustRightInd w:val="0"/>
        <w:spacing w:after="0" w:line="240" w:lineRule="auto"/>
        <w:rPr>
          <w:rFonts w:cstheme="minorHAnsi"/>
          <w:b/>
          <w:bCs/>
          <w:color w:val="FF0000"/>
        </w:rPr>
      </w:pPr>
    </w:p>
    <w:p w:rsidR="00D14DF0" w:rsidRPr="00C253B3" w:rsidRDefault="00A138F1" w:rsidP="00E37E1B">
      <w:pPr>
        <w:autoSpaceDE w:val="0"/>
        <w:autoSpaceDN w:val="0"/>
        <w:adjustRightInd w:val="0"/>
        <w:spacing w:after="0" w:line="240" w:lineRule="auto"/>
        <w:rPr>
          <w:rFonts w:cstheme="minorHAnsi"/>
          <w:b/>
          <w:bCs/>
          <w:color w:val="FF0000"/>
        </w:rPr>
      </w:pPr>
      <w:r>
        <w:rPr>
          <w:rFonts w:cstheme="minorHAnsi"/>
          <w:b/>
          <w:bCs/>
          <w:color w:val="FF0000"/>
        </w:rPr>
        <w:t xml:space="preserve">Table 2: Number of </w:t>
      </w:r>
      <w:r w:rsidR="00C7391D">
        <w:rPr>
          <w:b/>
          <w:color w:val="FF0000"/>
        </w:rPr>
        <w:t>emergency department</w:t>
      </w:r>
      <w:r>
        <w:rPr>
          <w:rFonts w:cstheme="minorHAnsi"/>
          <w:b/>
          <w:bCs/>
          <w:color w:val="FF0000"/>
        </w:rPr>
        <w:t xml:space="preserve"> discharges included in each d</w:t>
      </w:r>
      <w:r w:rsidR="00E41A7A" w:rsidRPr="00C253B3">
        <w:rPr>
          <w:rFonts w:cstheme="minorHAnsi"/>
          <w:b/>
          <w:bCs/>
          <w:color w:val="FF0000"/>
        </w:rPr>
        <w:t>eno</w:t>
      </w:r>
      <w:r w:rsidR="002637BF" w:rsidRPr="00C253B3">
        <w:rPr>
          <w:rFonts w:cstheme="minorHAnsi"/>
          <w:b/>
          <w:bCs/>
          <w:color w:val="FF0000"/>
        </w:rPr>
        <w:t>min</w:t>
      </w:r>
      <w:r w:rsidR="00E41A7A" w:rsidRPr="00C253B3">
        <w:rPr>
          <w:rFonts w:cstheme="minorHAnsi"/>
          <w:b/>
          <w:bCs/>
          <w:color w:val="FF0000"/>
        </w:rPr>
        <w:t xml:space="preserve">ator, by state: </w:t>
      </w:r>
    </w:p>
    <w:tbl>
      <w:tblPr>
        <w:tblW w:w="7628" w:type="dxa"/>
        <w:tblInd w:w="93" w:type="dxa"/>
        <w:tblLook w:val="04A0" w:firstRow="1" w:lastRow="0" w:firstColumn="1" w:lastColumn="0" w:noHBand="0" w:noVBand="1"/>
      </w:tblPr>
      <w:tblGrid>
        <w:gridCol w:w="1482"/>
        <w:gridCol w:w="3073"/>
        <w:gridCol w:w="3073"/>
      </w:tblGrid>
      <w:tr w:rsidR="00C253B3" w:rsidRPr="008D7986" w:rsidTr="00BC618B">
        <w:trPr>
          <w:trHeight w:val="483"/>
        </w:trPr>
        <w:tc>
          <w:tcPr>
            <w:tcW w:w="1482" w:type="dxa"/>
            <w:tcBorders>
              <w:top w:val="single" w:sz="8" w:space="0" w:color="000000"/>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jc w:val="center"/>
              <w:rPr>
                <w:rFonts w:eastAsia="Times New Roman" w:cs="Times New Roman"/>
                <w:b/>
                <w:bCs/>
                <w:color w:val="FF0000"/>
              </w:rPr>
            </w:pPr>
            <w:r w:rsidRPr="008D7986">
              <w:rPr>
                <w:rFonts w:eastAsia="Times New Roman" w:cs="Times New Roman"/>
                <w:b/>
                <w:bCs/>
                <w:color w:val="FF0000"/>
              </w:rPr>
              <w:t>State</w:t>
            </w:r>
          </w:p>
        </w:tc>
        <w:tc>
          <w:tcPr>
            <w:tcW w:w="3073" w:type="dxa"/>
            <w:tcBorders>
              <w:top w:val="single" w:sz="8" w:space="0" w:color="000000"/>
              <w:left w:val="nil"/>
              <w:bottom w:val="single" w:sz="4" w:space="0" w:color="000000"/>
              <w:right w:val="single" w:sz="4" w:space="0" w:color="000000"/>
            </w:tcBorders>
            <w:shd w:val="clear" w:color="auto" w:fill="auto"/>
            <w:hideMark/>
          </w:tcPr>
          <w:p w:rsidR="00E41A7A" w:rsidRPr="008D7986" w:rsidRDefault="002D2AC6" w:rsidP="00D14DF0">
            <w:pPr>
              <w:spacing w:after="0" w:line="240" w:lineRule="auto"/>
              <w:rPr>
                <w:rFonts w:eastAsia="Times New Roman" w:cs="Times New Roman"/>
                <w:b/>
                <w:bCs/>
                <w:color w:val="FF0000"/>
              </w:rPr>
            </w:pPr>
            <w:r w:rsidRPr="008D7986">
              <w:rPr>
                <w:rFonts w:eastAsia="Times New Roman" w:cs="Times New Roman"/>
                <w:b/>
                <w:bCs/>
                <w:color w:val="FF0000"/>
              </w:rPr>
              <w:t>Number of ED discharge</w:t>
            </w:r>
            <w:r w:rsidR="00E41A7A" w:rsidRPr="008D7986">
              <w:rPr>
                <w:rFonts w:eastAsia="Times New Roman" w:cs="Times New Roman"/>
                <w:b/>
                <w:bCs/>
                <w:color w:val="FF0000"/>
              </w:rPr>
              <w:t>s in Mental Health Denominator</w:t>
            </w:r>
          </w:p>
        </w:tc>
        <w:tc>
          <w:tcPr>
            <w:tcW w:w="3073" w:type="dxa"/>
            <w:tcBorders>
              <w:top w:val="single" w:sz="8" w:space="0" w:color="000000"/>
              <w:left w:val="nil"/>
              <w:bottom w:val="single" w:sz="4" w:space="0" w:color="000000"/>
              <w:right w:val="single" w:sz="4" w:space="0" w:color="000000"/>
            </w:tcBorders>
          </w:tcPr>
          <w:p w:rsidR="00E41A7A" w:rsidRPr="008D7986" w:rsidRDefault="00E41A7A" w:rsidP="002D2AC6">
            <w:pPr>
              <w:spacing w:after="0" w:line="240" w:lineRule="auto"/>
              <w:jc w:val="center"/>
              <w:rPr>
                <w:rFonts w:eastAsia="Times New Roman" w:cs="Times New Roman"/>
                <w:b/>
                <w:bCs/>
                <w:color w:val="FF0000"/>
              </w:rPr>
            </w:pPr>
            <w:r w:rsidRPr="008D7986">
              <w:rPr>
                <w:rFonts w:eastAsia="Times New Roman" w:cs="Times New Roman"/>
                <w:b/>
                <w:bCs/>
                <w:color w:val="FF0000"/>
              </w:rPr>
              <w:t xml:space="preserve">Number of ED </w:t>
            </w:r>
            <w:r w:rsidR="002D2AC6" w:rsidRPr="008D7986">
              <w:rPr>
                <w:rFonts w:eastAsia="Times New Roman" w:cs="Times New Roman"/>
                <w:b/>
                <w:bCs/>
                <w:color w:val="FF0000"/>
              </w:rPr>
              <w:t>discharges</w:t>
            </w:r>
            <w:r w:rsidRPr="008D7986">
              <w:rPr>
                <w:rFonts w:eastAsia="Times New Roman" w:cs="Times New Roman"/>
                <w:b/>
                <w:bCs/>
                <w:color w:val="FF0000"/>
              </w:rPr>
              <w:t xml:space="preserve"> in AOD Denominator</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AK</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221</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212</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AL</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2,294</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873</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CT</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1,608</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1,135</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DC</w:t>
            </w:r>
            <w:r w:rsidR="002F5C3D" w:rsidRPr="008D7986">
              <w:rPr>
                <w:rFonts w:eastAsia="Times New Roman" w:cs="Times New Roman"/>
                <w:b/>
                <w:color w:val="FF0000"/>
              </w:rPr>
              <w:t>*</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181</w:t>
            </w:r>
          </w:p>
        </w:tc>
        <w:tc>
          <w:tcPr>
            <w:tcW w:w="3073" w:type="dxa"/>
            <w:tcBorders>
              <w:top w:val="nil"/>
              <w:left w:val="nil"/>
              <w:bottom w:val="single" w:sz="4" w:space="0" w:color="000000"/>
              <w:right w:val="single" w:sz="4" w:space="0" w:color="000000"/>
            </w:tcBorders>
          </w:tcPr>
          <w:p w:rsidR="00E41A7A" w:rsidRPr="008D7986" w:rsidRDefault="00E41A7A" w:rsidP="002F5C3D">
            <w:pPr>
              <w:spacing w:after="0" w:line="240" w:lineRule="auto"/>
              <w:jc w:val="right"/>
              <w:rPr>
                <w:rFonts w:eastAsia="Times New Roman" w:cs="Times New Roman"/>
                <w:b/>
                <w:color w:val="FF0000"/>
              </w:rPr>
            </w:pPr>
            <w:r w:rsidRPr="008D7986">
              <w:rPr>
                <w:rFonts w:eastAsia="Times New Roman" w:cs="Times New Roman"/>
                <w:b/>
                <w:color w:val="FF0000"/>
              </w:rPr>
              <w:t>N/A</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GA</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3,506</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1,273</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IL</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5,681</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1,248</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IN</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990</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563</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KY</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3,520</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1,403</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LA</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2,447</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1,081</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MN</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2,149</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747</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MS</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842</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392</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NC</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4,907</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2,416</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NH</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574</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188</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OK</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813</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514</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lastRenderedPageBreak/>
              <w:t>WI</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1,041</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588</w:t>
            </w:r>
          </w:p>
        </w:tc>
      </w:tr>
      <w:tr w:rsidR="00C253B3" w:rsidRPr="008D7986" w:rsidTr="00BC618B">
        <w:trPr>
          <w:trHeight w:val="241"/>
        </w:trPr>
        <w:tc>
          <w:tcPr>
            <w:tcW w:w="1482" w:type="dxa"/>
            <w:tcBorders>
              <w:top w:val="nil"/>
              <w:left w:val="single" w:sz="8" w:space="0" w:color="000000"/>
              <w:bottom w:val="single" w:sz="4"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WV</w:t>
            </w:r>
          </w:p>
        </w:tc>
        <w:tc>
          <w:tcPr>
            <w:tcW w:w="3073" w:type="dxa"/>
            <w:tcBorders>
              <w:top w:val="nil"/>
              <w:left w:val="nil"/>
              <w:bottom w:val="single" w:sz="4"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1,178</w:t>
            </w:r>
          </w:p>
        </w:tc>
        <w:tc>
          <w:tcPr>
            <w:tcW w:w="3073" w:type="dxa"/>
            <w:tcBorders>
              <w:top w:val="nil"/>
              <w:left w:val="nil"/>
              <w:bottom w:val="single" w:sz="4"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704</w:t>
            </w:r>
          </w:p>
        </w:tc>
      </w:tr>
      <w:tr w:rsidR="00C253B3" w:rsidRPr="008D7986" w:rsidTr="00BC618B">
        <w:trPr>
          <w:trHeight w:val="253"/>
        </w:trPr>
        <w:tc>
          <w:tcPr>
            <w:tcW w:w="1482" w:type="dxa"/>
            <w:tcBorders>
              <w:top w:val="nil"/>
              <w:left w:val="single" w:sz="8" w:space="0" w:color="000000"/>
              <w:bottom w:val="single" w:sz="8" w:space="0" w:color="000000"/>
              <w:right w:val="single" w:sz="4" w:space="0" w:color="000000"/>
            </w:tcBorders>
            <w:shd w:val="clear" w:color="auto" w:fill="auto"/>
            <w:hideMark/>
          </w:tcPr>
          <w:p w:rsidR="00E41A7A" w:rsidRPr="008D7986" w:rsidRDefault="00E41A7A" w:rsidP="00D14DF0">
            <w:pPr>
              <w:spacing w:after="0" w:line="240" w:lineRule="auto"/>
              <w:rPr>
                <w:rFonts w:eastAsia="Times New Roman" w:cs="Times New Roman"/>
                <w:b/>
                <w:color w:val="FF0000"/>
              </w:rPr>
            </w:pPr>
            <w:r w:rsidRPr="008D7986">
              <w:rPr>
                <w:rFonts w:eastAsia="Times New Roman" w:cs="Times New Roman"/>
                <w:b/>
                <w:color w:val="FF0000"/>
              </w:rPr>
              <w:t>Total</w:t>
            </w:r>
          </w:p>
        </w:tc>
        <w:tc>
          <w:tcPr>
            <w:tcW w:w="3073" w:type="dxa"/>
            <w:tcBorders>
              <w:top w:val="nil"/>
              <w:left w:val="nil"/>
              <w:bottom w:val="single" w:sz="8" w:space="0" w:color="000000"/>
              <w:right w:val="single" w:sz="4" w:space="0" w:color="000000"/>
            </w:tcBorders>
            <w:shd w:val="clear" w:color="auto" w:fill="auto"/>
            <w:hideMark/>
          </w:tcPr>
          <w:p w:rsidR="00E41A7A" w:rsidRPr="008D7986" w:rsidRDefault="00E41A7A" w:rsidP="00D14DF0">
            <w:pPr>
              <w:spacing w:after="0" w:line="240" w:lineRule="auto"/>
              <w:jc w:val="right"/>
              <w:rPr>
                <w:rFonts w:eastAsia="Times New Roman" w:cs="Times New Roman"/>
                <w:b/>
                <w:color w:val="FF0000"/>
              </w:rPr>
            </w:pPr>
            <w:r w:rsidRPr="008D7986">
              <w:rPr>
                <w:rFonts w:eastAsia="Times New Roman" w:cs="Times New Roman"/>
                <w:b/>
                <w:color w:val="FF0000"/>
              </w:rPr>
              <w:t>31,952</w:t>
            </w:r>
          </w:p>
        </w:tc>
        <w:tc>
          <w:tcPr>
            <w:tcW w:w="3073" w:type="dxa"/>
            <w:tcBorders>
              <w:top w:val="nil"/>
              <w:left w:val="nil"/>
              <w:bottom w:val="single" w:sz="8" w:space="0" w:color="000000"/>
              <w:right w:val="single" w:sz="4" w:space="0" w:color="000000"/>
            </w:tcBorders>
          </w:tcPr>
          <w:p w:rsidR="00E41A7A" w:rsidRPr="008D7986" w:rsidRDefault="00E41A7A" w:rsidP="003F67C1">
            <w:pPr>
              <w:spacing w:after="0" w:line="240" w:lineRule="auto"/>
              <w:jc w:val="right"/>
              <w:rPr>
                <w:rFonts w:eastAsia="Times New Roman" w:cs="Times New Roman"/>
                <w:b/>
                <w:color w:val="FF0000"/>
              </w:rPr>
            </w:pPr>
            <w:r w:rsidRPr="008D7986">
              <w:rPr>
                <w:rFonts w:eastAsia="Times New Roman" w:cs="Times New Roman"/>
                <w:b/>
                <w:color w:val="FF0000"/>
              </w:rPr>
              <w:t>13,337</w:t>
            </w:r>
          </w:p>
        </w:tc>
      </w:tr>
    </w:tbl>
    <w:p w:rsidR="00D14DF0" w:rsidRPr="00C253B3" w:rsidRDefault="002637BF" w:rsidP="00E37E1B">
      <w:pPr>
        <w:autoSpaceDE w:val="0"/>
        <w:autoSpaceDN w:val="0"/>
        <w:adjustRightInd w:val="0"/>
        <w:spacing w:after="0" w:line="240" w:lineRule="auto"/>
        <w:rPr>
          <w:rFonts w:cstheme="minorHAnsi"/>
          <w:b/>
          <w:bCs/>
          <w:color w:val="FF0000"/>
        </w:rPr>
      </w:pPr>
      <w:r w:rsidRPr="00C253B3">
        <w:rPr>
          <w:rFonts w:cstheme="minorHAnsi"/>
          <w:b/>
          <w:bCs/>
          <w:color w:val="FF0000"/>
        </w:rPr>
        <w:t>*D</w:t>
      </w:r>
      <w:r w:rsidR="002F5C3D" w:rsidRPr="00C253B3">
        <w:rPr>
          <w:rFonts w:cstheme="minorHAnsi"/>
          <w:b/>
          <w:bCs/>
          <w:color w:val="FF0000"/>
        </w:rPr>
        <w:t>C was d</w:t>
      </w:r>
      <w:r w:rsidRPr="00C253B3">
        <w:rPr>
          <w:rFonts w:cstheme="minorHAnsi"/>
          <w:b/>
          <w:bCs/>
          <w:color w:val="FF0000"/>
        </w:rPr>
        <w:t>ropped from AOD denominator due to small sample size.</w:t>
      </w:r>
    </w:p>
    <w:p w:rsidR="00D14DF0" w:rsidRPr="00BC618B" w:rsidRDefault="00A138F1" w:rsidP="00E37E1B">
      <w:pPr>
        <w:autoSpaceDE w:val="0"/>
        <w:autoSpaceDN w:val="0"/>
        <w:adjustRightInd w:val="0"/>
        <w:spacing w:after="0" w:line="240" w:lineRule="auto"/>
        <w:rPr>
          <w:rFonts w:cstheme="minorHAnsi"/>
          <w:b/>
          <w:bCs/>
          <w:color w:val="FF0000"/>
        </w:rPr>
      </w:pPr>
      <w:r w:rsidRPr="00BC618B">
        <w:rPr>
          <w:rFonts w:cstheme="minorHAnsi"/>
          <w:b/>
          <w:bCs/>
          <w:color w:val="FF0000"/>
        </w:rPr>
        <w:t>Source: MAX calendar year 2008</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sdtPr>
        <w:sdtEndPr/>
        <w:sdtContent>
          <w:sdt>
            <w:sdtPr>
              <w:rPr>
                <w:rFonts w:cstheme="minorHAnsi"/>
                <w:bCs/>
                <w:color w:val="0000FF"/>
              </w:rPr>
              <w:id w:val="3321798"/>
            </w:sdtPr>
            <w:sdtEndPr/>
            <w:sdtContent>
              <w:r w:rsidR="00B2250B" w:rsidRPr="00327E90">
                <w:rPr>
                  <w:rFonts w:ascii="MS Gothic" w:eastAsia="MS Gothic" w:hAnsi="MS Gothic" w:cstheme="minorHAnsi" w:hint="eastAsia"/>
                  <w:bCs/>
                  <w:color w:val="0000FF"/>
                </w:rPr>
                <w:t>☒</w:t>
              </w:r>
            </w:sdtContent>
          </w:sdt>
        </w:sdtContent>
      </w:sdt>
      <w:r w:rsidR="001F7A20" w:rsidRPr="00327E90">
        <w:rPr>
          <w:rFonts w:eastAsia="MS Mincho" w:cstheme="minorHAnsi"/>
          <w:b/>
          <w:bCs/>
          <w:color w:val="0000FF"/>
        </w:rPr>
        <w:t xml:space="preserve"> </w:t>
      </w:r>
      <w:r w:rsidR="001F7A20" w:rsidRPr="00327E90">
        <w:rPr>
          <w:rFonts w:cstheme="minorHAnsi"/>
          <w:b/>
          <w:bCs/>
        </w:rPr>
        <w:t>Performance measure score</w:t>
      </w:r>
      <w:r w:rsidR="001F7A20" w:rsidRPr="00327E90">
        <w:rPr>
          <w:rFonts w:cstheme="minorHAnsi"/>
          <w:bCs/>
        </w:rPr>
        <w:t xml:space="preserve"> (e.g., </w:t>
      </w:r>
      <w:r w:rsidR="001F7A20" w:rsidRPr="00327E90">
        <w:rPr>
          <w:rFonts w:cstheme="minorHAnsi"/>
          <w:bCs/>
          <w:i/>
        </w:rPr>
        <w:t>signal-to-noise analysis</w:t>
      </w:r>
      <w:r w:rsidR="001F7A20" w:rsidRPr="00327E90">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3A2C69" w:rsidRDefault="003A2C69" w:rsidP="008C54A9">
      <w:pPr>
        <w:autoSpaceDE w:val="0"/>
        <w:autoSpaceDN w:val="0"/>
        <w:adjustRightInd w:val="0"/>
        <w:spacing w:after="0" w:line="240" w:lineRule="auto"/>
        <w:rPr>
          <w:rFonts w:cstheme="minorHAnsi"/>
          <w:bCs/>
        </w:rPr>
      </w:pPr>
    </w:p>
    <w:p w:rsidR="003A2C69" w:rsidRPr="00C253B3" w:rsidRDefault="003A2C69" w:rsidP="003A2C69">
      <w:pPr>
        <w:autoSpaceDE w:val="0"/>
        <w:autoSpaceDN w:val="0"/>
        <w:adjustRightInd w:val="0"/>
        <w:spacing w:after="0" w:line="240" w:lineRule="auto"/>
        <w:rPr>
          <w:rFonts w:cstheme="minorHAnsi"/>
          <w:b/>
          <w:bCs/>
          <w:color w:val="FF0000"/>
        </w:rPr>
      </w:pPr>
      <w:r w:rsidRPr="00C253B3">
        <w:rPr>
          <w:rFonts w:cstheme="minorHAnsi"/>
          <w:b/>
          <w:bCs/>
          <w:color w:val="FF0000"/>
          <w:u w:val="single"/>
        </w:rPr>
        <w:t>Reliability Testing of Performance Measure Score:</w:t>
      </w:r>
      <w:r w:rsidRPr="00C253B3">
        <w:rPr>
          <w:rFonts w:cstheme="minorHAnsi"/>
          <w:b/>
          <w:bCs/>
          <w:color w:val="FF0000"/>
        </w:rPr>
        <w:t xml:space="preserve"> In order to assess measure precision in the context of the observed variability across accountable entities, we used the beta-binomial method and resulting estimate </w:t>
      </w:r>
      <w:r w:rsidR="00AC663D">
        <w:rPr>
          <w:rFonts w:cstheme="minorHAnsi"/>
          <w:b/>
          <w:bCs/>
          <w:color w:val="FF0000"/>
        </w:rPr>
        <w:t xml:space="preserve">described </w:t>
      </w:r>
      <w:r w:rsidRPr="00C253B3">
        <w:rPr>
          <w:rFonts w:cstheme="minorHAnsi"/>
          <w:b/>
          <w:bCs/>
          <w:color w:val="FF0000"/>
        </w:rPr>
        <w:t>by Adams (2009). The following is quoted f</w:t>
      </w:r>
      <w:r w:rsidR="00BC618B">
        <w:rPr>
          <w:rFonts w:cstheme="minorHAnsi"/>
          <w:b/>
          <w:bCs/>
          <w:color w:val="FF0000"/>
        </w:rPr>
        <w:t>rom the tutorial: “Reliability</w:t>
      </w:r>
      <w:r w:rsidRPr="00C253B3">
        <w:rPr>
          <w:rFonts w:cstheme="minorHAnsi"/>
          <w:b/>
          <w:bCs/>
          <w:color w:val="FF0000"/>
        </w:rPr>
        <w:t xml:space="preserve"> describes how well one can confidently distinguish the performance of one physician [or accountable entity] from another. Conceptually, it is the ratio of signal to noise. The signal in this case is the proportion of the variability in measured performance that can be explained by r</w:t>
      </w:r>
      <w:r w:rsidR="00BC618B">
        <w:rPr>
          <w:rFonts w:cstheme="minorHAnsi"/>
          <w:b/>
          <w:bCs/>
          <w:color w:val="FF0000"/>
        </w:rPr>
        <w:t>eal differences in performance</w:t>
      </w:r>
      <w:r w:rsidRPr="00C253B3">
        <w:rPr>
          <w:rFonts w:cstheme="minorHAnsi"/>
          <w:b/>
          <w:bCs/>
          <w:color w:val="FF0000"/>
        </w:rPr>
        <w:t>.”  This approach is also relevant to health plans</w:t>
      </w:r>
      <w:r w:rsidR="009350AD" w:rsidRPr="00C253B3">
        <w:rPr>
          <w:rFonts w:cstheme="minorHAnsi"/>
          <w:b/>
          <w:bCs/>
          <w:color w:val="FF0000"/>
        </w:rPr>
        <w:t>, states,</w:t>
      </w:r>
      <w:r w:rsidRPr="00C253B3">
        <w:rPr>
          <w:rFonts w:cstheme="minorHAnsi"/>
          <w:b/>
          <w:bCs/>
          <w:color w:val="FF0000"/>
        </w:rPr>
        <w:t xml:space="preserve"> and other accountable entities.  </w:t>
      </w:r>
    </w:p>
    <w:p w:rsidR="003A2C69" w:rsidRPr="00C253B3" w:rsidRDefault="003A2C69" w:rsidP="003A2C69">
      <w:pPr>
        <w:autoSpaceDE w:val="0"/>
        <w:autoSpaceDN w:val="0"/>
        <w:adjustRightInd w:val="0"/>
        <w:spacing w:after="0" w:line="240" w:lineRule="auto"/>
        <w:rPr>
          <w:rFonts w:cstheme="minorHAnsi"/>
          <w:b/>
          <w:bCs/>
          <w:color w:val="FF0000"/>
        </w:rPr>
      </w:pPr>
    </w:p>
    <w:p w:rsidR="00206EFF" w:rsidRDefault="003A2C69" w:rsidP="003A2C69">
      <w:pPr>
        <w:autoSpaceDE w:val="0"/>
        <w:autoSpaceDN w:val="0"/>
        <w:adjustRightInd w:val="0"/>
        <w:spacing w:after="0" w:line="240" w:lineRule="auto"/>
        <w:rPr>
          <w:rFonts w:cstheme="minorHAnsi"/>
          <w:b/>
          <w:bCs/>
          <w:color w:val="FF0000"/>
        </w:rPr>
      </w:pPr>
      <w:r w:rsidRPr="00C253B3">
        <w:rPr>
          <w:rFonts w:cstheme="minorHAnsi"/>
          <w:b/>
          <w:bCs/>
          <w:color w:val="FF0000"/>
        </w:rPr>
        <w:t xml:space="preserve">Adams’ approach uses a </w:t>
      </w:r>
      <w:r w:rsidR="00206EFF">
        <w:rPr>
          <w:rFonts w:cstheme="minorHAnsi"/>
          <w:b/>
          <w:bCs/>
          <w:color w:val="FF0000"/>
        </w:rPr>
        <w:t>b</w:t>
      </w:r>
      <w:r w:rsidR="00206EFF" w:rsidRPr="00C253B3">
        <w:rPr>
          <w:rFonts w:cstheme="minorHAnsi"/>
          <w:b/>
          <w:bCs/>
          <w:color w:val="FF0000"/>
        </w:rPr>
        <w:t>eta</w:t>
      </w:r>
      <w:r w:rsidRPr="00C253B3">
        <w:rPr>
          <w:rFonts w:cstheme="minorHAnsi"/>
          <w:b/>
          <w:bCs/>
          <w:color w:val="FF0000"/>
        </w:rPr>
        <w:t xml:space="preserve">-binomial model to estimate reliability; this model </w:t>
      </w:r>
      <w:r w:rsidR="00206EFF">
        <w:rPr>
          <w:rFonts w:cstheme="minorHAnsi"/>
          <w:b/>
          <w:bCs/>
          <w:color w:val="FF0000"/>
        </w:rPr>
        <w:t>is suited for</w:t>
      </w:r>
      <w:r w:rsidRPr="00C253B3">
        <w:rPr>
          <w:rFonts w:cstheme="minorHAnsi"/>
          <w:b/>
          <w:bCs/>
          <w:color w:val="FF0000"/>
        </w:rPr>
        <w:t xml:space="preserve"> estimating the reliability of simple pass/fail rate measures as is the case with most HEDIS® measures. The beta-binomial approach </w:t>
      </w:r>
      <w:r w:rsidR="00206EFF">
        <w:rPr>
          <w:rFonts w:cstheme="minorHAnsi"/>
          <w:b/>
          <w:bCs/>
          <w:color w:val="FF0000"/>
        </w:rPr>
        <w:t>assumes that the performance measure score (pass/fail rate) across accountable entities has a flexible beta distribution, characterized by a signal variance. Given its performance measure score, the observed data (number of passes/failures) for an accountable entity has a binomial distribution, which provides the noise (measurement error) variance. From the beta-binomial model, the signal and noise variances are used to calculate reliability as:</w:t>
      </w:r>
    </w:p>
    <w:p w:rsidR="00206EFF" w:rsidRDefault="00206EFF" w:rsidP="003A2C69">
      <w:pPr>
        <w:autoSpaceDE w:val="0"/>
        <w:autoSpaceDN w:val="0"/>
        <w:adjustRightInd w:val="0"/>
        <w:spacing w:after="0" w:line="240" w:lineRule="auto"/>
        <w:rPr>
          <w:rFonts w:cstheme="minorHAnsi"/>
          <w:b/>
          <w:bCs/>
          <w:color w:val="FF0000"/>
        </w:rPr>
      </w:pPr>
    </w:p>
    <w:p w:rsidR="00206EFF" w:rsidRDefault="00206EFF" w:rsidP="003A2C69">
      <w:pPr>
        <w:autoSpaceDE w:val="0"/>
        <w:autoSpaceDN w:val="0"/>
        <w:adjustRightInd w:val="0"/>
        <w:spacing w:after="0" w:line="240" w:lineRule="auto"/>
        <w:rPr>
          <w:rFonts w:cstheme="minorHAnsi"/>
          <w:b/>
          <w:bCs/>
          <w:color w:val="FF0000"/>
        </w:rPr>
      </w:pPr>
      <w:r>
        <w:rPr>
          <w:rFonts w:cstheme="minorHAnsi"/>
          <w:b/>
          <w:bCs/>
          <w:color w:val="FF0000"/>
        </w:rPr>
        <w:t>Signal variance / (signal + noise variance)</w:t>
      </w:r>
    </w:p>
    <w:p w:rsidR="00206EFF" w:rsidRDefault="00206EFF" w:rsidP="003A2C69">
      <w:pPr>
        <w:autoSpaceDE w:val="0"/>
        <w:autoSpaceDN w:val="0"/>
        <w:adjustRightInd w:val="0"/>
        <w:spacing w:after="0" w:line="240" w:lineRule="auto"/>
        <w:rPr>
          <w:rFonts w:cstheme="minorHAnsi"/>
          <w:b/>
          <w:bCs/>
          <w:color w:val="FF0000"/>
        </w:rPr>
      </w:pPr>
    </w:p>
    <w:p w:rsidR="003A2C69" w:rsidRPr="00C253B3" w:rsidRDefault="003A2C69" w:rsidP="003A2C69">
      <w:pPr>
        <w:autoSpaceDE w:val="0"/>
        <w:autoSpaceDN w:val="0"/>
        <w:adjustRightInd w:val="0"/>
        <w:spacing w:after="0" w:line="240" w:lineRule="auto"/>
        <w:rPr>
          <w:rFonts w:cstheme="minorHAnsi"/>
          <w:b/>
          <w:bCs/>
          <w:color w:val="FF0000"/>
        </w:rPr>
      </w:pPr>
      <w:r w:rsidRPr="00C253B3">
        <w:rPr>
          <w:rFonts w:cstheme="minorHAnsi"/>
          <w:b/>
          <w:bCs/>
          <w:color w:val="FF0000"/>
        </w:rPr>
        <w:t xml:space="preserve">Reliability scores vary from 0.0 to 1.0. A score of zero </w:t>
      </w:r>
      <w:r w:rsidR="00AC663D">
        <w:rPr>
          <w:rFonts w:cstheme="minorHAnsi"/>
          <w:b/>
          <w:bCs/>
          <w:color w:val="FF0000"/>
        </w:rPr>
        <w:t>indicates</w:t>
      </w:r>
      <w:r w:rsidRPr="00C253B3">
        <w:rPr>
          <w:rFonts w:cstheme="minorHAnsi"/>
          <w:b/>
          <w:bCs/>
          <w:color w:val="FF0000"/>
        </w:rPr>
        <w:t xml:space="preserve"> that all variation is attributed to measurement error (noise or the individual accountable entity variance) whereas a reliability of 1.0 </w:t>
      </w:r>
      <w:r w:rsidR="00AC663D">
        <w:rPr>
          <w:rFonts w:cstheme="minorHAnsi"/>
          <w:b/>
          <w:bCs/>
          <w:color w:val="FF0000"/>
        </w:rPr>
        <w:t>indicates</w:t>
      </w:r>
      <w:r w:rsidRPr="00C253B3">
        <w:rPr>
          <w:rFonts w:cstheme="minorHAnsi"/>
          <w:b/>
          <w:bCs/>
          <w:color w:val="FF0000"/>
        </w:rPr>
        <w:t xml:space="preserve"> that all variation is </w:t>
      </w:r>
      <w:r w:rsidR="00AC663D">
        <w:rPr>
          <w:rFonts w:cstheme="minorHAnsi"/>
          <w:b/>
          <w:bCs/>
          <w:color w:val="FF0000"/>
        </w:rPr>
        <w:t xml:space="preserve">attributable to </w:t>
      </w:r>
      <w:r w:rsidRPr="00C253B3">
        <w:rPr>
          <w:rFonts w:cstheme="minorHAnsi"/>
          <w:b/>
          <w:bCs/>
          <w:color w:val="FF0000"/>
        </w:rPr>
        <w:t>real difference</w:t>
      </w:r>
      <w:r w:rsidR="00AC663D">
        <w:rPr>
          <w:rFonts w:cstheme="minorHAnsi"/>
          <w:b/>
          <w:bCs/>
          <w:color w:val="FF0000"/>
        </w:rPr>
        <w:t>s</w:t>
      </w:r>
      <w:r w:rsidRPr="00C253B3">
        <w:rPr>
          <w:rFonts w:cstheme="minorHAnsi"/>
          <w:b/>
          <w:bCs/>
          <w:color w:val="FF0000"/>
        </w:rPr>
        <w:t xml:space="preserve"> in performance across accountable entities. </w:t>
      </w:r>
    </w:p>
    <w:p w:rsidR="003A2C69" w:rsidRPr="00C253B3" w:rsidRDefault="003A2C69" w:rsidP="003A2C69">
      <w:pPr>
        <w:autoSpaceDE w:val="0"/>
        <w:autoSpaceDN w:val="0"/>
        <w:adjustRightInd w:val="0"/>
        <w:spacing w:after="0" w:line="240" w:lineRule="auto"/>
        <w:rPr>
          <w:rFonts w:cstheme="minorHAnsi"/>
          <w:b/>
          <w:bCs/>
          <w:color w:val="FF0000"/>
        </w:rPr>
      </w:pPr>
    </w:p>
    <w:p w:rsidR="003A2C69" w:rsidRPr="00C253B3" w:rsidRDefault="003A2C69" w:rsidP="003A2C69">
      <w:pPr>
        <w:autoSpaceDE w:val="0"/>
        <w:autoSpaceDN w:val="0"/>
        <w:adjustRightInd w:val="0"/>
        <w:spacing w:after="0" w:line="240" w:lineRule="auto"/>
        <w:rPr>
          <w:rFonts w:cstheme="minorHAnsi"/>
          <w:b/>
          <w:bCs/>
          <w:color w:val="FF0000"/>
        </w:rPr>
      </w:pPr>
      <w:r w:rsidRPr="00C253B3">
        <w:rPr>
          <w:rFonts w:cstheme="minorHAnsi"/>
          <w:b/>
          <w:bCs/>
          <w:color w:val="FF0000"/>
        </w:rPr>
        <w:t>Adams, J. L. The Reliability of Provider Profiling: A Tutorial. Santa Monica, California: RAND Corporation. TR-653-NCQA, 2009</w:t>
      </w:r>
    </w:p>
    <w:p w:rsidR="008C54A9" w:rsidRPr="00A25024" w:rsidRDefault="008C54A9" w:rsidP="008C54A9">
      <w:pPr>
        <w:autoSpaceDE w:val="0"/>
        <w:autoSpaceDN w:val="0"/>
        <w:adjustRightInd w:val="0"/>
        <w:spacing w:after="0" w:line="240" w:lineRule="auto"/>
        <w:rPr>
          <w:rFonts w:cstheme="minorHAnsi"/>
          <w:bCs/>
        </w:rPr>
      </w:pPr>
    </w:p>
    <w:p w:rsidR="003A2C69" w:rsidRDefault="00092566" w:rsidP="008C54A9">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9350AD" w:rsidRDefault="009350AD" w:rsidP="008C54A9">
      <w:pPr>
        <w:autoSpaceDE w:val="0"/>
        <w:autoSpaceDN w:val="0"/>
        <w:adjustRightInd w:val="0"/>
        <w:spacing w:after="0" w:line="240" w:lineRule="auto"/>
        <w:rPr>
          <w:rFonts w:cstheme="minorHAnsi"/>
          <w:bCs/>
        </w:rPr>
      </w:pPr>
    </w:p>
    <w:p w:rsidR="003A2C69" w:rsidRPr="00281BA8" w:rsidRDefault="00206EFF" w:rsidP="008C54A9">
      <w:pPr>
        <w:autoSpaceDE w:val="0"/>
        <w:autoSpaceDN w:val="0"/>
        <w:adjustRightInd w:val="0"/>
        <w:spacing w:after="0" w:line="240" w:lineRule="auto"/>
        <w:rPr>
          <w:rFonts w:cstheme="minorHAnsi"/>
          <w:b/>
          <w:bCs/>
          <w:color w:val="FF0000"/>
        </w:rPr>
      </w:pPr>
      <w:r w:rsidRPr="00281BA8">
        <w:rPr>
          <w:rFonts w:cstheme="minorHAnsi"/>
          <w:b/>
          <w:bCs/>
          <w:color w:val="FF0000"/>
        </w:rPr>
        <w:t>Reliability</w:t>
      </w:r>
      <w:r w:rsidR="000C3637" w:rsidRPr="00281BA8">
        <w:rPr>
          <w:rFonts w:cstheme="minorHAnsi"/>
          <w:b/>
          <w:bCs/>
          <w:color w:val="FF0000"/>
        </w:rPr>
        <w:t xml:space="preserve"> statistic for follow-up</w:t>
      </w:r>
      <w:r w:rsidR="00AC663D" w:rsidRPr="00281BA8">
        <w:rPr>
          <w:rFonts w:cstheme="minorHAnsi"/>
          <w:b/>
          <w:bCs/>
          <w:color w:val="FF0000"/>
        </w:rPr>
        <w:t xml:space="preserve"> for </w:t>
      </w:r>
      <w:r w:rsidR="009350AD" w:rsidRPr="00281BA8">
        <w:rPr>
          <w:rFonts w:cstheme="minorHAnsi"/>
          <w:b/>
          <w:bCs/>
          <w:color w:val="FF0000"/>
        </w:rPr>
        <w:t xml:space="preserve">MH </w:t>
      </w:r>
      <w:r w:rsidR="00AF0ACC" w:rsidRPr="00281BA8">
        <w:rPr>
          <w:b/>
          <w:color w:val="FF0000"/>
        </w:rPr>
        <w:t>emergency department</w:t>
      </w:r>
      <w:r w:rsidR="00AC663D" w:rsidRPr="00281BA8">
        <w:rPr>
          <w:rFonts w:cstheme="minorHAnsi"/>
          <w:b/>
          <w:bCs/>
          <w:color w:val="FF0000"/>
        </w:rPr>
        <w:t xml:space="preserve"> visits</w:t>
      </w:r>
      <w:r w:rsidR="009350AD" w:rsidRPr="00281BA8">
        <w:rPr>
          <w:rFonts w:cstheme="minorHAnsi"/>
          <w:b/>
          <w:bCs/>
          <w:color w:val="FF0000"/>
        </w:rPr>
        <w:t>:</w:t>
      </w:r>
    </w:p>
    <w:p w:rsidR="003A2C69" w:rsidRPr="00281BA8" w:rsidRDefault="003A2C69" w:rsidP="008C54A9">
      <w:pPr>
        <w:autoSpaceDE w:val="0"/>
        <w:autoSpaceDN w:val="0"/>
        <w:adjustRightInd w:val="0"/>
        <w:spacing w:after="0" w:line="240" w:lineRule="auto"/>
        <w:rPr>
          <w:rFonts w:cstheme="minorHAnsi"/>
          <w:b/>
          <w:bCs/>
          <w:color w:val="FF0000"/>
        </w:rPr>
      </w:pPr>
      <w:r w:rsidRPr="00281BA8">
        <w:rPr>
          <w:rFonts w:cstheme="minorHAnsi"/>
          <w:b/>
          <w:bCs/>
          <w:color w:val="FF0000"/>
        </w:rPr>
        <w:t>Average</w:t>
      </w:r>
      <w:r w:rsidR="009350AD" w:rsidRPr="00281BA8">
        <w:rPr>
          <w:rFonts w:cstheme="minorHAnsi"/>
          <w:b/>
          <w:bCs/>
          <w:color w:val="FF0000"/>
        </w:rPr>
        <w:t>, 7-day</w:t>
      </w:r>
      <w:r w:rsidR="000C3637" w:rsidRPr="00281BA8">
        <w:rPr>
          <w:rFonts w:cstheme="minorHAnsi"/>
          <w:b/>
          <w:bCs/>
          <w:color w:val="FF0000"/>
        </w:rPr>
        <w:t xml:space="preserve"> follow-up</w:t>
      </w:r>
      <w:r w:rsidRPr="00281BA8">
        <w:rPr>
          <w:rFonts w:cstheme="minorHAnsi"/>
          <w:b/>
          <w:bCs/>
          <w:color w:val="FF0000"/>
        </w:rPr>
        <w:t>:</w:t>
      </w:r>
      <w:r w:rsidR="00B30994" w:rsidRPr="00281BA8">
        <w:rPr>
          <w:rFonts w:cstheme="minorHAnsi"/>
          <w:b/>
          <w:bCs/>
          <w:color w:val="FF0000"/>
        </w:rPr>
        <w:t xml:space="preserve"> .9</w:t>
      </w:r>
      <w:r w:rsidR="00430E18" w:rsidRPr="00281BA8">
        <w:rPr>
          <w:rFonts w:cstheme="minorHAnsi"/>
          <w:b/>
          <w:bCs/>
          <w:color w:val="FF0000"/>
        </w:rPr>
        <w:t>9</w:t>
      </w:r>
    </w:p>
    <w:p w:rsidR="009350AD" w:rsidRPr="00281BA8" w:rsidRDefault="003A2C69" w:rsidP="008C54A9">
      <w:pPr>
        <w:autoSpaceDE w:val="0"/>
        <w:autoSpaceDN w:val="0"/>
        <w:adjustRightInd w:val="0"/>
        <w:spacing w:after="0" w:line="240" w:lineRule="auto"/>
        <w:rPr>
          <w:rFonts w:cstheme="minorHAnsi"/>
          <w:b/>
          <w:bCs/>
          <w:color w:val="FF0000"/>
        </w:rPr>
      </w:pPr>
      <w:r w:rsidRPr="00281BA8">
        <w:rPr>
          <w:rFonts w:cstheme="minorHAnsi"/>
          <w:b/>
          <w:bCs/>
          <w:color w:val="FF0000"/>
        </w:rPr>
        <w:t>10</w:t>
      </w:r>
      <w:r w:rsidRPr="00281BA8">
        <w:rPr>
          <w:rFonts w:cstheme="minorHAnsi"/>
          <w:b/>
          <w:bCs/>
          <w:color w:val="FF0000"/>
          <w:vertAlign w:val="superscript"/>
        </w:rPr>
        <w:t>th</w:t>
      </w:r>
      <w:r w:rsidRPr="00281BA8">
        <w:rPr>
          <w:rFonts w:cstheme="minorHAnsi"/>
          <w:b/>
          <w:bCs/>
          <w:color w:val="FF0000"/>
        </w:rPr>
        <w:t>-90</w:t>
      </w:r>
      <w:r w:rsidRPr="00281BA8">
        <w:rPr>
          <w:rFonts w:cstheme="minorHAnsi"/>
          <w:b/>
          <w:bCs/>
          <w:color w:val="FF0000"/>
          <w:vertAlign w:val="superscript"/>
        </w:rPr>
        <w:t>th</w:t>
      </w:r>
      <w:r w:rsidRPr="00281BA8">
        <w:rPr>
          <w:rFonts w:cstheme="minorHAnsi"/>
          <w:b/>
          <w:bCs/>
          <w:color w:val="FF0000"/>
        </w:rPr>
        <w:t xml:space="preserve"> percentile across states:</w:t>
      </w:r>
      <w:r w:rsidR="00B04FCA" w:rsidRPr="00281BA8">
        <w:rPr>
          <w:rFonts w:cstheme="minorHAnsi"/>
          <w:b/>
          <w:bCs/>
          <w:color w:val="FF0000"/>
        </w:rPr>
        <w:t xml:space="preserve"> .9</w:t>
      </w:r>
      <w:r w:rsidR="00077938" w:rsidRPr="00281BA8">
        <w:rPr>
          <w:rFonts w:cstheme="minorHAnsi"/>
          <w:b/>
          <w:bCs/>
          <w:color w:val="FF0000"/>
        </w:rPr>
        <w:t>7</w:t>
      </w:r>
      <w:r w:rsidR="00B04FCA" w:rsidRPr="00281BA8">
        <w:rPr>
          <w:rFonts w:cstheme="minorHAnsi"/>
          <w:b/>
          <w:bCs/>
          <w:color w:val="FF0000"/>
        </w:rPr>
        <w:t xml:space="preserve"> – 1.0</w:t>
      </w:r>
    </w:p>
    <w:p w:rsidR="009350AD" w:rsidRPr="00281BA8" w:rsidRDefault="009350AD" w:rsidP="008C54A9">
      <w:pPr>
        <w:autoSpaceDE w:val="0"/>
        <w:autoSpaceDN w:val="0"/>
        <w:adjustRightInd w:val="0"/>
        <w:spacing w:after="0" w:line="240" w:lineRule="auto"/>
        <w:rPr>
          <w:rFonts w:cstheme="minorHAnsi"/>
          <w:b/>
          <w:bCs/>
          <w:color w:val="FF0000"/>
        </w:rPr>
      </w:pPr>
    </w:p>
    <w:p w:rsidR="009350AD" w:rsidRPr="00281BA8" w:rsidRDefault="009350AD" w:rsidP="009350AD">
      <w:pPr>
        <w:autoSpaceDE w:val="0"/>
        <w:autoSpaceDN w:val="0"/>
        <w:adjustRightInd w:val="0"/>
        <w:spacing w:after="0" w:line="240" w:lineRule="auto"/>
        <w:rPr>
          <w:rFonts w:cstheme="minorHAnsi"/>
          <w:b/>
          <w:bCs/>
          <w:color w:val="FF0000"/>
        </w:rPr>
      </w:pPr>
      <w:r w:rsidRPr="00281BA8">
        <w:rPr>
          <w:rFonts w:cstheme="minorHAnsi"/>
          <w:b/>
          <w:bCs/>
          <w:color w:val="FF0000"/>
        </w:rPr>
        <w:t xml:space="preserve">Average, 30-day </w:t>
      </w:r>
      <w:r w:rsidR="000C3637" w:rsidRPr="00281BA8">
        <w:rPr>
          <w:rFonts w:cstheme="minorHAnsi"/>
          <w:b/>
          <w:bCs/>
          <w:color w:val="FF0000"/>
        </w:rPr>
        <w:t>follow-up</w:t>
      </w:r>
      <w:r w:rsidRPr="00281BA8">
        <w:rPr>
          <w:rFonts w:cstheme="minorHAnsi"/>
          <w:b/>
          <w:bCs/>
          <w:color w:val="FF0000"/>
        </w:rPr>
        <w:t>:</w:t>
      </w:r>
      <w:r w:rsidR="00B30994" w:rsidRPr="00281BA8">
        <w:rPr>
          <w:rFonts w:cstheme="minorHAnsi"/>
          <w:b/>
          <w:bCs/>
          <w:color w:val="FF0000"/>
        </w:rPr>
        <w:t xml:space="preserve"> .98</w:t>
      </w:r>
    </w:p>
    <w:p w:rsidR="009350AD" w:rsidRPr="00281BA8" w:rsidRDefault="009350AD" w:rsidP="008C54A9">
      <w:pPr>
        <w:autoSpaceDE w:val="0"/>
        <w:autoSpaceDN w:val="0"/>
        <w:adjustRightInd w:val="0"/>
        <w:spacing w:after="0" w:line="240" w:lineRule="auto"/>
        <w:rPr>
          <w:rFonts w:cstheme="minorHAnsi"/>
          <w:b/>
          <w:bCs/>
          <w:color w:val="FF0000"/>
        </w:rPr>
      </w:pPr>
      <w:r w:rsidRPr="00281BA8">
        <w:rPr>
          <w:rFonts w:cstheme="minorHAnsi"/>
          <w:b/>
          <w:bCs/>
          <w:color w:val="FF0000"/>
        </w:rPr>
        <w:t>10</w:t>
      </w:r>
      <w:r w:rsidRPr="00281BA8">
        <w:rPr>
          <w:rFonts w:cstheme="minorHAnsi"/>
          <w:b/>
          <w:bCs/>
          <w:color w:val="FF0000"/>
          <w:vertAlign w:val="superscript"/>
        </w:rPr>
        <w:t>th</w:t>
      </w:r>
      <w:r w:rsidRPr="00281BA8">
        <w:rPr>
          <w:rFonts w:cstheme="minorHAnsi"/>
          <w:b/>
          <w:bCs/>
          <w:color w:val="FF0000"/>
        </w:rPr>
        <w:t>-90</w:t>
      </w:r>
      <w:r w:rsidRPr="00281BA8">
        <w:rPr>
          <w:rFonts w:cstheme="minorHAnsi"/>
          <w:b/>
          <w:bCs/>
          <w:color w:val="FF0000"/>
          <w:vertAlign w:val="superscript"/>
        </w:rPr>
        <w:t>th</w:t>
      </w:r>
      <w:r w:rsidRPr="00281BA8">
        <w:rPr>
          <w:rFonts w:cstheme="minorHAnsi"/>
          <w:b/>
          <w:bCs/>
          <w:color w:val="FF0000"/>
        </w:rPr>
        <w:t xml:space="preserve"> percentile across states:</w:t>
      </w:r>
      <w:r w:rsidR="00CF4B2E" w:rsidRPr="00281BA8">
        <w:rPr>
          <w:rFonts w:cstheme="minorHAnsi"/>
          <w:b/>
          <w:bCs/>
          <w:color w:val="FF0000"/>
        </w:rPr>
        <w:t xml:space="preserve"> .9</w:t>
      </w:r>
      <w:r w:rsidR="00077938" w:rsidRPr="00281BA8">
        <w:rPr>
          <w:rFonts w:cstheme="minorHAnsi"/>
          <w:b/>
          <w:bCs/>
          <w:color w:val="FF0000"/>
        </w:rPr>
        <w:t>5</w:t>
      </w:r>
      <w:r w:rsidR="00CF4B2E" w:rsidRPr="00281BA8">
        <w:rPr>
          <w:rFonts w:cstheme="minorHAnsi"/>
          <w:b/>
          <w:bCs/>
          <w:color w:val="FF0000"/>
        </w:rPr>
        <w:t xml:space="preserve"> – 1.0</w:t>
      </w:r>
    </w:p>
    <w:p w:rsidR="009350AD" w:rsidRPr="00281BA8" w:rsidRDefault="009350AD" w:rsidP="008C54A9">
      <w:pPr>
        <w:autoSpaceDE w:val="0"/>
        <w:autoSpaceDN w:val="0"/>
        <w:adjustRightInd w:val="0"/>
        <w:spacing w:after="0" w:line="240" w:lineRule="auto"/>
        <w:rPr>
          <w:rFonts w:cstheme="minorHAnsi"/>
          <w:b/>
          <w:bCs/>
          <w:color w:val="FF0000"/>
        </w:rPr>
      </w:pPr>
    </w:p>
    <w:p w:rsidR="009350AD" w:rsidRPr="00281BA8" w:rsidRDefault="00206EFF" w:rsidP="008C54A9">
      <w:pPr>
        <w:autoSpaceDE w:val="0"/>
        <w:autoSpaceDN w:val="0"/>
        <w:adjustRightInd w:val="0"/>
        <w:spacing w:after="0" w:line="240" w:lineRule="auto"/>
        <w:rPr>
          <w:rFonts w:cstheme="minorHAnsi"/>
          <w:b/>
          <w:bCs/>
          <w:color w:val="FF0000"/>
        </w:rPr>
      </w:pPr>
      <w:r w:rsidRPr="00281BA8">
        <w:rPr>
          <w:rFonts w:cstheme="minorHAnsi"/>
          <w:b/>
          <w:bCs/>
          <w:color w:val="FF0000"/>
        </w:rPr>
        <w:t>Reliability</w:t>
      </w:r>
      <w:r w:rsidR="000C3637" w:rsidRPr="00281BA8">
        <w:rPr>
          <w:rFonts w:cstheme="minorHAnsi"/>
          <w:b/>
          <w:bCs/>
          <w:color w:val="FF0000"/>
        </w:rPr>
        <w:t xml:space="preserve"> statistic for follow-up for </w:t>
      </w:r>
      <w:r w:rsidR="009350AD" w:rsidRPr="00281BA8">
        <w:rPr>
          <w:rFonts w:cstheme="minorHAnsi"/>
          <w:b/>
          <w:bCs/>
          <w:color w:val="FF0000"/>
        </w:rPr>
        <w:t xml:space="preserve">AOD </w:t>
      </w:r>
      <w:r w:rsidR="00AF0ACC" w:rsidRPr="00281BA8">
        <w:rPr>
          <w:b/>
          <w:color w:val="FF0000"/>
        </w:rPr>
        <w:t>emergency department</w:t>
      </w:r>
      <w:r w:rsidR="000C3637" w:rsidRPr="00281BA8">
        <w:rPr>
          <w:rFonts w:cstheme="minorHAnsi"/>
          <w:b/>
          <w:bCs/>
          <w:color w:val="FF0000"/>
        </w:rPr>
        <w:t xml:space="preserve"> visits</w:t>
      </w:r>
      <w:r w:rsidR="009350AD" w:rsidRPr="00281BA8">
        <w:rPr>
          <w:rFonts w:cstheme="minorHAnsi"/>
          <w:b/>
          <w:bCs/>
          <w:color w:val="FF0000"/>
        </w:rPr>
        <w:t xml:space="preserve">: </w:t>
      </w:r>
    </w:p>
    <w:p w:rsidR="00B30994" w:rsidRPr="00281BA8" w:rsidRDefault="00B30994" w:rsidP="00B30994">
      <w:pPr>
        <w:autoSpaceDE w:val="0"/>
        <w:autoSpaceDN w:val="0"/>
        <w:adjustRightInd w:val="0"/>
        <w:spacing w:after="0" w:line="240" w:lineRule="auto"/>
        <w:rPr>
          <w:rFonts w:cstheme="minorHAnsi"/>
          <w:b/>
          <w:bCs/>
          <w:color w:val="FF0000"/>
        </w:rPr>
      </w:pPr>
      <w:r w:rsidRPr="00281BA8">
        <w:rPr>
          <w:rFonts w:cstheme="minorHAnsi"/>
          <w:b/>
          <w:bCs/>
          <w:color w:val="FF0000"/>
        </w:rPr>
        <w:t xml:space="preserve">Average, 7-day </w:t>
      </w:r>
      <w:r w:rsidR="000C3637" w:rsidRPr="00281BA8">
        <w:rPr>
          <w:rFonts w:cstheme="minorHAnsi"/>
          <w:b/>
          <w:bCs/>
          <w:color w:val="FF0000"/>
        </w:rPr>
        <w:t>follow-up</w:t>
      </w:r>
      <w:r w:rsidRPr="00281BA8">
        <w:rPr>
          <w:rFonts w:cstheme="minorHAnsi"/>
          <w:b/>
          <w:bCs/>
          <w:color w:val="FF0000"/>
        </w:rPr>
        <w:t xml:space="preserve">: </w:t>
      </w:r>
      <w:r w:rsidR="00430E18" w:rsidRPr="00281BA8">
        <w:rPr>
          <w:rFonts w:cstheme="minorHAnsi"/>
          <w:b/>
          <w:bCs/>
          <w:color w:val="FF0000"/>
        </w:rPr>
        <w:t>.99</w:t>
      </w:r>
    </w:p>
    <w:p w:rsidR="00B30994" w:rsidRPr="00281BA8" w:rsidRDefault="00B30994" w:rsidP="00B30994">
      <w:pPr>
        <w:autoSpaceDE w:val="0"/>
        <w:autoSpaceDN w:val="0"/>
        <w:adjustRightInd w:val="0"/>
        <w:spacing w:after="0" w:line="240" w:lineRule="auto"/>
        <w:rPr>
          <w:rFonts w:cstheme="minorHAnsi"/>
          <w:b/>
          <w:bCs/>
          <w:color w:val="FF0000"/>
        </w:rPr>
      </w:pPr>
      <w:r w:rsidRPr="00281BA8">
        <w:rPr>
          <w:rFonts w:cstheme="minorHAnsi"/>
          <w:b/>
          <w:bCs/>
          <w:color w:val="FF0000"/>
        </w:rPr>
        <w:t>10</w:t>
      </w:r>
      <w:r w:rsidRPr="00281BA8">
        <w:rPr>
          <w:rFonts w:cstheme="minorHAnsi"/>
          <w:b/>
          <w:bCs/>
          <w:color w:val="FF0000"/>
          <w:vertAlign w:val="superscript"/>
        </w:rPr>
        <w:t>th</w:t>
      </w:r>
      <w:r w:rsidRPr="00281BA8">
        <w:rPr>
          <w:rFonts w:cstheme="minorHAnsi"/>
          <w:b/>
          <w:bCs/>
          <w:color w:val="FF0000"/>
        </w:rPr>
        <w:t>-90</w:t>
      </w:r>
      <w:r w:rsidRPr="00281BA8">
        <w:rPr>
          <w:rFonts w:cstheme="minorHAnsi"/>
          <w:b/>
          <w:bCs/>
          <w:color w:val="FF0000"/>
          <w:vertAlign w:val="superscript"/>
        </w:rPr>
        <w:t>th</w:t>
      </w:r>
      <w:r w:rsidRPr="00281BA8">
        <w:rPr>
          <w:rFonts w:cstheme="minorHAnsi"/>
          <w:b/>
          <w:bCs/>
          <w:color w:val="FF0000"/>
        </w:rPr>
        <w:t xml:space="preserve"> percentile across states:</w:t>
      </w:r>
      <w:r w:rsidR="00CF4B2E" w:rsidRPr="00281BA8">
        <w:rPr>
          <w:rFonts w:cstheme="minorHAnsi"/>
          <w:b/>
          <w:bCs/>
          <w:color w:val="FF0000"/>
        </w:rPr>
        <w:t xml:space="preserve"> .9</w:t>
      </w:r>
      <w:r w:rsidR="00077938" w:rsidRPr="00281BA8">
        <w:rPr>
          <w:rFonts w:cstheme="minorHAnsi"/>
          <w:b/>
          <w:bCs/>
          <w:color w:val="FF0000"/>
        </w:rPr>
        <w:t>8</w:t>
      </w:r>
      <w:r w:rsidR="00CF4B2E" w:rsidRPr="00281BA8">
        <w:rPr>
          <w:rFonts w:cstheme="minorHAnsi"/>
          <w:b/>
          <w:bCs/>
          <w:color w:val="FF0000"/>
        </w:rPr>
        <w:t xml:space="preserve"> – 1.0</w:t>
      </w:r>
    </w:p>
    <w:p w:rsidR="00B30994" w:rsidRPr="00281BA8" w:rsidRDefault="00B30994" w:rsidP="00B30994">
      <w:pPr>
        <w:autoSpaceDE w:val="0"/>
        <w:autoSpaceDN w:val="0"/>
        <w:adjustRightInd w:val="0"/>
        <w:spacing w:after="0" w:line="240" w:lineRule="auto"/>
        <w:rPr>
          <w:rFonts w:cstheme="minorHAnsi"/>
          <w:b/>
          <w:bCs/>
          <w:color w:val="FF0000"/>
        </w:rPr>
      </w:pPr>
    </w:p>
    <w:p w:rsidR="00B30994" w:rsidRPr="00281BA8" w:rsidRDefault="00B30994" w:rsidP="00B30994">
      <w:pPr>
        <w:autoSpaceDE w:val="0"/>
        <w:autoSpaceDN w:val="0"/>
        <w:adjustRightInd w:val="0"/>
        <w:spacing w:after="0" w:line="240" w:lineRule="auto"/>
        <w:rPr>
          <w:rFonts w:cstheme="minorHAnsi"/>
          <w:b/>
          <w:bCs/>
          <w:color w:val="FF0000"/>
        </w:rPr>
      </w:pPr>
      <w:r w:rsidRPr="00281BA8">
        <w:rPr>
          <w:rFonts w:cstheme="minorHAnsi"/>
          <w:b/>
          <w:bCs/>
          <w:color w:val="FF0000"/>
        </w:rPr>
        <w:t xml:space="preserve">Average, 30-day </w:t>
      </w:r>
      <w:r w:rsidR="000C3637" w:rsidRPr="00281BA8">
        <w:rPr>
          <w:rFonts w:cstheme="minorHAnsi"/>
          <w:b/>
          <w:bCs/>
          <w:color w:val="FF0000"/>
        </w:rPr>
        <w:t>follow-u</w:t>
      </w:r>
      <w:r w:rsidRPr="00281BA8">
        <w:rPr>
          <w:rFonts w:cstheme="minorHAnsi"/>
          <w:b/>
          <w:bCs/>
          <w:color w:val="FF0000"/>
        </w:rPr>
        <w:t xml:space="preserve">: </w:t>
      </w:r>
      <w:r w:rsidR="00430E18" w:rsidRPr="00281BA8">
        <w:rPr>
          <w:rFonts w:cstheme="minorHAnsi"/>
          <w:b/>
          <w:bCs/>
          <w:color w:val="FF0000"/>
        </w:rPr>
        <w:t>.99</w:t>
      </w:r>
    </w:p>
    <w:p w:rsidR="00B30994" w:rsidRPr="00281BA8" w:rsidRDefault="00B30994" w:rsidP="00B30994">
      <w:pPr>
        <w:autoSpaceDE w:val="0"/>
        <w:autoSpaceDN w:val="0"/>
        <w:adjustRightInd w:val="0"/>
        <w:spacing w:after="0" w:line="240" w:lineRule="auto"/>
        <w:rPr>
          <w:rFonts w:cstheme="minorHAnsi"/>
          <w:b/>
          <w:bCs/>
          <w:color w:val="FF0000"/>
        </w:rPr>
      </w:pPr>
      <w:r w:rsidRPr="00281BA8">
        <w:rPr>
          <w:rFonts w:cstheme="minorHAnsi"/>
          <w:b/>
          <w:bCs/>
          <w:color w:val="FF0000"/>
        </w:rPr>
        <w:t>10</w:t>
      </w:r>
      <w:r w:rsidRPr="00281BA8">
        <w:rPr>
          <w:rFonts w:cstheme="minorHAnsi"/>
          <w:b/>
          <w:bCs/>
          <w:color w:val="FF0000"/>
          <w:vertAlign w:val="superscript"/>
        </w:rPr>
        <w:t>th</w:t>
      </w:r>
      <w:r w:rsidRPr="00281BA8">
        <w:rPr>
          <w:rFonts w:cstheme="minorHAnsi"/>
          <w:b/>
          <w:bCs/>
          <w:color w:val="FF0000"/>
        </w:rPr>
        <w:t>-90</w:t>
      </w:r>
      <w:r w:rsidRPr="00281BA8">
        <w:rPr>
          <w:rFonts w:cstheme="minorHAnsi"/>
          <w:b/>
          <w:bCs/>
          <w:color w:val="FF0000"/>
          <w:vertAlign w:val="superscript"/>
        </w:rPr>
        <w:t>th</w:t>
      </w:r>
      <w:r w:rsidRPr="00281BA8">
        <w:rPr>
          <w:rFonts w:cstheme="minorHAnsi"/>
          <w:b/>
          <w:bCs/>
          <w:color w:val="FF0000"/>
        </w:rPr>
        <w:t xml:space="preserve"> percentile across states:</w:t>
      </w:r>
      <w:r w:rsidR="00CF4B2E" w:rsidRPr="00281BA8">
        <w:rPr>
          <w:rFonts w:cstheme="minorHAnsi"/>
          <w:b/>
          <w:bCs/>
          <w:color w:val="FF0000"/>
        </w:rPr>
        <w:t xml:space="preserve"> .98 – 1.0</w:t>
      </w:r>
    </w:p>
    <w:p w:rsidR="007422FD" w:rsidRPr="00A25024" w:rsidRDefault="007422FD" w:rsidP="008C54A9">
      <w:pPr>
        <w:autoSpaceDE w:val="0"/>
        <w:autoSpaceDN w:val="0"/>
        <w:adjustRightInd w:val="0"/>
        <w:spacing w:after="0" w:line="240" w:lineRule="auto"/>
        <w:rPr>
          <w:rFonts w:cstheme="minorHAnsi"/>
          <w:bCs/>
        </w:rPr>
      </w:pPr>
    </w:p>
    <w:p w:rsidR="003A2C69"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rsidR="003A2C69" w:rsidRDefault="003A2C69" w:rsidP="00DB3627">
      <w:pPr>
        <w:autoSpaceDE w:val="0"/>
        <w:autoSpaceDN w:val="0"/>
        <w:adjustRightInd w:val="0"/>
        <w:spacing w:after="0" w:line="240" w:lineRule="auto"/>
        <w:rPr>
          <w:rFonts w:cstheme="minorHAnsi"/>
          <w:bCs/>
        </w:rPr>
      </w:pPr>
    </w:p>
    <w:p w:rsidR="003A2C69" w:rsidRPr="00281BA8" w:rsidRDefault="003A2C69" w:rsidP="003A2C69">
      <w:pPr>
        <w:autoSpaceDE w:val="0"/>
        <w:autoSpaceDN w:val="0"/>
        <w:adjustRightInd w:val="0"/>
        <w:spacing w:after="0" w:line="240" w:lineRule="auto"/>
        <w:rPr>
          <w:rFonts w:cstheme="minorHAnsi"/>
          <w:b/>
          <w:bCs/>
          <w:color w:val="FF0000"/>
        </w:rPr>
      </w:pPr>
      <w:r w:rsidRPr="00281BA8">
        <w:rPr>
          <w:rFonts w:cstheme="minorHAnsi"/>
          <w:b/>
          <w:bCs/>
          <w:color w:val="FF0000"/>
          <w:u w:val="single"/>
        </w:rPr>
        <w:t>Reliability Testing of Performance Measure Score:</w:t>
      </w:r>
      <w:r w:rsidRPr="00281BA8">
        <w:rPr>
          <w:rFonts w:cstheme="minorHAnsi"/>
          <w:b/>
          <w:bCs/>
          <w:color w:val="FF0000"/>
        </w:rPr>
        <w:t xml:space="preserve"> Reliability scores can vary from 0.0 to 1.0.  Generally, a minimum reliability score of 0.7 is used to indicate sufficient signal strength to discriminate performance between accountable entities. The testing suggests the all </w:t>
      </w:r>
      <w:r w:rsidR="00372666" w:rsidRPr="00281BA8">
        <w:rPr>
          <w:rFonts w:cstheme="minorHAnsi"/>
          <w:b/>
          <w:bCs/>
          <w:color w:val="FF0000"/>
        </w:rPr>
        <w:t>four follow-up rates reported as part of</w:t>
      </w:r>
      <w:r w:rsidRPr="00281BA8">
        <w:rPr>
          <w:rFonts w:cstheme="minorHAnsi"/>
          <w:b/>
          <w:bCs/>
          <w:color w:val="FF0000"/>
        </w:rPr>
        <w:t xml:space="preserve"> this measure have </w:t>
      </w:r>
      <w:r w:rsidR="00B04FCA" w:rsidRPr="00281BA8">
        <w:rPr>
          <w:rFonts w:cstheme="minorHAnsi"/>
          <w:b/>
          <w:bCs/>
          <w:color w:val="FF0000"/>
        </w:rPr>
        <w:t xml:space="preserve">strong </w:t>
      </w:r>
      <w:r w:rsidRPr="00281BA8">
        <w:rPr>
          <w:rFonts w:cstheme="minorHAnsi"/>
          <w:b/>
          <w:bCs/>
          <w:color w:val="FF0000"/>
        </w:rPr>
        <w:t xml:space="preserve">reliability between </w:t>
      </w:r>
      <w:r w:rsidR="00B04FCA" w:rsidRPr="00281BA8">
        <w:rPr>
          <w:rFonts w:cstheme="minorHAnsi"/>
          <w:b/>
          <w:bCs/>
          <w:color w:val="FF0000"/>
        </w:rPr>
        <w:t>.98 and .99</w:t>
      </w:r>
      <w:r w:rsidRPr="00281BA8">
        <w:rPr>
          <w:rFonts w:cstheme="minorHAnsi"/>
          <w:b/>
          <w:bCs/>
          <w:color w:val="FF0000"/>
        </w:rPr>
        <w:t xml:space="preserve">.  </w:t>
      </w:r>
    </w:p>
    <w:p w:rsidR="003A2C69" w:rsidRPr="00281BA8" w:rsidRDefault="003A2C69" w:rsidP="003A2C69">
      <w:pPr>
        <w:autoSpaceDE w:val="0"/>
        <w:autoSpaceDN w:val="0"/>
        <w:adjustRightInd w:val="0"/>
        <w:spacing w:after="0" w:line="240" w:lineRule="auto"/>
        <w:rPr>
          <w:rFonts w:cstheme="minorHAnsi"/>
          <w:b/>
          <w:bCs/>
          <w:color w:val="FF0000"/>
        </w:rPr>
      </w:pPr>
    </w:p>
    <w:p w:rsidR="007422FD" w:rsidRPr="00281BA8" w:rsidRDefault="003A2C69" w:rsidP="003A2C69">
      <w:pPr>
        <w:autoSpaceDE w:val="0"/>
        <w:autoSpaceDN w:val="0"/>
        <w:adjustRightInd w:val="0"/>
        <w:spacing w:after="0" w:line="240" w:lineRule="auto"/>
        <w:rPr>
          <w:rFonts w:cstheme="minorHAnsi"/>
          <w:b/>
          <w:bCs/>
          <w:color w:val="FF0000"/>
        </w:rPr>
      </w:pPr>
      <w:r w:rsidRPr="00281BA8">
        <w:rPr>
          <w:rFonts w:cstheme="minorHAnsi"/>
          <w:b/>
          <w:bCs/>
          <w:color w:val="FF0000"/>
        </w:rPr>
        <w:t xml:space="preserve">The </w:t>
      </w:r>
      <w:r w:rsidR="00AF22CF" w:rsidRPr="00281BA8">
        <w:rPr>
          <w:rFonts w:cstheme="minorHAnsi"/>
          <w:b/>
          <w:bCs/>
          <w:color w:val="FF0000"/>
        </w:rPr>
        <w:t>minimum</w:t>
      </w:r>
      <w:r w:rsidRPr="00281BA8">
        <w:rPr>
          <w:rFonts w:cstheme="minorHAnsi"/>
          <w:b/>
          <w:bCs/>
          <w:color w:val="FF0000"/>
        </w:rPr>
        <w:t xml:space="preserve"> </w:t>
      </w:r>
      <w:r w:rsidR="0077303F" w:rsidRPr="00281BA8">
        <w:rPr>
          <w:rFonts w:cstheme="minorHAnsi"/>
          <w:b/>
          <w:bCs/>
          <w:color w:val="FF0000"/>
        </w:rPr>
        <w:t xml:space="preserve">state-level </w:t>
      </w:r>
      <w:r w:rsidRPr="00281BA8">
        <w:rPr>
          <w:rFonts w:cstheme="minorHAnsi"/>
          <w:b/>
          <w:bCs/>
          <w:color w:val="FF0000"/>
        </w:rPr>
        <w:t>reliability</w:t>
      </w:r>
      <w:r w:rsidR="000C2787" w:rsidRPr="00281BA8">
        <w:rPr>
          <w:rFonts w:cstheme="minorHAnsi"/>
          <w:b/>
          <w:bCs/>
          <w:color w:val="FF0000"/>
        </w:rPr>
        <w:t xml:space="preserve"> scores</w:t>
      </w:r>
      <w:r w:rsidRPr="00281BA8">
        <w:rPr>
          <w:rFonts w:cstheme="minorHAnsi"/>
          <w:b/>
          <w:bCs/>
          <w:color w:val="FF0000"/>
        </w:rPr>
        <w:t xml:space="preserve"> </w:t>
      </w:r>
      <w:r w:rsidR="0077303F" w:rsidRPr="00281BA8">
        <w:rPr>
          <w:rFonts w:cstheme="minorHAnsi"/>
          <w:b/>
          <w:bCs/>
          <w:color w:val="FF0000"/>
        </w:rPr>
        <w:t>for</w:t>
      </w:r>
      <w:r w:rsidRPr="00281BA8">
        <w:rPr>
          <w:rFonts w:cstheme="minorHAnsi"/>
          <w:b/>
          <w:bCs/>
          <w:color w:val="FF0000"/>
        </w:rPr>
        <w:t xml:space="preserve"> this measure </w:t>
      </w:r>
      <w:r w:rsidR="0077303F" w:rsidRPr="00281BA8">
        <w:rPr>
          <w:rFonts w:cstheme="minorHAnsi"/>
          <w:b/>
          <w:bCs/>
          <w:color w:val="FF0000"/>
        </w:rPr>
        <w:t>all exceed</w:t>
      </w:r>
      <w:r w:rsidRPr="00281BA8">
        <w:rPr>
          <w:rFonts w:cstheme="minorHAnsi"/>
          <w:b/>
          <w:bCs/>
          <w:color w:val="FF0000"/>
        </w:rPr>
        <w:t xml:space="preserve"> the minimally accepted threshold of 0.7</w:t>
      </w:r>
      <w:r w:rsidR="0077303F" w:rsidRPr="00281BA8">
        <w:rPr>
          <w:rFonts w:cstheme="minorHAnsi"/>
          <w:b/>
          <w:bCs/>
          <w:color w:val="FF0000"/>
        </w:rPr>
        <w:t>.</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6414C7"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CA06D8" w:rsidRPr="003A2C69" w:rsidRDefault="006414C7" w:rsidP="003A2C69">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3321799"/>
            </w:sdtPr>
            <w:sdtEndPr/>
            <w:sdtContent>
              <w:r w:rsidR="003A2C69" w:rsidRPr="00327E90">
                <w:rPr>
                  <w:rFonts w:ascii="MS Gothic" w:eastAsia="MS Gothic" w:hAnsi="MS Gothic" w:cstheme="minorHAnsi" w:hint="eastAsia"/>
                  <w:bCs/>
                  <w:color w:val="0000FF"/>
                </w:rPr>
                <w:t>☒</w:t>
              </w:r>
            </w:sdtContent>
          </w:sdt>
        </w:sdtContent>
      </w:sdt>
      <w:r w:rsidR="000414E8" w:rsidRPr="00327E90">
        <w:rPr>
          <w:rFonts w:eastAsia="MS Mincho" w:cstheme="minorHAnsi"/>
          <w:b/>
          <w:bCs/>
          <w:color w:val="0000FF"/>
        </w:rPr>
        <w:t xml:space="preserve"> </w:t>
      </w:r>
      <w:r w:rsidR="005232D6" w:rsidRPr="00327E90">
        <w:rPr>
          <w:rFonts w:eastAsia="MS Mincho" w:cstheme="minorHAnsi"/>
          <w:b/>
          <w:bCs/>
        </w:rPr>
        <w:t>E</w:t>
      </w:r>
      <w:r w:rsidR="00696262" w:rsidRPr="00327E90">
        <w:rPr>
          <w:rFonts w:eastAsia="MS Mincho" w:cstheme="minorHAnsi"/>
          <w:b/>
          <w:bCs/>
        </w:rPr>
        <w:t>mpirical validity testing</w:t>
      </w:r>
      <w:r w:rsidR="004B6CEE" w:rsidRPr="00327E90">
        <w:rPr>
          <w:rFonts w:cstheme="minorHAnsi"/>
          <w:b/>
          <w:bCs/>
        </w:rPr>
        <w:br/>
      </w:r>
      <w:sdt>
        <w:sdtPr>
          <w:rPr>
            <w:rFonts w:cstheme="minorHAnsi"/>
            <w:bCs/>
            <w:color w:val="0000FF"/>
          </w:rPr>
          <w:id w:val="-1042279617"/>
        </w:sdtPr>
        <w:sdtEndPr/>
        <w:sdtContent>
          <w:sdt>
            <w:sdtPr>
              <w:rPr>
                <w:rFonts w:cstheme="minorHAnsi"/>
                <w:bCs/>
                <w:color w:val="0000FF"/>
              </w:rPr>
              <w:id w:val="3321800"/>
            </w:sdtPr>
            <w:sdtEndPr/>
            <w:sdtContent>
              <w:r w:rsidR="003A2C69" w:rsidRPr="00327E90">
                <w:rPr>
                  <w:rFonts w:ascii="MS Gothic" w:eastAsia="MS Gothic" w:hAnsi="MS Gothic" w:cstheme="minorHAnsi" w:hint="eastAsia"/>
                  <w:bCs/>
                  <w:color w:val="0000FF"/>
                </w:rPr>
                <w:t>☒</w:t>
              </w:r>
            </w:sdtContent>
          </w:sdt>
        </w:sdtContent>
      </w:sdt>
      <w:r w:rsidR="00A25024" w:rsidRPr="00327E90">
        <w:rPr>
          <w:rFonts w:eastAsia="MS Mincho" w:cstheme="minorHAnsi"/>
          <w:b/>
          <w:bCs/>
          <w:color w:val="0000FF"/>
        </w:rPr>
        <w:t xml:space="preserve"> </w:t>
      </w:r>
      <w:r w:rsidR="005232D6" w:rsidRPr="00327E90">
        <w:rPr>
          <w:rFonts w:cstheme="minorHAnsi"/>
          <w:b/>
          <w:bCs/>
        </w:rPr>
        <w:t>S</w:t>
      </w:r>
      <w:r w:rsidR="00D50704" w:rsidRPr="00327E90">
        <w:rPr>
          <w:rFonts w:cstheme="minorHAnsi"/>
          <w:b/>
          <w:bCs/>
        </w:rPr>
        <w:t xml:space="preserve">ystematic assessment of </w:t>
      </w:r>
      <w:r w:rsidR="004B6CEE" w:rsidRPr="00327E90">
        <w:rPr>
          <w:rFonts w:cstheme="minorHAnsi"/>
          <w:b/>
          <w:bCs/>
        </w:rPr>
        <w:t xml:space="preserve">face </w:t>
      </w:r>
      <w:r w:rsidR="004B6CEE" w:rsidRPr="00327E90">
        <w:rPr>
          <w:rFonts w:eastAsia="MS Gothic" w:cstheme="minorHAnsi"/>
          <w:b/>
          <w:bCs/>
        </w:rPr>
        <w:t xml:space="preserve">validity of </w:t>
      </w:r>
      <w:r w:rsidR="00D1754D" w:rsidRPr="00327E90">
        <w:rPr>
          <w:rFonts w:eastAsia="MS Gothic" w:cstheme="minorHAnsi"/>
          <w:b/>
          <w:bCs/>
          <w:u w:val="single"/>
        </w:rPr>
        <w:t xml:space="preserve">performance </w:t>
      </w:r>
      <w:r w:rsidR="004B6CEE" w:rsidRPr="00327E90">
        <w:rPr>
          <w:rFonts w:eastAsia="MS Gothic" w:cstheme="minorHAnsi"/>
          <w:b/>
          <w:bCs/>
          <w:u w:val="single"/>
        </w:rPr>
        <w:t>measure score</w:t>
      </w:r>
      <w:r w:rsidR="00CA06D8" w:rsidRPr="00327E90">
        <w:rPr>
          <w:rFonts w:eastAsia="MS Gothic" w:cstheme="minorHAnsi"/>
          <w:b/>
          <w:bCs/>
        </w:rPr>
        <w:t xml:space="preserve"> </w:t>
      </w:r>
      <w:r w:rsidR="00A41377" w:rsidRPr="00327E90">
        <w:rPr>
          <w:rFonts w:eastAsia="MS Gothic" w:cstheme="minorHAnsi"/>
          <w:b/>
          <w:bCs/>
        </w:rPr>
        <w:t>as a</w:t>
      </w:r>
      <w:r w:rsidR="00241591" w:rsidRPr="00327E90">
        <w:rPr>
          <w:rFonts w:eastAsia="MS Gothic" w:cstheme="minorHAnsi"/>
          <w:b/>
          <w:bCs/>
        </w:rPr>
        <w:t>n</w:t>
      </w:r>
      <w:r w:rsidR="00A41377" w:rsidRPr="00327E90">
        <w:rPr>
          <w:rFonts w:eastAsia="MS Gothic" w:cstheme="minorHAnsi"/>
          <w:b/>
          <w:bCs/>
        </w:rPr>
        <w:t xml:space="preserve"> indicator</w:t>
      </w:r>
      <w:r w:rsidR="00A41377" w:rsidRPr="00327E90">
        <w:rPr>
          <w:rFonts w:eastAsia="MS Gothic" w:cstheme="minorHAnsi"/>
          <w:bCs/>
        </w:rPr>
        <w:t xml:space="preserve"> </w:t>
      </w:r>
      <w:r w:rsidR="00241591" w:rsidRPr="00327E90">
        <w:rPr>
          <w:rFonts w:eastAsia="MS Gothic" w:cstheme="minorHAnsi"/>
          <w:bCs/>
        </w:rPr>
        <w:t xml:space="preserve">of quality or resource use </w:t>
      </w:r>
      <w:r w:rsidR="00A41377" w:rsidRPr="00327E90">
        <w:rPr>
          <w:rFonts w:eastAsia="MS Gothic" w:cstheme="minorHAnsi"/>
          <w:bCs/>
        </w:rPr>
        <w:t>(</w:t>
      </w:r>
      <w:r w:rsidR="00D1754D" w:rsidRPr="00327E90">
        <w:rPr>
          <w:rFonts w:eastAsia="MS Gothic" w:cstheme="minorHAnsi"/>
          <w:bCs/>
          <w:i/>
        </w:rPr>
        <w:t xml:space="preserve">i.e., is an </w:t>
      </w:r>
      <w:r w:rsidR="00A41377" w:rsidRPr="00327E90">
        <w:rPr>
          <w:rFonts w:eastAsia="MS Gothic" w:cstheme="minorHAnsi"/>
          <w:bCs/>
          <w:i/>
        </w:rPr>
        <w:t>accurate reflection of</w:t>
      </w:r>
      <w:r w:rsidR="006D6BC1" w:rsidRPr="00327E90">
        <w:rPr>
          <w:rFonts w:eastAsia="MS Gothic" w:cstheme="minorHAnsi"/>
          <w:bCs/>
          <w:i/>
        </w:rPr>
        <w:t xml:space="preserve"> </w:t>
      </w:r>
      <w:r w:rsidR="005149E7" w:rsidRPr="00327E90">
        <w:rPr>
          <w:rFonts w:eastAsia="MS Gothic" w:cstheme="minorHAnsi"/>
          <w:bCs/>
          <w:i/>
        </w:rPr>
        <w:t>performance</w:t>
      </w:r>
      <w:r w:rsidR="00A41377" w:rsidRPr="00327E90">
        <w:rPr>
          <w:rFonts w:eastAsia="MS Gothic" w:cstheme="minorHAnsi"/>
          <w:bCs/>
          <w:i/>
        </w:rPr>
        <w:t xml:space="preserve"> </w:t>
      </w:r>
      <w:r w:rsidR="000414E8" w:rsidRPr="00327E90">
        <w:rPr>
          <w:rFonts w:eastAsia="MS Gothic" w:cstheme="minorHAnsi"/>
          <w:bCs/>
          <w:i/>
        </w:rPr>
        <w:t xml:space="preserve">on </w:t>
      </w:r>
      <w:r w:rsidR="00241591" w:rsidRPr="00327E90">
        <w:rPr>
          <w:rFonts w:eastAsia="MS Gothic" w:cstheme="minorHAnsi"/>
          <w:bCs/>
          <w:i/>
        </w:rPr>
        <w:t xml:space="preserve">quality or resource use </w:t>
      </w:r>
      <w:r w:rsidR="00A41377" w:rsidRPr="00327E90">
        <w:rPr>
          <w:rFonts w:eastAsia="MS Gothic" w:cstheme="minorHAnsi"/>
          <w:bCs/>
          <w:i/>
        </w:rPr>
        <w:t xml:space="preserve">and can distinguish </w:t>
      </w:r>
      <w:r w:rsidR="000414E8" w:rsidRPr="00327E90">
        <w:rPr>
          <w:rFonts w:eastAsia="MS Gothic" w:cstheme="minorHAnsi"/>
          <w:bCs/>
          <w:i/>
        </w:rPr>
        <w:t>good from poor p</w:t>
      </w:r>
      <w:r w:rsidR="005149E7" w:rsidRPr="00327E90">
        <w:rPr>
          <w:rFonts w:eastAsia="MS Gothic" w:cstheme="minorHAnsi"/>
          <w:bCs/>
          <w:i/>
        </w:rPr>
        <w:t>erformance</w:t>
      </w:r>
      <w:r w:rsidR="00A41377" w:rsidRPr="00327E90">
        <w:rPr>
          <w:rFonts w:eastAsia="MS Gothic" w:cstheme="minorHAnsi"/>
          <w:bCs/>
        </w:rPr>
        <w:t>)</w:t>
      </w:r>
    </w:p>
    <w:p w:rsidR="00D50704" w:rsidRPr="00A25024" w:rsidRDefault="00D50704" w:rsidP="00DB3627">
      <w:pPr>
        <w:autoSpaceDE w:val="0"/>
        <w:autoSpaceDN w:val="0"/>
        <w:adjustRightInd w:val="0"/>
        <w:spacing w:after="0" w:line="240" w:lineRule="auto"/>
        <w:rPr>
          <w:rFonts w:cstheme="minorHAnsi"/>
          <w:bCs/>
        </w:rPr>
      </w:pPr>
    </w:p>
    <w:p w:rsidR="003A2C69"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3A2C69" w:rsidRDefault="003A2C69" w:rsidP="00DB3627">
      <w:pPr>
        <w:autoSpaceDE w:val="0"/>
        <w:autoSpaceDN w:val="0"/>
        <w:adjustRightInd w:val="0"/>
        <w:spacing w:after="0" w:line="240" w:lineRule="auto"/>
        <w:rPr>
          <w:rFonts w:cstheme="minorHAnsi"/>
          <w:bCs/>
          <w:i/>
        </w:rPr>
      </w:pPr>
    </w:p>
    <w:p w:rsidR="00C253B3" w:rsidRPr="006414C7" w:rsidRDefault="00C253B3" w:rsidP="00DB3627">
      <w:pPr>
        <w:autoSpaceDE w:val="0"/>
        <w:autoSpaceDN w:val="0"/>
        <w:adjustRightInd w:val="0"/>
        <w:spacing w:after="0" w:line="240" w:lineRule="auto"/>
        <w:rPr>
          <w:rFonts w:cstheme="minorHAnsi"/>
          <w:b/>
          <w:bCs/>
          <w:color w:val="FF0000"/>
          <w:u w:val="single"/>
        </w:rPr>
      </w:pPr>
      <w:r w:rsidRPr="006414C7">
        <w:rPr>
          <w:rFonts w:cstheme="minorHAnsi"/>
          <w:b/>
          <w:bCs/>
          <w:color w:val="FF0000"/>
          <w:u w:val="single"/>
        </w:rPr>
        <w:t>Empirical validity testing</w:t>
      </w:r>
    </w:p>
    <w:p w:rsidR="00AF22CF" w:rsidRDefault="00AF22CF" w:rsidP="00DB3627">
      <w:pPr>
        <w:autoSpaceDE w:val="0"/>
        <w:autoSpaceDN w:val="0"/>
        <w:adjustRightInd w:val="0"/>
        <w:spacing w:after="0" w:line="240" w:lineRule="auto"/>
        <w:rPr>
          <w:b/>
          <w:color w:val="FF0000"/>
        </w:rPr>
      </w:pPr>
    </w:p>
    <w:p w:rsidR="00AF22CF" w:rsidRPr="00AF22CF" w:rsidRDefault="00AF22CF" w:rsidP="00AF22CF">
      <w:pPr>
        <w:autoSpaceDE w:val="0"/>
        <w:autoSpaceDN w:val="0"/>
        <w:rPr>
          <w:b/>
          <w:bCs/>
          <w:color w:val="FF0000"/>
        </w:rPr>
      </w:pPr>
      <w:r>
        <w:rPr>
          <w:b/>
          <w:bCs/>
          <w:color w:val="FF0000"/>
        </w:rPr>
        <w:t>We tested for construct validity by exploring whether states</w:t>
      </w:r>
      <w:r w:rsidR="003672E3">
        <w:rPr>
          <w:b/>
          <w:bCs/>
          <w:color w:val="FF0000"/>
        </w:rPr>
        <w:t>’</w:t>
      </w:r>
      <w:r>
        <w:rPr>
          <w:b/>
          <w:bCs/>
          <w:color w:val="FF0000"/>
        </w:rPr>
        <w:t xml:space="preserve"> performance on this measure was related to their rates of inpatient hospitalization for mental health diagnoses (for the mental health </w:t>
      </w:r>
      <w:r>
        <w:rPr>
          <w:b/>
          <w:bCs/>
          <w:color w:val="FF0000"/>
        </w:rPr>
        <w:lastRenderedPageBreak/>
        <w:t xml:space="preserve">denominator) or for alcohol and other drug use disorders (for the AOD denominator).  We hypothesized that states’ with lower rates of follow-up after discharge from the </w:t>
      </w:r>
      <w:r w:rsidR="00AF0ACC">
        <w:rPr>
          <w:b/>
          <w:color w:val="FF0000"/>
        </w:rPr>
        <w:t>emergency department</w:t>
      </w:r>
      <w:r>
        <w:rPr>
          <w:b/>
          <w:bCs/>
          <w:color w:val="FF0000"/>
        </w:rPr>
        <w:t xml:space="preserve"> might have higher rates of inpatient stays for mental health and AOD. To ev</w:t>
      </w:r>
      <w:r w:rsidR="003672E3">
        <w:rPr>
          <w:b/>
          <w:bCs/>
          <w:color w:val="FF0000"/>
        </w:rPr>
        <w:t xml:space="preserve">aluate the relationship between state performance on our </w:t>
      </w:r>
      <w:r>
        <w:rPr>
          <w:b/>
          <w:bCs/>
          <w:color w:val="FF0000"/>
        </w:rPr>
        <w:t xml:space="preserve">measure and </w:t>
      </w:r>
      <w:r w:rsidR="003672E3">
        <w:rPr>
          <w:b/>
          <w:bCs/>
          <w:color w:val="FF0000"/>
        </w:rPr>
        <w:t xml:space="preserve">the state-level rate of </w:t>
      </w:r>
      <w:r>
        <w:rPr>
          <w:b/>
          <w:bCs/>
          <w:color w:val="FF0000"/>
        </w:rPr>
        <w:t xml:space="preserve">inpatient stays, we fit a mixed effects logistic regression model. We regressed a beneficiary-level indicator of inpatient stay on a state-level binary variable indicating lowest vs. highest quartile performance follow-up after </w:t>
      </w:r>
      <w:r w:rsidR="00AF0ACC">
        <w:rPr>
          <w:b/>
          <w:color w:val="FF0000"/>
        </w:rPr>
        <w:t xml:space="preserve">emergency department </w:t>
      </w:r>
      <w:r>
        <w:rPr>
          <w:b/>
          <w:bCs/>
          <w:color w:val="FF0000"/>
        </w:rPr>
        <w:t>measure. To this we added a random effect of state to account for clustering of patients within states. If the p-value for the</w:t>
      </w:r>
      <w:r w:rsidR="00B73E89">
        <w:rPr>
          <w:b/>
          <w:bCs/>
          <w:color w:val="FF0000"/>
        </w:rPr>
        <w:t xml:space="preserve"> performance</w:t>
      </w:r>
      <w:r>
        <w:rPr>
          <w:b/>
          <w:bCs/>
          <w:color w:val="FF0000"/>
        </w:rPr>
        <w:t xml:space="preserve"> indicator variable is less than 0.05, then there is a significant difference in the rates of inpatient stays between states in the lowest vs. highest quartile of performance. If the p-value is greater than 0.05, then there is not a significant difference between low- and high-performing states. </w:t>
      </w:r>
    </w:p>
    <w:p w:rsidR="005D7113" w:rsidRPr="005D7113" w:rsidRDefault="005D7113" w:rsidP="00DB3627">
      <w:pPr>
        <w:autoSpaceDE w:val="0"/>
        <w:autoSpaceDN w:val="0"/>
        <w:adjustRightInd w:val="0"/>
        <w:spacing w:after="0" w:line="240" w:lineRule="auto"/>
        <w:rPr>
          <w:b/>
          <w:color w:val="FF0000"/>
        </w:rPr>
      </w:pPr>
    </w:p>
    <w:p w:rsidR="00C253B3" w:rsidRPr="006414C7" w:rsidRDefault="00C253B3" w:rsidP="00C253B3">
      <w:pPr>
        <w:autoSpaceDE w:val="0"/>
        <w:autoSpaceDN w:val="0"/>
        <w:adjustRightInd w:val="0"/>
        <w:spacing w:after="0" w:line="240" w:lineRule="auto"/>
        <w:rPr>
          <w:rFonts w:eastAsia="Times New Roman" w:cs="Times New Roman"/>
          <w:b/>
          <w:color w:val="FF0000"/>
          <w:szCs w:val="20"/>
          <w:u w:val="single"/>
        </w:rPr>
      </w:pPr>
      <w:r w:rsidRPr="006414C7">
        <w:rPr>
          <w:rFonts w:eastAsia="Times New Roman" w:cs="Times New Roman"/>
          <w:b/>
          <w:color w:val="FF0000"/>
          <w:szCs w:val="20"/>
          <w:u w:val="single"/>
        </w:rPr>
        <w:t>Systematic Assessment of Face Validity</w:t>
      </w:r>
    </w:p>
    <w:p w:rsidR="00C253B3" w:rsidRPr="00322721" w:rsidRDefault="00C253B3" w:rsidP="00C253B3">
      <w:pPr>
        <w:autoSpaceDE w:val="0"/>
        <w:autoSpaceDN w:val="0"/>
        <w:adjustRightInd w:val="0"/>
        <w:spacing w:after="0" w:line="240" w:lineRule="auto"/>
        <w:rPr>
          <w:rFonts w:eastAsia="Times New Roman" w:cs="Times New Roman"/>
          <w:b/>
          <w:color w:val="FF0000"/>
          <w:szCs w:val="20"/>
        </w:rPr>
      </w:pPr>
      <w:r w:rsidRPr="00322721">
        <w:rPr>
          <w:rFonts w:eastAsia="Times New Roman" w:cs="Times New Roman"/>
          <w:b/>
          <w:color w:val="FF0000"/>
          <w:szCs w:val="20"/>
        </w:rPr>
        <w:t xml:space="preserve">Our field test addressed the face validity of the measure specification by several types of stakeholder input. </w:t>
      </w:r>
    </w:p>
    <w:p w:rsidR="00AF0EA0" w:rsidRDefault="00AF0EA0" w:rsidP="00C253B3">
      <w:pPr>
        <w:autoSpaceDE w:val="0"/>
        <w:autoSpaceDN w:val="0"/>
        <w:adjustRightInd w:val="0"/>
        <w:spacing w:after="0" w:line="240" w:lineRule="auto"/>
        <w:rPr>
          <w:rFonts w:eastAsia="Times New Roman" w:cs="Times New Roman"/>
          <w:b/>
          <w:color w:val="FF0000"/>
          <w:szCs w:val="20"/>
        </w:rPr>
      </w:pPr>
    </w:p>
    <w:p w:rsidR="00C253B3" w:rsidRPr="00322721" w:rsidRDefault="00C253B3" w:rsidP="00C253B3">
      <w:pPr>
        <w:autoSpaceDE w:val="0"/>
        <w:autoSpaceDN w:val="0"/>
        <w:adjustRightInd w:val="0"/>
        <w:spacing w:after="0" w:line="240" w:lineRule="auto"/>
        <w:rPr>
          <w:rFonts w:eastAsia="Times New Roman" w:cs="Times New Roman"/>
          <w:b/>
          <w:color w:val="FF0000"/>
          <w:szCs w:val="20"/>
        </w:rPr>
      </w:pPr>
      <w:r w:rsidRPr="00322721">
        <w:rPr>
          <w:rFonts w:eastAsia="Times New Roman" w:cs="Times New Roman"/>
          <w:b/>
          <w:color w:val="FF0000"/>
          <w:szCs w:val="20"/>
        </w:rPr>
        <w:t>A multi</w:t>
      </w:r>
      <w:r w:rsidR="00C7391D">
        <w:rPr>
          <w:rFonts w:eastAsia="Times New Roman" w:cs="Times New Roman"/>
          <w:b/>
          <w:color w:val="FF0000"/>
          <w:szCs w:val="20"/>
        </w:rPr>
        <w:t>-</w:t>
      </w:r>
      <w:r w:rsidRPr="00322721">
        <w:rPr>
          <w:rFonts w:eastAsia="Times New Roman" w:cs="Times New Roman"/>
          <w:b/>
          <w:color w:val="FF0000"/>
          <w:szCs w:val="20"/>
        </w:rPr>
        <w:t>stakeholder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rsidR="00C253B3" w:rsidRPr="00322721" w:rsidRDefault="00C253B3" w:rsidP="00C253B3">
      <w:pPr>
        <w:autoSpaceDE w:val="0"/>
        <w:autoSpaceDN w:val="0"/>
        <w:adjustRightInd w:val="0"/>
        <w:spacing w:after="0" w:line="240" w:lineRule="auto"/>
        <w:rPr>
          <w:rFonts w:eastAsia="Times New Roman" w:cs="Times New Roman"/>
          <w:b/>
          <w:color w:val="FF0000"/>
          <w:szCs w:val="20"/>
        </w:rPr>
      </w:pPr>
    </w:p>
    <w:p w:rsidR="00C253B3" w:rsidRPr="00322721" w:rsidRDefault="00C253B3" w:rsidP="00C253B3">
      <w:pPr>
        <w:autoSpaceDE w:val="0"/>
        <w:autoSpaceDN w:val="0"/>
        <w:adjustRightInd w:val="0"/>
        <w:spacing w:after="0" w:line="240" w:lineRule="auto"/>
        <w:rPr>
          <w:rFonts w:eastAsia="Times New Roman" w:cs="Times New Roman"/>
          <w:b/>
          <w:color w:val="FF0000"/>
          <w:szCs w:val="20"/>
        </w:rPr>
      </w:pPr>
      <w:r w:rsidRPr="00322721">
        <w:rPr>
          <w:rFonts w:eastAsia="Times New Roman" w:cs="Times New Roman"/>
          <w:b/>
          <w:color w:val="FF0000"/>
          <w:szCs w:val="20"/>
        </w:rPr>
        <w:t>In addition, four multi</w:t>
      </w:r>
      <w:r w:rsidR="00C7391D">
        <w:rPr>
          <w:rFonts w:eastAsia="Times New Roman" w:cs="Times New Roman"/>
          <w:b/>
          <w:color w:val="FF0000"/>
          <w:szCs w:val="20"/>
        </w:rPr>
        <w:t>-</w:t>
      </w:r>
      <w:r w:rsidRPr="00322721">
        <w:rPr>
          <w:rFonts w:eastAsia="Times New Roman" w:cs="Times New Roman"/>
          <w:b/>
          <w:color w:val="FF0000"/>
          <w:szCs w:val="20"/>
        </w:rPr>
        <w:t xml:space="preserve">stakeholder focus groups that included 29 representatives from Medicaid plans, states, integrated care systems, consumers/advocates, and other health care organizations reviewed and commented on the draft specifications and field test results. </w:t>
      </w:r>
    </w:p>
    <w:p w:rsidR="00C253B3" w:rsidRPr="00322721" w:rsidRDefault="00C253B3" w:rsidP="00C253B3">
      <w:pPr>
        <w:autoSpaceDE w:val="0"/>
        <w:autoSpaceDN w:val="0"/>
        <w:adjustRightInd w:val="0"/>
        <w:spacing w:after="0" w:line="240" w:lineRule="auto"/>
        <w:rPr>
          <w:rFonts w:eastAsia="Times New Roman" w:cs="Times New Roman"/>
          <w:b/>
          <w:color w:val="FF0000"/>
          <w:szCs w:val="20"/>
        </w:rPr>
      </w:pPr>
    </w:p>
    <w:p w:rsidR="00C253B3" w:rsidRDefault="00C253B3" w:rsidP="00C253B3">
      <w:pPr>
        <w:autoSpaceDE w:val="0"/>
        <w:autoSpaceDN w:val="0"/>
        <w:adjustRightInd w:val="0"/>
        <w:spacing w:after="0" w:line="240" w:lineRule="auto"/>
        <w:rPr>
          <w:rFonts w:eastAsia="Times New Roman" w:cs="Times New Roman"/>
          <w:b/>
          <w:color w:val="FF0000"/>
          <w:szCs w:val="20"/>
        </w:rPr>
      </w:pPr>
      <w:r w:rsidRPr="00322721">
        <w:rPr>
          <w:rFonts w:eastAsia="Times New Roman" w:cs="Times New Roman"/>
          <w:b/>
          <w:color w:val="FF0000"/>
          <w:szCs w:val="20"/>
        </w:rPr>
        <w:t xml:space="preserve">We also received feedback from a two-week public comment period hosted on NCQA’s online public comment system. The public comment notification was submitted to stakeholders representing consumers, health plans, clinicians, quality measurement and behavioral health experts. </w:t>
      </w:r>
    </w:p>
    <w:p w:rsidR="006414C7" w:rsidRDefault="006414C7" w:rsidP="00C253B3">
      <w:pPr>
        <w:autoSpaceDE w:val="0"/>
        <w:autoSpaceDN w:val="0"/>
        <w:adjustRightInd w:val="0"/>
        <w:spacing w:after="0" w:line="240" w:lineRule="auto"/>
        <w:rPr>
          <w:rFonts w:eastAsia="Times New Roman" w:cs="Times New Roman"/>
          <w:b/>
          <w:color w:val="FF0000"/>
          <w:szCs w:val="20"/>
        </w:rPr>
      </w:pPr>
    </w:p>
    <w:p w:rsidR="006414C7" w:rsidRPr="00BF1B42" w:rsidRDefault="006414C7" w:rsidP="006414C7">
      <w:pPr>
        <w:autoSpaceDE w:val="0"/>
        <w:autoSpaceDN w:val="0"/>
        <w:adjustRightInd w:val="0"/>
        <w:spacing w:after="0" w:line="240" w:lineRule="auto"/>
        <w:rPr>
          <w:rFonts w:eastAsia="Times New Roman" w:cs="Times New Roman"/>
          <w:b/>
          <w:bCs/>
          <w:color w:val="FF0000"/>
          <w:u w:val="single"/>
        </w:rPr>
      </w:pPr>
      <w:r w:rsidRPr="00BF1B42">
        <w:rPr>
          <w:rFonts w:eastAsia="Times New Roman" w:cs="Times New Roman"/>
          <w:b/>
          <w:bCs/>
          <w:color w:val="FF0000"/>
          <w:u w:val="single"/>
        </w:rPr>
        <w:t>ICD-10 CONVERSION</w:t>
      </w:r>
    </w:p>
    <w:p w:rsidR="006414C7" w:rsidRPr="00BA6C39" w:rsidRDefault="006414C7" w:rsidP="006414C7">
      <w:p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 xml:space="preserve">The goal was to convert this measure to a new code set, fully consistent with the intent of the original measure. </w:t>
      </w:r>
    </w:p>
    <w:p w:rsidR="006414C7" w:rsidRPr="00BA6C39" w:rsidRDefault="006414C7" w:rsidP="006414C7">
      <w:pPr>
        <w:autoSpaceDE w:val="0"/>
        <w:autoSpaceDN w:val="0"/>
        <w:adjustRightInd w:val="0"/>
        <w:spacing w:after="0" w:line="240" w:lineRule="auto"/>
        <w:rPr>
          <w:rFonts w:eastAsia="Times New Roman" w:cs="Times New Roman"/>
          <w:b/>
          <w:color w:val="FF0000"/>
        </w:rPr>
      </w:pPr>
    </w:p>
    <w:p w:rsidR="006414C7" w:rsidRPr="00BA6C39" w:rsidRDefault="006414C7" w:rsidP="006414C7">
      <w:pPr>
        <w:autoSpaceDE w:val="0"/>
        <w:autoSpaceDN w:val="0"/>
        <w:adjustRightInd w:val="0"/>
        <w:spacing w:after="0" w:line="240" w:lineRule="auto"/>
        <w:rPr>
          <w:rFonts w:eastAsia="Times New Roman" w:cs="Times New Roman"/>
          <w:b/>
          <w:i/>
          <w:color w:val="FF0000"/>
        </w:rPr>
      </w:pPr>
      <w:r w:rsidRPr="00BA6C39">
        <w:rPr>
          <w:rFonts w:eastAsia="Times New Roman" w:cs="Times New Roman"/>
          <w:b/>
          <w:i/>
          <w:color w:val="FF0000"/>
        </w:rPr>
        <w:t>Steps in ICD-9 to ICD-10 Conversion Process</w:t>
      </w:r>
    </w:p>
    <w:p w:rsidR="006414C7" w:rsidRPr="00BA6C39" w:rsidRDefault="006414C7" w:rsidP="006414C7">
      <w:pPr>
        <w:numPr>
          <w:ilvl w:val="0"/>
          <w:numId w:val="34"/>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NCQA staff identify ICD-10 codes to be considered based on ICD-9 codes currently in measure. Use GEM to identify ICD-10 codes that map to ICD-9 codes. Review GEM mapping in both directions (ICD-9 to ICD-10 and ICD-10 to ICD-9) to identify potential trending issues.</w:t>
      </w:r>
    </w:p>
    <w:p w:rsidR="006414C7" w:rsidRPr="00BA6C39" w:rsidRDefault="006414C7" w:rsidP="006414C7">
      <w:pPr>
        <w:numPr>
          <w:ilvl w:val="0"/>
          <w:numId w:val="34"/>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NCQA staff identify additional codes (not identified by GEM mapping step) that should be considered. Using ICD-10 tabular list and ICD-10 Index, search by diagnosis or procedure name for appropriate codes.</w:t>
      </w:r>
    </w:p>
    <w:p w:rsidR="006414C7" w:rsidRPr="00BA6C39" w:rsidRDefault="006414C7" w:rsidP="006414C7">
      <w:pPr>
        <w:numPr>
          <w:ilvl w:val="0"/>
          <w:numId w:val="34"/>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 xml:space="preserve">NCQA HEDIS Expert Coding Panel review NCQA staff recommendations and provide feedback. </w:t>
      </w:r>
    </w:p>
    <w:p w:rsidR="006414C7" w:rsidRPr="00BA6C39" w:rsidRDefault="006414C7" w:rsidP="006414C7">
      <w:pPr>
        <w:numPr>
          <w:ilvl w:val="0"/>
          <w:numId w:val="34"/>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 xml:space="preserve">As needed, NCQA Measurement Advisory Panels perform clinical review. Due to increased specificity in ICD-10, new codes and definitions require review to confirm the diagnosis or procedure is intended to be included in the scope of the measure. Not all ICD-10 </w:t>
      </w:r>
      <w:r w:rsidRPr="00BA6C39">
        <w:rPr>
          <w:rFonts w:eastAsia="Times New Roman" w:cs="Times New Roman"/>
          <w:b/>
          <w:color w:val="FF0000"/>
        </w:rPr>
        <w:lastRenderedPageBreak/>
        <w:t>recommendations are reviewed by NCQA MAP; MAP review items are identified during staff conversion or by HEDIS Expert Coding Panel.</w:t>
      </w:r>
    </w:p>
    <w:p w:rsidR="006414C7" w:rsidRPr="00BA6C39" w:rsidRDefault="006414C7" w:rsidP="006414C7">
      <w:pPr>
        <w:numPr>
          <w:ilvl w:val="0"/>
          <w:numId w:val="34"/>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 xml:space="preserve">Post ICD-10 code recommendations for public review and comment. </w:t>
      </w:r>
    </w:p>
    <w:p w:rsidR="006414C7" w:rsidRPr="00BA6C39" w:rsidRDefault="006414C7" w:rsidP="006414C7">
      <w:pPr>
        <w:numPr>
          <w:ilvl w:val="0"/>
          <w:numId w:val="34"/>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Reconcile public comments. Obtain additional feedback from HEDIS Expert Coding Panel and MAPs as needed.</w:t>
      </w:r>
    </w:p>
    <w:p w:rsidR="006414C7" w:rsidRPr="00BA6C39" w:rsidRDefault="006414C7" w:rsidP="006414C7">
      <w:pPr>
        <w:numPr>
          <w:ilvl w:val="0"/>
          <w:numId w:val="34"/>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NCQA staff finalize ICD-10 code recommendations.</w:t>
      </w:r>
    </w:p>
    <w:p w:rsidR="006414C7" w:rsidRPr="00BA6C39" w:rsidRDefault="006414C7" w:rsidP="006414C7">
      <w:pPr>
        <w:autoSpaceDE w:val="0"/>
        <w:autoSpaceDN w:val="0"/>
        <w:adjustRightInd w:val="0"/>
        <w:spacing w:after="0" w:line="240" w:lineRule="auto"/>
        <w:rPr>
          <w:rFonts w:eastAsia="Times New Roman" w:cs="Times New Roman"/>
          <w:b/>
          <w:color w:val="FF0000"/>
        </w:rPr>
      </w:pPr>
    </w:p>
    <w:p w:rsidR="006414C7" w:rsidRPr="00BA6C39" w:rsidRDefault="006414C7" w:rsidP="006414C7">
      <w:pPr>
        <w:autoSpaceDE w:val="0"/>
        <w:autoSpaceDN w:val="0"/>
        <w:adjustRightInd w:val="0"/>
        <w:spacing w:after="0" w:line="240" w:lineRule="auto"/>
        <w:rPr>
          <w:rFonts w:eastAsia="Times New Roman" w:cs="Times New Roman"/>
          <w:b/>
          <w:i/>
          <w:color w:val="FF0000"/>
        </w:rPr>
      </w:pPr>
      <w:r w:rsidRPr="00BA6C39">
        <w:rPr>
          <w:rFonts w:eastAsia="Times New Roman" w:cs="Times New Roman"/>
          <w:b/>
          <w:i/>
          <w:color w:val="FF0000"/>
        </w:rPr>
        <w:t xml:space="preserve">Tools Used to Identify/Map to ICD-10 </w:t>
      </w:r>
    </w:p>
    <w:p w:rsidR="006414C7" w:rsidRPr="00BA6C39" w:rsidRDefault="006414C7" w:rsidP="006414C7">
      <w:p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All tools used for mapping/code identification from CMS ICD-10 website (</w:t>
      </w:r>
      <w:hyperlink r:id="rId12" w:history="1">
        <w:r w:rsidRPr="00BA6C39">
          <w:rPr>
            <w:rStyle w:val="Hyperlink"/>
            <w:rFonts w:eastAsia="Times New Roman" w:cs="Times New Roman"/>
            <w:b/>
          </w:rPr>
          <w:t>http://www.cms.gov/Medicare/Coding/ICD10/2012-ICD-10-CM-and-GEMs.html</w:t>
        </w:r>
      </w:hyperlink>
      <w:r w:rsidRPr="00BA6C39">
        <w:rPr>
          <w:rFonts w:eastAsia="Times New Roman" w:cs="Times New Roman"/>
          <w:b/>
          <w:color w:val="FF0000"/>
        </w:rPr>
        <w:t xml:space="preserve">). </w:t>
      </w:r>
    </w:p>
    <w:p w:rsidR="006414C7" w:rsidRPr="00BA6C39" w:rsidRDefault="006414C7" w:rsidP="006414C7">
      <w:p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GEM, ICD-10 Guidelines, ICD-10-CM Tabular List of Diseases and Injuries, ICD-10-PCS Tabular List.</w:t>
      </w:r>
    </w:p>
    <w:p w:rsidR="006414C7" w:rsidRPr="00322721" w:rsidRDefault="006414C7" w:rsidP="00C253B3">
      <w:pPr>
        <w:autoSpaceDE w:val="0"/>
        <w:autoSpaceDN w:val="0"/>
        <w:adjustRightInd w:val="0"/>
        <w:spacing w:after="0" w:line="240" w:lineRule="auto"/>
        <w:rPr>
          <w:rFonts w:eastAsia="Times New Roman" w:cs="Times New Roman"/>
          <w:b/>
          <w:color w:val="FF0000"/>
          <w:szCs w:val="20"/>
        </w:rPr>
      </w:pPr>
    </w:p>
    <w:p w:rsidR="00833325" w:rsidRPr="00A25024" w:rsidRDefault="00833325" w:rsidP="00DB3627">
      <w:pPr>
        <w:autoSpaceDE w:val="0"/>
        <w:autoSpaceDN w:val="0"/>
        <w:adjustRightInd w:val="0"/>
        <w:spacing w:after="0" w:line="240" w:lineRule="auto"/>
        <w:rPr>
          <w:rFonts w:cstheme="minorHAnsi"/>
          <w:bCs/>
        </w:rPr>
      </w:pPr>
    </w:p>
    <w:p w:rsidR="003C7579"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3C7579" w:rsidRPr="00FA36E5" w:rsidRDefault="003C7579" w:rsidP="00092566">
      <w:pPr>
        <w:autoSpaceDE w:val="0"/>
        <w:autoSpaceDN w:val="0"/>
        <w:adjustRightInd w:val="0"/>
        <w:spacing w:after="0" w:line="240" w:lineRule="auto"/>
        <w:rPr>
          <w:rFonts w:cstheme="minorHAnsi"/>
          <w:bCs/>
          <w:color w:val="7030A0"/>
        </w:rPr>
      </w:pPr>
    </w:p>
    <w:p w:rsidR="00A97F84" w:rsidRPr="00281BA8" w:rsidRDefault="00672119" w:rsidP="00092566">
      <w:pPr>
        <w:autoSpaceDE w:val="0"/>
        <w:autoSpaceDN w:val="0"/>
        <w:adjustRightInd w:val="0"/>
        <w:spacing w:after="0" w:line="240" w:lineRule="auto"/>
        <w:rPr>
          <w:rFonts w:cstheme="minorHAnsi"/>
          <w:b/>
          <w:bCs/>
          <w:color w:val="FF0000"/>
        </w:rPr>
      </w:pPr>
      <w:r w:rsidRPr="00281BA8">
        <w:rPr>
          <w:rFonts w:cstheme="minorHAnsi"/>
          <w:b/>
          <w:bCs/>
          <w:color w:val="FF0000"/>
        </w:rPr>
        <w:t xml:space="preserve">Table 3: </w:t>
      </w:r>
      <w:r w:rsidR="00A97F84" w:rsidRPr="00281BA8">
        <w:rPr>
          <w:rFonts w:cstheme="minorHAnsi"/>
          <w:b/>
          <w:bCs/>
          <w:color w:val="FF0000"/>
        </w:rPr>
        <w:t>Utilization of Inpatient Hospitalization</w:t>
      </w:r>
      <w:r w:rsidR="007F6B96" w:rsidRPr="00281BA8">
        <w:rPr>
          <w:rFonts w:cstheme="minorHAnsi"/>
          <w:b/>
          <w:bCs/>
          <w:color w:val="FF0000"/>
        </w:rPr>
        <w:t xml:space="preserve"> for Mental Health</w:t>
      </w:r>
      <w:r w:rsidR="00A97F84" w:rsidRPr="00281BA8">
        <w:rPr>
          <w:rFonts w:cstheme="minorHAnsi"/>
          <w:b/>
          <w:bCs/>
          <w:color w:val="FF0000"/>
        </w:rPr>
        <w:t xml:space="preserve"> </w:t>
      </w:r>
      <w:r w:rsidR="000C2787" w:rsidRPr="00281BA8">
        <w:rPr>
          <w:rFonts w:cstheme="minorHAnsi"/>
          <w:b/>
          <w:bCs/>
          <w:color w:val="FF0000"/>
        </w:rPr>
        <w:t xml:space="preserve">Diagnosis </w:t>
      </w:r>
      <w:r w:rsidR="00A97F84" w:rsidRPr="00281BA8">
        <w:rPr>
          <w:rFonts w:cstheme="minorHAnsi"/>
          <w:b/>
          <w:bCs/>
          <w:color w:val="FF0000"/>
        </w:rPr>
        <w:t>by Measure Performance Quartile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96"/>
        <w:gridCol w:w="4041"/>
        <w:gridCol w:w="3223"/>
        <w:gridCol w:w="1008"/>
      </w:tblGrid>
      <w:tr w:rsidR="00281BA8" w:rsidRPr="00281BA8" w:rsidTr="00C253B3">
        <w:trPr>
          <w:trHeight w:val="553"/>
        </w:trPr>
        <w:tc>
          <w:tcPr>
            <w:tcW w:w="0" w:type="auto"/>
            <w:shd w:val="clear" w:color="auto" w:fill="auto"/>
            <w:vAlign w:val="bottom"/>
            <w:hideMark/>
          </w:tcPr>
          <w:p w:rsidR="00A97F84" w:rsidRPr="00281BA8" w:rsidRDefault="00A97F84" w:rsidP="003F67C1">
            <w:pPr>
              <w:spacing w:after="0" w:line="240" w:lineRule="auto"/>
              <w:rPr>
                <w:rFonts w:eastAsia="Times New Roman" w:cs="Arial"/>
                <w:b/>
                <w:color w:val="FF0000"/>
              </w:rPr>
            </w:pPr>
            <w:r w:rsidRPr="00281BA8">
              <w:rPr>
                <w:rFonts w:eastAsia="Times New Roman" w:cs="Arial"/>
                <w:b/>
                <w:color w:val="FF0000"/>
              </w:rPr>
              <w:t> </w:t>
            </w:r>
          </w:p>
        </w:tc>
        <w:tc>
          <w:tcPr>
            <w:tcW w:w="7226" w:type="dxa"/>
            <w:gridSpan w:val="2"/>
            <w:shd w:val="clear" w:color="auto" w:fill="auto"/>
            <w:vAlign w:val="bottom"/>
            <w:hideMark/>
          </w:tcPr>
          <w:p w:rsidR="00A97F84" w:rsidRPr="00281BA8" w:rsidRDefault="000C2787" w:rsidP="000C2787">
            <w:pPr>
              <w:spacing w:after="0" w:line="240" w:lineRule="auto"/>
              <w:jc w:val="center"/>
              <w:rPr>
                <w:rFonts w:eastAsia="Times New Roman" w:cs="Arial"/>
                <w:b/>
                <w:color w:val="FF0000"/>
              </w:rPr>
            </w:pPr>
            <w:r w:rsidRPr="00281BA8">
              <w:rPr>
                <w:rFonts w:eastAsia="Times New Roman" w:cs="Arial"/>
                <w:b/>
                <w:color w:val="FF0000"/>
              </w:rPr>
              <w:t>Enrollees Hospitalized for</w:t>
            </w:r>
            <w:r w:rsidR="00A97F84" w:rsidRPr="00281BA8">
              <w:rPr>
                <w:rFonts w:eastAsia="Times New Roman" w:cs="Arial"/>
                <w:b/>
                <w:color w:val="FF0000"/>
              </w:rPr>
              <w:t xml:space="preserve"> Mental Health Diagnosis</w:t>
            </w:r>
            <w:r w:rsidRPr="00281BA8">
              <w:rPr>
                <w:rFonts w:eastAsia="Times New Roman" w:cs="Arial"/>
                <w:b/>
                <w:color w:val="FF0000"/>
              </w:rPr>
              <w:t xml:space="preserve"> (Percentage)</w:t>
            </w:r>
          </w:p>
        </w:tc>
        <w:tc>
          <w:tcPr>
            <w:tcW w:w="1008" w:type="dxa"/>
            <w:shd w:val="clear" w:color="auto" w:fill="auto"/>
            <w:vAlign w:val="bottom"/>
            <w:hideMark/>
          </w:tcPr>
          <w:p w:rsidR="00A97F84" w:rsidRPr="00281BA8" w:rsidRDefault="00A97F84" w:rsidP="003F67C1">
            <w:pPr>
              <w:spacing w:after="0" w:line="240" w:lineRule="auto"/>
              <w:jc w:val="center"/>
              <w:rPr>
                <w:rFonts w:eastAsia="Times New Roman" w:cs="Arial"/>
                <w:b/>
                <w:bCs/>
                <w:color w:val="FF0000"/>
              </w:rPr>
            </w:pPr>
            <w:r w:rsidRPr="00281BA8">
              <w:rPr>
                <w:rFonts w:eastAsia="Times New Roman" w:cs="Arial"/>
                <w:b/>
                <w:bCs/>
                <w:color w:val="FF0000"/>
              </w:rPr>
              <w:t> </w:t>
            </w:r>
          </w:p>
        </w:tc>
      </w:tr>
      <w:tr w:rsidR="00281BA8" w:rsidRPr="00281BA8" w:rsidTr="00C253B3">
        <w:trPr>
          <w:trHeight w:val="553"/>
        </w:trPr>
        <w:tc>
          <w:tcPr>
            <w:tcW w:w="0" w:type="auto"/>
            <w:shd w:val="clear" w:color="auto" w:fill="auto"/>
            <w:vAlign w:val="bottom"/>
            <w:hideMark/>
          </w:tcPr>
          <w:p w:rsidR="00A97F84" w:rsidRPr="00281BA8" w:rsidRDefault="00A97F84" w:rsidP="003F67C1">
            <w:pPr>
              <w:spacing w:after="0" w:line="240" w:lineRule="auto"/>
              <w:rPr>
                <w:rFonts w:eastAsia="Times New Roman" w:cs="Arial"/>
                <w:b/>
                <w:color w:val="FF0000"/>
              </w:rPr>
            </w:pPr>
          </w:p>
          <w:p w:rsidR="00A97F84" w:rsidRPr="00281BA8" w:rsidRDefault="00A97F84" w:rsidP="003F67C1">
            <w:pPr>
              <w:spacing w:after="0" w:line="240" w:lineRule="auto"/>
              <w:rPr>
                <w:rFonts w:eastAsia="Times New Roman" w:cs="Arial"/>
                <w:b/>
                <w:color w:val="FF0000"/>
              </w:rPr>
            </w:pPr>
          </w:p>
        </w:tc>
        <w:tc>
          <w:tcPr>
            <w:tcW w:w="0" w:type="auto"/>
            <w:shd w:val="clear" w:color="auto" w:fill="auto"/>
            <w:vAlign w:val="bottom"/>
            <w:hideMark/>
          </w:tcPr>
          <w:p w:rsidR="00A97F84" w:rsidRPr="00281BA8" w:rsidRDefault="000C2787" w:rsidP="000C2787">
            <w:pPr>
              <w:spacing w:after="0" w:line="240" w:lineRule="auto"/>
              <w:jc w:val="center"/>
              <w:rPr>
                <w:rFonts w:eastAsia="Times New Roman" w:cs="Arial"/>
                <w:b/>
                <w:color w:val="FF0000"/>
              </w:rPr>
            </w:pPr>
            <w:r w:rsidRPr="00281BA8">
              <w:rPr>
                <w:rFonts w:eastAsia="Times New Roman" w:cs="Arial"/>
                <w:b/>
                <w:color w:val="FF0000"/>
              </w:rPr>
              <w:t xml:space="preserve">Among </w:t>
            </w:r>
            <w:r w:rsidR="00A97F84" w:rsidRPr="00281BA8">
              <w:rPr>
                <w:rFonts w:eastAsia="Times New Roman" w:cs="Arial"/>
                <w:b/>
                <w:color w:val="FF0000"/>
              </w:rPr>
              <w:t>States in Bottom 25 Percent</w:t>
            </w:r>
            <w:r w:rsidR="006462CC" w:rsidRPr="00281BA8">
              <w:rPr>
                <w:rFonts w:eastAsia="Times New Roman" w:cs="Arial"/>
                <w:b/>
                <w:color w:val="FF0000"/>
              </w:rPr>
              <w:t xml:space="preserve"> of </w:t>
            </w:r>
            <w:r w:rsidRPr="00281BA8">
              <w:rPr>
                <w:rFonts w:eastAsia="Times New Roman" w:cs="Arial"/>
                <w:b/>
                <w:color w:val="FF0000"/>
              </w:rPr>
              <w:t xml:space="preserve">performance on </w:t>
            </w:r>
            <w:r w:rsidR="006462CC" w:rsidRPr="00281BA8">
              <w:rPr>
                <w:rFonts w:eastAsia="Times New Roman" w:cs="Arial"/>
                <w:b/>
                <w:color w:val="FF0000"/>
              </w:rPr>
              <w:t>FUED</w:t>
            </w:r>
            <w:r w:rsidRPr="00281BA8">
              <w:rPr>
                <w:rFonts w:eastAsia="Times New Roman" w:cs="Arial"/>
                <w:b/>
                <w:color w:val="FF0000"/>
              </w:rPr>
              <w:t xml:space="preserve"> - Mental Health Denominator</w:t>
            </w:r>
          </w:p>
        </w:tc>
        <w:tc>
          <w:tcPr>
            <w:tcW w:w="3223" w:type="dxa"/>
            <w:shd w:val="clear" w:color="auto" w:fill="auto"/>
            <w:vAlign w:val="bottom"/>
            <w:hideMark/>
          </w:tcPr>
          <w:p w:rsidR="00A97F84" w:rsidRPr="00281BA8" w:rsidRDefault="000C2787" w:rsidP="000C2787">
            <w:pPr>
              <w:spacing w:after="0" w:line="240" w:lineRule="auto"/>
              <w:jc w:val="center"/>
              <w:rPr>
                <w:rFonts w:eastAsia="Times New Roman" w:cs="Arial"/>
                <w:b/>
                <w:color w:val="FF0000"/>
              </w:rPr>
            </w:pPr>
            <w:r w:rsidRPr="00281BA8">
              <w:rPr>
                <w:rFonts w:eastAsia="Times New Roman" w:cs="Arial"/>
                <w:b/>
                <w:color w:val="FF0000"/>
              </w:rPr>
              <w:t xml:space="preserve">Among </w:t>
            </w:r>
            <w:r w:rsidR="00A97F84" w:rsidRPr="00281BA8">
              <w:rPr>
                <w:rFonts w:eastAsia="Times New Roman" w:cs="Arial"/>
                <w:b/>
                <w:color w:val="FF0000"/>
              </w:rPr>
              <w:t>States in Top 25 Percent</w:t>
            </w:r>
            <w:r w:rsidR="006462CC" w:rsidRPr="00281BA8">
              <w:rPr>
                <w:rFonts w:eastAsia="Times New Roman" w:cs="Arial"/>
                <w:b/>
                <w:color w:val="FF0000"/>
              </w:rPr>
              <w:t xml:space="preserve"> of </w:t>
            </w:r>
            <w:r w:rsidRPr="00281BA8">
              <w:rPr>
                <w:rFonts w:eastAsia="Times New Roman" w:cs="Arial"/>
                <w:b/>
                <w:color w:val="FF0000"/>
              </w:rPr>
              <w:t>FUED – Mental Health Denominator</w:t>
            </w:r>
          </w:p>
        </w:tc>
        <w:tc>
          <w:tcPr>
            <w:tcW w:w="1008" w:type="dxa"/>
            <w:shd w:val="clear" w:color="auto" w:fill="auto"/>
            <w:vAlign w:val="bottom"/>
            <w:hideMark/>
          </w:tcPr>
          <w:p w:rsidR="00A97F84" w:rsidRPr="00281BA8" w:rsidRDefault="00A97F84" w:rsidP="003F67C1">
            <w:pPr>
              <w:spacing w:after="0" w:line="240" w:lineRule="auto"/>
              <w:jc w:val="center"/>
              <w:rPr>
                <w:rFonts w:eastAsia="Times New Roman" w:cs="Arial"/>
                <w:b/>
                <w:color w:val="FF0000"/>
              </w:rPr>
            </w:pPr>
            <w:r w:rsidRPr="00281BA8">
              <w:rPr>
                <w:rFonts w:eastAsia="Times New Roman" w:cs="Arial"/>
                <w:b/>
                <w:color w:val="FF0000"/>
              </w:rPr>
              <w:t>p-value</w:t>
            </w:r>
          </w:p>
        </w:tc>
      </w:tr>
      <w:tr w:rsidR="00281BA8" w:rsidRPr="00281BA8" w:rsidTr="00C253B3">
        <w:trPr>
          <w:trHeight w:val="300"/>
        </w:trPr>
        <w:tc>
          <w:tcPr>
            <w:tcW w:w="0" w:type="auto"/>
            <w:shd w:val="clear" w:color="auto" w:fill="auto"/>
            <w:vAlign w:val="bottom"/>
            <w:hideMark/>
          </w:tcPr>
          <w:p w:rsidR="00A97F84" w:rsidRPr="00281BA8" w:rsidRDefault="00A97F84" w:rsidP="000C2787">
            <w:pPr>
              <w:spacing w:after="0" w:line="240" w:lineRule="auto"/>
              <w:rPr>
                <w:rFonts w:eastAsia="Times New Roman" w:cs="Arial"/>
                <w:b/>
                <w:color w:val="FF0000"/>
              </w:rPr>
            </w:pPr>
            <w:r w:rsidRPr="00281BA8">
              <w:rPr>
                <w:rFonts w:eastAsia="Times New Roman" w:cs="Arial"/>
                <w:b/>
                <w:color w:val="FF0000"/>
              </w:rPr>
              <w:t>7-day follow-up</w:t>
            </w:r>
          </w:p>
        </w:tc>
        <w:tc>
          <w:tcPr>
            <w:tcW w:w="0" w:type="auto"/>
            <w:shd w:val="clear" w:color="auto" w:fill="auto"/>
            <w:vAlign w:val="bottom"/>
            <w:hideMark/>
          </w:tcPr>
          <w:p w:rsidR="00A97F84" w:rsidRPr="00281BA8" w:rsidRDefault="005D7113" w:rsidP="00FA36E5">
            <w:pPr>
              <w:spacing w:after="0" w:line="240" w:lineRule="auto"/>
              <w:jc w:val="right"/>
              <w:rPr>
                <w:rFonts w:eastAsia="Times New Roman" w:cs="Arial"/>
                <w:b/>
                <w:color w:val="FF0000"/>
              </w:rPr>
            </w:pPr>
            <w:r w:rsidRPr="00281BA8">
              <w:rPr>
                <w:rFonts w:eastAsia="Times New Roman" w:cs="Arial"/>
                <w:b/>
                <w:color w:val="FF0000"/>
              </w:rPr>
              <w:t>1.</w:t>
            </w:r>
            <w:r w:rsidR="00FA36E5" w:rsidRPr="00281BA8">
              <w:rPr>
                <w:rFonts w:eastAsia="Times New Roman" w:cs="Arial"/>
                <w:b/>
                <w:color w:val="FF0000"/>
              </w:rPr>
              <w:t>95</w:t>
            </w:r>
            <w:r w:rsidR="00A97F84" w:rsidRPr="00281BA8">
              <w:rPr>
                <w:rFonts w:eastAsia="Times New Roman" w:cs="Arial"/>
                <w:b/>
                <w:color w:val="FF0000"/>
              </w:rPr>
              <w:t>%</w:t>
            </w:r>
          </w:p>
        </w:tc>
        <w:tc>
          <w:tcPr>
            <w:tcW w:w="3223" w:type="dxa"/>
            <w:shd w:val="clear" w:color="auto" w:fill="auto"/>
            <w:vAlign w:val="bottom"/>
            <w:hideMark/>
          </w:tcPr>
          <w:p w:rsidR="00A97F84" w:rsidRPr="00281BA8" w:rsidRDefault="00FA36E5" w:rsidP="005D7113">
            <w:pPr>
              <w:spacing w:after="0" w:line="240" w:lineRule="auto"/>
              <w:jc w:val="right"/>
              <w:rPr>
                <w:rFonts w:eastAsia="Times New Roman" w:cs="Arial"/>
                <w:b/>
                <w:color w:val="FF0000"/>
              </w:rPr>
            </w:pPr>
            <w:r w:rsidRPr="00281BA8">
              <w:rPr>
                <w:rFonts w:eastAsia="Times New Roman" w:cs="Arial"/>
                <w:b/>
                <w:color w:val="FF0000"/>
              </w:rPr>
              <w:t>1.58</w:t>
            </w:r>
            <w:r w:rsidR="00A97F84" w:rsidRPr="00281BA8">
              <w:rPr>
                <w:rFonts w:eastAsia="Times New Roman" w:cs="Arial"/>
                <w:b/>
                <w:color w:val="FF0000"/>
              </w:rPr>
              <w:t>%</w:t>
            </w:r>
          </w:p>
        </w:tc>
        <w:tc>
          <w:tcPr>
            <w:tcW w:w="1008" w:type="dxa"/>
            <w:shd w:val="clear" w:color="auto" w:fill="auto"/>
            <w:vAlign w:val="bottom"/>
            <w:hideMark/>
          </w:tcPr>
          <w:p w:rsidR="00A97F84" w:rsidRPr="00281BA8" w:rsidRDefault="00FA36E5" w:rsidP="005D7113">
            <w:pPr>
              <w:spacing w:after="0" w:line="240" w:lineRule="auto"/>
              <w:jc w:val="right"/>
              <w:rPr>
                <w:rFonts w:eastAsia="Times New Roman" w:cs="Arial"/>
                <w:b/>
                <w:color w:val="FF0000"/>
              </w:rPr>
            </w:pPr>
            <w:r w:rsidRPr="00281BA8">
              <w:rPr>
                <w:rFonts w:eastAsia="Times New Roman" w:cs="Arial"/>
                <w:b/>
                <w:color w:val="FF0000"/>
              </w:rPr>
              <w:t>0.50</w:t>
            </w:r>
          </w:p>
        </w:tc>
      </w:tr>
      <w:tr w:rsidR="00C253B3" w:rsidRPr="00281BA8" w:rsidTr="00C253B3">
        <w:trPr>
          <w:trHeight w:val="300"/>
        </w:trPr>
        <w:tc>
          <w:tcPr>
            <w:tcW w:w="0" w:type="auto"/>
            <w:shd w:val="clear" w:color="auto" w:fill="auto"/>
            <w:vAlign w:val="bottom"/>
            <w:hideMark/>
          </w:tcPr>
          <w:p w:rsidR="00A97F84" w:rsidRPr="00281BA8" w:rsidRDefault="00A97F84" w:rsidP="000C2787">
            <w:pPr>
              <w:spacing w:after="0" w:line="240" w:lineRule="auto"/>
              <w:rPr>
                <w:rFonts w:eastAsia="Times New Roman" w:cs="Arial"/>
                <w:b/>
                <w:color w:val="FF0000"/>
              </w:rPr>
            </w:pPr>
            <w:r w:rsidRPr="00281BA8">
              <w:rPr>
                <w:rFonts w:eastAsia="Times New Roman" w:cs="Arial"/>
                <w:b/>
                <w:color w:val="FF0000"/>
              </w:rPr>
              <w:t>30-day follow-up</w:t>
            </w:r>
          </w:p>
        </w:tc>
        <w:tc>
          <w:tcPr>
            <w:tcW w:w="0" w:type="auto"/>
            <w:shd w:val="clear" w:color="auto" w:fill="auto"/>
            <w:vAlign w:val="bottom"/>
            <w:hideMark/>
          </w:tcPr>
          <w:p w:rsidR="00A97F84" w:rsidRPr="00281BA8" w:rsidRDefault="00FA36E5" w:rsidP="003F67C1">
            <w:pPr>
              <w:spacing w:after="0" w:line="240" w:lineRule="auto"/>
              <w:jc w:val="right"/>
              <w:rPr>
                <w:rFonts w:eastAsia="Times New Roman" w:cs="Arial"/>
                <w:b/>
                <w:color w:val="FF0000"/>
              </w:rPr>
            </w:pPr>
            <w:r w:rsidRPr="00281BA8">
              <w:rPr>
                <w:rFonts w:eastAsia="Times New Roman" w:cs="Arial"/>
                <w:b/>
                <w:color w:val="FF0000"/>
              </w:rPr>
              <w:t>1.87</w:t>
            </w:r>
            <w:r w:rsidR="00A97F84" w:rsidRPr="00281BA8">
              <w:rPr>
                <w:rFonts w:eastAsia="Times New Roman" w:cs="Arial"/>
                <w:b/>
                <w:color w:val="FF0000"/>
              </w:rPr>
              <w:t>%</w:t>
            </w:r>
          </w:p>
        </w:tc>
        <w:tc>
          <w:tcPr>
            <w:tcW w:w="3223" w:type="dxa"/>
            <w:shd w:val="clear" w:color="auto" w:fill="auto"/>
            <w:vAlign w:val="bottom"/>
            <w:hideMark/>
          </w:tcPr>
          <w:p w:rsidR="00A97F84" w:rsidRPr="00281BA8" w:rsidRDefault="00FA36E5" w:rsidP="005D7113">
            <w:pPr>
              <w:spacing w:after="0" w:line="240" w:lineRule="auto"/>
              <w:jc w:val="right"/>
              <w:rPr>
                <w:rFonts w:eastAsia="Times New Roman" w:cs="Arial"/>
                <w:b/>
                <w:color w:val="FF0000"/>
              </w:rPr>
            </w:pPr>
            <w:r w:rsidRPr="00281BA8">
              <w:rPr>
                <w:rFonts w:eastAsia="Times New Roman" w:cs="Arial"/>
                <w:b/>
                <w:color w:val="FF0000"/>
              </w:rPr>
              <w:t>1.64</w:t>
            </w:r>
            <w:r w:rsidR="00A97F84" w:rsidRPr="00281BA8">
              <w:rPr>
                <w:rFonts w:eastAsia="Times New Roman" w:cs="Arial"/>
                <w:b/>
                <w:color w:val="FF0000"/>
              </w:rPr>
              <w:t>%</w:t>
            </w:r>
          </w:p>
        </w:tc>
        <w:tc>
          <w:tcPr>
            <w:tcW w:w="1008" w:type="dxa"/>
            <w:shd w:val="clear" w:color="auto" w:fill="auto"/>
            <w:vAlign w:val="bottom"/>
            <w:hideMark/>
          </w:tcPr>
          <w:p w:rsidR="00A97F84" w:rsidRPr="00281BA8" w:rsidRDefault="00A97F84" w:rsidP="00FA36E5">
            <w:pPr>
              <w:spacing w:after="0" w:line="240" w:lineRule="auto"/>
              <w:jc w:val="right"/>
              <w:rPr>
                <w:rFonts w:eastAsia="Times New Roman" w:cs="Arial"/>
                <w:b/>
                <w:color w:val="FF0000"/>
              </w:rPr>
            </w:pPr>
            <w:r w:rsidRPr="00281BA8">
              <w:rPr>
                <w:rFonts w:eastAsia="Times New Roman" w:cs="Arial"/>
                <w:b/>
                <w:color w:val="FF0000"/>
              </w:rPr>
              <w:t>0.</w:t>
            </w:r>
            <w:r w:rsidR="00FA36E5" w:rsidRPr="00281BA8">
              <w:rPr>
                <w:rFonts w:eastAsia="Times New Roman" w:cs="Arial"/>
                <w:b/>
                <w:color w:val="FF0000"/>
              </w:rPr>
              <w:t>68</w:t>
            </w:r>
          </w:p>
        </w:tc>
      </w:tr>
    </w:tbl>
    <w:p w:rsidR="002637BF" w:rsidRPr="00281BA8" w:rsidRDefault="002637BF" w:rsidP="00092566">
      <w:pPr>
        <w:autoSpaceDE w:val="0"/>
        <w:autoSpaceDN w:val="0"/>
        <w:adjustRightInd w:val="0"/>
        <w:spacing w:after="0" w:line="240" w:lineRule="auto"/>
        <w:rPr>
          <w:rFonts w:cstheme="minorHAnsi"/>
          <w:b/>
          <w:bCs/>
          <w:color w:val="FF0000"/>
        </w:rPr>
      </w:pPr>
    </w:p>
    <w:p w:rsidR="007F6B96" w:rsidRPr="00281BA8" w:rsidRDefault="00672119" w:rsidP="00092566">
      <w:pPr>
        <w:autoSpaceDE w:val="0"/>
        <w:autoSpaceDN w:val="0"/>
        <w:adjustRightInd w:val="0"/>
        <w:spacing w:after="0" w:line="240" w:lineRule="auto"/>
        <w:rPr>
          <w:rFonts w:cstheme="minorHAnsi"/>
          <w:b/>
          <w:bCs/>
          <w:color w:val="FF0000"/>
        </w:rPr>
      </w:pPr>
      <w:r w:rsidRPr="00281BA8">
        <w:rPr>
          <w:rFonts w:cstheme="minorHAnsi"/>
          <w:b/>
          <w:bCs/>
          <w:color w:val="FF0000"/>
        </w:rPr>
        <w:t xml:space="preserve">Table 4: </w:t>
      </w:r>
      <w:r w:rsidR="007F6B96" w:rsidRPr="00281BA8">
        <w:rPr>
          <w:rFonts w:cstheme="minorHAnsi"/>
          <w:b/>
          <w:bCs/>
          <w:color w:val="FF0000"/>
        </w:rPr>
        <w:t>Utilization of Inpatient Hospitalization for AOD</w:t>
      </w:r>
      <w:r w:rsidR="000C2787" w:rsidRPr="00281BA8">
        <w:rPr>
          <w:rFonts w:cstheme="minorHAnsi"/>
          <w:b/>
          <w:bCs/>
          <w:color w:val="FF0000"/>
        </w:rPr>
        <w:t xml:space="preserve"> Diagnosis</w:t>
      </w:r>
      <w:r w:rsidR="007F6B96" w:rsidRPr="00281BA8">
        <w:rPr>
          <w:rFonts w:cstheme="minorHAnsi"/>
          <w:b/>
          <w:bCs/>
          <w:color w:val="FF0000"/>
        </w:rPr>
        <w:t xml:space="preserve"> by Measure Performance Quartile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04"/>
        <w:gridCol w:w="3733"/>
        <w:gridCol w:w="3423"/>
        <w:gridCol w:w="1008"/>
      </w:tblGrid>
      <w:tr w:rsidR="00281BA8" w:rsidRPr="00281BA8" w:rsidTr="00C253B3">
        <w:trPr>
          <w:trHeight w:val="553"/>
        </w:trPr>
        <w:tc>
          <w:tcPr>
            <w:tcW w:w="0" w:type="auto"/>
            <w:shd w:val="clear" w:color="auto" w:fill="auto"/>
            <w:vAlign w:val="bottom"/>
            <w:hideMark/>
          </w:tcPr>
          <w:p w:rsidR="00A97F84" w:rsidRPr="00281BA8" w:rsidRDefault="00A97F84" w:rsidP="003F67C1">
            <w:pPr>
              <w:spacing w:after="0" w:line="240" w:lineRule="auto"/>
              <w:rPr>
                <w:rFonts w:eastAsia="Times New Roman" w:cs="Arial"/>
                <w:b/>
                <w:color w:val="FF0000"/>
              </w:rPr>
            </w:pPr>
            <w:r w:rsidRPr="00281BA8">
              <w:rPr>
                <w:rFonts w:eastAsia="Times New Roman" w:cs="Arial"/>
                <w:b/>
                <w:color w:val="FF0000"/>
              </w:rPr>
              <w:t> </w:t>
            </w:r>
          </w:p>
        </w:tc>
        <w:tc>
          <w:tcPr>
            <w:tcW w:w="7133" w:type="dxa"/>
            <w:gridSpan w:val="2"/>
            <w:shd w:val="clear" w:color="auto" w:fill="auto"/>
            <w:vAlign w:val="bottom"/>
            <w:hideMark/>
          </w:tcPr>
          <w:p w:rsidR="00A97F84" w:rsidRPr="00281BA8" w:rsidRDefault="00A97F84" w:rsidP="00A97F84">
            <w:pPr>
              <w:spacing w:after="0" w:line="240" w:lineRule="auto"/>
              <w:rPr>
                <w:rFonts w:eastAsia="Times New Roman" w:cs="Arial"/>
                <w:b/>
                <w:color w:val="FF0000"/>
              </w:rPr>
            </w:pPr>
            <w:r w:rsidRPr="00281BA8">
              <w:rPr>
                <w:rFonts w:eastAsia="Times New Roman" w:cs="Arial"/>
                <w:b/>
                <w:color w:val="FF0000"/>
              </w:rPr>
              <w:t>Enrollees Hospitalized for AOD Diagnosis (Percentage)</w:t>
            </w:r>
          </w:p>
        </w:tc>
        <w:tc>
          <w:tcPr>
            <w:tcW w:w="1008" w:type="dxa"/>
            <w:shd w:val="clear" w:color="auto" w:fill="auto"/>
            <w:vAlign w:val="bottom"/>
            <w:hideMark/>
          </w:tcPr>
          <w:p w:rsidR="00A97F84" w:rsidRPr="00281BA8" w:rsidRDefault="00A97F84" w:rsidP="003F67C1">
            <w:pPr>
              <w:spacing w:after="0" w:line="240" w:lineRule="auto"/>
              <w:jc w:val="center"/>
              <w:rPr>
                <w:rFonts w:eastAsia="Times New Roman" w:cs="Arial"/>
                <w:b/>
                <w:bCs/>
                <w:color w:val="FF0000"/>
              </w:rPr>
            </w:pPr>
            <w:r w:rsidRPr="00281BA8">
              <w:rPr>
                <w:rFonts w:eastAsia="Times New Roman" w:cs="Arial"/>
                <w:b/>
                <w:bCs/>
                <w:color w:val="FF0000"/>
              </w:rPr>
              <w:t> </w:t>
            </w:r>
          </w:p>
        </w:tc>
      </w:tr>
      <w:tr w:rsidR="00281BA8" w:rsidRPr="00281BA8" w:rsidTr="00C253B3">
        <w:trPr>
          <w:trHeight w:val="553"/>
        </w:trPr>
        <w:tc>
          <w:tcPr>
            <w:tcW w:w="0" w:type="auto"/>
            <w:shd w:val="clear" w:color="auto" w:fill="auto"/>
            <w:vAlign w:val="bottom"/>
            <w:hideMark/>
          </w:tcPr>
          <w:p w:rsidR="00A97F84" w:rsidRPr="00281BA8" w:rsidRDefault="00A97F84" w:rsidP="003F67C1">
            <w:pPr>
              <w:spacing w:after="0" w:line="240" w:lineRule="auto"/>
              <w:rPr>
                <w:rFonts w:eastAsia="Times New Roman" w:cs="Arial"/>
                <w:b/>
                <w:color w:val="FF0000"/>
              </w:rPr>
            </w:pPr>
          </w:p>
          <w:p w:rsidR="00A97F84" w:rsidRPr="00281BA8" w:rsidRDefault="00A97F84" w:rsidP="003F67C1">
            <w:pPr>
              <w:spacing w:after="0" w:line="240" w:lineRule="auto"/>
              <w:rPr>
                <w:rFonts w:eastAsia="Times New Roman" w:cs="Arial"/>
                <w:b/>
                <w:color w:val="FF0000"/>
              </w:rPr>
            </w:pPr>
          </w:p>
        </w:tc>
        <w:tc>
          <w:tcPr>
            <w:tcW w:w="0" w:type="auto"/>
            <w:shd w:val="clear" w:color="auto" w:fill="auto"/>
            <w:vAlign w:val="bottom"/>
            <w:hideMark/>
          </w:tcPr>
          <w:p w:rsidR="00A97F84" w:rsidRPr="00281BA8" w:rsidRDefault="000C2787" w:rsidP="003F67C1">
            <w:pPr>
              <w:spacing w:after="0" w:line="240" w:lineRule="auto"/>
              <w:jc w:val="center"/>
              <w:rPr>
                <w:rFonts w:eastAsia="Times New Roman" w:cs="Arial"/>
                <w:b/>
                <w:color w:val="FF0000"/>
              </w:rPr>
            </w:pPr>
            <w:r w:rsidRPr="00281BA8">
              <w:rPr>
                <w:rFonts w:eastAsia="Times New Roman" w:cs="Arial"/>
                <w:b/>
                <w:color w:val="FF0000"/>
              </w:rPr>
              <w:t xml:space="preserve">Among </w:t>
            </w:r>
            <w:r w:rsidR="00A97F84" w:rsidRPr="00281BA8">
              <w:rPr>
                <w:rFonts w:eastAsia="Times New Roman" w:cs="Arial"/>
                <w:b/>
                <w:color w:val="FF0000"/>
              </w:rPr>
              <w:t>States in Bottom 25 Percent</w:t>
            </w:r>
            <w:r w:rsidR="006462CC" w:rsidRPr="00281BA8">
              <w:rPr>
                <w:rFonts w:eastAsia="Times New Roman" w:cs="Arial"/>
                <w:b/>
                <w:color w:val="FF0000"/>
              </w:rPr>
              <w:t xml:space="preserve"> of FUED</w:t>
            </w:r>
            <w:r w:rsidRPr="00281BA8">
              <w:rPr>
                <w:rFonts w:eastAsia="Times New Roman" w:cs="Arial"/>
                <w:b/>
                <w:color w:val="FF0000"/>
              </w:rPr>
              <w:t xml:space="preserve"> – AOD Denominator</w:t>
            </w:r>
            <w:r w:rsidR="00A97F84" w:rsidRPr="00281BA8">
              <w:rPr>
                <w:rFonts w:eastAsia="Times New Roman" w:cs="Arial"/>
                <w:b/>
                <w:color w:val="FF0000"/>
              </w:rPr>
              <w:t xml:space="preserve"> </w:t>
            </w:r>
          </w:p>
        </w:tc>
        <w:tc>
          <w:tcPr>
            <w:tcW w:w="3423" w:type="dxa"/>
            <w:shd w:val="clear" w:color="auto" w:fill="auto"/>
            <w:vAlign w:val="bottom"/>
            <w:hideMark/>
          </w:tcPr>
          <w:p w:rsidR="00A97F84" w:rsidRPr="00281BA8" w:rsidRDefault="000C2787" w:rsidP="003F67C1">
            <w:pPr>
              <w:spacing w:after="0" w:line="240" w:lineRule="auto"/>
              <w:jc w:val="center"/>
              <w:rPr>
                <w:rFonts w:eastAsia="Times New Roman" w:cs="Arial"/>
                <w:b/>
                <w:color w:val="FF0000"/>
              </w:rPr>
            </w:pPr>
            <w:r w:rsidRPr="00281BA8">
              <w:rPr>
                <w:rFonts w:eastAsia="Times New Roman" w:cs="Arial"/>
                <w:b/>
                <w:color w:val="FF0000"/>
              </w:rPr>
              <w:t xml:space="preserve">Among </w:t>
            </w:r>
            <w:r w:rsidR="00A97F84" w:rsidRPr="00281BA8">
              <w:rPr>
                <w:rFonts w:eastAsia="Times New Roman" w:cs="Arial"/>
                <w:b/>
                <w:color w:val="FF0000"/>
              </w:rPr>
              <w:t>States in Top 25 Percent</w:t>
            </w:r>
            <w:r w:rsidR="006462CC" w:rsidRPr="00281BA8">
              <w:rPr>
                <w:rFonts w:eastAsia="Times New Roman" w:cs="Arial"/>
                <w:b/>
                <w:color w:val="FF0000"/>
              </w:rPr>
              <w:t xml:space="preserve"> of FUED</w:t>
            </w:r>
            <w:r w:rsidR="00A97F84" w:rsidRPr="00281BA8">
              <w:rPr>
                <w:rFonts w:eastAsia="Times New Roman" w:cs="Arial"/>
                <w:b/>
                <w:color w:val="FF0000"/>
              </w:rPr>
              <w:t xml:space="preserve"> </w:t>
            </w:r>
            <w:r w:rsidRPr="00281BA8">
              <w:rPr>
                <w:rFonts w:eastAsia="Times New Roman" w:cs="Arial"/>
                <w:b/>
                <w:color w:val="FF0000"/>
              </w:rPr>
              <w:t xml:space="preserve"> - AOD Denominator</w:t>
            </w:r>
          </w:p>
        </w:tc>
        <w:tc>
          <w:tcPr>
            <w:tcW w:w="1008" w:type="dxa"/>
            <w:shd w:val="clear" w:color="auto" w:fill="auto"/>
            <w:vAlign w:val="bottom"/>
            <w:hideMark/>
          </w:tcPr>
          <w:p w:rsidR="00A97F84" w:rsidRPr="00281BA8" w:rsidRDefault="00A97F84" w:rsidP="003F67C1">
            <w:pPr>
              <w:spacing w:after="0" w:line="240" w:lineRule="auto"/>
              <w:jc w:val="center"/>
              <w:rPr>
                <w:rFonts w:eastAsia="Times New Roman" w:cs="Arial"/>
                <w:b/>
                <w:color w:val="FF0000"/>
              </w:rPr>
            </w:pPr>
            <w:r w:rsidRPr="00281BA8">
              <w:rPr>
                <w:rFonts w:eastAsia="Times New Roman" w:cs="Arial"/>
                <w:b/>
                <w:color w:val="FF0000"/>
              </w:rPr>
              <w:t>p-value</w:t>
            </w:r>
          </w:p>
        </w:tc>
      </w:tr>
      <w:tr w:rsidR="00281BA8" w:rsidRPr="00281BA8" w:rsidTr="00C253B3">
        <w:trPr>
          <w:trHeight w:val="300"/>
        </w:trPr>
        <w:tc>
          <w:tcPr>
            <w:tcW w:w="0" w:type="auto"/>
            <w:shd w:val="clear" w:color="auto" w:fill="auto"/>
            <w:vAlign w:val="bottom"/>
            <w:hideMark/>
          </w:tcPr>
          <w:p w:rsidR="00A97F84" w:rsidRPr="00281BA8" w:rsidRDefault="00A97F84" w:rsidP="000C2787">
            <w:pPr>
              <w:spacing w:after="0" w:line="240" w:lineRule="auto"/>
              <w:rPr>
                <w:rFonts w:eastAsia="Times New Roman" w:cs="Arial"/>
                <w:b/>
                <w:color w:val="FF0000"/>
              </w:rPr>
            </w:pPr>
            <w:r w:rsidRPr="00281BA8">
              <w:rPr>
                <w:rFonts w:eastAsia="Times New Roman" w:cs="Arial"/>
                <w:b/>
                <w:color w:val="FF0000"/>
              </w:rPr>
              <w:t>7-day follow-up</w:t>
            </w:r>
          </w:p>
        </w:tc>
        <w:tc>
          <w:tcPr>
            <w:tcW w:w="0" w:type="auto"/>
            <w:shd w:val="clear" w:color="auto" w:fill="auto"/>
            <w:vAlign w:val="bottom"/>
            <w:hideMark/>
          </w:tcPr>
          <w:p w:rsidR="00A97F84" w:rsidRPr="00281BA8" w:rsidRDefault="00A97F84" w:rsidP="00FA36E5">
            <w:pPr>
              <w:jc w:val="right"/>
              <w:rPr>
                <w:rFonts w:cs="Arial"/>
                <w:b/>
                <w:color w:val="FF0000"/>
              </w:rPr>
            </w:pPr>
            <w:r w:rsidRPr="00281BA8">
              <w:rPr>
                <w:rFonts w:cs="Arial"/>
                <w:b/>
                <w:color w:val="FF0000"/>
              </w:rPr>
              <w:t>0.</w:t>
            </w:r>
            <w:r w:rsidR="00FA36E5" w:rsidRPr="00281BA8">
              <w:rPr>
                <w:rFonts w:cs="Arial"/>
                <w:b/>
                <w:color w:val="FF0000"/>
              </w:rPr>
              <w:t>32</w:t>
            </w:r>
            <w:r w:rsidRPr="00281BA8">
              <w:rPr>
                <w:rFonts w:cs="Arial"/>
                <w:b/>
                <w:color w:val="FF0000"/>
              </w:rPr>
              <w:t>%</w:t>
            </w:r>
          </w:p>
        </w:tc>
        <w:tc>
          <w:tcPr>
            <w:tcW w:w="3423" w:type="dxa"/>
            <w:shd w:val="clear" w:color="auto" w:fill="auto"/>
            <w:vAlign w:val="bottom"/>
            <w:hideMark/>
          </w:tcPr>
          <w:p w:rsidR="00A97F84" w:rsidRPr="00281BA8" w:rsidRDefault="00A97F84" w:rsidP="00FA36E5">
            <w:pPr>
              <w:jc w:val="right"/>
              <w:rPr>
                <w:rFonts w:cs="Arial"/>
                <w:b/>
                <w:color w:val="FF0000"/>
              </w:rPr>
            </w:pPr>
            <w:r w:rsidRPr="00281BA8">
              <w:rPr>
                <w:rFonts w:cs="Arial"/>
                <w:b/>
                <w:color w:val="FF0000"/>
              </w:rPr>
              <w:t>0.3</w:t>
            </w:r>
            <w:r w:rsidR="00FA36E5" w:rsidRPr="00281BA8">
              <w:rPr>
                <w:rFonts w:cs="Arial"/>
                <w:b/>
                <w:color w:val="FF0000"/>
              </w:rPr>
              <w:t>5</w:t>
            </w:r>
            <w:r w:rsidRPr="00281BA8">
              <w:rPr>
                <w:rFonts w:cs="Arial"/>
                <w:b/>
                <w:color w:val="FF0000"/>
              </w:rPr>
              <w:t>%</w:t>
            </w:r>
          </w:p>
        </w:tc>
        <w:tc>
          <w:tcPr>
            <w:tcW w:w="1008" w:type="dxa"/>
            <w:shd w:val="clear" w:color="auto" w:fill="auto"/>
            <w:vAlign w:val="bottom"/>
            <w:hideMark/>
          </w:tcPr>
          <w:p w:rsidR="00A97F84" w:rsidRPr="00281BA8" w:rsidRDefault="00A97F84" w:rsidP="00FA36E5">
            <w:pPr>
              <w:jc w:val="right"/>
              <w:rPr>
                <w:rFonts w:cs="Arial"/>
                <w:b/>
                <w:color w:val="FF0000"/>
              </w:rPr>
            </w:pPr>
            <w:r w:rsidRPr="00281BA8">
              <w:rPr>
                <w:rFonts w:cs="Arial"/>
                <w:b/>
                <w:color w:val="FF0000"/>
              </w:rPr>
              <w:t>0.</w:t>
            </w:r>
            <w:r w:rsidR="00FA36E5" w:rsidRPr="00281BA8">
              <w:rPr>
                <w:rFonts w:cs="Arial"/>
                <w:b/>
                <w:color w:val="FF0000"/>
              </w:rPr>
              <w:t>65</w:t>
            </w:r>
          </w:p>
        </w:tc>
      </w:tr>
      <w:tr w:rsidR="00C253B3" w:rsidRPr="00281BA8" w:rsidTr="00C253B3">
        <w:trPr>
          <w:trHeight w:val="300"/>
        </w:trPr>
        <w:tc>
          <w:tcPr>
            <w:tcW w:w="0" w:type="auto"/>
            <w:shd w:val="clear" w:color="auto" w:fill="auto"/>
            <w:vAlign w:val="bottom"/>
            <w:hideMark/>
          </w:tcPr>
          <w:p w:rsidR="00A97F84" w:rsidRPr="00281BA8" w:rsidRDefault="00A97F84" w:rsidP="000C2787">
            <w:pPr>
              <w:spacing w:after="0" w:line="240" w:lineRule="auto"/>
              <w:rPr>
                <w:rFonts w:eastAsia="Times New Roman" w:cs="Arial"/>
                <w:b/>
                <w:color w:val="FF0000"/>
              </w:rPr>
            </w:pPr>
            <w:r w:rsidRPr="00281BA8">
              <w:rPr>
                <w:rFonts w:eastAsia="Times New Roman" w:cs="Arial"/>
                <w:b/>
                <w:color w:val="FF0000"/>
              </w:rPr>
              <w:t>30-day follow-up</w:t>
            </w:r>
          </w:p>
        </w:tc>
        <w:tc>
          <w:tcPr>
            <w:tcW w:w="0" w:type="auto"/>
            <w:shd w:val="clear" w:color="auto" w:fill="auto"/>
            <w:vAlign w:val="bottom"/>
            <w:hideMark/>
          </w:tcPr>
          <w:p w:rsidR="00A97F84" w:rsidRPr="00281BA8" w:rsidRDefault="00A97F84" w:rsidP="00FA36E5">
            <w:pPr>
              <w:jc w:val="right"/>
              <w:rPr>
                <w:rFonts w:cs="Arial"/>
                <w:b/>
                <w:color w:val="FF0000"/>
              </w:rPr>
            </w:pPr>
            <w:r w:rsidRPr="00281BA8">
              <w:rPr>
                <w:rFonts w:cs="Arial"/>
                <w:b/>
                <w:color w:val="FF0000"/>
              </w:rPr>
              <w:t>0.</w:t>
            </w:r>
            <w:r w:rsidR="00FA36E5" w:rsidRPr="00281BA8">
              <w:rPr>
                <w:rFonts w:cs="Arial"/>
                <w:b/>
                <w:color w:val="FF0000"/>
              </w:rPr>
              <w:t>32</w:t>
            </w:r>
            <w:r w:rsidRPr="00281BA8">
              <w:rPr>
                <w:rFonts w:cs="Arial"/>
                <w:b/>
                <w:color w:val="FF0000"/>
              </w:rPr>
              <w:t>%</w:t>
            </w:r>
          </w:p>
        </w:tc>
        <w:tc>
          <w:tcPr>
            <w:tcW w:w="3423" w:type="dxa"/>
            <w:shd w:val="clear" w:color="auto" w:fill="auto"/>
            <w:vAlign w:val="bottom"/>
            <w:hideMark/>
          </w:tcPr>
          <w:p w:rsidR="00A97F84" w:rsidRPr="00281BA8" w:rsidRDefault="00A97F84" w:rsidP="00FA36E5">
            <w:pPr>
              <w:jc w:val="right"/>
              <w:rPr>
                <w:rFonts w:cs="Arial"/>
                <w:b/>
                <w:color w:val="FF0000"/>
              </w:rPr>
            </w:pPr>
            <w:r w:rsidRPr="00281BA8">
              <w:rPr>
                <w:rFonts w:cs="Arial"/>
                <w:b/>
                <w:color w:val="FF0000"/>
              </w:rPr>
              <w:t>0.3</w:t>
            </w:r>
            <w:r w:rsidR="00FA36E5" w:rsidRPr="00281BA8">
              <w:rPr>
                <w:rFonts w:cs="Arial"/>
                <w:b/>
                <w:color w:val="FF0000"/>
              </w:rPr>
              <w:t>3</w:t>
            </w:r>
            <w:r w:rsidRPr="00281BA8">
              <w:rPr>
                <w:rFonts w:cs="Arial"/>
                <w:b/>
                <w:color w:val="FF0000"/>
              </w:rPr>
              <w:t>%</w:t>
            </w:r>
          </w:p>
        </w:tc>
        <w:tc>
          <w:tcPr>
            <w:tcW w:w="1008" w:type="dxa"/>
            <w:shd w:val="clear" w:color="auto" w:fill="auto"/>
            <w:vAlign w:val="bottom"/>
            <w:hideMark/>
          </w:tcPr>
          <w:p w:rsidR="00A97F84" w:rsidRPr="00281BA8" w:rsidRDefault="00A97F84" w:rsidP="00FA36E5">
            <w:pPr>
              <w:jc w:val="right"/>
              <w:rPr>
                <w:rFonts w:cs="Arial"/>
                <w:b/>
                <w:color w:val="FF0000"/>
              </w:rPr>
            </w:pPr>
            <w:r w:rsidRPr="00281BA8">
              <w:rPr>
                <w:rFonts w:cs="Arial"/>
                <w:b/>
                <w:color w:val="FF0000"/>
              </w:rPr>
              <w:t>0.</w:t>
            </w:r>
            <w:r w:rsidR="00FA36E5" w:rsidRPr="00281BA8">
              <w:rPr>
                <w:rFonts w:cs="Arial"/>
                <w:b/>
                <w:color w:val="FF0000"/>
              </w:rPr>
              <w:t>8</w:t>
            </w:r>
            <w:r w:rsidR="005D7113" w:rsidRPr="00281BA8">
              <w:rPr>
                <w:rFonts w:cs="Arial"/>
                <w:b/>
                <w:color w:val="FF0000"/>
              </w:rPr>
              <w:t>4</w:t>
            </w:r>
          </w:p>
        </w:tc>
      </w:tr>
    </w:tbl>
    <w:p w:rsidR="003C7579" w:rsidRPr="00281BA8" w:rsidRDefault="003C7579" w:rsidP="00092566">
      <w:pPr>
        <w:autoSpaceDE w:val="0"/>
        <w:autoSpaceDN w:val="0"/>
        <w:adjustRightInd w:val="0"/>
        <w:spacing w:after="0" w:line="240" w:lineRule="auto"/>
        <w:rPr>
          <w:rFonts w:cstheme="minorHAnsi"/>
          <w:bCs/>
          <w:color w:val="FF0000"/>
        </w:rPr>
      </w:pPr>
    </w:p>
    <w:p w:rsidR="00C253B3" w:rsidRPr="006414C7" w:rsidRDefault="00C253B3" w:rsidP="00C253B3">
      <w:pPr>
        <w:autoSpaceDE w:val="0"/>
        <w:autoSpaceDN w:val="0"/>
        <w:adjustRightInd w:val="0"/>
        <w:spacing w:after="0" w:line="240" w:lineRule="auto"/>
        <w:rPr>
          <w:rFonts w:eastAsia="Times New Roman" w:cs="Times New Roman"/>
          <w:b/>
          <w:color w:val="FF0000"/>
          <w:u w:val="single"/>
        </w:rPr>
      </w:pPr>
      <w:r w:rsidRPr="006414C7">
        <w:rPr>
          <w:rFonts w:cstheme="minorHAnsi"/>
          <w:b/>
          <w:bCs/>
          <w:color w:val="FF0000"/>
          <w:u w:val="single"/>
        </w:rPr>
        <w:t xml:space="preserve">Systematic assessment of face </w:t>
      </w:r>
      <w:r w:rsidRPr="006414C7">
        <w:rPr>
          <w:rFonts w:eastAsia="MS Gothic" w:cstheme="minorHAnsi"/>
          <w:b/>
          <w:bCs/>
          <w:color w:val="FF0000"/>
          <w:u w:val="single"/>
        </w:rPr>
        <w:t>validity</w:t>
      </w:r>
    </w:p>
    <w:p w:rsidR="007422FD" w:rsidRPr="00092566" w:rsidRDefault="00C253B3" w:rsidP="00C253B3">
      <w:pPr>
        <w:autoSpaceDE w:val="0"/>
        <w:autoSpaceDN w:val="0"/>
        <w:adjustRightInd w:val="0"/>
        <w:spacing w:after="0" w:line="240" w:lineRule="auto"/>
        <w:rPr>
          <w:rFonts w:cstheme="minorHAnsi"/>
          <w:bCs/>
        </w:rPr>
      </w:pPr>
      <w:r w:rsidRPr="00281BA8">
        <w:rPr>
          <w:rFonts w:eastAsia="Times New Roman" w:cs="Times New Roman"/>
          <w:b/>
          <w:color w:val="FF0000"/>
        </w:rPr>
        <w:t xml:space="preserve">Focus group stakeholders and the technical expert panel both supported </w:t>
      </w:r>
      <w:r w:rsidR="00AC1BEB" w:rsidRPr="00281BA8">
        <w:rPr>
          <w:rFonts w:eastAsia="Times New Roman" w:cs="Times New Roman"/>
          <w:b/>
          <w:color w:val="FF0000"/>
        </w:rPr>
        <w:t>the face validity of the measure</w:t>
      </w:r>
      <w:r w:rsidRPr="00281BA8">
        <w:rPr>
          <w:rFonts w:eastAsia="Times New Roman" w:cs="Times New Roman"/>
          <w:b/>
          <w:color w:val="FF0000"/>
        </w:rPr>
        <w:t>. Both groups agreed that the transition period post-emergency room discharge was a critical time to get patients into outpatient care. Of the stakeholders who provided public comment for this</w:t>
      </w:r>
      <w:r w:rsidRPr="00C7391D">
        <w:rPr>
          <w:rFonts w:eastAsia="Times New Roman" w:cs="Times New Roman"/>
          <w:b/>
          <w:color w:val="FF0000"/>
        </w:rPr>
        <w:t xml:space="preserve"> measure, 18 total comments were received and 13 (72.2%) supported or supported the measure with modifications.</w:t>
      </w:r>
      <w:r w:rsidRPr="00C7391D">
        <w:t xml:space="preserve"> </w:t>
      </w:r>
      <w:r w:rsidRPr="00C7391D">
        <w:rPr>
          <w:rFonts w:eastAsia="Times New Roman" w:cs="Times New Roman"/>
          <w:b/>
          <w:color w:val="FF0000"/>
        </w:rPr>
        <w:t xml:space="preserve">Other commenters who did not support the measure had concerns about identifying whether an emergency visit took place as well as the validity of the emergency department diagnosis. Specifically, stakeholders were concerned that if the diagnosis in formation is not received, follow-up  There were additional concerns about the ability to act on the 7-day follow-up as there is lag time between the date of the visit and when the claim is received by the organization. </w:t>
      </w:r>
      <w:r w:rsidR="00BB095D" w:rsidRPr="00C7391D">
        <w:rPr>
          <w:rFonts w:eastAsia="Times New Roman" w:cs="Times New Roman"/>
          <w:b/>
          <w:color w:val="FF0000"/>
        </w:rPr>
        <w:t>However, our multi</w:t>
      </w:r>
      <w:r w:rsidR="00C7391D">
        <w:rPr>
          <w:rFonts w:eastAsia="Times New Roman" w:cs="Times New Roman"/>
          <w:b/>
          <w:color w:val="FF0000"/>
        </w:rPr>
        <w:t>-</w:t>
      </w:r>
      <w:r w:rsidR="00BB095D" w:rsidRPr="00C7391D">
        <w:rPr>
          <w:rFonts w:eastAsia="Times New Roman" w:cs="Times New Roman"/>
          <w:b/>
          <w:color w:val="FF0000"/>
        </w:rPr>
        <w:lastRenderedPageBreak/>
        <w:t xml:space="preserve">stakeholder expert panel recommended moving forward with the measure because the specifications and testing results were reasonable and the measure addresses important quality opportunity. </w:t>
      </w:r>
      <w:r w:rsidRPr="00C7391D">
        <w:rPr>
          <w:rFonts w:cstheme="minorHAnsi"/>
          <w:bCs/>
        </w:rPr>
        <w:br/>
      </w:r>
    </w:p>
    <w:p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rsidR="003C7579" w:rsidRPr="00C253B3" w:rsidRDefault="00530F24" w:rsidP="00DB3627">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While the empirical testing did not support our hypothesis, stakeholders generally supported the face validity of the measure.  </w:t>
      </w:r>
      <w:r w:rsidR="00E91657" w:rsidRPr="00C253B3">
        <w:rPr>
          <w:rFonts w:eastAsia="Times New Roman" w:cs="Times New Roman"/>
          <w:b/>
          <w:color w:val="FF0000"/>
        </w:rPr>
        <w:t>The rate of inpatient hospitalization is not statistically different between states that perform well on this measure versus states that perform poorly</w:t>
      </w:r>
      <w:r w:rsidR="00672119">
        <w:rPr>
          <w:rFonts w:eastAsia="Times New Roman" w:cs="Times New Roman"/>
          <w:b/>
          <w:color w:val="FF0000"/>
        </w:rPr>
        <w:t xml:space="preserve"> (Tables 3 and 4)</w:t>
      </w:r>
      <w:r w:rsidR="00E91657" w:rsidRPr="00C253B3">
        <w:rPr>
          <w:rFonts w:eastAsia="Times New Roman" w:cs="Times New Roman"/>
          <w:b/>
          <w:color w:val="FF0000"/>
        </w:rPr>
        <w:t xml:space="preserve">. </w:t>
      </w:r>
      <w:r w:rsidR="00AF22CF">
        <w:rPr>
          <w:rFonts w:eastAsia="Times New Roman" w:cs="Times New Roman"/>
          <w:b/>
          <w:color w:val="FF0000"/>
        </w:rPr>
        <w:t xml:space="preserve">However, this result is likely due to the relatively low, tightly distributed rates of inpatient hospitalization for states in both the low- and high-performing groups. </w:t>
      </w:r>
      <w:r w:rsidR="00E91657" w:rsidRPr="00C253B3">
        <w:rPr>
          <w:rFonts w:eastAsia="Times New Roman" w:cs="Times New Roman"/>
          <w:b/>
          <w:color w:val="FF0000"/>
        </w:rPr>
        <w:t xml:space="preserve">Rather than suggest that the measure is not valid, this result may indicate that our assumptions were not correct about the relationship between the measure and inpatient hospitalization; this relationship may warrant further study. </w:t>
      </w:r>
      <w:r>
        <w:rPr>
          <w:rFonts w:eastAsia="Times New Roman" w:cs="Times New Roman"/>
          <w:b/>
          <w:color w:val="FF0000"/>
        </w:rPr>
        <w:t xml:space="preserve">The findings from public comment, focus groups and technical expert panel suggest that the adaptation for </w:t>
      </w:r>
      <w:r w:rsidR="00BB095D">
        <w:rPr>
          <w:rFonts w:eastAsia="Times New Roman" w:cs="Times New Roman"/>
          <w:b/>
          <w:color w:val="FF0000"/>
        </w:rPr>
        <w:t xml:space="preserve">monitoring follow up after ED visits </w:t>
      </w:r>
      <w:r>
        <w:rPr>
          <w:rFonts w:eastAsia="Times New Roman" w:cs="Times New Roman"/>
          <w:b/>
          <w:color w:val="FF0000"/>
        </w:rPr>
        <w:t>has specifications that can produce valid results.</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7F0C05">
        <w:rPr>
          <w:rFonts w:cstheme="minorHAnsi"/>
          <w:b/>
          <w:bCs/>
        </w:rPr>
        <w:t>2</w:t>
      </w:r>
      <w:r w:rsidR="00EA5F47" w:rsidRPr="007F0C05">
        <w:rPr>
          <w:rFonts w:cstheme="minorHAnsi"/>
          <w:b/>
          <w:bCs/>
        </w:rPr>
        <w:t>b</w:t>
      </w:r>
      <w:r w:rsidRPr="007F0C05">
        <w:rPr>
          <w:rFonts w:cstheme="minorHAnsi"/>
          <w:b/>
          <w:bCs/>
        </w:rPr>
        <w:t>3. EXCLUSIONS</w:t>
      </w:r>
      <w:r w:rsidR="005333CC" w:rsidRPr="007F0C05">
        <w:rPr>
          <w:rFonts w:cstheme="minorHAnsi"/>
          <w:b/>
          <w:bCs/>
        </w:rPr>
        <w:t xml:space="preserve"> </w:t>
      </w:r>
      <w:r w:rsidR="00356BAD" w:rsidRPr="007F0C05">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C253B3">
            <w:rPr>
              <w:rFonts w:ascii="MS Gothic" w:eastAsia="MS Gothic" w:cstheme="minorHAnsi" w:hint="eastAsia"/>
              <w:bCs/>
              <w:color w:val="0000FF"/>
            </w:rPr>
            <w:t>☐</w:t>
          </w:r>
        </w:sdtContent>
      </w:sdt>
      <w:r w:rsidRPr="00C253B3">
        <w:rPr>
          <w:rFonts w:eastAsia="MS Gothic" w:cstheme="minorHAnsi"/>
          <w:b/>
          <w:bCs/>
          <w:color w:val="0000FF"/>
        </w:rPr>
        <w:t xml:space="preserve"> </w:t>
      </w:r>
      <w:r w:rsidR="00484120" w:rsidRPr="00C253B3">
        <w:rPr>
          <w:rFonts w:cstheme="minorHAnsi"/>
          <w:b/>
          <w:bCs/>
        </w:rPr>
        <w:t>no exclusions</w:t>
      </w:r>
      <w:r w:rsidRPr="00C253B3">
        <w:rPr>
          <w:rFonts w:cstheme="minorHAnsi"/>
          <w:b/>
          <w:bCs/>
        </w:rPr>
        <w:t xml:space="preserve"> </w:t>
      </w:r>
      <w:r w:rsidRPr="00C253B3">
        <w:rPr>
          <w:rFonts w:eastAsia="MS Gothic" w:cstheme="minorHAnsi"/>
          <w:b/>
          <w:bCs/>
          <w:color w:val="0000FF"/>
        </w:rPr>
        <w:t>—</w:t>
      </w:r>
      <w:r w:rsidRPr="00C253B3">
        <w:rPr>
          <w:rFonts w:cstheme="minorHAnsi"/>
          <w:b/>
          <w:bCs/>
          <w:i/>
        </w:rPr>
        <w:t xml:space="preserve"> </w:t>
      </w:r>
      <w:r w:rsidR="00B037BA" w:rsidRPr="00C253B3">
        <w:rPr>
          <w:rFonts w:cstheme="minorHAnsi"/>
          <w:b/>
          <w:bCs/>
          <w:i/>
        </w:rPr>
        <w:t xml:space="preserve">skip </w:t>
      </w:r>
      <w:r w:rsidR="008A4C13" w:rsidRPr="00C253B3">
        <w:rPr>
          <w:rFonts w:cstheme="minorHAnsi"/>
          <w:b/>
          <w:bCs/>
          <w:i/>
        </w:rPr>
        <w:t xml:space="preserve">to </w:t>
      </w:r>
      <w:r w:rsidR="00BE592D" w:rsidRPr="00C253B3">
        <w:rPr>
          <w:rFonts w:cstheme="minorHAnsi"/>
          <w:b/>
          <w:bCs/>
          <w:i/>
        </w:rPr>
        <w:t xml:space="preserve">section </w:t>
      </w:r>
      <w:hyperlink w:anchor="section2b4" w:history="1">
        <w:r w:rsidR="00483E94" w:rsidRPr="00C253B3">
          <w:rPr>
            <w:rStyle w:val="Hyperlink"/>
            <w:rFonts w:cstheme="minorHAnsi"/>
            <w:b/>
            <w:bCs/>
            <w:i/>
          </w:rPr>
          <w:t>2b</w:t>
        </w:r>
        <w:r w:rsidR="00AC1D8E" w:rsidRPr="00C253B3">
          <w:rPr>
            <w:rStyle w:val="Hyperlink"/>
            <w:rFonts w:cstheme="minorHAnsi"/>
            <w:b/>
            <w:bCs/>
            <w:i/>
          </w:rPr>
          <w:t>4</w:t>
        </w:r>
      </w:hyperlink>
    </w:p>
    <w:p w:rsidR="00001D73" w:rsidRDefault="00001D73" w:rsidP="00DB3627">
      <w:pPr>
        <w:autoSpaceDE w:val="0"/>
        <w:autoSpaceDN w:val="0"/>
        <w:adjustRightInd w:val="0"/>
        <w:spacing w:after="0" w:line="240" w:lineRule="auto"/>
        <w:rPr>
          <w:rFonts w:cstheme="minorHAnsi"/>
          <w:b/>
          <w:bCs/>
        </w:rPr>
      </w:pPr>
    </w:p>
    <w:p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672119" w:rsidRDefault="00BB095D" w:rsidP="00DB3627">
      <w:pPr>
        <w:autoSpaceDE w:val="0"/>
        <w:autoSpaceDN w:val="0"/>
        <w:adjustRightInd w:val="0"/>
        <w:spacing w:after="0" w:line="240" w:lineRule="auto"/>
        <w:rPr>
          <w:rFonts w:cstheme="minorHAnsi"/>
          <w:b/>
          <w:bCs/>
          <w:color w:val="FF0000"/>
        </w:rPr>
      </w:pPr>
      <w:r>
        <w:rPr>
          <w:rFonts w:cstheme="minorHAnsi"/>
          <w:b/>
          <w:bCs/>
          <w:color w:val="FF0000"/>
        </w:rPr>
        <w:t xml:space="preserve">Our testing </w:t>
      </w:r>
      <w:r w:rsidR="00BC618B">
        <w:rPr>
          <w:rFonts w:cstheme="minorHAnsi"/>
          <w:b/>
          <w:bCs/>
          <w:color w:val="FF0000"/>
        </w:rPr>
        <w:t>addresses</w:t>
      </w:r>
      <w:r>
        <w:rPr>
          <w:rFonts w:cstheme="minorHAnsi"/>
          <w:b/>
          <w:bCs/>
          <w:color w:val="FF0000"/>
        </w:rPr>
        <w:t xml:space="preserve"> four components of the denominator or exclusions</w:t>
      </w:r>
      <w:r w:rsidR="003906D2" w:rsidRPr="00C253B3">
        <w:rPr>
          <w:rFonts w:cstheme="minorHAnsi"/>
          <w:b/>
          <w:bCs/>
          <w:color w:val="FF0000"/>
        </w:rPr>
        <w:t xml:space="preserve">, as </w:t>
      </w:r>
      <w:r>
        <w:rPr>
          <w:rFonts w:cstheme="minorHAnsi"/>
          <w:b/>
          <w:bCs/>
          <w:color w:val="FF0000"/>
        </w:rPr>
        <w:t xml:space="preserve">shown </w:t>
      </w:r>
      <w:r w:rsidR="003906D2" w:rsidRPr="00C253B3">
        <w:rPr>
          <w:rFonts w:cstheme="minorHAnsi"/>
          <w:b/>
          <w:bCs/>
          <w:color w:val="FF0000"/>
        </w:rPr>
        <w:t xml:space="preserve">in </w:t>
      </w:r>
      <w:r w:rsidR="00672119">
        <w:rPr>
          <w:rFonts w:cstheme="minorHAnsi"/>
          <w:b/>
          <w:bCs/>
          <w:color w:val="FF0000"/>
        </w:rPr>
        <w:t>Table 5</w:t>
      </w:r>
      <w:r w:rsidR="003906D2" w:rsidRPr="00C253B3">
        <w:rPr>
          <w:rFonts w:cstheme="minorHAnsi"/>
          <w:b/>
          <w:bCs/>
          <w:color w:val="FF0000"/>
        </w:rPr>
        <w:t>.</w:t>
      </w:r>
    </w:p>
    <w:p w:rsidR="00672119" w:rsidRDefault="00672119" w:rsidP="00DB3627">
      <w:pPr>
        <w:autoSpaceDE w:val="0"/>
        <w:autoSpaceDN w:val="0"/>
        <w:adjustRightInd w:val="0"/>
        <w:spacing w:after="0" w:line="240" w:lineRule="auto"/>
        <w:rPr>
          <w:rFonts w:cstheme="minorHAnsi"/>
          <w:b/>
          <w:bCs/>
          <w:color w:val="FF0000"/>
        </w:rPr>
      </w:pPr>
    </w:p>
    <w:p w:rsidR="003C7579" w:rsidRPr="00C253B3" w:rsidRDefault="00672119" w:rsidP="00DB3627">
      <w:pPr>
        <w:autoSpaceDE w:val="0"/>
        <w:autoSpaceDN w:val="0"/>
        <w:adjustRightInd w:val="0"/>
        <w:spacing w:after="0" w:line="240" w:lineRule="auto"/>
        <w:rPr>
          <w:rFonts w:cstheme="minorHAnsi"/>
          <w:b/>
          <w:bCs/>
          <w:color w:val="FF0000"/>
        </w:rPr>
      </w:pPr>
      <w:r>
        <w:rPr>
          <w:rFonts w:cstheme="minorHAnsi"/>
          <w:b/>
          <w:bCs/>
          <w:color w:val="FF0000"/>
        </w:rPr>
        <w:t>Table 5: Measure Exclusions</w:t>
      </w:r>
      <w:r w:rsidR="003906D2" w:rsidRPr="00C253B3">
        <w:rPr>
          <w:rFonts w:cstheme="minorHAnsi"/>
          <w:b/>
          <w:bCs/>
          <w:color w:val="FF0000"/>
        </w:rPr>
        <w:t xml:space="preserve"> </w:t>
      </w:r>
    </w:p>
    <w:tbl>
      <w:tblPr>
        <w:tblStyle w:val="TableGrid"/>
        <w:tblW w:w="0" w:type="auto"/>
        <w:tblLook w:val="04A0" w:firstRow="1" w:lastRow="0" w:firstColumn="1" w:lastColumn="0" w:noHBand="0" w:noVBand="1"/>
      </w:tblPr>
      <w:tblGrid>
        <w:gridCol w:w="2550"/>
        <w:gridCol w:w="3730"/>
        <w:gridCol w:w="1644"/>
        <w:gridCol w:w="1652"/>
      </w:tblGrid>
      <w:tr w:rsidR="00672119" w:rsidRPr="008D7986" w:rsidTr="0052109D">
        <w:tc>
          <w:tcPr>
            <w:tcW w:w="0" w:type="auto"/>
          </w:tcPr>
          <w:p w:rsidR="0052109D" w:rsidRPr="008D7986" w:rsidRDefault="0052109D" w:rsidP="003906D2">
            <w:pPr>
              <w:rPr>
                <w:b/>
                <w:color w:val="FF0000"/>
              </w:rPr>
            </w:pPr>
            <w:r w:rsidRPr="008D7986">
              <w:rPr>
                <w:b/>
                <w:color w:val="FF0000"/>
              </w:rPr>
              <w:t>Exclusion</w:t>
            </w:r>
          </w:p>
        </w:tc>
        <w:tc>
          <w:tcPr>
            <w:tcW w:w="0" w:type="auto"/>
          </w:tcPr>
          <w:p w:rsidR="0052109D" w:rsidRPr="008D7986" w:rsidRDefault="0052109D" w:rsidP="003F67C1">
            <w:pPr>
              <w:ind w:left="720"/>
              <w:rPr>
                <w:b/>
                <w:color w:val="FF0000"/>
              </w:rPr>
            </w:pPr>
            <w:r w:rsidRPr="008D7986">
              <w:rPr>
                <w:b/>
                <w:color w:val="FF0000"/>
              </w:rPr>
              <w:t>Rationale</w:t>
            </w:r>
          </w:p>
        </w:tc>
        <w:tc>
          <w:tcPr>
            <w:tcW w:w="0" w:type="auto"/>
          </w:tcPr>
          <w:p w:rsidR="0052109D" w:rsidRPr="008D7986" w:rsidRDefault="0052109D" w:rsidP="003F67C1">
            <w:pPr>
              <w:rPr>
                <w:b/>
                <w:color w:val="FF0000"/>
              </w:rPr>
            </w:pPr>
            <w:r w:rsidRPr="008D7986">
              <w:rPr>
                <w:b/>
                <w:color w:val="FF0000"/>
              </w:rPr>
              <w:t>MH Denominator lost due to exclusion</w:t>
            </w:r>
          </w:p>
        </w:tc>
        <w:tc>
          <w:tcPr>
            <w:tcW w:w="0" w:type="auto"/>
          </w:tcPr>
          <w:p w:rsidR="0052109D" w:rsidRPr="008D7986" w:rsidRDefault="0052109D" w:rsidP="003F67C1">
            <w:pPr>
              <w:rPr>
                <w:b/>
                <w:color w:val="FF0000"/>
              </w:rPr>
            </w:pPr>
            <w:r w:rsidRPr="008D7986">
              <w:rPr>
                <w:b/>
                <w:color w:val="FF0000"/>
              </w:rPr>
              <w:t>AOD Denominator lost due to exclusion</w:t>
            </w:r>
          </w:p>
        </w:tc>
      </w:tr>
      <w:tr w:rsidR="00672119" w:rsidRPr="008D7986" w:rsidTr="0052109D">
        <w:tc>
          <w:tcPr>
            <w:tcW w:w="0" w:type="auto"/>
          </w:tcPr>
          <w:p w:rsidR="0052109D" w:rsidRPr="008D7986" w:rsidRDefault="0052109D" w:rsidP="003906D2">
            <w:pPr>
              <w:pStyle w:val="ListParagraph"/>
              <w:numPr>
                <w:ilvl w:val="0"/>
                <w:numId w:val="28"/>
              </w:numPr>
              <w:rPr>
                <w:b/>
                <w:color w:val="FF0000"/>
              </w:rPr>
            </w:pPr>
            <w:r w:rsidRPr="008D7986">
              <w:rPr>
                <w:b/>
                <w:color w:val="FF0000"/>
              </w:rPr>
              <w:t>ED discharges after December 1</w:t>
            </w:r>
          </w:p>
        </w:tc>
        <w:tc>
          <w:tcPr>
            <w:tcW w:w="0" w:type="auto"/>
          </w:tcPr>
          <w:p w:rsidR="0052109D" w:rsidRPr="008D7986" w:rsidRDefault="0052109D" w:rsidP="00AC1BEB">
            <w:pPr>
              <w:ind w:left="720"/>
              <w:rPr>
                <w:b/>
                <w:color w:val="FF0000"/>
              </w:rPr>
            </w:pPr>
            <w:r w:rsidRPr="008D7986">
              <w:rPr>
                <w:b/>
                <w:color w:val="FF0000"/>
              </w:rPr>
              <w:t>I</w:t>
            </w:r>
            <w:r w:rsidR="002D2AC6" w:rsidRPr="008D7986">
              <w:rPr>
                <w:b/>
                <w:color w:val="FF0000"/>
              </w:rPr>
              <w:t>f an ED discharge</w:t>
            </w:r>
            <w:r w:rsidRPr="008D7986">
              <w:rPr>
                <w:b/>
                <w:color w:val="FF0000"/>
              </w:rPr>
              <w:t xml:space="preserve"> is after December 1, then the full 30-day follow-up period is not available for patient to </w:t>
            </w:r>
            <w:r w:rsidR="00AC1BEB" w:rsidRPr="008D7986">
              <w:rPr>
                <w:b/>
                <w:color w:val="FF0000"/>
              </w:rPr>
              <w:t>receive</w:t>
            </w:r>
            <w:r w:rsidRPr="008D7986">
              <w:rPr>
                <w:b/>
                <w:color w:val="FF0000"/>
              </w:rPr>
              <w:t xml:space="preserve"> follow-up care during the measurement year</w:t>
            </w:r>
          </w:p>
        </w:tc>
        <w:tc>
          <w:tcPr>
            <w:tcW w:w="0" w:type="auto"/>
          </w:tcPr>
          <w:p w:rsidR="0052109D" w:rsidRPr="008D7986" w:rsidRDefault="0052109D" w:rsidP="003F67C1">
            <w:pPr>
              <w:rPr>
                <w:b/>
                <w:color w:val="FF0000"/>
              </w:rPr>
            </w:pPr>
            <w:r w:rsidRPr="008D7986">
              <w:rPr>
                <w:b/>
                <w:color w:val="FF0000"/>
              </w:rPr>
              <w:t>7.5%</w:t>
            </w:r>
          </w:p>
        </w:tc>
        <w:tc>
          <w:tcPr>
            <w:tcW w:w="0" w:type="auto"/>
          </w:tcPr>
          <w:p w:rsidR="0052109D" w:rsidRPr="008D7986" w:rsidRDefault="0052109D" w:rsidP="003F67C1">
            <w:pPr>
              <w:rPr>
                <w:b/>
                <w:color w:val="FF0000"/>
              </w:rPr>
            </w:pPr>
            <w:r w:rsidRPr="008D7986">
              <w:rPr>
                <w:b/>
                <w:color w:val="FF0000"/>
              </w:rPr>
              <w:t>6.9%</w:t>
            </w:r>
          </w:p>
        </w:tc>
      </w:tr>
      <w:tr w:rsidR="00672119" w:rsidRPr="008D7986" w:rsidTr="0052109D">
        <w:tc>
          <w:tcPr>
            <w:tcW w:w="0" w:type="auto"/>
          </w:tcPr>
          <w:p w:rsidR="0052109D" w:rsidRPr="008D7986" w:rsidRDefault="0052109D" w:rsidP="003906D2">
            <w:pPr>
              <w:pStyle w:val="ListParagraph"/>
              <w:numPr>
                <w:ilvl w:val="0"/>
                <w:numId w:val="28"/>
              </w:numPr>
              <w:rPr>
                <w:b/>
                <w:color w:val="FF0000"/>
              </w:rPr>
            </w:pPr>
            <w:r w:rsidRPr="008D7986">
              <w:rPr>
                <w:b/>
                <w:color w:val="FF0000"/>
              </w:rPr>
              <w:t>ED discharges who die during the follow-up period</w:t>
            </w:r>
          </w:p>
        </w:tc>
        <w:tc>
          <w:tcPr>
            <w:tcW w:w="0" w:type="auto"/>
          </w:tcPr>
          <w:p w:rsidR="0052109D" w:rsidRPr="008D7986" w:rsidRDefault="00AC1BEB" w:rsidP="00AC1BEB">
            <w:pPr>
              <w:ind w:left="720"/>
              <w:rPr>
                <w:b/>
                <w:color w:val="FF0000"/>
              </w:rPr>
            </w:pPr>
            <w:r w:rsidRPr="008D7986">
              <w:rPr>
                <w:b/>
                <w:color w:val="FF0000"/>
              </w:rPr>
              <w:t>Death prevents follow-up care</w:t>
            </w:r>
          </w:p>
        </w:tc>
        <w:tc>
          <w:tcPr>
            <w:tcW w:w="0" w:type="auto"/>
          </w:tcPr>
          <w:p w:rsidR="0052109D" w:rsidRPr="008D7986" w:rsidRDefault="0052109D" w:rsidP="0052109D">
            <w:pPr>
              <w:rPr>
                <w:b/>
                <w:color w:val="FF0000"/>
              </w:rPr>
            </w:pPr>
            <w:r w:rsidRPr="008D7986">
              <w:rPr>
                <w:b/>
                <w:color w:val="FF0000"/>
              </w:rPr>
              <w:t>Less than 1%</w:t>
            </w:r>
          </w:p>
        </w:tc>
        <w:tc>
          <w:tcPr>
            <w:tcW w:w="0" w:type="auto"/>
          </w:tcPr>
          <w:p w:rsidR="0052109D" w:rsidRPr="008D7986" w:rsidRDefault="0052109D" w:rsidP="0052109D">
            <w:pPr>
              <w:rPr>
                <w:b/>
                <w:color w:val="FF0000"/>
              </w:rPr>
            </w:pPr>
            <w:r w:rsidRPr="008D7986">
              <w:rPr>
                <w:b/>
                <w:color w:val="FF0000"/>
              </w:rPr>
              <w:t>Less than 1%</w:t>
            </w:r>
          </w:p>
        </w:tc>
      </w:tr>
      <w:tr w:rsidR="00672119" w:rsidRPr="008D7986" w:rsidTr="0052109D">
        <w:tc>
          <w:tcPr>
            <w:tcW w:w="0" w:type="auto"/>
          </w:tcPr>
          <w:p w:rsidR="0052109D" w:rsidRPr="008D7986" w:rsidRDefault="0052109D" w:rsidP="003F67C1">
            <w:pPr>
              <w:pStyle w:val="ListParagraph"/>
              <w:numPr>
                <w:ilvl w:val="0"/>
                <w:numId w:val="28"/>
              </w:numPr>
              <w:rPr>
                <w:b/>
                <w:color w:val="FF0000"/>
              </w:rPr>
            </w:pPr>
            <w:r w:rsidRPr="008D7986">
              <w:rPr>
                <w:b/>
                <w:color w:val="FF0000"/>
              </w:rPr>
              <w:t>For an ED discharge where the patient also visited the ED in the previous 30 days, exclude those previous ED discharges</w:t>
            </w:r>
          </w:p>
        </w:tc>
        <w:tc>
          <w:tcPr>
            <w:tcW w:w="0" w:type="auto"/>
          </w:tcPr>
          <w:p w:rsidR="0052109D" w:rsidRPr="008D7986" w:rsidRDefault="00672119" w:rsidP="003F67C1">
            <w:pPr>
              <w:pStyle w:val="ListParagraph"/>
              <w:numPr>
                <w:ilvl w:val="0"/>
                <w:numId w:val="29"/>
              </w:numPr>
              <w:rPr>
                <w:b/>
                <w:color w:val="FF0000"/>
              </w:rPr>
            </w:pPr>
            <w:r w:rsidRPr="008D7986">
              <w:rPr>
                <w:b/>
                <w:color w:val="FF0000"/>
              </w:rPr>
              <w:t xml:space="preserve">Including </w:t>
            </w:r>
            <w:r w:rsidR="0052109D" w:rsidRPr="008D7986">
              <w:rPr>
                <w:b/>
                <w:color w:val="FF0000"/>
              </w:rPr>
              <w:t xml:space="preserve"> </w:t>
            </w:r>
            <w:r w:rsidRPr="008D7986">
              <w:rPr>
                <w:b/>
                <w:color w:val="FF0000"/>
              </w:rPr>
              <w:t xml:space="preserve">these </w:t>
            </w:r>
            <w:r w:rsidR="0052109D" w:rsidRPr="008D7986">
              <w:rPr>
                <w:b/>
                <w:color w:val="FF0000"/>
              </w:rPr>
              <w:t xml:space="preserve"> ED discharges </w:t>
            </w:r>
            <w:r w:rsidRPr="008D7986">
              <w:rPr>
                <w:b/>
                <w:color w:val="FF0000"/>
              </w:rPr>
              <w:t xml:space="preserve">could lead to a larger number of ED visits resulting in </w:t>
            </w:r>
            <w:r w:rsidR="0052109D" w:rsidRPr="008D7986">
              <w:rPr>
                <w:b/>
                <w:color w:val="FF0000"/>
              </w:rPr>
              <w:t xml:space="preserve"> higher performance on the measure</w:t>
            </w:r>
          </w:p>
          <w:p w:rsidR="0052109D" w:rsidRPr="008D7986" w:rsidRDefault="0052109D" w:rsidP="00AC1BEB">
            <w:pPr>
              <w:pStyle w:val="ListParagraph"/>
              <w:numPr>
                <w:ilvl w:val="0"/>
                <w:numId w:val="29"/>
              </w:numPr>
              <w:rPr>
                <w:b/>
                <w:color w:val="FF0000"/>
              </w:rPr>
            </w:pPr>
            <w:r w:rsidRPr="008D7986">
              <w:rPr>
                <w:b/>
                <w:color w:val="FF0000"/>
              </w:rPr>
              <w:t xml:space="preserve">This </w:t>
            </w:r>
            <w:r w:rsidR="00AC1BEB" w:rsidRPr="008D7986">
              <w:rPr>
                <w:b/>
                <w:color w:val="FF0000"/>
              </w:rPr>
              <w:t xml:space="preserve">exclusion aligns with the NQF-endorsed (#0576) Follow-up after Hospitalization for Mental Illness measure to </w:t>
            </w:r>
            <w:r w:rsidR="00AC1BEB" w:rsidRPr="008D7986">
              <w:rPr>
                <w:b/>
                <w:color w:val="FF0000"/>
              </w:rPr>
              <w:lastRenderedPageBreak/>
              <w:t>reduce the burden and confusion for health plans implementing both measures</w:t>
            </w:r>
          </w:p>
        </w:tc>
        <w:tc>
          <w:tcPr>
            <w:tcW w:w="0" w:type="auto"/>
          </w:tcPr>
          <w:p w:rsidR="0052109D" w:rsidRPr="008D7986" w:rsidRDefault="0052109D" w:rsidP="0052109D">
            <w:pPr>
              <w:rPr>
                <w:b/>
                <w:color w:val="FF0000"/>
              </w:rPr>
            </w:pPr>
            <w:r w:rsidRPr="008D7986">
              <w:rPr>
                <w:b/>
                <w:color w:val="FF0000"/>
              </w:rPr>
              <w:lastRenderedPageBreak/>
              <w:t>16.2%</w:t>
            </w:r>
          </w:p>
        </w:tc>
        <w:tc>
          <w:tcPr>
            <w:tcW w:w="0" w:type="auto"/>
          </w:tcPr>
          <w:p w:rsidR="0052109D" w:rsidRPr="008D7986" w:rsidRDefault="0052109D" w:rsidP="0052109D">
            <w:pPr>
              <w:rPr>
                <w:b/>
                <w:color w:val="FF0000"/>
              </w:rPr>
            </w:pPr>
            <w:r w:rsidRPr="008D7986">
              <w:rPr>
                <w:b/>
                <w:color w:val="FF0000"/>
              </w:rPr>
              <w:t>17.3%</w:t>
            </w:r>
          </w:p>
        </w:tc>
      </w:tr>
      <w:tr w:rsidR="00672119" w:rsidRPr="008D7986" w:rsidTr="0052109D">
        <w:tc>
          <w:tcPr>
            <w:tcW w:w="0" w:type="auto"/>
          </w:tcPr>
          <w:p w:rsidR="0052109D" w:rsidRPr="008D7986" w:rsidRDefault="0052109D" w:rsidP="003906D2">
            <w:pPr>
              <w:pStyle w:val="ListParagraph"/>
              <w:numPr>
                <w:ilvl w:val="0"/>
                <w:numId w:val="28"/>
              </w:numPr>
              <w:rPr>
                <w:b/>
                <w:color w:val="FF0000"/>
              </w:rPr>
            </w:pPr>
            <w:r w:rsidRPr="008D7986">
              <w:rPr>
                <w:b/>
                <w:color w:val="FF0000"/>
              </w:rPr>
              <w:lastRenderedPageBreak/>
              <w:t>ED discharges with an inpatient or other residential stay during follow-up period</w:t>
            </w:r>
          </w:p>
        </w:tc>
        <w:tc>
          <w:tcPr>
            <w:tcW w:w="0" w:type="auto"/>
          </w:tcPr>
          <w:p w:rsidR="0052109D" w:rsidRPr="008D7986" w:rsidRDefault="0052109D" w:rsidP="003906D2">
            <w:pPr>
              <w:pStyle w:val="ListParagraph"/>
              <w:numPr>
                <w:ilvl w:val="0"/>
                <w:numId w:val="30"/>
              </w:numPr>
              <w:rPr>
                <w:b/>
                <w:color w:val="FF0000"/>
              </w:rPr>
            </w:pPr>
            <w:r w:rsidRPr="008D7986">
              <w:rPr>
                <w:b/>
                <w:color w:val="FF0000"/>
              </w:rPr>
              <w:t xml:space="preserve">An inpatient or otherwise residential stay may </w:t>
            </w:r>
            <w:r w:rsidR="00974EEF" w:rsidRPr="008D7986">
              <w:rPr>
                <w:b/>
                <w:color w:val="FF0000"/>
              </w:rPr>
              <w:t xml:space="preserve">interfere with the receipt of </w:t>
            </w:r>
            <w:r w:rsidRPr="008D7986">
              <w:rPr>
                <w:b/>
                <w:color w:val="FF0000"/>
              </w:rPr>
              <w:t xml:space="preserve"> outpatient </w:t>
            </w:r>
            <w:r w:rsidR="00974EEF" w:rsidRPr="008D7986">
              <w:rPr>
                <w:b/>
                <w:color w:val="FF0000"/>
              </w:rPr>
              <w:t xml:space="preserve">follow-up </w:t>
            </w:r>
            <w:r w:rsidRPr="008D7986">
              <w:rPr>
                <w:b/>
                <w:color w:val="FF0000"/>
              </w:rPr>
              <w:t>care</w:t>
            </w:r>
          </w:p>
          <w:p w:rsidR="0052109D" w:rsidRPr="008D7986" w:rsidRDefault="00672119" w:rsidP="0052109D">
            <w:pPr>
              <w:pStyle w:val="ListParagraph"/>
              <w:numPr>
                <w:ilvl w:val="0"/>
                <w:numId w:val="30"/>
              </w:numPr>
              <w:rPr>
                <w:b/>
                <w:color w:val="FF0000"/>
              </w:rPr>
            </w:pPr>
            <w:r w:rsidRPr="008D7986">
              <w:rPr>
                <w:b/>
                <w:color w:val="FF0000"/>
              </w:rPr>
              <w:t>This exclusion aligns with the NQF-endorsed (#0576) Follow-up after Hospitalization for Mental Illness measure to reduce the burden and confusion for health plans implementing both measures</w:t>
            </w:r>
          </w:p>
        </w:tc>
        <w:tc>
          <w:tcPr>
            <w:tcW w:w="0" w:type="auto"/>
          </w:tcPr>
          <w:p w:rsidR="0052109D" w:rsidRPr="008D7986" w:rsidRDefault="0052109D" w:rsidP="003F67C1">
            <w:pPr>
              <w:rPr>
                <w:b/>
                <w:color w:val="FF0000"/>
              </w:rPr>
            </w:pPr>
            <w:r w:rsidRPr="008D7986">
              <w:rPr>
                <w:b/>
                <w:color w:val="FF0000"/>
              </w:rPr>
              <w:t>34</w:t>
            </w:r>
            <w:r w:rsidR="00C2040F" w:rsidRPr="008D7986">
              <w:rPr>
                <w:b/>
                <w:color w:val="FF0000"/>
              </w:rPr>
              <w:t>.2</w:t>
            </w:r>
            <w:r w:rsidRPr="008D7986">
              <w:rPr>
                <w:b/>
                <w:color w:val="FF0000"/>
              </w:rPr>
              <w:t>%</w:t>
            </w:r>
          </w:p>
          <w:p w:rsidR="0052109D" w:rsidRPr="008D7986" w:rsidRDefault="0052109D" w:rsidP="003F67C1">
            <w:pPr>
              <w:rPr>
                <w:b/>
                <w:color w:val="FF0000"/>
              </w:rPr>
            </w:pPr>
          </w:p>
          <w:p w:rsidR="0052109D" w:rsidRPr="008D7986" w:rsidRDefault="0052109D" w:rsidP="003F67C1">
            <w:pPr>
              <w:rPr>
                <w:b/>
                <w:color w:val="FF0000"/>
              </w:rPr>
            </w:pPr>
          </w:p>
        </w:tc>
        <w:tc>
          <w:tcPr>
            <w:tcW w:w="0" w:type="auto"/>
          </w:tcPr>
          <w:p w:rsidR="0052109D" w:rsidRPr="008D7986" w:rsidRDefault="0052109D" w:rsidP="000D5E58">
            <w:pPr>
              <w:rPr>
                <w:b/>
                <w:color w:val="FF0000"/>
              </w:rPr>
            </w:pPr>
            <w:r w:rsidRPr="008D7986">
              <w:rPr>
                <w:b/>
                <w:color w:val="FF0000"/>
              </w:rPr>
              <w:t>4</w:t>
            </w:r>
            <w:r w:rsidR="000D5E58" w:rsidRPr="008D7986">
              <w:rPr>
                <w:b/>
                <w:color w:val="FF0000"/>
              </w:rPr>
              <w:t>0.8</w:t>
            </w:r>
            <w:r w:rsidRPr="008D7986">
              <w:rPr>
                <w:b/>
                <w:color w:val="FF0000"/>
              </w:rPr>
              <w:t>%</w:t>
            </w:r>
          </w:p>
        </w:tc>
      </w:tr>
    </w:tbl>
    <w:p w:rsidR="00833325" w:rsidRDefault="001735E2" w:rsidP="00DB3627">
      <w:pPr>
        <w:autoSpaceDE w:val="0"/>
        <w:autoSpaceDN w:val="0"/>
        <w:adjustRightInd w:val="0"/>
        <w:spacing w:after="0" w:line="240" w:lineRule="auto"/>
        <w:rPr>
          <w:rFonts w:cstheme="minorHAnsi"/>
          <w:b/>
          <w:bCs/>
          <w:color w:val="FF0000"/>
        </w:rPr>
      </w:pPr>
      <w:r>
        <w:rPr>
          <w:rFonts w:cstheme="minorHAnsi"/>
          <w:b/>
          <w:bCs/>
          <w:color w:val="FF0000"/>
        </w:rPr>
        <w:t xml:space="preserve">Note: The exclusions presented in this table are not mutually exclusive. For example, a discharge that falls under exclusions 1 and 4 would appear in both places in this table. </w:t>
      </w:r>
    </w:p>
    <w:p w:rsidR="001735E2" w:rsidRPr="00C253B3" w:rsidRDefault="001735E2" w:rsidP="00DB3627">
      <w:pPr>
        <w:autoSpaceDE w:val="0"/>
        <w:autoSpaceDN w:val="0"/>
        <w:adjustRightInd w:val="0"/>
        <w:spacing w:after="0" w:line="240" w:lineRule="auto"/>
        <w:rPr>
          <w:rFonts w:cstheme="minorHAnsi"/>
          <w:b/>
          <w:bCs/>
          <w:color w:val="FF0000"/>
        </w:rPr>
      </w:pPr>
    </w:p>
    <w:p w:rsidR="007F0C05" w:rsidRPr="00C253B3" w:rsidRDefault="007F0C05" w:rsidP="00DB3627">
      <w:pPr>
        <w:autoSpaceDE w:val="0"/>
        <w:autoSpaceDN w:val="0"/>
        <w:adjustRightInd w:val="0"/>
        <w:spacing w:after="0" w:line="240" w:lineRule="auto"/>
        <w:rPr>
          <w:rFonts w:cstheme="minorHAnsi"/>
          <w:b/>
          <w:bCs/>
          <w:color w:val="FF0000"/>
        </w:rPr>
      </w:pPr>
      <w:r w:rsidRPr="00C253B3">
        <w:rPr>
          <w:rFonts w:cstheme="minorHAnsi"/>
          <w:b/>
          <w:bCs/>
          <w:color w:val="FF0000"/>
        </w:rPr>
        <w:t>We tested whether the exclusion</w:t>
      </w:r>
      <w:r w:rsidR="00BB095D">
        <w:rPr>
          <w:rFonts w:cstheme="minorHAnsi"/>
          <w:b/>
          <w:bCs/>
          <w:color w:val="FF0000"/>
        </w:rPr>
        <w:t>s</w:t>
      </w:r>
      <w:r w:rsidRPr="00C253B3">
        <w:rPr>
          <w:rFonts w:cstheme="minorHAnsi"/>
          <w:b/>
          <w:bCs/>
          <w:color w:val="FF0000"/>
        </w:rPr>
        <w:t xml:space="preserve"> affected over performance scores. </w:t>
      </w:r>
    </w:p>
    <w:p w:rsidR="007F0C05" w:rsidRPr="00A25024" w:rsidRDefault="007F0C05" w:rsidP="00DB3627">
      <w:pPr>
        <w:autoSpaceDE w:val="0"/>
        <w:autoSpaceDN w:val="0"/>
        <w:adjustRightInd w:val="0"/>
        <w:spacing w:after="0" w:line="240" w:lineRule="auto"/>
        <w:rPr>
          <w:rFonts w:cstheme="minorHAnsi"/>
          <w:bCs/>
        </w:rPr>
      </w:pPr>
    </w:p>
    <w:p w:rsidR="002F5C3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7422FD" w:rsidRPr="00C253B3" w:rsidRDefault="00833325" w:rsidP="00092566">
      <w:pPr>
        <w:autoSpaceDE w:val="0"/>
        <w:autoSpaceDN w:val="0"/>
        <w:adjustRightInd w:val="0"/>
        <w:spacing w:after="0" w:line="240" w:lineRule="auto"/>
        <w:rPr>
          <w:rFonts w:cstheme="minorHAnsi"/>
          <w:b/>
          <w:bCs/>
          <w:color w:val="FF0000"/>
        </w:rPr>
      </w:pPr>
      <w:r w:rsidRPr="00A25024">
        <w:rPr>
          <w:rFonts w:cstheme="minorHAnsi"/>
          <w:bCs/>
        </w:rPr>
        <w:br/>
      </w:r>
      <w:r w:rsidR="00672119">
        <w:rPr>
          <w:rFonts w:cstheme="minorHAnsi"/>
          <w:b/>
          <w:bCs/>
          <w:color w:val="FF0000"/>
        </w:rPr>
        <w:t>Table 6: Number and p</w:t>
      </w:r>
      <w:r w:rsidR="00251A69" w:rsidRPr="00C253B3">
        <w:rPr>
          <w:rFonts w:cstheme="minorHAnsi"/>
          <w:b/>
          <w:bCs/>
          <w:color w:val="FF0000"/>
        </w:rPr>
        <w:t>ercent</w:t>
      </w:r>
      <w:r w:rsidR="002F5C3D" w:rsidRPr="00C253B3">
        <w:rPr>
          <w:rFonts w:cstheme="minorHAnsi"/>
          <w:b/>
          <w:bCs/>
          <w:color w:val="FF0000"/>
        </w:rPr>
        <w:t xml:space="preserve"> of denominator remaining after exclusions, by state</w:t>
      </w:r>
    </w:p>
    <w:tbl>
      <w:tblPr>
        <w:tblW w:w="9428" w:type="dxa"/>
        <w:tblInd w:w="93" w:type="dxa"/>
        <w:tblBorders>
          <w:top w:val="single" w:sz="8" w:space="0" w:color="C1C1C1"/>
          <w:left w:val="single" w:sz="8" w:space="0" w:color="C1C1C1"/>
          <w:bottom w:val="single" w:sz="8" w:space="0" w:color="C1C1C1"/>
          <w:right w:val="single" w:sz="8" w:space="0" w:color="C1C1C1"/>
          <w:insideH w:val="single" w:sz="8" w:space="0" w:color="C1C1C1"/>
          <w:insideV w:val="single" w:sz="8" w:space="0" w:color="C1C1C1"/>
        </w:tblBorders>
        <w:tblLook w:val="04A0" w:firstRow="1" w:lastRow="0" w:firstColumn="1" w:lastColumn="0" w:noHBand="0" w:noVBand="1"/>
      </w:tblPr>
      <w:tblGrid>
        <w:gridCol w:w="1172"/>
        <w:gridCol w:w="1428"/>
        <w:gridCol w:w="1450"/>
        <w:gridCol w:w="1250"/>
        <w:gridCol w:w="1428"/>
        <w:gridCol w:w="1450"/>
        <w:gridCol w:w="1250"/>
      </w:tblGrid>
      <w:tr w:rsidR="00C253B3" w:rsidRPr="008D7986" w:rsidTr="002F5C3D">
        <w:trPr>
          <w:trHeight w:val="268"/>
        </w:trPr>
        <w:tc>
          <w:tcPr>
            <w:tcW w:w="1172" w:type="dxa"/>
            <w:shd w:val="clear" w:color="auto" w:fill="auto"/>
            <w:vAlign w:val="bottom"/>
            <w:hideMark/>
          </w:tcPr>
          <w:p w:rsidR="002F5C3D" w:rsidRPr="008D7986" w:rsidRDefault="002F5C3D" w:rsidP="002F5C3D">
            <w:pPr>
              <w:spacing w:after="0" w:line="240" w:lineRule="auto"/>
              <w:jc w:val="center"/>
              <w:rPr>
                <w:rFonts w:eastAsia="Times New Roman" w:cs="Arial"/>
                <w:b/>
                <w:bCs/>
                <w:color w:val="FF0000"/>
              </w:rPr>
            </w:pPr>
          </w:p>
        </w:tc>
        <w:tc>
          <w:tcPr>
            <w:tcW w:w="4128" w:type="dxa"/>
            <w:gridSpan w:val="3"/>
            <w:shd w:val="clear" w:color="auto" w:fill="auto"/>
            <w:vAlign w:val="bottom"/>
            <w:hideMark/>
          </w:tcPr>
          <w:p w:rsidR="002F5C3D" w:rsidRPr="008D7986" w:rsidRDefault="002F5C3D" w:rsidP="002F5C3D">
            <w:pPr>
              <w:spacing w:after="0" w:line="240" w:lineRule="auto"/>
              <w:jc w:val="center"/>
              <w:rPr>
                <w:rFonts w:eastAsia="Times New Roman" w:cs="Arial"/>
                <w:b/>
                <w:bCs/>
                <w:color w:val="FF0000"/>
              </w:rPr>
            </w:pPr>
            <w:r w:rsidRPr="008D7986">
              <w:rPr>
                <w:rFonts w:eastAsia="Times New Roman" w:cs="Arial"/>
                <w:b/>
                <w:bCs/>
                <w:color w:val="FF0000"/>
              </w:rPr>
              <w:t>Mental Health</w:t>
            </w:r>
            <w:r w:rsidR="003906D2" w:rsidRPr="008D7986">
              <w:rPr>
                <w:rFonts w:eastAsia="Times New Roman" w:cs="Arial"/>
                <w:b/>
                <w:bCs/>
                <w:color w:val="FF0000"/>
              </w:rPr>
              <w:t xml:space="preserve"> (MH)</w:t>
            </w:r>
            <w:r w:rsidRPr="008D7986">
              <w:rPr>
                <w:rFonts w:eastAsia="Times New Roman" w:cs="Arial"/>
                <w:b/>
                <w:bCs/>
                <w:color w:val="FF0000"/>
              </w:rPr>
              <w:t xml:space="preserve"> Denominator</w:t>
            </w:r>
          </w:p>
        </w:tc>
        <w:tc>
          <w:tcPr>
            <w:tcW w:w="4128" w:type="dxa"/>
            <w:gridSpan w:val="3"/>
            <w:shd w:val="clear" w:color="auto" w:fill="auto"/>
            <w:vAlign w:val="bottom"/>
            <w:hideMark/>
          </w:tcPr>
          <w:p w:rsidR="002F5C3D" w:rsidRPr="008D7986" w:rsidRDefault="002F5C3D" w:rsidP="002F5C3D">
            <w:pPr>
              <w:spacing w:after="0" w:line="240" w:lineRule="auto"/>
              <w:jc w:val="center"/>
              <w:rPr>
                <w:rFonts w:eastAsia="Times New Roman" w:cs="Arial"/>
                <w:b/>
                <w:bCs/>
                <w:color w:val="FF0000"/>
              </w:rPr>
            </w:pPr>
            <w:r w:rsidRPr="008D7986">
              <w:rPr>
                <w:rFonts w:eastAsia="Times New Roman" w:cs="Arial"/>
                <w:b/>
                <w:bCs/>
                <w:color w:val="FF0000"/>
              </w:rPr>
              <w:t>AOD Denominator</w:t>
            </w:r>
          </w:p>
        </w:tc>
      </w:tr>
      <w:tr w:rsidR="00C253B3" w:rsidRPr="008D7986" w:rsidTr="002F5C3D">
        <w:trPr>
          <w:trHeight w:val="988"/>
        </w:trPr>
        <w:tc>
          <w:tcPr>
            <w:tcW w:w="1172" w:type="dxa"/>
            <w:shd w:val="clear" w:color="auto" w:fill="auto"/>
            <w:vAlign w:val="bottom"/>
            <w:hideMark/>
          </w:tcPr>
          <w:p w:rsidR="005F4401" w:rsidRPr="008D7986" w:rsidRDefault="005F4401" w:rsidP="002F5C3D">
            <w:pPr>
              <w:spacing w:after="0" w:line="240" w:lineRule="auto"/>
              <w:jc w:val="center"/>
              <w:rPr>
                <w:rFonts w:eastAsia="Times New Roman" w:cs="Arial"/>
                <w:b/>
                <w:bCs/>
                <w:color w:val="FF0000"/>
              </w:rPr>
            </w:pPr>
            <w:r w:rsidRPr="008D7986">
              <w:rPr>
                <w:rFonts w:eastAsia="Times New Roman" w:cs="Arial"/>
                <w:b/>
                <w:bCs/>
                <w:color w:val="FF0000"/>
              </w:rPr>
              <w:t>State</w:t>
            </w:r>
          </w:p>
        </w:tc>
        <w:tc>
          <w:tcPr>
            <w:tcW w:w="1428" w:type="dxa"/>
            <w:shd w:val="clear" w:color="auto" w:fill="auto"/>
            <w:vAlign w:val="bottom"/>
            <w:hideMark/>
          </w:tcPr>
          <w:p w:rsidR="005F4401" w:rsidRPr="008D7986" w:rsidRDefault="003906D2" w:rsidP="002F5C3D">
            <w:pPr>
              <w:spacing w:after="0" w:line="240" w:lineRule="auto"/>
              <w:jc w:val="center"/>
              <w:rPr>
                <w:rFonts w:eastAsia="Times New Roman" w:cs="Arial"/>
                <w:b/>
                <w:bCs/>
                <w:color w:val="FF0000"/>
              </w:rPr>
            </w:pPr>
            <w:r w:rsidRPr="008D7986">
              <w:rPr>
                <w:rFonts w:eastAsia="Times New Roman" w:cs="Arial"/>
                <w:b/>
                <w:bCs/>
                <w:color w:val="FF0000"/>
              </w:rPr>
              <w:t>MH</w:t>
            </w:r>
            <w:r w:rsidR="005F4401" w:rsidRPr="008D7986">
              <w:rPr>
                <w:rFonts w:eastAsia="Times New Roman" w:cs="Arial"/>
                <w:b/>
                <w:bCs/>
                <w:color w:val="FF0000"/>
              </w:rPr>
              <w:t xml:space="preserve"> denominator before exclusions</w:t>
            </w:r>
          </w:p>
        </w:tc>
        <w:tc>
          <w:tcPr>
            <w:tcW w:w="1450" w:type="dxa"/>
            <w:shd w:val="clear" w:color="auto" w:fill="auto"/>
            <w:vAlign w:val="bottom"/>
            <w:hideMark/>
          </w:tcPr>
          <w:p w:rsidR="005F4401" w:rsidRPr="008D7986" w:rsidRDefault="003906D2" w:rsidP="00F40137">
            <w:pPr>
              <w:spacing w:after="0" w:line="240" w:lineRule="auto"/>
              <w:jc w:val="center"/>
              <w:rPr>
                <w:rFonts w:eastAsia="Times New Roman" w:cs="Arial"/>
                <w:b/>
                <w:bCs/>
                <w:color w:val="FF0000"/>
              </w:rPr>
            </w:pPr>
            <w:r w:rsidRPr="008D7986">
              <w:rPr>
                <w:rFonts w:eastAsia="Times New Roman" w:cs="Arial"/>
                <w:b/>
                <w:bCs/>
                <w:color w:val="FF0000"/>
              </w:rPr>
              <w:t>MH</w:t>
            </w:r>
            <w:r w:rsidR="005F4401" w:rsidRPr="008D7986">
              <w:rPr>
                <w:rFonts w:eastAsia="Times New Roman" w:cs="Arial"/>
                <w:b/>
                <w:bCs/>
                <w:color w:val="FF0000"/>
              </w:rPr>
              <w:t xml:space="preserve"> </w:t>
            </w:r>
            <w:r w:rsidR="002F5C3D" w:rsidRPr="008D7986">
              <w:rPr>
                <w:rFonts w:eastAsia="Times New Roman" w:cs="Arial"/>
                <w:b/>
                <w:bCs/>
                <w:color w:val="FF0000"/>
              </w:rPr>
              <w:t>d</w:t>
            </w:r>
            <w:r w:rsidR="005F4401" w:rsidRPr="008D7986">
              <w:rPr>
                <w:rFonts w:eastAsia="Times New Roman" w:cs="Arial"/>
                <w:b/>
                <w:bCs/>
                <w:color w:val="FF0000"/>
              </w:rPr>
              <w:t>enominator after exclusions</w:t>
            </w:r>
          </w:p>
        </w:tc>
        <w:tc>
          <w:tcPr>
            <w:tcW w:w="1250" w:type="dxa"/>
            <w:shd w:val="clear" w:color="auto" w:fill="auto"/>
            <w:vAlign w:val="bottom"/>
            <w:hideMark/>
          </w:tcPr>
          <w:p w:rsidR="005F4401" w:rsidRPr="008D7986" w:rsidRDefault="005F4401" w:rsidP="00F40137">
            <w:pPr>
              <w:spacing w:after="0" w:line="240" w:lineRule="auto"/>
              <w:jc w:val="center"/>
              <w:rPr>
                <w:rFonts w:eastAsia="Times New Roman" w:cs="Arial"/>
                <w:b/>
                <w:bCs/>
                <w:color w:val="FF0000"/>
              </w:rPr>
            </w:pPr>
            <w:r w:rsidRPr="008D7986">
              <w:rPr>
                <w:rFonts w:eastAsia="Times New Roman" w:cs="Arial"/>
                <w:b/>
                <w:bCs/>
                <w:color w:val="FF0000"/>
              </w:rPr>
              <w:t>Percent after exclusions</w:t>
            </w:r>
          </w:p>
        </w:tc>
        <w:tc>
          <w:tcPr>
            <w:tcW w:w="1428" w:type="dxa"/>
            <w:shd w:val="clear" w:color="auto" w:fill="auto"/>
            <w:vAlign w:val="bottom"/>
            <w:hideMark/>
          </w:tcPr>
          <w:p w:rsidR="005F4401" w:rsidRPr="008D7986" w:rsidRDefault="005F4401" w:rsidP="002F5C3D">
            <w:pPr>
              <w:spacing w:after="0" w:line="240" w:lineRule="auto"/>
              <w:jc w:val="center"/>
              <w:rPr>
                <w:rFonts w:eastAsia="Times New Roman" w:cs="Arial"/>
                <w:b/>
                <w:bCs/>
                <w:color w:val="FF0000"/>
              </w:rPr>
            </w:pPr>
            <w:r w:rsidRPr="008D7986">
              <w:rPr>
                <w:rFonts w:eastAsia="Times New Roman" w:cs="Arial"/>
                <w:b/>
                <w:bCs/>
                <w:color w:val="FF0000"/>
              </w:rPr>
              <w:t>AOD denominator before exclusions</w:t>
            </w:r>
          </w:p>
        </w:tc>
        <w:tc>
          <w:tcPr>
            <w:tcW w:w="1450" w:type="dxa"/>
            <w:shd w:val="clear" w:color="auto" w:fill="auto"/>
            <w:vAlign w:val="bottom"/>
            <w:hideMark/>
          </w:tcPr>
          <w:p w:rsidR="005F4401" w:rsidRPr="008D7986" w:rsidRDefault="005F4401" w:rsidP="00F40137">
            <w:pPr>
              <w:spacing w:after="0" w:line="240" w:lineRule="auto"/>
              <w:jc w:val="center"/>
              <w:rPr>
                <w:rFonts w:eastAsia="Times New Roman" w:cs="Arial"/>
                <w:b/>
                <w:bCs/>
                <w:color w:val="FF0000"/>
              </w:rPr>
            </w:pPr>
            <w:r w:rsidRPr="008D7986">
              <w:rPr>
                <w:rFonts w:eastAsia="Times New Roman" w:cs="Arial"/>
                <w:b/>
                <w:bCs/>
                <w:color w:val="FF0000"/>
              </w:rPr>
              <w:t xml:space="preserve">AOD </w:t>
            </w:r>
            <w:r w:rsidR="002F5C3D" w:rsidRPr="008D7986">
              <w:rPr>
                <w:rFonts w:eastAsia="Times New Roman" w:cs="Arial"/>
                <w:b/>
                <w:bCs/>
                <w:color w:val="FF0000"/>
              </w:rPr>
              <w:t>d</w:t>
            </w:r>
            <w:r w:rsidRPr="008D7986">
              <w:rPr>
                <w:rFonts w:eastAsia="Times New Roman" w:cs="Arial"/>
                <w:b/>
                <w:bCs/>
                <w:color w:val="FF0000"/>
              </w:rPr>
              <w:t>enominator after exclusions</w:t>
            </w:r>
          </w:p>
        </w:tc>
        <w:tc>
          <w:tcPr>
            <w:tcW w:w="1250" w:type="dxa"/>
            <w:shd w:val="clear" w:color="auto" w:fill="auto"/>
            <w:vAlign w:val="bottom"/>
            <w:hideMark/>
          </w:tcPr>
          <w:p w:rsidR="005F4401" w:rsidRPr="008D7986" w:rsidRDefault="005F4401" w:rsidP="00F40137">
            <w:pPr>
              <w:spacing w:after="0" w:line="240" w:lineRule="auto"/>
              <w:jc w:val="center"/>
              <w:rPr>
                <w:rFonts w:eastAsia="Times New Roman" w:cs="Arial"/>
                <w:b/>
                <w:bCs/>
                <w:color w:val="FF0000"/>
              </w:rPr>
            </w:pPr>
            <w:r w:rsidRPr="008D7986">
              <w:rPr>
                <w:rFonts w:eastAsia="Times New Roman" w:cs="Arial"/>
                <w:b/>
                <w:bCs/>
                <w:color w:val="FF0000"/>
              </w:rPr>
              <w:t>Percent  after exclusions</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AK</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297</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221</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74.4%</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294</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212</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72.1%</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AL</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3,244</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2,294</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70.7%</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1,135</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873</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76.9%</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CT</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2,800</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1,608</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57.4%</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2,081</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1,135</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54.5%</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DC*</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311</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181</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58.2%</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302</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0</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0.0%</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GA</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5,009</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3,506</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70.0%</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1,796</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1,273</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70.9%</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IL</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11,057</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5,681</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51.4%</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3,179</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1,248</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39.3%</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IN</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1,405</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990</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70.5%</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765</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563</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73.6%</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KY</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4,762</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3,520</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73.9%</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1,879</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1,403</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74.7%</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LA</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3,738</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2,447</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65.5%</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1,451</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1,081</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74.5%</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MN</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3,192</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2,149</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67.3%</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1,100</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747</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67.9%</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MS</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1,198</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842</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70.3%</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524</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392</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74.8%</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NC</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6,755</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4,907</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72.6%</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3,372</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2,416</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71.6%</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NH</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800</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574</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71.8%</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292</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188</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64.4%</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OK</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1,183</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813</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68.7%</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717</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514</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71.7%</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t>WI</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1,491</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1,041</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69.8%</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895</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588</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65.7%</w:t>
            </w:r>
          </w:p>
        </w:tc>
      </w:tr>
      <w:tr w:rsidR="00C253B3" w:rsidRPr="008D7986" w:rsidTr="000E4F52">
        <w:trPr>
          <w:trHeight w:val="315"/>
        </w:trPr>
        <w:tc>
          <w:tcPr>
            <w:tcW w:w="1172" w:type="dxa"/>
            <w:shd w:val="clear" w:color="000000" w:fill="FFFFFF"/>
            <w:noWrap/>
            <w:vAlign w:val="center"/>
            <w:hideMark/>
          </w:tcPr>
          <w:p w:rsidR="000E4F52" w:rsidRPr="008D7986" w:rsidRDefault="000E4F52" w:rsidP="000E4F52">
            <w:pPr>
              <w:spacing w:after="0" w:line="240" w:lineRule="auto"/>
              <w:contextualSpacing/>
              <w:rPr>
                <w:rFonts w:eastAsia="Times New Roman" w:cs="Arial"/>
                <w:b/>
                <w:color w:val="FF0000"/>
              </w:rPr>
            </w:pPr>
            <w:r w:rsidRPr="008D7986">
              <w:rPr>
                <w:rFonts w:eastAsia="Times New Roman" w:cs="Arial"/>
                <w:b/>
                <w:color w:val="FF0000"/>
              </w:rPr>
              <w:lastRenderedPageBreak/>
              <w:t>WV</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1,699</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1,178</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69.3%</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934</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704</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75.4%</w:t>
            </w:r>
          </w:p>
        </w:tc>
      </w:tr>
      <w:tr w:rsidR="00C253B3" w:rsidRPr="008D7986" w:rsidTr="000E4F52">
        <w:trPr>
          <w:trHeight w:val="315"/>
        </w:trPr>
        <w:tc>
          <w:tcPr>
            <w:tcW w:w="1172" w:type="dxa"/>
            <w:shd w:val="clear" w:color="000000" w:fill="FFFFFF"/>
            <w:noWrap/>
            <w:vAlign w:val="center"/>
            <w:hideMark/>
          </w:tcPr>
          <w:p w:rsidR="000E4F52" w:rsidRPr="008D7986" w:rsidRDefault="000E4F52" w:rsidP="00C2040F">
            <w:pPr>
              <w:spacing w:after="0" w:line="240" w:lineRule="auto"/>
              <w:contextualSpacing/>
              <w:rPr>
                <w:rFonts w:eastAsia="Times New Roman" w:cs="Arial"/>
                <w:b/>
                <w:color w:val="FF0000"/>
              </w:rPr>
            </w:pPr>
            <w:r w:rsidRPr="008D7986">
              <w:rPr>
                <w:rFonts w:eastAsia="Times New Roman" w:cs="Arial"/>
                <w:b/>
                <w:color w:val="FF0000"/>
              </w:rPr>
              <w:t xml:space="preserve">Total </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48,941</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31,952</w:t>
            </w:r>
          </w:p>
        </w:tc>
        <w:tc>
          <w:tcPr>
            <w:tcW w:w="12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65.3%</w:t>
            </w:r>
          </w:p>
        </w:tc>
        <w:tc>
          <w:tcPr>
            <w:tcW w:w="1428"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20,716</w:t>
            </w:r>
          </w:p>
        </w:tc>
        <w:tc>
          <w:tcPr>
            <w:tcW w:w="1450" w:type="dxa"/>
            <w:shd w:val="clear" w:color="000000" w:fill="FFFFFF"/>
            <w:noWrap/>
            <w:vAlign w:val="center"/>
            <w:hideMark/>
          </w:tcPr>
          <w:p w:rsidR="000E4F52" w:rsidRPr="008D7986" w:rsidRDefault="000E4F52" w:rsidP="000E4F52">
            <w:pPr>
              <w:spacing w:line="240" w:lineRule="auto"/>
              <w:contextualSpacing/>
              <w:rPr>
                <w:b/>
                <w:color w:val="FF0000"/>
              </w:rPr>
            </w:pPr>
            <w:r w:rsidRPr="008D7986">
              <w:rPr>
                <w:b/>
                <w:color w:val="FF0000"/>
              </w:rPr>
              <w:t>13,337</w:t>
            </w:r>
          </w:p>
        </w:tc>
        <w:tc>
          <w:tcPr>
            <w:tcW w:w="1250" w:type="dxa"/>
            <w:shd w:val="clear" w:color="auto" w:fill="auto"/>
            <w:noWrap/>
            <w:vAlign w:val="center"/>
            <w:hideMark/>
          </w:tcPr>
          <w:p w:rsidR="000E4F52" w:rsidRPr="008D7986" w:rsidRDefault="000E4F52" w:rsidP="000E4F52">
            <w:pPr>
              <w:spacing w:line="240" w:lineRule="auto"/>
              <w:contextualSpacing/>
              <w:rPr>
                <w:b/>
                <w:color w:val="FF0000"/>
              </w:rPr>
            </w:pPr>
            <w:r w:rsidRPr="008D7986">
              <w:rPr>
                <w:b/>
                <w:color w:val="FF0000"/>
              </w:rPr>
              <w:t>64.4%</w:t>
            </w:r>
          </w:p>
        </w:tc>
      </w:tr>
    </w:tbl>
    <w:p w:rsidR="002F5C3D" w:rsidRPr="00C253B3" w:rsidRDefault="002F5C3D" w:rsidP="002F5C3D">
      <w:pPr>
        <w:autoSpaceDE w:val="0"/>
        <w:autoSpaceDN w:val="0"/>
        <w:adjustRightInd w:val="0"/>
        <w:spacing w:after="0" w:line="240" w:lineRule="auto"/>
        <w:rPr>
          <w:rFonts w:cstheme="minorHAnsi"/>
          <w:b/>
          <w:bCs/>
          <w:color w:val="FF0000"/>
        </w:rPr>
      </w:pPr>
      <w:r w:rsidRPr="00C253B3">
        <w:rPr>
          <w:rFonts w:cstheme="minorHAnsi"/>
          <w:b/>
          <w:bCs/>
          <w:color w:val="FF0000"/>
        </w:rPr>
        <w:t>*DC was dropped from AOD denominator due to small sample size.</w:t>
      </w:r>
    </w:p>
    <w:p w:rsidR="003C7579" w:rsidRPr="00C253B3" w:rsidRDefault="003C7579" w:rsidP="00092566">
      <w:pPr>
        <w:autoSpaceDE w:val="0"/>
        <w:autoSpaceDN w:val="0"/>
        <w:adjustRightInd w:val="0"/>
        <w:spacing w:after="0" w:line="240" w:lineRule="auto"/>
        <w:rPr>
          <w:rFonts w:cstheme="minorHAnsi"/>
          <w:b/>
          <w:bCs/>
          <w:color w:val="FF0000"/>
          <w:highlight w:val="cyan"/>
        </w:rPr>
      </w:pPr>
    </w:p>
    <w:p w:rsidR="003C7579" w:rsidRPr="00281BA8" w:rsidRDefault="00672119" w:rsidP="00092566">
      <w:pPr>
        <w:autoSpaceDE w:val="0"/>
        <w:autoSpaceDN w:val="0"/>
        <w:adjustRightInd w:val="0"/>
        <w:spacing w:after="0" w:line="240" w:lineRule="auto"/>
        <w:rPr>
          <w:rFonts w:cstheme="minorHAnsi"/>
          <w:b/>
          <w:bCs/>
          <w:color w:val="FF0000"/>
        </w:rPr>
      </w:pPr>
      <w:r w:rsidRPr="00281BA8">
        <w:rPr>
          <w:rFonts w:cstheme="minorHAnsi"/>
          <w:b/>
          <w:bCs/>
          <w:color w:val="FF0000"/>
        </w:rPr>
        <w:t xml:space="preserve">Table 7: Measure performance </w:t>
      </w:r>
      <w:r w:rsidR="00DE3933" w:rsidRPr="00281BA8">
        <w:rPr>
          <w:rFonts w:cstheme="minorHAnsi"/>
          <w:b/>
          <w:bCs/>
          <w:color w:val="FF0000"/>
        </w:rPr>
        <w:t>before and after application of final exclusion</w:t>
      </w:r>
    </w:p>
    <w:tbl>
      <w:tblPr>
        <w:tblStyle w:val="TableGrid"/>
        <w:tblW w:w="0" w:type="auto"/>
        <w:tblLook w:val="04A0" w:firstRow="1" w:lastRow="0" w:firstColumn="1" w:lastColumn="0" w:noHBand="0" w:noVBand="1"/>
      </w:tblPr>
      <w:tblGrid>
        <w:gridCol w:w="3192"/>
        <w:gridCol w:w="3192"/>
        <w:gridCol w:w="3192"/>
      </w:tblGrid>
      <w:tr w:rsidR="00281BA8" w:rsidRPr="00281BA8" w:rsidTr="002D2AC6">
        <w:tc>
          <w:tcPr>
            <w:tcW w:w="3192" w:type="dxa"/>
          </w:tcPr>
          <w:p w:rsidR="002D2AC6" w:rsidRPr="00281BA8" w:rsidRDefault="002D2AC6" w:rsidP="00092566">
            <w:pPr>
              <w:autoSpaceDE w:val="0"/>
              <w:autoSpaceDN w:val="0"/>
              <w:adjustRightInd w:val="0"/>
              <w:rPr>
                <w:rFonts w:cstheme="minorHAnsi"/>
                <w:b/>
                <w:bCs/>
                <w:color w:val="FF0000"/>
              </w:rPr>
            </w:pPr>
            <w:r w:rsidRPr="00281BA8">
              <w:rPr>
                <w:rFonts w:cstheme="minorHAnsi"/>
                <w:b/>
                <w:bCs/>
                <w:color w:val="FF0000"/>
              </w:rPr>
              <w:t>Measure</w:t>
            </w:r>
          </w:p>
        </w:tc>
        <w:tc>
          <w:tcPr>
            <w:tcW w:w="3192" w:type="dxa"/>
          </w:tcPr>
          <w:p w:rsidR="002D2AC6" w:rsidRPr="00281BA8" w:rsidRDefault="009C37E7" w:rsidP="003F67C1">
            <w:pPr>
              <w:autoSpaceDE w:val="0"/>
              <w:autoSpaceDN w:val="0"/>
              <w:adjustRightInd w:val="0"/>
              <w:rPr>
                <w:rFonts w:cstheme="minorHAnsi"/>
                <w:b/>
                <w:bCs/>
                <w:color w:val="FF0000"/>
              </w:rPr>
            </w:pPr>
            <w:r w:rsidRPr="00281BA8">
              <w:rPr>
                <w:rFonts w:cstheme="minorHAnsi"/>
                <w:b/>
                <w:bCs/>
                <w:color w:val="FF0000"/>
              </w:rPr>
              <w:t>Overall m</w:t>
            </w:r>
            <w:r w:rsidR="002D2AC6" w:rsidRPr="00281BA8">
              <w:rPr>
                <w:rFonts w:cstheme="minorHAnsi"/>
                <w:b/>
                <w:bCs/>
                <w:color w:val="FF0000"/>
              </w:rPr>
              <w:t xml:space="preserve">easure performance after </w:t>
            </w:r>
            <w:r w:rsidR="003F67C1" w:rsidRPr="00281BA8">
              <w:rPr>
                <w:rFonts w:cstheme="minorHAnsi"/>
                <w:b/>
                <w:bCs/>
                <w:color w:val="FF0000"/>
              </w:rPr>
              <w:t>exclusions 1-3 applied</w:t>
            </w:r>
          </w:p>
        </w:tc>
        <w:tc>
          <w:tcPr>
            <w:tcW w:w="3192" w:type="dxa"/>
          </w:tcPr>
          <w:p w:rsidR="002D2AC6" w:rsidRPr="00281BA8" w:rsidRDefault="009C37E7" w:rsidP="003F67C1">
            <w:pPr>
              <w:autoSpaceDE w:val="0"/>
              <w:autoSpaceDN w:val="0"/>
              <w:adjustRightInd w:val="0"/>
              <w:rPr>
                <w:rFonts w:cstheme="minorHAnsi"/>
                <w:b/>
                <w:bCs/>
                <w:color w:val="FF0000"/>
              </w:rPr>
            </w:pPr>
            <w:r w:rsidRPr="00281BA8">
              <w:rPr>
                <w:rFonts w:cstheme="minorHAnsi"/>
                <w:b/>
                <w:bCs/>
                <w:color w:val="FF0000"/>
              </w:rPr>
              <w:t>Overall m</w:t>
            </w:r>
            <w:r w:rsidR="002D2AC6" w:rsidRPr="00281BA8">
              <w:rPr>
                <w:rFonts w:cstheme="minorHAnsi"/>
                <w:b/>
                <w:bCs/>
                <w:color w:val="FF0000"/>
              </w:rPr>
              <w:t xml:space="preserve">easure performance after </w:t>
            </w:r>
            <w:r w:rsidR="003F67C1" w:rsidRPr="00281BA8">
              <w:rPr>
                <w:rFonts w:cstheme="minorHAnsi"/>
                <w:b/>
                <w:bCs/>
                <w:color w:val="FF0000"/>
              </w:rPr>
              <w:t>exclusions 1-4 applied</w:t>
            </w:r>
          </w:p>
        </w:tc>
      </w:tr>
      <w:tr w:rsidR="00281BA8" w:rsidRPr="00281BA8" w:rsidTr="002D2AC6">
        <w:tc>
          <w:tcPr>
            <w:tcW w:w="3192" w:type="dxa"/>
          </w:tcPr>
          <w:p w:rsidR="002D2AC6" w:rsidRPr="00281BA8" w:rsidRDefault="002D2AC6" w:rsidP="00092566">
            <w:pPr>
              <w:autoSpaceDE w:val="0"/>
              <w:autoSpaceDN w:val="0"/>
              <w:adjustRightInd w:val="0"/>
              <w:rPr>
                <w:rFonts w:cstheme="minorHAnsi"/>
                <w:b/>
                <w:bCs/>
                <w:color w:val="FF0000"/>
              </w:rPr>
            </w:pPr>
            <w:r w:rsidRPr="00281BA8">
              <w:rPr>
                <w:rFonts w:cstheme="minorHAnsi"/>
                <w:b/>
                <w:bCs/>
                <w:color w:val="FF0000"/>
              </w:rPr>
              <w:t>Mental Health: 7-day follow-up</w:t>
            </w:r>
          </w:p>
        </w:tc>
        <w:tc>
          <w:tcPr>
            <w:tcW w:w="3192" w:type="dxa"/>
          </w:tcPr>
          <w:p w:rsidR="002D2AC6" w:rsidRPr="00281BA8" w:rsidRDefault="007A3FF5" w:rsidP="00092566">
            <w:pPr>
              <w:autoSpaceDE w:val="0"/>
              <w:autoSpaceDN w:val="0"/>
              <w:adjustRightInd w:val="0"/>
              <w:rPr>
                <w:rFonts w:cstheme="minorHAnsi"/>
                <w:b/>
                <w:bCs/>
                <w:color w:val="FF0000"/>
              </w:rPr>
            </w:pPr>
            <w:r w:rsidRPr="00281BA8">
              <w:rPr>
                <w:rFonts w:cstheme="minorHAnsi"/>
                <w:b/>
                <w:bCs/>
                <w:color w:val="FF0000"/>
              </w:rPr>
              <w:t>64.6</w:t>
            </w:r>
          </w:p>
        </w:tc>
        <w:tc>
          <w:tcPr>
            <w:tcW w:w="3192" w:type="dxa"/>
          </w:tcPr>
          <w:p w:rsidR="002D2AC6" w:rsidRPr="00281BA8" w:rsidRDefault="007A3FF5" w:rsidP="00092566">
            <w:pPr>
              <w:autoSpaceDE w:val="0"/>
              <w:autoSpaceDN w:val="0"/>
              <w:adjustRightInd w:val="0"/>
              <w:rPr>
                <w:rFonts w:cstheme="minorHAnsi"/>
                <w:b/>
                <w:bCs/>
                <w:color w:val="FF0000"/>
              </w:rPr>
            </w:pPr>
            <w:r w:rsidRPr="00281BA8">
              <w:rPr>
                <w:rFonts w:cstheme="minorHAnsi"/>
                <w:b/>
                <w:bCs/>
                <w:color w:val="FF0000"/>
              </w:rPr>
              <w:t>66.0</w:t>
            </w:r>
          </w:p>
        </w:tc>
      </w:tr>
      <w:tr w:rsidR="00281BA8" w:rsidRPr="00281BA8" w:rsidTr="002D2AC6">
        <w:tc>
          <w:tcPr>
            <w:tcW w:w="3192" w:type="dxa"/>
          </w:tcPr>
          <w:p w:rsidR="002D2AC6" w:rsidRPr="00281BA8" w:rsidRDefault="002D2AC6" w:rsidP="002D2AC6">
            <w:pPr>
              <w:autoSpaceDE w:val="0"/>
              <w:autoSpaceDN w:val="0"/>
              <w:adjustRightInd w:val="0"/>
              <w:rPr>
                <w:rFonts w:cstheme="minorHAnsi"/>
                <w:b/>
                <w:bCs/>
                <w:color w:val="FF0000"/>
              </w:rPr>
            </w:pPr>
            <w:r w:rsidRPr="00281BA8">
              <w:rPr>
                <w:rFonts w:cstheme="minorHAnsi"/>
                <w:b/>
                <w:bCs/>
                <w:color w:val="FF0000"/>
              </w:rPr>
              <w:t>Mental Health: 30-day follow-up</w:t>
            </w:r>
          </w:p>
        </w:tc>
        <w:tc>
          <w:tcPr>
            <w:tcW w:w="3192" w:type="dxa"/>
          </w:tcPr>
          <w:p w:rsidR="002D2AC6" w:rsidRPr="00281BA8" w:rsidRDefault="007A3FF5" w:rsidP="00092566">
            <w:pPr>
              <w:autoSpaceDE w:val="0"/>
              <w:autoSpaceDN w:val="0"/>
              <w:adjustRightInd w:val="0"/>
              <w:rPr>
                <w:rFonts w:cstheme="minorHAnsi"/>
                <w:b/>
                <w:bCs/>
                <w:color w:val="FF0000"/>
              </w:rPr>
            </w:pPr>
            <w:r w:rsidRPr="00281BA8">
              <w:rPr>
                <w:rFonts w:cstheme="minorHAnsi"/>
                <w:b/>
                <w:bCs/>
                <w:color w:val="FF0000"/>
              </w:rPr>
              <w:t>75.6</w:t>
            </w:r>
          </w:p>
        </w:tc>
        <w:tc>
          <w:tcPr>
            <w:tcW w:w="3192" w:type="dxa"/>
          </w:tcPr>
          <w:p w:rsidR="002D2AC6" w:rsidRPr="00281BA8" w:rsidRDefault="007A3FF5" w:rsidP="004D62A7">
            <w:pPr>
              <w:autoSpaceDE w:val="0"/>
              <w:autoSpaceDN w:val="0"/>
              <w:adjustRightInd w:val="0"/>
              <w:rPr>
                <w:rFonts w:cstheme="minorHAnsi"/>
                <w:b/>
                <w:bCs/>
                <w:color w:val="FF0000"/>
              </w:rPr>
            </w:pPr>
            <w:r w:rsidRPr="00281BA8">
              <w:rPr>
                <w:rFonts w:cstheme="minorHAnsi"/>
                <w:b/>
                <w:bCs/>
                <w:color w:val="FF0000"/>
              </w:rPr>
              <w:t>76.1</w:t>
            </w:r>
          </w:p>
        </w:tc>
      </w:tr>
      <w:tr w:rsidR="00281BA8" w:rsidRPr="00281BA8" w:rsidTr="002D2AC6">
        <w:tc>
          <w:tcPr>
            <w:tcW w:w="3192" w:type="dxa"/>
          </w:tcPr>
          <w:p w:rsidR="002D2AC6" w:rsidRPr="00281BA8" w:rsidRDefault="002D2AC6" w:rsidP="00092566">
            <w:pPr>
              <w:autoSpaceDE w:val="0"/>
              <w:autoSpaceDN w:val="0"/>
              <w:adjustRightInd w:val="0"/>
              <w:rPr>
                <w:rFonts w:cstheme="minorHAnsi"/>
                <w:b/>
                <w:bCs/>
                <w:color w:val="FF0000"/>
              </w:rPr>
            </w:pPr>
            <w:r w:rsidRPr="00281BA8">
              <w:rPr>
                <w:rFonts w:cstheme="minorHAnsi"/>
                <w:b/>
                <w:bCs/>
                <w:color w:val="FF0000"/>
              </w:rPr>
              <w:t>AOD: 7-day follow-up</w:t>
            </w:r>
          </w:p>
        </w:tc>
        <w:tc>
          <w:tcPr>
            <w:tcW w:w="3192" w:type="dxa"/>
          </w:tcPr>
          <w:p w:rsidR="002D2AC6" w:rsidRPr="00281BA8" w:rsidRDefault="007A3FF5" w:rsidP="004D62A7">
            <w:pPr>
              <w:autoSpaceDE w:val="0"/>
              <w:autoSpaceDN w:val="0"/>
              <w:adjustRightInd w:val="0"/>
              <w:rPr>
                <w:rFonts w:cstheme="minorHAnsi"/>
                <w:b/>
                <w:bCs/>
                <w:color w:val="FF0000"/>
              </w:rPr>
            </w:pPr>
            <w:r w:rsidRPr="00281BA8">
              <w:rPr>
                <w:rFonts w:cstheme="minorHAnsi"/>
                <w:b/>
                <w:bCs/>
                <w:color w:val="FF0000"/>
              </w:rPr>
              <w:t>61.9</w:t>
            </w:r>
          </w:p>
        </w:tc>
        <w:tc>
          <w:tcPr>
            <w:tcW w:w="3192" w:type="dxa"/>
          </w:tcPr>
          <w:p w:rsidR="002D2AC6" w:rsidRPr="00281BA8" w:rsidRDefault="007A3FF5" w:rsidP="00092566">
            <w:pPr>
              <w:autoSpaceDE w:val="0"/>
              <w:autoSpaceDN w:val="0"/>
              <w:adjustRightInd w:val="0"/>
              <w:rPr>
                <w:rFonts w:cstheme="minorHAnsi"/>
                <w:b/>
                <w:bCs/>
                <w:color w:val="FF0000"/>
              </w:rPr>
            </w:pPr>
            <w:r w:rsidRPr="00281BA8">
              <w:rPr>
                <w:rFonts w:cstheme="minorHAnsi"/>
                <w:b/>
                <w:bCs/>
                <w:color w:val="FF0000"/>
              </w:rPr>
              <w:t>64.3</w:t>
            </w:r>
          </w:p>
        </w:tc>
      </w:tr>
      <w:tr w:rsidR="00281BA8" w:rsidRPr="00281BA8" w:rsidTr="002D2AC6">
        <w:tc>
          <w:tcPr>
            <w:tcW w:w="3192" w:type="dxa"/>
          </w:tcPr>
          <w:p w:rsidR="002D2AC6" w:rsidRPr="00281BA8" w:rsidRDefault="002D2AC6" w:rsidP="00092566">
            <w:pPr>
              <w:autoSpaceDE w:val="0"/>
              <w:autoSpaceDN w:val="0"/>
              <w:adjustRightInd w:val="0"/>
              <w:rPr>
                <w:rFonts w:cstheme="minorHAnsi"/>
                <w:b/>
                <w:bCs/>
                <w:color w:val="FF0000"/>
              </w:rPr>
            </w:pPr>
            <w:r w:rsidRPr="00281BA8">
              <w:rPr>
                <w:rFonts w:cstheme="minorHAnsi"/>
                <w:b/>
                <w:bCs/>
                <w:color w:val="FF0000"/>
              </w:rPr>
              <w:t>AOD: 30-day follow up</w:t>
            </w:r>
          </w:p>
        </w:tc>
        <w:tc>
          <w:tcPr>
            <w:tcW w:w="3192" w:type="dxa"/>
          </w:tcPr>
          <w:p w:rsidR="002D2AC6" w:rsidRPr="00281BA8" w:rsidRDefault="007A3FF5" w:rsidP="00092566">
            <w:pPr>
              <w:autoSpaceDE w:val="0"/>
              <w:autoSpaceDN w:val="0"/>
              <w:adjustRightInd w:val="0"/>
              <w:rPr>
                <w:rFonts w:cstheme="minorHAnsi"/>
                <w:b/>
                <w:bCs/>
                <w:color w:val="FF0000"/>
              </w:rPr>
            </w:pPr>
            <w:r w:rsidRPr="00281BA8">
              <w:rPr>
                <w:rFonts w:cstheme="minorHAnsi"/>
                <w:b/>
                <w:bCs/>
                <w:color w:val="FF0000"/>
              </w:rPr>
              <w:t>65.9</w:t>
            </w:r>
          </w:p>
        </w:tc>
        <w:tc>
          <w:tcPr>
            <w:tcW w:w="3192" w:type="dxa"/>
          </w:tcPr>
          <w:p w:rsidR="002D2AC6" w:rsidRPr="00281BA8" w:rsidRDefault="007A3FF5" w:rsidP="00092566">
            <w:pPr>
              <w:autoSpaceDE w:val="0"/>
              <w:autoSpaceDN w:val="0"/>
              <w:adjustRightInd w:val="0"/>
              <w:rPr>
                <w:rFonts w:cstheme="minorHAnsi"/>
                <w:b/>
                <w:bCs/>
                <w:color w:val="FF0000"/>
              </w:rPr>
            </w:pPr>
            <w:r w:rsidRPr="00281BA8">
              <w:rPr>
                <w:rFonts w:cstheme="minorHAnsi"/>
                <w:b/>
                <w:bCs/>
                <w:color w:val="FF0000"/>
              </w:rPr>
              <w:t>66.7</w:t>
            </w:r>
          </w:p>
        </w:tc>
      </w:tr>
    </w:tbl>
    <w:p w:rsidR="002D2AC6" w:rsidRPr="00281BA8" w:rsidRDefault="009C37E7" w:rsidP="00092566">
      <w:pPr>
        <w:autoSpaceDE w:val="0"/>
        <w:autoSpaceDN w:val="0"/>
        <w:adjustRightInd w:val="0"/>
        <w:spacing w:after="0" w:line="240" w:lineRule="auto"/>
        <w:rPr>
          <w:rFonts w:cstheme="minorHAnsi"/>
          <w:b/>
          <w:bCs/>
          <w:color w:val="FF0000"/>
        </w:rPr>
      </w:pPr>
      <w:r w:rsidRPr="00281BA8">
        <w:rPr>
          <w:rFonts w:cstheme="minorHAnsi"/>
          <w:b/>
          <w:bCs/>
          <w:color w:val="FF0000"/>
        </w:rPr>
        <w:t xml:space="preserve">Note: </w:t>
      </w:r>
      <w:r w:rsidR="00DE3933" w:rsidRPr="00281BA8">
        <w:rPr>
          <w:rFonts w:cstheme="minorHAnsi"/>
          <w:b/>
          <w:bCs/>
          <w:color w:val="FF0000"/>
        </w:rPr>
        <w:t>T</w:t>
      </w:r>
      <w:r w:rsidRPr="00281BA8">
        <w:rPr>
          <w:rFonts w:cstheme="minorHAnsi"/>
          <w:b/>
          <w:bCs/>
          <w:color w:val="FF0000"/>
        </w:rPr>
        <w:t xml:space="preserve">he overall performance rates presented here are pooled </w:t>
      </w:r>
      <w:r w:rsidR="00DE3933" w:rsidRPr="00281BA8">
        <w:rPr>
          <w:rFonts w:cstheme="minorHAnsi"/>
          <w:b/>
          <w:bCs/>
          <w:color w:val="FF0000"/>
        </w:rPr>
        <w:t>across states</w:t>
      </w:r>
      <w:r w:rsidRPr="00281BA8">
        <w:rPr>
          <w:rFonts w:cstheme="minorHAnsi"/>
          <w:b/>
          <w:bCs/>
          <w:color w:val="FF0000"/>
        </w:rPr>
        <w:t xml:space="preserve">. </w:t>
      </w:r>
    </w:p>
    <w:p w:rsidR="00092566" w:rsidRPr="00092566" w:rsidRDefault="00092566" w:rsidP="00092566">
      <w:pPr>
        <w:autoSpaceDE w:val="0"/>
        <w:autoSpaceDN w:val="0"/>
        <w:adjustRightInd w:val="0"/>
        <w:spacing w:after="0" w:line="240" w:lineRule="auto"/>
        <w:rPr>
          <w:rFonts w:cstheme="minorHAnsi"/>
          <w:bCs/>
        </w:rPr>
      </w:pPr>
    </w:p>
    <w:p w:rsidR="003C7579"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rsidR="003C7579" w:rsidRPr="00C253B3" w:rsidRDefault="003C7579" w:rsidP="00DB3627">
      <w:pPr>
        <w:autoSpaceDE w:val="0"/>
        <w:autoSpaceDN w:val="0"/>
        <w:adjustRightInd w:val="0"/>
        <w:spacing w:after="0" w:line="240" w:lineRule="auto"/>
        <w:rPr>
          <w:rFonts w:cstheme="minorHAnsi"/>
          <w:b/>
          <w:bCs/>
          <w:color w:val="FF0000"/>
        </w:rPr>
      </w:pPr>
    </w:p>
    <w:p w:rsidR="007422FD" w:rsidRPr="00C253B3" w:rsidRDefault="00B3219A" w:rsidP="00DB3627">
      <w:pPr>
        <w:autoSpaceDE w:val="0"/>
        <w:autoSpaceDN w:val="0"/>
        <w:adjustRightInd w:val="0"/>
        <w:spacing w:after="0" w:line="240" w:lineRule="auto"/>
        <w:rPr>
          <w:rFonts w:cstheme="minorHAnsi"/>
          <w:b/>
          <w:bCs/>
          <w:color w:val="FF0000"/>
        </w:rPr>
      </w:pPr>
      <w:r>
        <w:rPr>
          <w:rFonts w:cstheme="minorHAnsi"/>
          <w:b/>
          <w:bCs/>
          <w:color w:val="FF0000"/>
        </w:rPr>
        <w:t xml:space="preserve">We tested several exclusions in order to understand the impact on the denominator.  Exclusions </w:t>
      </w:r>
      <w:r w:rsidR="00DE3933">
        <w:rPr>
          <w:rFonts w:cstheme="minorHAnsi"/>
          <w:b/>
          <w:bCs/>
          <w:color w:val="FF0000"/>
        </w:rPr>
        <w:t>1</w:t>
      </w:r>
      <w:r w:rsidR="00974EEF">
        <w:rPr>
          <w:rFonts w:cstheme="minorHAnsi"/>
          <w:b/>
          <w:bCs/>
          <w:color w:val="FF0000"/>
        </w:rPr>
        <w:t xml:space="preserve"> and 2 are necessary to ensure that follow-up care can be observed during the measurement year. Exclusion 3 is prevents incentivizing more </w:t>
      </w:r>
      <w:r w:rsidR="00AF0ACC">
        <w:rPr>
          <w:b/>
          <w:color w:val="FF0000"/>
        </w:rPr>
        <w:t>emergency department</w:t>
      </w:r>
      <w:r w:rsidR="00974EEF">
        <w:rPr>
          <w:rFonts w:cstheme="minorHAnsi"/>
          <w:b/>
          <w:bCs/>
          <w:color w:val="FF0000"/>
        </w:rPr>
        <w:t xml:space="preserve"> visits and aligns with other NQF endorsed measures to decrease burden and confusion for health plans. Average measure performance does not change substantially when Exclusion 4 is implemented, this exclusion aligns with NQF measure 0576, and </w:t>
      </w:r>
      <w:r w:rsidR="0059279E" w:rsidRPr="00C253B3">
        <w:rPr>
          <w:rFonts w:cstheme="minorHAnsi"/>
          <w:b/>
          <w:bCs/>
          <w:color w:val="FF0000"/>
        </w:rPr>
        <w:t>there</w:t>
      </w:r>
      <w:r w:rsidR="002D2AC6" w:rsidRPr="00C253B3">
        <w:rPr>
          <w:rFonts w:cstheme="minorHAnsi"/>
          <w:b/>
          <w:bCs/>
          <w:color w:val="FF0000"/>
        </w:rPr>
        <w:t xml:space="preserve"> is a clinical rationale for excluding </w:t>
      </w:r>
      <w:r w:rsidR="00AF0ACC">
        <w:rPr>
          <w:b/>
          <w:color w:val="FF0000"/>
        </w:rPr>
        <w:t>emergency department</w:t>
      </w:r>
      <w:r w:rsidR="002D2AC6" w:rsidRPr="00C253B3">
        <w:rPr>
          <w:rFonts w:cstheme="minorHAnsi"/>
          <w:b/>
          <w:bCs/>
          <w:color w:val="FF0000"/>
        </w:rPr>
        <w:t xml:space="preserve"> discharges </w:t>
      </w:r>
      <w:r w:rsidR="0059279E" w:rsidRPr="00C253B3">
        <w:rPr>
          <w:rFonts w:cstheme="minorHAnsi"/>
          <w:b/>
          <w:bCs/>
          <w:color w:val="FF0000"/>
        </w:rPr>
        <w:t>that</w:t>
      </w:r>
      <w:r w:rsidR="002D2AC6" w:rsidRPr="00C253B3">
        <w:rPr>
          <w:rFonts w:cstheme="minorHAnsi"/>
          <w:b/>
          <w:bCs/>
          <w:color w:val="FF0000"/>
        </w:rPr>
        <w:t xml:space="preserve"> have an inpatient or other residential st</w:t>
      </w:r>
      <w:r w:rsidR="0059279E" w:rsidRPr="00C253B3">
        <w:rPr>
          <w:rFonts w:cstheme="minorHAnsi"/>
          <w:b/>
          <w:bCs/>
          <w:color w:val="FF0000"/>
        </w:rPr>
        <w:t>ay during the follow-up period</w:t>
      </w:r>
      <w:r w:rsidR="00974EEF">
        <w:rPr>
          <w:rFonts w:cstheme="minorHAnsi"/>
          <w:b/>
          <w:bCs/>
          <w:color w:val="FF0000"/>
        </w:rPr>
        <w:t xml:space="preserve">, </w:t>
      </w:r>
      <w:r w:rsidR="00BC618B">
        <w:rPr>
          <w:rFonts w:cstheme="minorHAnsi"/>
          <w:b/>
          <w:bCs/>
          <w:color w:val="FF0000"/>
        </w:rPr>
        <w:t>which</w:t>
      </w:r>
      <w:r w:rsidR="0059279E" w:rsidRPr="00C253B3">
        <w:rPr>
          <w:rFonts w:cstheme="minorHAnsi"/>
          <w:b/>
          <w:bCs/>
          <w:color w:val="FF0000"/>
        </w:rPr>
        <w:t xml:space="preserve"> is important to the face validity of the measure. </w:t>
      </w:r>
      <w:r w:rsidR="00974EEF">
        <w:rPr>
          <w:rFonts w:cstheme="minorHAnsi"/>
          <w:b/>
          <w:bCs/>
          <w:color w:val="FF0000"/>
        </w:rPr>
        <w:t>All of the</w:t>
      </w:r>
      <w:r w:rsidR="005B41ED" w:rsidRPr="00C253B3">
        <w:rPr>
          <w:rFonts w:cstheme="minorHAnsi"/>
          <w:b/>
          <w:bCs/>
          <w:color w:val="FF0000"/>
        </w:rPr>
        <w:t xml:space="preserve"> exclusion</w:t>
      </w:r>
      <w:r w:rsidR="00974EEF">
        <w:rPr>
          <w:rFonts w:cstheme="minorHAnsi"/>
          <w:b/>
          <w:bCs/>
          <w:color w:val="FF0000"/>
        </w:rPr>
        <w:t>s</w:t>
      </w:r>
      <w:r w:rsidR="005B41ED" w:rsidRPr="00C253B3">
        <w:rPr>
          <w:rFonts w:cstheme="minorHAnsi"/>
          <w:b/>
          <w:bCs/>
          <w:color w:val="FF0000"/>
        </w:rPr>
        <w:t xml:space="preserve"> ha</w:t>
      </w:r>
      <w:r w:rsidR="00974EEF">
        <w:rPr>
          <w:rFonts w:cstheme="minorHAnsi"/>
          <w:b/>
          <w:bCs/>
          <w:color w:val="FF0000"/>
        </w:rPr>
        <w:t>ve</w:t>
      </w:r>
      <w:r w:rsidR="002D2AC6" w:rsidRPr="00C253B3">
        <w:rPr>
          <w:rFonts w:cstheme="minorHAnsi"/>
          <w:b/>
          <w:bCs/>
          <w:color w:val="FF0000"/>
        </w:rPr>
        <w:t xml:space="preserve"> minimal effect on the burden of calculating the measure</w:t>
      </w:r>
      <w:r w:rsidR="00974EEF">
        <w:rPr>
          <w:rFonts w:cstheme="minorHAnsi"/>
          <w:b/>
          <w:bCs/>
          <w:color w:val="FF0000"/>
        </w:rPr>
        <w:t xml:space="preserve"> since these exclusions are derived exclusively from claims data</w:t>
      </w:r>
      <w:r w:rsidR="002D2AC6" w:rsidRPr="00C253B3">
        <w:rPr>
          <w:rFonts w:cstheme="minorHAnsi"/>
          <w:b/>
          <w:bCs/>
          <w:color w:val="FF0000"/>
        </w:rPr>
        <w:t xml:space="preserve">. </w:t>
      </w:r>
      <w:r>
        <w:rPr>
          <w:rFonts w:cstheme="minorHAnsi"/>
          <w:b/>
          <w:bCs/>
          <w:color w:val="FF0000"/>
        </w:rPr>
        <w:t xml:space="preserve">In the specifications, some of these exclusions have been incorporated into the denominator definition. </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C253B3">
        <w:rPr>
          <w:rFonts w:cstheme="minorHAnsi"/>
          <w:b/>
          <w:bCs/>
          <w:i/>
        </w:rPr>
        <w:t>If not an intermediate or health outcome</w:t>
      </w:r>
      <w:r w:rsidR="00127C06" w:rsidRPr="00C253B3">
        <w:rPr>
          <w:rFonts w:cstheme="minorHAnsi"/>
          <w:b/>
          <w:bCs/>
          <w:i/>
        </w:rPr>
        <w:t>,</w:t>
      </w:r>
      <w:r w:rsidR="00AC1D8E" w:rsidRPr="00C253B3">
        <w:rPr>
          <w:rFonts w:cstheme="minorHAnsi"/>
          <w:b/>
          <w:bCs/>
          <w:i/>
        </w:rPr>
        <w:t xml:space="preserve"> </w:t>
      </w:r>
      <w:r w:rsidR="00127C06" w:rsidRPr="00C253B3">
        <w:rPr>
          <w:rFonts w:cstheme="minorHAnsi"/>
          <w:b/>
          <w:bCs/>
          <w:i/>
        </w:rPr>
        <w:t xml:space="preserve">or PRO-PM, </w:t>
      </w:r>
      <w:r w:rsidR="00AC1D8E" w:rsidRPr="00C253B3">
        <w:rPr>
          <w:rFonts w:cstheme="minorHAnsi"/>
          <w:b/>
          <w:bCs/>
          <w:i/>
        </w:rPr>
        <w:t xml:space="preserve">or resource use measure, </w:t>
      </w:r>
      <w:r w:rsidR="00BE592D" w:rsidRPr="00C253B3">
        <w:rPr>
          <w:rFonts w:cstheme="minorHAnsi"/>
          <w:b/>
          <w:bCs/>
          <w:i/>
        </w:rPr>
        <w:t xml:space="preserve">skip to section </w:t>
      </w:r>
      <w:hyperlink w:anchor="section2b5" w:history="1">
        <w:r w:rsidR="00BE592D" w:rsidRPr="00C253B3">
          <w:rPr>
            <w:rStyle w:val="Hyperlink"/>
            <w:rFonts w:cstheme="minorHAnsi"/>
            <w:b/>
            <w:bCs/>
            <w:i/>
          </w:rPr>
          <w:t>2b5</w:t>
        </w:r>
      </w:hyperlink>
      <w:r w:rsidR="00BE592D" w:rsidRPr="00C253B3">
        <w:rPr>
          <w:rFonts w:cstheme="minorHAnsi"/>
          <w:b/>
          <w:bCs/>
          <w:i/>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6414C7"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sdt>
            <w:sdtPr>
              <w:rPr>
                <w:rFonts w:cstheme="minorHAnsi"/>
                <w:bCs/>
                <w:color w:val="0000FF"/>
              </w:rPr>
              <w:id w:val="3321803"/>
            </w:sdtPr>
            <w:sdtEndPr/>
            <w:sdtContent>
              <w:r w:rsidR="003C7579">
                <w:rPr>
                  <w:rFonts w:ascii="MS Gothic" w:eastAsia="MS Gothic" w:hAnsi="MS Gothic" w:cstheme="minorHAnsi" w:hint="eastAsia"/>
                  <w:bCs/>
                  <w:color w:val="0000FF"/>
                </w:rPr>
                <w:t>☒</w:t>
              </w:r>
            </w:sdtContent>
          </w:sdt>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6414C7"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6414C7"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6414C7"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FF6093" w:rsidRDefault="00743E46" w:rsidP="00FF6093">
      <w:pPr>
        <w:autoSpaceDE w:val="0"/>
        <w:autoSpaceDN w:val="0"/>
        <w:adjustRightInd w:val="0"/>
        <w:spacing w:after="0" w:line="240" w:lineRule="auto"/>
        <w:rPr>
          <w:rFonts w:cstheme="minorHAnsi"/>
          <w:b/>
          <w:bCs/>
          <w:color w:val="FF0000"/>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lastRenderedPageBreak/>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092566" w:rsidRPr="00A25024" w:rsidRDefault="00092566" w:rsidP="00092566">
      <w:pPr>
        <w:autoSpaceDE w:val="0"/>
        <w:autoSpaceDN w:val="0"/>
        <w:adjustRightInd w:val="0"/>
        <w:spacing w:after="0" w:line="240" w:lineRule="auto"/>
        <w:rPr>
          <w:rFonts w:cstheme="minorHAnsi"/>
          <w:bCs/>
        </w:rPr>
      </w:pPr>
    </w:p>
    <w:p w:rsidR="00E1508F" w:rsidRPr="00C253B3" w:rsidRDefault="00001D73" w:rsidP="00092566">
      <w:pPr>
        <w:autoSpaceDE w:val="0"/>
        <w:autoSpaceDN w:val="0"/>
        <w:adjustRightInd w:val="0"/>
        <w:spacing w:after="0" w:line="240" w:lineRule="auto"/>
        <w:rPr>
          <w:rFonts w:cstheme="minorHAnsi"/>
          <w:b/>
          <w:bCs/>
        </w:rPr>
      </w:pPr>
      <w:r w:rsidRPr="00C253B3">
        <w:rPr>
          <w:rFonts w:cstheme="minorHAnsi"/>
          <w:bCs/>
          <w:i/>
        </w:rPr>
        <w:t>Provide</w:t>
      </w:r>
      <w:r w:rsidR="00092566" w:rsidRPr="00C253B3">
        <w:rPr>
          <w:rFonts w:cstheme="minorHAnsi"/>
          <w:bCs/>
          <w:i/>
        </w:rPr>
        <w:t xml:space="preserve"> the statistical results from testing the approach to controlling for differences in patient characteristics (case mix)</w:t>
      </w:r>
      <w:r w:rsidRPr="00C253B3">
        <w:rPr>
          <w:rFonts w:cstheme="minorHAnsi"/>
          <w:bCs/>
          <w:i/>
        </w:rPr>
        <w:t xml:space="preserve"> below</w:t>
      </w:r>
      <w:r w:rsidRPr="00C253B3">
        <w:rPr>
          <w:rFonts w:cstheme="minorHAnsi"/>
          <w:bCs/>
        </w:rPr>
        <w:t>.</w:t>
      </w:r>
      <w:r w:rsidR="00092566" w:rsidRPr="00C253B3">
        <w:rPr>
          <w:rFonts w:cstheme="minorHAnsi"/>
          <w:bCs/>
        </w:rPr>
        <w:br/>
      </w:r>
      <w:r w:rsidR="001F7A20" w:rsidRPr="00C253B3">
        <w:rPr>
          <w:rFonts w:cstheme="minorHAnsi"/>
          <w:b/>
          <w:bCs/>
          <w:i/>
        </w:rPr>
        <w:t>If</w:t>
      </w:r>
      <w:r w:rsidR="00743E46" w:rsidRPr="00C253B3">
        <w:rPr>
          <w:rFonts w:cstheme="minorHAnsi"/>
          <w:b/>
          <w:bCs/>
          <w:i/>
        </w:rPr>
        <w:t xml:space="preserve"> stratified, skip to </w:t>
      </w:r>
      <w:hyperlink w:anchor="question2b49" w:history="1">
        <w:r w:rsidR="00743E46" w:rsidRPr="00C253B3">
          <w:rPr>
            <w:rStyle w:val="Hyperlink"/>
            <w:rFonts w:cstheme="minorHAnsi"/>
            <w:b/>
            <w:bCs/>
            <w:i/>
          </w:rPr>
          <w:t>2b4.9</w:t>
        </w:r>
      </w:hyperlink>
    </w:p>
    <w:p w:rsidR="00743E46" w:rsidRPr="00C253B3" w:rsidRDefault="00743E46" w:rsidP="00092566">
      <w:pPr>
        <w:autoSpaceDE w:val="0"/>
        <w:autoSpaceDN w:val="0"/>
        <w:adjustRightInd w:val="0"/>
        <w:spacing w:after="0" w:line="240" w:lineRule="auto"/>
        <w:rPr>
          <w:rFonts w:cstheme="minorHAnsi"/>
          <w:b/>
          <w:bCs/>
        </w:rPr>
      </w:pPr>
    </w:p>
    <w:p w:rsidR="00001D73" w:rsidRPr="00C253B3" w:rsidRDefault="00743E46" w:rsidP="00092566">
      <w:pPr>
        <w:autoSpaceDE w:val="0"/>
        <w:autoSpaceDN w:val="0"/>
        <w:adjustRightInd w:val="0"/>
        <w:spacing w:after="0" w:line="240" w:lineRule="auto"/>
        <w:rPr>
          <w:rFonts w:cstheme="minorHAnsi"/>
          <w:b/>
          <w:bCs/>
        </w:rPr>
      </w:pPr>
      <w:r w:rsidRPr="00C253B3">
        <w:rPr>
          <w:rFonts w:cstheme="minorHAnsi"/>
          <w:b/>
          <w:bCs/>
        </w:rPr>
        <w:t xml:space="preserve">2b4.6. </w:t>
      </w:r>
      <w:r w:rsidR="00001D73" w:rsidRPr="00C253B3">
        <w:rPr>
          <w:rFonts w:cstheme="minorHAnsi"/>
          <w:b/>
          <w:bCs/>
        </w:rPr>
        <w:t xml:space="preserve">Statistical </w:t>
      </w:r>
      <w:r w:rsidR="00092566" w:rsidRPr="00C253B3">
        <w:rPr>
          <w:rFonts w:cstheme="minorHAnsi"/>
          <w:b/>
          <w:bCs/>
        </w:rPr>
        <w:t>Risk Model Discrimination Statistics</w:t>
      </w:r>
      <w:r w:rsidR="003605B4" w:rsidRPr="00C253B3">
        <w:rPr>
          <w:rFonts w:cstheme="minorHAnsi"/>
          <w:bCs/>
        </w:rPr>
        <w:t xml:space="preserve"> (</w:t>
      </w:r>
      <w:r w:rsidR="003605B4" w:rsidRPr="00C253B3">
        <w:rPr>
          <w:rFonts w:cstheme="minorHAnsi"/>
          <w:bCs/>
          <w:i/>
        </w:rPr>
        <w:t>e.g., c-statistic, R-squared</w:t>
      </w:r>
      <w:r w:rsidR="003605B4" w:rsidRPr="00C253B3">
        <w:rPr>
          <w:rFonts w:cstheme="minorHAnsi"/>
          <w:bCs/>
        </w:rPr>
        <w:t>)</w:t>
      </w:r>
      <w:r w:rsidRPr="00C253B3">
        <w:rPr>
          <w:rFonts w:cstheme="minorHAnsi"/>
          <w:b/>
          <w:bCs/>
        </w:rPr>
        <w:t>:</w:t>
      </w:r>
      <w:r w:rsidR="00092566" w:rsidRPr="00C253B3">
        <w:rPr>
          <w:rFonts w:cstheme="minorHAnsi"/>
          <w:b/>
          <w:bCs/>
        </w:rPr>
        <w:t xml:space="preserve">  </w:t>
      </w:r>
      <w:r w:rsidR="00092566" w:rsidRPr="00C253B3">
        <w:rPr>
          <w:rFonts w:cstheme="minorHAnsi"/>
          <w:b/>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FF6093" w:rsidRDefault="00FF6093" w:rsidP="00092566">
      <w:pPr>
        <w:autoSpaceDE w:val="0"/>
        <w:autoSpaceDN w:val="0"/>
        <w:adjustRightInd w:val="0"/>
        <w:spacing w:after="0" w:line="240" w:lineRule="auto"/>
        <w:rPr>
          <w:rFonts w:cstheme="minorHAnsi"/>
          <w:b/>
          <w:bCs/>
        </w:rPr>
      </w:pPr>
    </w:p>
    <w:p w:rsidR="00FF6093" w:rsidRDefault="00743E46" w:rsidP="00FF6093">
      <w:pPr>
        <w:autoSpaceDE w:val="0"/>
        <w:autoSpaceDN w:val="0"/>
        <w:adjustRightInd w:val="0"/>
        <w:spacing w:after="0" w:line="240" w:lineRule="auto"/>
        <w:rPr>
          <w:rFonts w:cstheme="minorHAnsi"/>
          <w:b/>
          <w:bCs/>
          <w:color w:val="FF0000"/>
        </w:rPr>
      </w:pPr>
      <w:r w:rsidRPr="00C253B3">
        <w:rPr>
          <w:rFonts w:cstheme="minorHAnsi"/>
          <w:b/>
          <w:bCs/>
        </w:rPr>
        <w:t>2b4.7</w:t>
      </w:r>
      <w:r w:rsidR="00001D73" w:rsidRPr="00C253B3">
        <w:rPr>
          <w:rFonts w:cstheme="minorHAnsi"/>
          <w:b/>
          <w:bCs/>
        </w:rPr>
        <w:t xml:space="preserve">. </w:t>
      </w:r>
      <w:r w:rsidRPr="00C253B3">
        <w:rPr>
          <w:rFonts w:cstheme="minorHAnsi"/>
          <w:b/>
          <w:bCs/>
        </w:rPr>
        <w:t xml:space="preserve">Statistical </w:t>
      </w:r>
      <w:r w:rsidR="00092566" w:rsidRPr="00C253B3">
        <w:rPr>
          <w:rFonts w:cstheme="minorHAnsi"/>
          <w:b/>
          <w:bCs/>
        </w:rPr>
        <w:t>Risk Model Calibration Statistics</w:t>
      </w:r>
      <w:r w:rsidR="003605B4" w:rsidRPr="00C253B3">
        <w:rPr>
          <w:rFonts w:cstheme="minorHAnsi"/>
          <w:b/>
          <w:bCs/>
        </w:rPr>
        <w:t xml:space="preserve"> </w:t>
      </w:r>
      <w:r w:rsidR="003605B4" w:rsidRPr="00C253B3">
        <w:rPr>
          <w:rFonts w:cstheme="minorHAnsi"/>
          <w:bCs/>
        </w:rPr>
        <w:t>(</w:t>
      </w:r>
      <w:r w:rsidR="003605B4" w:rsidRPr="00C253B3">
        <w:rPr>
          <w:rFonts w:cstheme="minorHAnsi"/>
          <w:bCs/>
          <w:i/>
        </w:rPr>
        <w:t>e.g., Hosmer-Lemeshow statistic</w:t>
      </w:r>
      <w:r w:rsidR="003605B4" w:rsidRPr="00C253B3">
        <w:rPr>
          <w:rFonts w:cstheme="minorHAnsi"/>
          <w:bCs/>
        </w:rPr>
        <w:t>)</w:t>
      </w:r>
      <w:r w:rsidR="00092566" w:rsidRPr="00C253B3">
        <w:rPr>
          <w:rFonts w:cstheme="minorHAnsi"/>
          <w:bCs/>
        </w:rPr>
        <w:t xml:space="preserve">:  </w:t>
      </w:r>
      <w:r w:rsidR="00092566" w:rsidRPr="00C253B3">
        <w:rPr>
          <w:rFonts w:cstheme="minorHAnsi"/>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001D73" w:rsidRPr="00C253B3" w:rsidRDefault="00001D73" w:rsidP="00092566">
      <w:pPr>
        <w:autoSpaceDE w:val="0"/>
        <w:autoSpaceDN w:val="0"/>
        <w:adjustRightInd w:val="0"/>
        <w:spacing w:after="0" w:line="240" w:lineRule="auto"/>
        <w:rPr>
          <w:rFonts w:cstheme="minorHAnsi"/>
          <w:b/>
          <w:bCs/>
        </w:rPr>
      </w:pPr>
    </w:p>
    <w:p w:rsidR="00FF6093" w:rsidRPr="00FF6093" w:rsidRDefault="00743E46" w:rsidP="00FF6093">
      <w:pPr>
        <w:autoSpaceDE w:val="0"/>
        <w:autoSpaceDN w:val="0"/>
        <w:adjustRightInd w:val="0"/>
        <w:spacing w:after="0" w:line="240" w:lineRule="auto"/>
        <w:rPr>
          <w:rFonts w:cstheme="minorHAnsi"/>
          <w:b/>
          <w:bCs/>
          <w:sz w:val="24"/>
        </w:rPr>
      </w:pPr>
      <w:r w:rsidRPr="00C253B3">
        <w:rPr>
          <w:rFonts w:cstheme="minorHAnsi"/>
          <w:b/>
          <w:bCs/>
        </w:rPr>
        <w:t>2b4.8</w:t>
      </w:r>
      <w:r w:rsidR="00001D73" w:rsidRPr="00C253B3">
        <w:rPr>
          <w:rFonts w:cstheme="minorHAnsi"/>
          <w:b/>
          <w:bCs/>
        </w:rPr>
        <w:t xml:space="preserve">. </w:t>
      </w:r>
      <w:r w:rsidRPr="00C253B3">
        <w:rPr>
          <w:rFonts w:cstheme="minorHAnsi"/>
          <w:b/>
          <w:bCs/>
        </w:rPr>
        <w:t xml:space="preserve">Statistical </w:t>
      </w:r>
      <w:r w:rsidR="00092566" w:rsidRPr="00C253B3">
        <w:rPr>
          <w:rFonts w:cstheme="minorHAnsi"/>
          <w:b/>
          <w:bCs/>
        </w:rPr>
        <w:t>Risk Model Calibration – Risk decile plots or calibration curves</w:t>
      </w:r>
      <w:r w:rsidR="00092566" w:rsidRPr="00C253B3">
        <w:rPr>
          <w:rFonts w:cstheme="minorHAnsi"/>
          <w:bCs/>
        </w:rPr>
        <w:t>:</w:t>
      </w:r>
      <w:r w:rsidR="00092566" w:rsidRPr="00C253B3">
        <w:rPr>
          <w:rFonts w:cstheme="minorHAnsi"/>
          <w:bCs/>
        </w:rPr>
        <w:br/>
      </w:r>
      <w:r w:rsidR="00092566" w:rsidRPr="00C253B3">
        <w:rPr>
          <w:rFonts w:cstheme="minorHAnsi"/>
        </w:rPr>
        <w:br/>
      </w:r>
      <w:r w:rsidR="00FF6093" w:rsidRPr="00FF6093">
        <w:rPr>
          <w:rFonts w:cstheme="minorHAnsi"/>
          <w:b/>
          <w:bCs/>
          <w:color w:val="FF0000"/>
        </w:rPr>
        <w:t>Not applicable.</w:t>
      </w:r>
    </w:p>
    <w:p w:rsidR="00743E46" w:rsidRPr="00C253B3" w:rsidRDefault="00743E46" w:rsidP="00092566">
      <w:pPr>
        <w:autoSpaceDE w:val="0"/>
        <w:autoSpaceDN w:val="0"/>
        <w:adjustRightInd w:val="0"/>
        <w:spacing w:after="0" w:line="240" w:lineRule="auto"/>
        <w:rPr>
          <w:rFonts w:cstheme="minorHAnsi"/>
          <w:b/>
        </w:rPr>
      </w:pPr>
    </w:p>
    <w:p w:rsidR="00092566" w:rsidRPr="00C253B3" w:rsidRDefault="00743E46" w:rsidP="00092566">
      <w:pPr>
        <w:autoSpaceDE w:val="0"/>
        <w:autoSpaceDN w:val="0"/>
        <w:adjustRightInd w:val="0"/>
        <w:spacing w:after="0" w:line="240" w:lineRule="auto"/>
        <w:rPr>
          <w:rFonts w:cstheme="minorHAnsi"/>
          <w:bCs/>
        </w:rPr>
      </w:pPr>
      <w:bookmarkStart w:id="12" w:name="question2b49"/>
      <w:bookmarkEnd w:id="12"/>
      <w:r w:rsidRPr="00C253B3">
        <w:rPr>
          <w:rFonts w:cstheme="minorHAnsi"/>
          <w:b/>
        </w:rPr>
        <w:t>2b4.9</w:t>
      </w:r>
      <w:r w:rsidR="00001D73" w:rsidRPr="00C253B3">
        <w:rPr>
          <w:rFonts w:cstheme="minorHAnsi"/>
          <w:b/>
        </w:rPr>
        <w:t xml:space="preserve">. Results of </w:t>
      </w:r>
      <w:r w:rsidR="00092566" w:rsidRPr="00C253B3">
        <w:rPr>
          <w:rFonts w:cstheme="minorHAnsi"/>
          <w:b/>
        </w:rPr>
        <w:t>Risk Stratification Analysis</w:t>
      </w:r>
      <w:r w:rsidR="00092566" w:rsidRPr="00C253B3">
        <w:rPr>
          <w:rFonts w:cstheme="minorHAnsi"/>
        </w:rPr>
        <w:t xml:space="preserve">: </w:t>
      </w:r>
      <w:r w:rsidR="00092566" w:rsidRPr="00C253B3">
        <w:rPr>
          <w:rFonts w:cstheme="minorHAnsi"/>
          <w:bCs/>
        </w:rPr>
        <w:t xml:space="preserve"> </w:t>
      </w:r>
    </w:p>
    <w:p w:rsidR="00FF6093" w:rsidRDefault="00FF6093" w:rsidP="00FF6093">
      <w:pPr>
        <w:autoSpaceDE w:val="0"/>
        <w:autoSpaceDN w:val="0"/>
        <w:adjustRightInd w:val="0"/>
        <w:spacing w:after="0" w:line="240" w:lineRule="auto"/>
        <w:rPr>
          <w:rFonts w:cstheme="minorHAnsi"/>
          <w:b/>
          <w:bCs/>
          <w:color w:val="FF0000"/>
        </w:rPr>
      </w:pP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FF6093" w:rsidRDefault="00FF6093" w:rsidP="00092566">
      <w:pPr>
        <w:autoSpaceDE w:val="0"/>
        <w:autoSpaceDN w:val="0"/>
        <w:adjustRightInd w:val="0"/>
        <w:spacing w:after="0" w:line="240" w:lineRule="auto"/>
        <w:rPr>
          <w:rFonts w:cstheme="minorHAnsi"/>
          <w:b/>
          <w:bCs/>
        </w:rPr>
      </w:pPr>
    </w:p>
    <w:p w:rsidR="00092566" w:rsidRPr="00C253B3" w:rsidRDefault="00743E46" w:rsidP="00092566">
      <w:pPr>
        <w:autoSpaceDE w:val="0"/>
        <w:autoSpaceDN w:val="0"/>
        <w:adjustRightInd w:val="0"/>
        <w:spacing w:after="0" w:line="240" w:lineRule="auto"/>
        <w:rPr>
          <w:rFonts w:cstheme="minorHAnsi"/>
          <w:bCs/>
        </w:rPr>
      </w:pPr>
      <w:r w:rsidRPr="00C253B3">
        <w:rPr>
          <w:rFonts w:cstheme="minorHAnsi"/>
          <w:b/>
          <w:bCs/>
        </w:rPr>
        <w:t>2b4.10</w:t>
      </w:r>
      <w:r w:rsidR="00001D73" w:rsidRPr="00C253B3">
        <w:rPr>
          <w:rFonts w:cstheme="minorHAnsi"/>
          <w:b/>
          <w:bCs/>
        </w:rPr>
        <w:t xml:space="preserve">. </w:t>
      </w:r>
      <w:r w:rsidR="00092566" w:rsidRPr="00C253B3">
        <w:rPr>
          <w:rFonts w:cstheme="minorHAnsi"/>
          <w:b/>
          <w:bCs/>
        </w:rPr>
        <w:t>What is your interpretation of the results in terms of demonstrating adequacy of controlling for differences in patient characteristics (case mix)?</w:t>
      </w:r>
      <w:r w:rsidR="00092566" w:rsidRPr="00C253B3">
        <w:rPr>
          <w:rFonts w:cstheme="minorHAnsi"/>
          <w:bCs/>
        </w:rPr>
        <w:t xml:space="preserve"> (i</w:t>
      </w:r>
      <w:r w:rsidR="00092566" w:rsidRPr="00C253B3">
        <w:rPr>
          <w:rFonts w:cstheme="minorHAnsi"/>
          <w:bCs/>
          <w:i/>
        </w:rPr>
        <w:t>.e., what do the results mean and what are the norms for the test conducted</w:t>
      </w:r>
      <w:r w:rsidR="00092566" w:rsidRPr="00C253B3">
        <w:rPr>
          <w:rFonts w:cstheme="minorHAnsi"/>
          <w:bCs/>
        </w:rPr>
        <w:t>)</w:t>
      </w:r>
      <w:r w:rsidR="00092566" w:rsidRPr="00C253B3">
        <w:rPr>
          <w:rFonts w:cstheme="minorHAnsi"/>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092566" w:rsidRPr="00C253B3"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C253B3">
        <w:rPr>
          <w:rFonts w:cstheme="minorHAnsi"/>
          <w:b/>
        </w:rPr>
        <w:t>2b4.11.</w:t>
      </w:r>
      <w:r w:rsidRPr="00C253B3">
        <w:rPr>
          <w:rFonts w:cstheme="minorHAnsi"/>
        </w:rPr>
        <w:t xml:space="preserve"> </w:t>
      </w:r>
      <w:r w:rsidR="00092566" w:rsidRPr="00C253B3">
        <w:rPr>
          <w:rFonts w:cstheme="minorHAnsi"/>
          <w:b/>
        </w:rPr>
        <w:t>Optional</w:t>
      </w:r>
      <w:r w:rsidRPr="00C253B3">
        <w:rPr>
          <w:rFonts w:cstheme="minorHAnsi"/>
          <w:b/>
        </w:rPr>
        <w:t xml:space="preserve"> Additional Testing</w:t>
      </w:r>
      <w:r w:rsidR="004756E1" w:rsidRPr="00C253B3">
        <w:rPr>
          <w:rFonts w:cstheme="minorHAnsi"/>
          <w:b/>
        </w:rPr>
        <w:t xml:space="preserve"> for Risk Adjustment</w:t>
      </w:r>
      <w:r w:rsidR="00092566" w:rsidRPr="00C253B3">
        <w:rPr>
          <w:rFonts w:cstheme="minorHAnsi"/>
          <w:b/>
        </w:rPr>
        <w:t xml:space="preserve"> </w:t>
      </w:r>
      <w:r w:rsidR="00092566" w:rsidRPr="00C253B3">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FF6093" w:rsidRDefault="00FF6093" w:rsidP="00FF6093">
      <w:pPr>
        <w:autoSpaceDE w:val="0"/>
        <w:autoSpaceDN w:val="0"/>
        <w:adjustRightInd w:val="0"/>
        <w:spacing w:after="0" w:line="240" w:lineRule="auto"/>
        <w:rPr>
          <w:rFonts w:cstheme="minorHAnsi"/>
          <w:b/>
          <w:bCs/>
          <w:color w:val="FF0000"/>
        </w:rPr>
      </w:pP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B01D27" w:rsidRDefault="00D61410" w:rsidP="00D61410">
      <w:pPr>
        <w:autoSpaceDE w:val="0"/>
        <w:autoSpaceDN w:val="0"/>
        <w:adjustRightInd w:val="0"/>
        <w:spacing w:after="0" w:line="240" w:lineRule="auto"/>
        <w:rPr>
          <w:rFonts w:cstheme="minorHAnsi"/>
          <w:bCs/>
          <w:i/>
        </w:rPr>
      </w:pPr>
      <w:r>
        <w:rPr>
          <w:rFonts w:cstheme="minorHAnsi"/>
          <w:b/>
          <w:bCs/>
        </w:rPr>
        <w:lastRenderedPageBreak/>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B01D27" w:rsidRDefault="00B01D27" w:rsidP="00D61410">
      <w:pPr>
        <w:autoSpaceDE w:val="0"/>
        <w:autoSpaceDN w:val="0"/>
        <w:adjustRightInd w:val="0"/>
        <w:spacing w:after="0" w:line="240" w:lineRule="auto"/>
        <w:rPr>
          <w:rFonts w:cstheme="minorHAnsi"/>
          <w:bCs/>
          <w:i/>
        </w:rPr>
      </w:pPr>
    </w:p>
    <w:p w:rsidR="00FF6093" w:rsidRPr="006414C7" w:rsidRDefault="00FF6093" w:rsidP="00B01D27">
      <w:pPr>
        <w:autoSpaceDE w:val="0"/>
        <w:autoSpaceDN w:val="0"/>
        <w:adjustRightInd w:val="0"/>
        <w:spacing w:after="0" w:line="240" w:lineRule="auto"/>
        <w:rPr>
          <w:rFonts w:cstheme="minorHAnsi"/>
          <w:b/>
          <w:bCs/>
          <w:color w:val="FF0000"/>
          <w:u w:val="single"/>
        </w:rPr>
      </w:pPr>
      <w:r w:rsidRPr="006414C7">
        <w:rPr>
          <w:rFonts w:cstheme="minorHAnsi"/>
          <w:b/>
          <w:bCs/>
          <w:color w:val="FF0000"/>
          <w:u w:val="single"/>
        </w:rPr>
        <w:t>E</w:t>
      </w:r>
      <w:r w:rsidR="00B01D27" w:rsidRPr="006414C7">
        <w:rPr>
          <w:rFonts w:cstheme="minorHAnsi"/>
          <w:b/>
          <w:bCs/>
          <w:color w:val="FF0000"/>
          <w:u w:val="single"/>
        </w:rPr>
        <w:t>mpirical testing</w:t>
      </w:r>
    </w:p>
    <w:p w:rsidR="00D61410" w:rsidRDefault="00284646" w:rsidP="00D61410">
      <w:pPr>
        <w:autoSpaceDE w:val="0"/>
        <w:autoSpaceDN w:val="0"/>
        <w:adjustRightInd w:val="0"/>
        <w:spacing w:after="0" w:line="240" w:lineRule="auto"/>
        <w:rPr>
          <w:b/>
          <w:color w:val="FF0000"/>
        </w:rPr>
      </w:pPr>
      <w:r w:rsidRPr="00284646">
        <w:rPr>
          <w:b/>
          <w:color w:val="FF0000"/>
        </w:rPr>
        <w:t>To demonstrate meaningful differences in performance, we calculate</w:t>
      </w:r>
      <w:r w:rsidR="00974EEF">
        <w:rPr>
          <w:b/>
          <w:color w:val="FF0000"/>
        </w:rPr>
        <w:t>d</w:t>
      </w:r>
      <w:r w:rsidRPr="00284646">
        <w:rPr>
          <w:b/>
          <w:color w:val="FF0000"/>
        </w:rPr>
        <w:t xml:space="preserve"> an inter-quartile range (IQR) for each</w:t>
      </w:r>
      <w:r w:rsidR="00974EEF">
        <w:rPr>
          <w:b/>
          <w:color w:val="FF0000"/>
        </w:rPr>
        <w:t xml:space="preserve"> rate</w:t>
      </w:r>
      <w:r w:rsidRPr="00284646">
        <w:rPr>
          <w:b/>
          <w:color w:val="FF0000"/>
        </w:rPr>
        <w:t>. The IQR provides a measure of the dispersion of performance. The IQR can be interpreted as the difference between the 25th and 75th percentile on a measure.  To determine if this difference is statistically significant, we calculate a Chi-squared test of the performance difference between each state in the lowest quartile vs. each state in the highest quartile. The Chi-squared test method calculates a test statistic based on the sample size and performance rate of each state. If the p value of the test statistic is less than .05, then the two states’ performance is significantly different from each other. Using this method, we compared the performance rates of each pair of states, one state in the 25th percentile and another state in the 75th percentile of performance.</w:t>
      </w:r>
    </w:p>
    <w:p w:rsidR="00974EEF" w:rsidRPr="00284646" w:rsidRDefault="00974EEF" w:rsidP="00D61410">
      <w:pPr>
        <w:autoSpaceDE w:val="0"/>
        <w:autoSpaceDN w:val="0"/>
        <w:adjustRightInd w:val="0"/>
        <w:spacing w:after="0" w:line="240" w:lineRule="auto"/>
        <w:rPr>
          <w:rFonts w:cstheme="minorHAnsi"/>
          <w:b/>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127FE" w:rsidRPr="00281BA8" w:rsidRDefault="003127FE" w:rsidP="003127FE">
      <w:pPr>
        <w:autoSpaceDE w:val="0"/>
        <w:autoSpaceDN w:val="0"/>
        <w:adjustRightInd w:val="0"/>
        <w:spacing w:after="0" w:line="240" w:lineRule="auto"/>
        <w:rPr>
          <w:rFonts w:cstheme="minorHAnsi"/>
          <w:b/>
          <w:bCs/>
          <w:color w:val="FF0000"/>
        </w:rPr>
      </w:pPr>
      <w:r w:rsidRPr="00281BA8">
        <w:rPr>
          <w:rFonts w:cstheme="minorHAnsi"/>
          <w:b/>
          <w:bCs/>
          <w:color w:val="FF0000"/>
        </w:rPr>
        <w:t>Table 8: Variation in performance across states</w:t>
      </w:r>
    </w:p>
    <w:tbl>
      <w:tblPr>
        <w:tblStyle w:val="TableGrid"/>
        <w:tblW w:w="0" w:type="auto"/>
        <w:tblLook w:val="04A0" w:firstRow="1" w:lastRow="0" w:firstColumn="1" w:lastColumn="0" w:noHBand="0" w:noVBand="1"/>
      </w:tblPr>
      <w:tblGrid>
        <w:gridCol w:w="1255"/>
        <w:gridCol w:w="850"/>
        <w:gridCol w:w="831"/>
        <w:gridCol w:w="1015"/>
        <w:gridCol w:w="831"/>
        <w:gridCol w:w="808"/>
        <w:gridCol w:w="798"/>
        <w:gridCol w:w="1126"/>
        <w:gridCol w:w="1148"/>
        <w:gridCol w:w="914"/>
      </w:tblGrid>
      <w:tr w:rsidR="00AF0EA0" w:rsidRPr="00281BA8" w:rsidTr="00AF0EA0">
        <w:tc>
          <w:tcPr>
            <w:tcW w:w="1255" w:type="dxa"/>
          </w:tcPr>
          <w:p w:rsidR="00AF0EA0" w:rsidRPr="00281BA8" w:rsidRDefault="00AF0EA0" w:rsidP="003127FE">
            <w:pPr>
              <w:autoSpaceDE w:val="0"/>
              <w:autoSpaceDN w:val="0"/>
              <w:adjustRightInd w:val="0"/>
              <w:rPr>
                <w:rFonts w:cstheme="minorHAnsi"/>
                <w:b/>
                <w:bCs/>
                <w:color w:val="FF0000"/>
              </w:rPr>
            </w:pPr>
            <w:r w:rsidRPr="00281BA8">
              <w:rPr>
                <w:rFonts w:cstheme="minorHAnsi"/>
                <w:b/>
                <w:bCs/>
                <w:color w:val="FF0000"/>
              </w:rPr>
              <w:t>Measure</w:t>
            </w:r>
          </w:p>
        </w:tc>
        <w:tc>
          <w:tcPr>
            <w:tcW w:w="850" w:type="dxa"/>
          </w:tcPr>
          <w:p w:rsidR="00AF0EA0" w:rsidRPr="00281BA8" w:rsidRDefault="00AF0EA0" w:rsidP="003127FE">
            <w:pPr>
              <w:autoSpaceDE w:val="0"/>
              <w:autoSpaceDN w:val="0"/>
              <w:adjustRightInd w:val="0"/>
              <w:rPr>
                <w:rFonts w:cstheme="minorHAnsi"/>
                <w:b/>
                <w:bCs/>
                <w:color w:val="FF0000"/>
              </w:rPr>
            </w:pPr>
            <w:r w:rsidRPr="00281BA8">
              <w:rPr>
                <w:rFonts w:cstheme="minorHAnsi"/>
                <w:b/>
                <w:bCs/>
                <w:color w:val="FF0000"/>
              </w:rPr>
              <w:t>10th</w:t>
            </w:r>
          </w:p>
        </w:tc>
        <w:tc>
          <w:tcPr>
            <w:tcW w:w="831" w:type="dxa"/>
          </w:tcPr>
          <w:p w:rsidR="00AF0EA0" w:rsidRPr="00281BA8" w:rsidRDefault="00AF0EA0" w:rsidP="003127FE">
            <w:pPr>
              <w:autoSpaceDE w:val="0"/>
              <w:autoSpaceDN w:val="0"/>
              <w:adjustRightInd w:val="0"/>
              <w:rPr>
                <w:rFonts w:cstheme="minorHAnsi"/>
                <w:b/>
                <w:bCs/>
                <w:color w:val="FF0000"/>
              </w:rPr>
            </w:pPr>
            <w:r w:rsidRPr="00281BA8">
              <w:rPr>
                <w:rFonts w:cstheme="minorHAnsi"/>
                <w:b/>
                <w:bCs/>
                <w:color w:val="FF0000"/>
              </w:rPr>
              <w:t>25</w:t>
            </w:r>
            <w:r w:rsidRPr="00281BA8">
              <w:rPr>
                <w:rFonts w:cstheme="minorHAnsi"/>
                <w:b/>
                <w:bCs/>
                <w:color w:val="FF0000"/>
                <w:vertAlign w:val="superscript"/>
              </w:rPr>
              <w:t>th</w:t>
            </w:r>
          </w:p>
        </w:tc>
        <w:tc>
          <w:tcPr>
            <w:tcW w:w="1015" w:type="dxa"/>
          </w:tcPr>
          <w:p w:rsidR="00AF0EA0" w:rsidRPr="00281BA8" w:rsidRDefault="00AF0EA0" w:rsidP="003127FE">
            <w:pPr>
              <w:autoSpaceDE w:val="0"/>
              <w:autoSpaceDN w:val="0"/>
              <w:adjustRightInd w:val="0"/>
              <w:rPr>
                <w:rFonts w:cstheme="minorHAnsi"/>
                <w:b/>
                <w:bCs/>
                <w:color w:val="FF0000"/>
              </w:rPr>
            </w:pPr>
            <w:r w:rsidRPr="00281BA8">
              <w:rPr>
                <w:rFonts w:cstheme="minorHAnsi"/>
                <w:b/>
                <w:bCs/>
                <w:color w:val="FF0000"/>
              </w:rPr>
              <w:t>Median</w:t>
            </w:r>
          </w:p>
        </w:tc>
        <w:tc>
          <w:tcPr>
            <w:tcW w:w="831" w:type="dxa"/>
          </w:tcPr>
          <w:p w:rsidR="00AF0EA0" w:rsidRPr="00281BA8" w:rsidRDefault="00AF0EA0" w:rsidP="003127FE">
            <w:pPr>
              <w:autoSpaceDE w:val="0"/>
              <w:autoSpaceDN w:val="0"/>
              <w:adjustRightInd w:val="0"/>
              <w:rPr>
                <w:rFonts w:cstheme="minorHAnsi"/>
                <w:b/>
                <w:bCs/>
                <w:color w:val="FF0000"/>
              </w:rPr>
            </w:pPr>
            <w:r w:rsidRPr="00281BA8">
              <w:rPr>
                <w:rFonts w:cstheme="minorHAnsi"/>
                <w:b/>
                <w:bCs/>
                <w:color w:val="FF0000"/>
              </w:rPr>
              <w:t>75</w:t>
            </w:r>
            <w:r w:rsidRPr="00281BA8">
              <w:rPr>
                <w:rFonts w:cstheme="minorHAnsi"/>
                <w:b/>
                <w:bCs/>
                <w:color w:val="FF0000"/>
                <w:vertAlign w:val="superscript"/>
              </w:rPr>
              <w:t>th</w:t>
            </w:r>
          </w:p>
        </w:tc>
        <w:tc>
          <w:tcPr>
            <w:tcW w:w="808" w:type="dxa"/>
          </w:tcPr>
          <w:p w:rsidR="00AF0EA0" w:rsidRPr="00281BA8" w:rsidRDefault="00AF0EA0" w:rsidP="003127FE">
            <w:pPr>
              <w:autoSpaceDE w:val="0"/>
              <w:autoSpaceDN w:val="0"/>
              <w:adjustRightInd w:val="0"/>
              <w:rPr>
                <w:rFonts w:cstheme="minorHAnsi"/>
                <w:b/>
                <w:bCs/>
                <w:color w:val="FF0000"/>
              </w:rPr>
            </w:pPr>
            <w:r w:rsidRPr="00281BA8">
              <w:rPr>
                <w:rFonts w:cstheme="minorHAnsi"/>
                <w:b/>
                <w:bCs/>
                <w:color w:val="FF0000"/>
              </w:rPr>
              <w:t>90th</w:t>
            </w:r>
          </w:p>
        </w:tc>
        <w:tc>
          <w:tcPr>
            <w:tcW w:w="798" w:type="dxa"/>
          </w:tcPr>
          <w:p w:rsidR="00AF0EA0" w:rsidRDefault="00AF0EA0" w:rsidP="003127FE">
            <w:pPr>
              <w:autoSpaceDE w:val="0"/>
              <w:autoSpaceDN w:val="0"/>
              <w:adjustRightInd w:val="0"/>
              <w:rPr>
                <w:rFonts w:cstheme="minorHAnsi"/>
                <w:b/>
                <w:bCs/>
                <w:color w:val="FF0000"/>
              </w:rPr>
            </w:pPr>
            <w:r>
              <w:rPr>
                <w:rFonts w:cstheme="minorHAnsi"/>
                <w:b/>
                <w:bCs/>
                <w:color w:val="FF0000"/>
              </w:rPr>
              <w:t>IQR</w:t>
            </w:r>
          </w:p>
        </w:tc>
        <w:tc>
          <w:tcPr>
            <w:tcW w:w="1126" w:type="dxa"/>
          </w:tcPr>
          <w:p w:rsidR="00AF0EA0" w:rsidRPr="00281BA8" w:rsidRDefault="00AF0EA0" w:rsidP="003127FE">
            <w:pPr>
              <w:autoSpaceDE w:val="0"/>
              <w:autoSpaceDN w:val="0"/>
              <w:adjustRightInd w:val="0"/>
              <w:rPr>
                <w:rFonts w:cstheme="minorHAnsi"/>
                <w:b/>
                <w:bCs/>
                <w:color w:val="FF0000"/>
              </w:rPr>
            </w:pPr>
            <w:r>
              <w:rPr>
                <w:rFonts w:cstheme="minorHAnsi"/>
                <w:b/>
                <w:bCs/>
                <w:color w:val="FF0000"/>
              </w:rPr>
              <w:t>Minimum</w:t>
            </w:r>
          </w:p>
        </w:tc>
        <w:tc>
          <w:tcPr>
            <w:tcW w:w="1148" w:type="dxa"/>
          </w:tcPr>
          <w:p w:rsidR="00AF0EA0" w:rsidRPr="00281BA8" w:rsidRDefault="00AF0EA0" w:rsidP="003127FE">
            <w:pPr>
              <w:autoSpaceDE w:val="0"/>
              <w:autoSpaceDN w:val="0"/>
              <w:adjustRightInd w:val="0"/>
              <w:rPr>
                <w:rFonts w:cstheme="minorHAnsi"/>
                <w:b/>
                <w:bCs/>
                <w:color w:val="FF0000"/>
              </w:rPr>
            </w:pPr>
            <w:r>
              <w:rPr>
                <w:rFonts w:cstheme="minorHAnsi"/>
                <w:b/>
                <w:bCs/>
                <w:color w:val="FF0000"/>
              </w:rPr>
              <w:t>Maximum</w:t>
            </w:r>
          </w:p>
        </w:tc>
        <w:tc>
          <w:tcPr>
            <w:tcW w:w="914" w:type="dxa"/>
          </w:tcPr>
          <w:p w:rsidR="00AF0EA0" w:rsidRPr="00281BA8" w:rsidRDefault="00AF0EA0" w:rsidP="003127FE">
            <w:pPr>
              <w:autoSpaceDE w:val="0"/>
              <w:autoSpaceDN w:val="0"/>
              <w:adjustRightInd w:val="0"/>
              <w:rPr>
                <w:rFonts w:cstheme="minorHAnsi"/>
                <w:b/>
                <w:bCs/>
                <w:color w:val="FF0000"/>
              </w:rPr>
            </w:pPr>
            <w:r w:rsidRPr="00281BA8">
              <w:rPr>
                <w:rFonts w:cstheme="minorHAnsi"/>
                <w:b/>
                <w:bCs/>
                <w:color w:val="FF0000"/>
              </w:rPr>
              <w:t>p-value</w:t>
            </w:r>
          </w:p>
        </w:tc>
      </w:tr>
      <w:tr w:rsidR="00AF0EA0" w:rsidRPr="00281BA8" w:rsidTr="00AF0EA0">
        <w:tc>
          <w:tcPr>
            <w:tcW w:w="125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Mental Health: 7-day follow-up</w:t>
            </w:r>
          </w:p>
        </w:tc>
        <w:tc>
          <w:tcPr>
            <w:tcW w:w="850"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42.2</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59.5</w:t>
            </w:r>
          </w:p>
        </w:tc>
        <w:tc>
          <w:tcPr>
            <w:tcW w:w="101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73.8</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79.5</w:t>
            </w:r>
          </w:p>
        </w:tc>
        <w:tc>
          <w:tcPr>
            <w:tcW w:w="808"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90.0</w:t>
            </w:r>
          </w:p>
        </w:tc>
        <w:tc>
          <w:tcPr>
            <w:tcW w:w="798" w:type="dxa"/>
          </w:tcPr>
          <w:p w:rsidR="00AF0EA0" w:rsidRPr="00AF0EA0" w:rsidRDefault="00AF0EA0" w:rsidP="00AF0EA0">
            <w:pPr>
              <w:autoSpaceDE w:val="0"/>
              <w:autoSpaceDN w:val="0"/>
              <w:rPr>
                <w:b/>
                <w:bCs/>
                <w:color w:val="FF0000"/>
              </w:rPr>
            </w:pPr>
            <w:r w:rsidRPr="00AF0EA0">
              <w:rPr>
                <w:b/>
                <w:bCs/>
                <w:color w:val="FF0000"/>
              </w:rPr>
              <w:t>20.0</w:t>
            </w:r>
          </w:p>
        </w:tc>
        <w:tc>
          <w:tcPr>
            <w:tcW w:w="1126"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35.5</w:t>
            </w:r>
          </w:p>
        </w:tc>
        <w:tc>
          <w:tcPr>
            <w:tcW w:w="1148"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89.5</w:t>
            </w:r>
          </w:p>
        </w:tc>
        <w:tc>
          <w:tcPr>
            <w:tcW w:w="914"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&lt;.001</w:t>
            </w:r>
          </w:p>
        </w:tc>
      </w:tr>
      <w:tr w:rsidR="00AF0EA0" w:rsidRPr="00281BA8" w:rsidTr="00AF0EA0">
        <w:tc>
          <w:tcPr>
            <w:tcW w:w="125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Mental Health: 30-day follow-up</w:t>
            </w:r>
          </w:p>
        </w:tc>
        <w:tc>
          <w:tcPr>
            <w:tcW w:w="850"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59.9</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75.3</w:t>
            </w:r>
          </w:p>
        </w:tc>
        <w:tc>
          <w:tcPr>
            <w:tcW w:w="101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81.8</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84.8</w:t>
            </w:r>
          </w:p>
        </w:tc>
        <w:tc>
          <w:tcPr>
            <w:tcW w:w="808"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86.0</w:t>
            </w:r>
          </w:p>
        </w:tc>
        <w:tc>
          <w:tcPr>
            <w:tcW w:w="798" w:type="dxa"/>
          </w:tcPr>
          <w:p w:rsidR="00AF0EA0" w:rsidRPr="00AF0EA0" w:rsidRDefault="00AF0EA0" w:rsidP="00AF0EA0">
            <w:pPr>
              <w:autoSpaceDE w:val="0"/>
              <w:autoSpaceDN w:val="0"/>
              <w:rPr>
                <w:b/>
                <w:bCs/>
                <w:color w:val="FF0000"/>
              </w:rPr>
            </w:pPr>
            <w:r w:rsidRPr="00AF0EA0">
              <w:rPr>
                <w:b/>
                <w:bCs/>
                <w:color w:val="FF0000"/>
              </w:rPr>
              <w:t>9.5</w:t>
            </w:r>
          </w:p>
        </w:tc>
        <w:tc>
          <w:tcPr>
            <w:tcW w:w="1126"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53.8</w:t>
            </w:r>
          </w:p>
        </w:tc>
        <w:tc>
          <w:tcPr>
            <w:tcW w:w="1148"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92.4</w:t>
            </w:r>
          </w:p>
        </w:tc>
        <w:tc>
          <w:tcPr>
            <w:tcW w:w="914"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&lt;.001</w:t>
            </w:r>
          </w:p>
        </w:tc>
      </w:tr>
      <w:tr w:rsidR="00AF0EA0" w:rsidRPr="00281BA8" w:rsidTr="00AF0EA0">
        <w:tc>
          <w:tcPr>
            <w:tcW w:w="125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AOD: 7-day follow-up</w:t>
            </w:r>
          </w:p>
        </w:tc>
        <w:tc>
          <w:tcPr>
            <w:tcW w:w="850" w:type="dxa"/>
          </w:tcPr>
          <w:p w:rsidR="00AF0EA0" w:rsidRPr="00281BA8" w:rsidRDefault="00AF0EA0" w:rsidP="00AF0EA0">
            <w:pPr>
              <w:rPr>
                <w:b/>
                <w:color w:val="FF0000"/>
              </w:rPr>
            </w:pPr>
            <w:r w:rsidRPr="00281BA8">
              <w:rPr>
                <w:b/>
                <w:color w:val="FF0000"/>
              </w:rPr>
              <w:t>21.8</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49.5</w:t>
            </w:r>
          </w:p>
        </w:tc>
        <w:tc>
          <w:tcPr>
            <w:tcW w:w="101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68.5</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80.3</w:t>
            </w:r>
          </w:p>
        </w:tc>
        <w:tc>
          <w:tcPr>
            <w:tcW w:w="808"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83.1</w:t>
            </w:r>
          </w:p>
        </w:tc>
        <w:tc>
          <w:tcPr>
            <w:tcW w:w="798" w:type="dxa"/>
          </w:tcPr>
          <w:p w:rsidR="00AF0EA0" w:rsidRPr="00AF0EA0" w:rsidRDefault="00AF0EA0" w:rsidP="00AF0EA0">
            <w:pPr>
              <w:autoSpaceDE w:val="0"/>
              <w:autoSpaceDN w:val="0"/>
              <w:rPr>
                <w:b/>
                <w:bCs/>
                <w:color w:val="FF0000"/>
              </w:rPr>
            </w:pPr>
            <w:r w:rsidRPr="00AF0EA0">
              <w:rPr>
                <w:b/>
                <w:bCs/>
                <w:color w:val="FF0000"/>
              </w:rPr>
              <w:t>30.8</w:t>
            </w:r>
          </w:p>
        </w:tc>
        <w:tc>
          <w:tcPr>
            <w:tcW w:w="1126"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15.5</w:t>
            </w:r>
          </w:p>
        </w:tc>
        <w:tc>
          <w:tcPr>
            <w:tcW w:w="1148"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90.3</w:t>
            </w:r>
          </w:p>
        </w:tc>
        <w:tc>
          <w:tcPr>
            <w:tcW w:w="914"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&lt;.001</w:t>
            </w:r>
          </w:p>
        </w:tc>
      </w:tr>
      <w:tr w:rsidR="00AF0EA0" w:rsidRPr="00281BA8" w:rsidTr="00AF0EA0">
        <w:tc>
          <w:tcPr>
            <w:tcW w:w="125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AOD: 30-day follow up</w:t>
            </w:r>
          </w:p>
        </w:tc>
        <w:tc>
          <w:tcPr>
            <w:tcW w:w="850" w:type="dxa"/>
          </w:tcPr>
          <w:p w:rsidR="00AF0EA0" w:rsidRPr="00281BA8" w:rsidRDefault="00AF0EA0" w:rsidP="00AF0EA0">
            <w:pPr>
              <w:rPr>
                <w:b/>
                <w:color w:val="FF0000"/>
              </w:rPr>
            </w:pPr>
            <w:r w:rsidRPr="00281BA8">
              <w:rPr>
                <w:b/>
                <w:color w:val="FF0000"/>
              </w:rPr>
              <w:t>28.7</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52.2</w:t>
            </w:r>
          </w:p>
        </w:tc>
        <w:tc>
          <w:tcPr>
            <w:tcW w:w="1015"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70.6</w:t>
            </w:r>
          </w:p>
        </w:tc>
        <w:tc>
          <w:tcPr>
            <w:tcW w:w="831"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80.8</w:t>
            </w:r>
          </w:p>
        </w:tc>
        <w:tc>
          <w:tcPr>
            <w:tcW w:w="808"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83.9</w:t>
            </w:r>
          </w:p>
        </w:tc>
        <w:tc>
          <w:tcPr>
            <w:tcW w:w="798" w:type="dxa"/>
          </w:tcPr>
          <w:p w:rsidR="00AF0EA0" w:rsidRPr="00AF0EA0" w:rsidRDefault="00AF0EA0" w:rsidP="00AF0EA0">
            <w:pPr>
              <w:autoSpaceDE w:val="0"/>
              <w:autoSpaceDN w:val="0"/>
              <w:rPr>
                <w:b/>
                <w:bCs/>
                <w:color w:val="FF0000"/>
              </w:rPr>
            </w:pPr>
            <w:r w:rsidRPr="00AF0EA0">
              <w:rPr>
                <w:b/>
                <w:bCs/>
                <w:color w:val="FF0000"/>
              </w:rPr>
              <w:t>28.5</w:t>
            </w:r>
          </w:p>
        </w:tc>
        <w:tc>
          <w:tcPr>
            <w:tcW w:w="1126"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26.8</w:t>
            </w:r>
          </w:p>
        </w:tc>
        <w:tc>
          <w:tcPr>
            <w:tcW w:w="1148" w:type="dxa"/>
          </w:tcPr>
          <w:p w:rsidR="00AF0EA0" w:rsidRPr="00281BA8" w:rsidRDefault="00AF0EA0" w:rsidP="00AF0EA0">
            <w:pPr>
              <w:autoSpaceDE w:val="0"/>
              <w:autoSpaceDN w:val="0"/>
              <w:adjustRightInd w:val="0"/>
              <w:rPr>
                <w:rFonts w:cstheme="minorHAnsi"/>
                <w:b/>
                <w:bCs/>
                <w:color w:val="FF0000"/>
              </w:rPr>
            </w:pPr>
            <w:r>
              <w:rPr>
                <w:rFonts w:cstheme="minorHAnsi"/>
                <w:b/>
                <w:bCs/>
                <w:color w:val="FF0000"/>
              </w:rPr>
              <w:t>90.3</w:t>
            </w:r>
          </w:p>
        </w:tc>
        <w:tc>
          <w:tcPr>
            <w:tcW w:w="914" w:type="dxa"/>
          </w:tcPr>
          <w:p w:rsidR="00AF0EA0" w:rsidRPr="00281BA8" w:rsidRDefault="00AF0EA0" w:rsidP="00AF0EA0">
            <w:pPr>
              <w:autoSpaceDE w:val="0"/>
              <w:autoSpaceDN w:val="0"/>
              <w:adjustRightInd w:val="0"/>
              <w:rPr>
                <w:rFonts w:cstheme="minorHAnsi"/>
                <w:b/>
                <w:bCs/>
                <w:color w:val="FF0000"/>
              </w:rPr>
            </w:pPr>
            <w:r w:rsidRPr="00281BA8">
              <w:rPr>
                <w:rFonts w:cstheme="minorHAnsi"/>
                <w:b/>
                <w:bCs/>
                <w:color w:val="FF0000"/>
              </w:rPr>
              <w:t>&lt;.001</w:t>
            </w:r>
          </w:p>
        </w:tc>
      </w:tr>
    </w:tbl>
    <w:p w:rsidR="00D61410" w:rsidRPr="00927027" w:rsidRDefault="00D61410" w:rsidP="00D61410">
      <w:pPr>
        <w:autoSpaceDE w:val="0"/>
        <w:autoSpaceDN w:val="0"/>
        <w:adjustRightInd w:val="0"/>
        <w:spacing w:after="0" w:line="240" w:lineRule="auto"/>
        <w:rPr>
          <w:rFonts w:cstheme="minorHAnsi"/>
          <w:bCs/>
        </w:rPr>
      </w:pPr>
    </w:p>
    <w:p w:rsidR="00D61410" w:rsidRPr="00281BA8" w:rsidRDefault="00D61410" w:rsidP="00D61410">
      <w:pPr>
        <w:autoSpaceDE w:val="0"/>
        <w:autoSpaceDN w:val="0"/>
        <w:adjustRightInd w:val="0"/>
        <w:spacing w:after="0" w:line="240" w:lineRule="auto"/>
        <w:rPr>
          <w:rFonts w:cstheme="minorHAnsi"/>
          <w:bCs/>
          <w:color w:val="FF0000"/>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480DAF" w:rsidRPr="00281BA8" w:rsidRDefault="00480DAF" w:rsidP="00D61410">
      <w:pPr>
        <w:autoSpaceDE w:val="0"/>
        <w:autoSpaceDN w:val="0"/>
        <w:adjustRightInd w:val="0"/>
        <w:spacing w:after="0" w:line="240" w:lineRule="auto"/>
        <w:rPr>
          <w:rFonts w:cstheme="minorHAnsi"/>
          <w:b/>
          <w:bCs/>
          <w:color w:val="FF0000"/>
        </w:rPr>
      </w:pPr>
      <w:r w:rsidRPr="00281BA8">
        <w:rPr>
          <w:rFonts w:cstheme="minorHAnsi"/>
          <w:b/>
          <w:bCs/>
          <w:color w:val="FF0000"/>
        </w:rPr>
        <w:t xml:space="preserve">The results above indicate there is a gap in performance between the 25th and 75th performing </w:t>
      </w:r>
      <w:r w:rsidR="009C37E7" w:rsidRPr="00281BA8">
        <w:rPr>
          <w:rFonts w:cstheme="minorHAnsi"/>
          <w:b/>
          <w:bCs/>
          <w:color w:val="FF0000"/>
        </w:rPr>
        <w:t xml:space="preserve">states, ranging from </w:t>
      </w:r>
      <w:r w:rsidR="00FB1ACC" w:rsidRPr="00281BA8">
        <w:rPr>
          <w:rFonts w:cstheme="minorHAnsi"/>
          <w:b/>
          <w:bCs/>
          <w:color w:val="FF0000"/>
        </w:rPr>
        <w:t>9.5</w:t>
      </w:r>
      <w:r w:rsidR="009C37E7" w:rsidRPr="00281BA8">
        <w:rPr>
          <w:rFonts w:cstheme="minorHAnsi"/>
          <w:b/>
          <w:bCs/>
          <w:color w:val="FF0000"/>
        </w:rPr>
        <w:t xml:space="preserve"> percentage points on the 7-day mental health measure to </w:t>
      </w:r>
      <w:r w:rsidR="00FB1ACC" w:rsidRPr="00281BA8">
        <w:rPr>
          <w:rFonts w:cstheme="minorHAnsi"/>
          <w:b/>
          <w:bCs/>
          <w:color w:val="FF0000"/>
        </w:rPr>
        <w:t xml:space="preserve">30.8 </w:t>
      </w:r>
      <w:r w:rsidR="009C37E7" w:rsidRPr="00281BA8">
        <w:rPr>
          <w:rFonts w:cstheme="minorHAnsi"/>
          <w:b/>
          <w:bCs/>
          <w:color w:val="FF0000"/>
        </w:rPr>
        <w:t>on the 7-day AOD measure</w:t>
      </w:r>
      <w:r w:rsidRPr="00281BA8">
        <w:rPr>
          <w:rFonts w:cstheme="minorHAnsi"/>
          <w:b/>
          <w:bCs/>
          <w:color w:val="FF0000"/>
        </w:rPr>
        <w:t xml:space="preserve">. For all </w:t>
      </w:r>
      <w:r w:rsidR="009C37E7" w:rsidRPr="00281BA8">
        <w:rPr>
          <w:rFonts w:cstheme="minorHAnsi"/>
          <w:b/>
          <w:bCs/>
          <w:color w:val="FF0000"/>
        </w:rPr>
        <w:t>states</w:t>
      </w:r>
      <w:r w:rsidRPr="00281BA8">
        <w:rPr>
          <w:rFonts w:cstheme="minorHAnsi"/>
          <w:b/>
          <w:bCs/>
          <w:color w:val="FF0000"/>
        </w:rPr>
        <w:t xml:space="preserve"> and </w:t>
      </w:r>
      <w:r w:rsidR="005B41ED" w:rsidRPr="00281BA8">
        <w:rPr>
          <w:rFonts w:cstheme="minorHAnsi"/>
          <w:b/>
          <w:bCs/>
          <w:color w:val="FF0000"/>
        </w:rPr>
        <w:t xml:space="preserve">all </w:t>
      </w:r>
      <w:r w:rsidRPr="00281BA8">
        <w:rPr>
          <w:rFonts w:cstheme="minorHAnsi"/>
          <w:b/>
          <w:bCs/>
          <w:color w:val="FF0000"/>
        </w:rPr>
        <w:t>rates</w:t>
      </w:r>
      <w:r w:rsidR="005B41ED" w:rsidRPr="00281BA8">
        <w:rPr>
          <w:rFonts w:cstheme="minorHAnsi"/>
          <w:b/>
          <w:bCs/>
          <w:color w:val="FF0000"/>
        </w:rPr>
        <w:t>,</w:t>
      </w:r>
      <w:r w:rsidRPr="00281BA8">
        <w:rPr>
          <w:rFonts w:cstheme="minorHAnsi"/>
          <w:b/>
          <w:bCs/>
          <w:color w:val="FF0000"/>
        </w:rPr>
        <w:t xml:space="preserve"> the difference between the 25th and 75th percentile is statistically significant.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lastRenderedPageBreak/>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FF6093">
        <w:rPr>
          <w:rFonts w:cstheme="minorHAnsi"/>
          <w:b/>
          <w:bCs/>
          <w:i/>
        </w:rPr>
        <w:t xml:space="preserve">If only one set of specifications, this section can be </w:t>
      </w:r>
      <w:r w:rsidR="00BE592D" w:rsidRPr="00FF6093">
        <w:rPr>
          <w:rFonts w:cstheme="minorHAnsi"/>
          <w:b/>
          <w:bCs/>
          <w:i/>
        </w:rPr>
        <w:t>skipped.</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8F7E67" w:rsidRDefault="008F7E67" w:rsidP="008F7E67">
      <w:pPr>
        <w:spacing w:after="0" w:line="240" w:lineRule="auto"/>
        <w:rPr>
          <w:rFonts w:cstheme="minorHAnsi"/>
          <w:b/>
          <w:bCs/>
        </w:rPr>
      </w:pPr>
      <w:r>
        <w:rPr>
          <w:rFonts w:cstheme="minorHAnsi"/>
          <w:b/>
          <w:bCs/>
        </w:rPr>
        <w:t>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59279E" w:rsidRPr="00FF6093" w:rsidRDefault="008F7E67" w:rsidP="008F7E67">
      <w:pPr>
        <w:autoSpaceDE w:val="0"/>
        <w:autoSpaceDN w:val="0"/>
        <w:adjustRightInd w:val="0"/>
        <w:spacing w:after="0" w:line="240" w:lineRule="auto"/>
        <w:rPr>
          <w:rFonts w:cstheme="minorHAnsi"/>
          <w:b/>
          <w:bCs/>
          <w:color w:val="FF0000"/>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p>
    <w:p w:rsidR="008F7E67" w:rsidRPr="00FF6093" w:rsidRDefault="0059279E" w:rsidP="008F7E67">
      <w:pPr>
        <w:autoSpaceDE w:val="0"/>
        <w:autoSpaceDN w:val="0"/>
        <w:adjustRightInd w:val="0"/>
        <w:spacing w:after="0" w:line="240" w:lineRule="auto"/>
        <w:rPr>
          <w:rFonts w:cstheme="minorHAnsi"/>
          <w:b/>
          <w:bCs/>
          <w:color w:val="FF0000"/>
        </w:rPr>
      </w:pPr>
      <w:r w:rsidRPr="00FF6093">
        <w:rPr>
          <w:rFonts w:cstheme="minorHAnsi"/>
          <w:b/>
          <w:bCs/>
          <w:color w:val="FF0000"/>
        </w:rPr>
        <w:t xml:space="preserve">This measure is collected using all </w:t>
      </w:r>
      <w:r w:rsidR="006462CC" w:rsidRPr="00FF6093">
        <w:rPr>
          <w:rFonts w:cstheme="minorHAnsi"/>
          <w:b/>
          <w:bCs/>
          <w:color w:val="FF0000"/>
        </w:rPr>
        <w:t>available administrative claims;</w:t>
      </w:r>
      <w:r w:rsidRPr="00FF6093">
        <w:rPr>
          <w:rFonts w:cstheme="minorHAnsi"/>
          <w:b/>
          <w:bCs/>
          <w:color w:val="FF0000"/>
        </w:rPr>
        <w:t xml:space="preserve"> there </w:t>
      </w:r>
      <w:r w:rsidR="00640C27">
        <w:rPr>
          <w:rFonts w:cstheme="minorHAnsi"/>
          <w:b/>
          <w:bCs/>
          <w:color w:val="FF0000"/>
        </w:rPr>
        <w:t>are</w:t>
      </w:r>
      <w:r w:rsidR="00640C27" w:rsidRPr="00FF6093">
        <w:rPr>
          <w:rFonts w:cstheme="minorHAnsi"/>
          <w:b/>
          <w:bCs/>
          <w:color w:val="FF0000"/>
        </w:rPr>
        <w:t xml:space="preserve"> </w:t>
      </w:r>
      <w:r w:rsidRPr="00FF6093">
        <w:rPr>
          <w:rFonts w:cstheme="minorHAnsi"/>
          <w:b/>
          <w:bCs/>
          <w:color w:val="FF0000"/>
        </w:rPr>
        <w:t>no missing data on this measure.</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6462CC"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p>
    <w:p w:rsidR="00FF6093" w:rsidRPr="00FF6093" w:rsidRDefault="008F7E67" w:rsidP="00FF6093">
      <w:pPr>
        <w:autoSpaceDE w:val="0"/>
        <w:autoSpaceDN w:val="0"/>
        <w:adjustRightInd w:val="0"/>
        <w:spacing w:after="0" w:line="240" w:lineRule="auto"/>
        <w:rPr>
          <w:rFonts w:cstheme="minorHAnsi"/>
          <w:b/>
          <w:bCs/>
          <w:sz w:val="24"/>
        </w:rPr>
      </w:pPr>
      <w:r w:rsidRPr="00A25024">
        <w:rPr>
          <w:rFonts w:cstheme="minorHAnsi"/>
          <w:bCs/>
        </w:rPr>
        <w:br/>
      </w:r>
      <w:r w:rsidR="00FF6093" w:rsidRPr="00FF6093">
        <w:rPr>
          <w:rFonts w:cstheme="minorHAnsi"/>
          <w:b/>
          <w:bCs/>
          <w:color w:val="FF0000"/>
        </w:rPr>
        <w:t>Not applicable.</w:t>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 xml:space="preserve">in terms </w:t>
      </w:r>
      <w:r w:rsidR="00145D4F" w:rsidRPr="00FC5DE1">
        <w:rPr>
          <w:rFonts w:cstheme="minorHAnsi"/>
          <w:bCs/>
          <w:i/>
        </w:rPr>
        <w:lastRenderedPageBreak/>
        <w:t>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Default="00BA053B">
      <w:pPr>
        <w:autoSpaceDE w:val="0"/>
        <w:autoSpaceDN w:val="0"/>
        <w:adjustRightInd w:val="0"/>
        <w:spacing w:after="0" w:line="240" w:lineRule="auto"/>
        <w:rPr>
          <w:rFonts w:cstheme="minorHAnsi"/>
          <w:bCs/>
        </w:rPr>
      </w:pPr>
    </w:p>
    <w:p w:rsidR="00FF6093" w:rsidRPr="00FF6093" w:rsidRDefault="00FF6093" w:rsidP="00FF6093">
      <w:pPr>
        <w:autoSpaceDE w:val="0"/>
        <w:autoSpaceDN w:val="0"/>
        <w:adjustRightInd w:val="0"/>
        <w:spacing w:after="0" w:line="240" w:lineRule="auto"/>
        <w:rPr>
          <w:rFonts w:cstheme="minorHAnsi"/>
          <w:b/>
          <w:bCs/>
          <w:sz w:val="24"/>
        </w:rPr>
      </w:pPr>
      <w:r w:rsidRPr="00FF6093">
        <w:rPr>
          <w:rFonts w:cstheme="minorHAnsi"/>
          <w:b/>
          <w:bCs/>
          <w:color w:val="FF0000"/>
        </w:rPr>
        <w:t>Not applicable.</w:t>
      </w:r>
    </w:p>
    <w:p w:rsidR="00480DAF" w:rsidRPr="0059279E" w:rsidRDefault="00480DAF" w:rsidP="00FF6093">
      <w:pPr>
        <w:autoSpaceDE w:val="0"/>
        <w:autoSpaceDN w:val="0"/>
        <w:adjustRightInd w:val="0"/>
        <w:spacing w:after="0" w:line="240" w:lineRule="auto"/>
        <w:rPr>
          <w:rFonts w:cstheme="minorHAnsi"/>
          <w:bCs/>
          <w:color w:val="7030A0"/>
        </w:rPr>
      </w:pPr>
      <w:bookmarkStart w:id="14" w:name="_GoBack"/>
      <w:bookmarkEnd w:id="14"/>
    </w:p>
    <w:sectPr w:rsidR="00480DAF" w:rsidRPr="0059279E" w:rsidSect="00232755">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901" w:rsidRDefault="00A46901" w:rsidP="005C73CA">
      <w:pPr>
        <w:spacing w:after="0" w:line="240" w:lineRule="auto"/>
      </w:pPr>
      <w:r>
        <w:separator/>
      </w:r>
    </w:p>
  </w:endnote>
  <w:endnote w:type="continuationSeparator" w:id="0">
    <w:p w:rsidR="00A46901" w:rsidRDefault="00A4690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01" w:rsidRDefault="00A46901">
    <w:pPr>
      <w:pStyle w:val="Footer"/>
    </w:pPr>
    <w:r>
      <w:t>Version 6.5  08/20/13</w:t>
    </w:r>
    <w:r>
      <w:ptab w:relativeTo="margin" w:alignment="center" w:leader="none"/>
    </w:r>
    <w:r>
      <w:ptab w:relativeTo="margin" w:alignment="right" w:leader="none"/>
    </w:r>
    <w:r w:rsidR="00281BA8">
      <w:fldChar w:fldCharType="begin"/>
    </w:r>
    <w:r w:rsidR="00281BA8">
      <w:instrText xml:space="preserve"> PAGE   \* MERGEFORMAT </w:instrText>
    </w:r>
    <w:r w:rsidR="00281BA8">
      <w:fldChar w:fldCharType="separate"/>
    </w:r>
    <w:r w:rsidR="006414C7">
      <w:rPr>
        <w:noProof/>
      </w:rPr>
      <w:t>15</w:t>
    </w:r>
    <w:r w:rsidR="00281BA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901" w:rsidRDefault="00A46901" w:rsidP="005C73CA">
      <w:pPr>
        <w:spacing w:after="0" w:line="240" w:lineRule="auto"/>
      </w:pPr>
      <w:r>
        <w:separator/>
      </w:r>
    </w:p>
  </w:footnote>
  <w:footnote w:type="continuationSeparator" w:id="0">
    <w:p w:rsidR="00A46901" w:rsidRDefault="00A46901"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01" w:rsidRPr="00105D8B" w:rsidRDefault="00A46901"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B30876"/>
    <w:multiLevelType w:val="hybridMultilevel"/>
    <w:tmpl w:val="6DE0A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B7164FD"/>
    <w:multiLevelType w:val="hybridMultilevel"/>
    <w:tmpl w:val="2682B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3D56A51"/>
    <w:multiLevelType w:val="hybridMultilevel"/>
    <w:tmpl w:val="5CD6EFB2"/>
    <w:lvl w:ilvl="0" w:tplc="7F22BBE8">
      <w:start w:val="2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591382"/>
    <w:multiLevelType w:val="hybridMultilevel"/>
    <w:tmpl w:val="1032D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5C1989"/>
    <w:multiLevelType w:val="hybridMultilevel"/>
    <w:tmpl w:val="5E0C48FE"/>
    <w:lvl w:ilvl="0" w:tplc="C0B80D94">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F9677D"/>
    <w:multiLevelType w:val="hybridMultilevel"/>
    <w:tmpl w:val="BBFA1B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DA36EAF"/>
    <w:multiLevelType w:val="hybridMultilevel"/>
    <w:tmpl w:val="55229040"/>
    <w:lvl w:ilvl="0" w:tplc="816A240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7155201"/>
    <w:multiLevelType w:val="hybridMultilevel"/>
    <w:tmpl w:val="CED0B680"/>
    <w:lvl w:ilvl="0" w:tplc="230006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2"/>
  </w:num>
  <w:num w:numId="4">
    <w:abstractNumId w:val="5"/>
  </w:num>
  <w:num w:numId="5">
    <w:abstractNumId w:val="1"/>
  </w:num>
  <w:num w:numId="6">
    <w:abstractNumId w:val="0"/>
  </w:num>
  <w:num w:numId="7">
    <w:abstractNumId w:val="3"/>
  </w:num>
  <w:num w:numId="8">
    <w:abstractNumId w:val="23"/>
  </w:num>
  <w:num w:numId="9">
    <w:abstractNumId w:val="11"/>
  </w:num>
  <w:num w:numId="10">
    <w:abstractNumId w:val="30"/>
  </w:num>
  <w:num w:numId="11">
    <w:abstractNumId w:val="13"/>
  </w:num>
  <w:num w:numId="12">
    <w:abstractNumId w:val="27"/>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29"/>
  </w:num>
  <w:num w:numId="18">
    <w:abstractNumId w:val="25"/>
  </w:num>
  <w:num w:numId="19">
    <w:abstractNumId w:val="24"/>
  </w:num>
  <w:num w:numId="20">
    <w:abstractNumId w:val="19"/>
  </w:num>
  <w:num w:numId="21">
    <w:abstractNumId w:val="22"/>
  </w:num>
  <w:num w:numId="22">
    <w:abstractNumId w:val="17"/>
  </w:num>
  <w:num w:numId="23">
    <w:abstractNumId w:val="7"/>
  </w:num>
  <w:num w:numId="24">
    <w:abstractNumId w:val="16"/>
  </w:num>
  <w:num w:numId="25">
    <w:abstractNumId w:val="14"/>
  </w:num>
  <w:num w:numId="26">
    <w:abstractNumId w:val="32"/>
  </w:num>
  <w:num w:numId="27">
    <w:abstractNumId w:val="8"/>
  </w:num>
  <w:num w:numId="28">
    <w:abstractNumId w:val="6"/>
  </w:num>
  <w:num w:numId="29">
    <w:abstractNumId w:val="31"/>
  </w:num>
  <w:num w:numId="30">
    <w:abstractNumId w:val="28"/>
  </w:num>
  <w:num w:numId="31">
    <w:abstractNumId w:val="15"/>
  </w:num>
  <w:num w:numId="32">
    <w:abstractNumId w:val="26"/>
  </w:num>
  <w:num w:numId="33">
    <w:abstractNumId w:val="10"/>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cumentProtection w:edit="forms" w:enforcement="0"/>
  <w:defaultTabStop w:val="720"/>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2"/>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77938"/>
    <w:rsid w:val="00080CF7"/>
    <w:rsid w:val="000851B2"/>
    <w:rsid w:val="00092566"/>
    <w:rsid w:val="000968F8"/>
    <w:rsid w:val="00097012"/>
    <w:rsid w:val="000A3229"/>
    <w:rsid w:val="000B032A"/>
    <w:rsid w:val="000B2DF7"/>
    <w:rsid w:val="000B3880"/>
    <w:rsid w:val="000C2787"/>
    <w:rsid w:val="000C3637"/>
    <w:rsid w:val="000D5E58"/>
    <w:rsid w:val="000D7948"/>
    <w:rsid w:val="000D7C84"/>
    <w:rsid w:val="000E4E13"/>
    <w:rsid w:val="000E4F52"/>
    <w:rsid w:val="000E78F6"/>
    <w:rsid w:val="000F034A"/>
    <w:rsid w:val="000F06B5"/>
    <w:rsid w:val="000F39E9"/>
    <w:rsid w:val="00104B45"/>
    <w:rsid w:val="00105D8B"/>
    <w:rsid w:val="001114CB"/>
    <w:rsid w:val="0011342F"/>
    <w:rsid w:val="001202E9"/>
    <w:rsid w:val="0012454F"/>
    <w:rsid w:val="00125273"/>
    <w:rsid w:val="0012575E"/>
    <w:rsid w:val="00127C06"/>
    <w:rsid w:val="00140079"/>
    <w:rsid w:val="00145149"/>
    <w:rsid w:val="00145D4F"/>
    <w:rsid w:val="0014773C"/>
    <w:rsid w:val="001633A1"/>
    <w:rsid w:val="0017197B"/>
    <w:rsid w:val="001735E2"/>
    <w:rsid w:val="0017696D"/>
    <w:rsid w:val="001848FC"/>
    <w:rsid w:val="001969C5"/>
    <w:rsid w:val="001A6CDD"/>
    <w:rsid w:val="001C12EE"/>
    <w:rsid w:val="001C7B02"/>
    <w:rsid w:val="001D3862"/>
    <w:rsid w:val="001D4EA8"/>
    <w:rsid w:val="001E4DD4"/>
    <w:rsid w:val="001E57A1"/>
    <w:rsid w:val="001E69DC"/>
    <w:rsid w:val="001F169D"/>
    <w:rsid w:val="001F1DA1"/>
    <w:rsid w:val="001F6F93"/>
    <w:rsid w:val="001F7A20"/>
    <w:rsid w:val="002024DB"/>
    <w:rsid w:val="002063F6"/>
    <w:rsid w:val="00206EFF"/>
    <w:rsid w:val="0021195A"/>
    <w:rsid w:val="00213383"/>
    <w:rsid w:val="00220250"/>
    <w:rsid w:val="002203D7"/>
    <w:rsid w:val="00222B8E"/>
    <w:rsid w:val="0022691B"/>
    <w:rsid w:val="00232163"/>
    <w:rsid w:val="00232755"/>
    <w:rsid w:val="002376F8"/>
    <w:rsid w:val="002408E4"/>
    <w:rsid w:val="00241591"/>
    <w:rsid w:val="0024456E"/>
    <w:rsid w:val="00250B4F"/>
    <w:rsid w:val="00251A69"/>
    <w:rsid w:val="0025762F"/>
    <w:rsid w:val="002628C2"/>
    <w:rsid w:val="002637BF"/>
    <w:rsid w:val="0028114D"/>
    <w:rsid w:val="00281BA8"/>
    <w:rsid w:val="00284646"/>
    <w:rsid w:val="00287649"/>
    <w:rsid w:val="00287E84"/>
    <w:rsid w:val="0029286C"/>
    <w:rsid w:val="0029300E"/>
    <w:rsid w:val="002B0C3A"/>
    <w:rsid w:val="002B2116"/>
    <w:rsid w:val="002B2D9B"/>
    <w:rsid w:val="002B4337"/>
    <w:rsid w:val="002B5016"/>
    <w:rsid w:val="002B742C"/>
    <w:rsid w:val="002B7F4D"/>
    <w:rsid w:val="002C285C"/>
    <w:rsid w:val="002C7BE4"/>
    <w:rsid w:val="002D2AC6"/>
    <w:rsid w:val="002D417D"/>
    <w:rsid w:val="002D5E5D"/>
    <w:rsid w:val="002E78A0"/>
    <w:rsid w:val="002F2687"/>
    <w:rsid w:val="002F48E1"/>
    <w:rsid w:val="002F4F3B"/>
    <w:rsid w:val="002F5C3D"/>
    <w:rsid w:val="003059EB"/>
    <w:rsid w:val="003116AC"/>
    <w:rsid w:val="003127FE"/>
    <w:rsid w:val="00315567"/>
    <w:rsid w:val="00320A43"/>
    <w:rsid w:val="00327E90"/>
    <w:rsid w:val="00330144"/>
    <w:rsid w:val="00346245"/>
    <w:rsid w:val="00354D0C"/>
    <w:rsid w:val="00356267"/>
    <w:rsid w:val="00356BAD"/>
    <w:rsid w:val="003605B4"/>
    <w:rsid w:val="003627AC"/>
    <w:rsid w:val="00366914"/>
    <w:rsid w:val="003672E3"/>
    <w:rsid w:val="00372666"/>
    <w:rsid w:val="00372FE3"/>
    <w:rsid w:val="003755CB"/>
    <w:rsid w:val="00383F85"/>
    <w:rsid w:val="0038495F"/>
    <w:rsid w:val="003906D2"/>
    <w:rsid w:val="003A2C69"/>
    <w:rsid w:val="003A306C"/>
    <w:rsid w:val="003A7DE7"/>
    <w:rsid w:val="003B1006"/>
    <w:rsid w:val="003C5F11"/>
    <w:rsid w:val="003C7579"/>
    <w:rsid w:val="003D6401"/>
    <w:rsid w:val="003E1863"/>
    <w:rsid w:val="003F67C1"/>
    <w:rsid w:val="004020FD"/>
    <w:rsid w:val="0041606D"/>
    <w:rsid w:val="00416962"/>
    <w:rsid w:val="00430E18"/>
    <w:rsid w:val="004348CC"/>
    <w:rsid w:val="004376A6"/>
    <w:rsid w:val="004401B6"/>
    <w:rsid w:val="00443E43"/>
    <w:rsid w:val="00445A29"/>
    <w:rsid w:val="004658FF"/>
    <w:rsid w:val="00474ED7"/>
    <w:rsid w:val="004756E1"/>
    <w:rsid w:val="0048008A"/>
    <w:rsid w:val="00480DAF"/>
    <w:rsid w:val="00483E94"/>
    <w:rsid w:val="00484120"/>
    <w:rsid w:val="004853A0"/>
    <w:rsid w:val="0049460E"/>
    <w:rsid w:val="00496B5F"/>
    <w:rsid w:val="004A2E10"/>
    <w:rsid w:val="004B17FF"/>
    <w:rsid w:val="004B1BA0"/>
    <w:rsid w:val="004B6CEE"/>
    <w:rsid w:val="004C2443"/>
    <w:rsid w:val="004C498F"/>
    <w:rsid w:val="004C5D29"/>
    <w:rsid w:val="004C681A"/>
    <w:rsid w:val="004D4D8A"/>
    <w:rsid w:val="004D62A7"/>
    <w:rsid w:val="004F68EE"/>
    <w:rsid w:val="005038D5"/>
    <w:rsid w:val="00511BA4"/>
    <w:rsid w:val="005149E7"/>
    <w:rsid w:val="0052109D"/>
    <w:rsid w:val="005232D6"/>
    <w:rsid w:val="00530F24"/>
    <w:rsid w:val="005333CC"/>
    <w:rsid w:val="005363F1"/>
    <w:rsid w:val="0055007C"/>
    <w:rsid w:val="005546A1"/>
    <w:rsid w:val="00554922"/>
    <w:rsid w:val="00555282"/>
    <w:rsid w:val="005560E7"/>
    <w:rsid w:val="00560261"/>
    <w:rsid w:val="005612CC"/>
    <w:rsid w:val="00563029"/>
    <w:rsid w:val="00567D12"/>
    <w:rsid w:val="00576062"/>
    <w:rsid w:val="00585B92"/>
    <w:rsid w:val="0059279E"/>
    <w:rsid w:val="0059559F"/>
    <w:rsid w:val="005A49FF"/>
    <w:rsid w:val="005A7634"/>
    <w:rsid w:val="005B41ED"/>
    <w:rsid w:val="005C0447"/>
    <w:rsid w:val="005C739F"/>
    <w:rsid w:val="005C73CA"/>
    <w:rsid w:val="005C74CF"/>
    <w:rsid w:val="005D4768"/>
    <w:rsid w:val="005D7113"/>
    <w:rsid w:val="005E2A22"/>
    <w:rsid w:val="005E2CAB"/>
    <w:rsid w:val="005E429E"/>
    <w:rsid w:val="005E6EA1"/>
    <w:rsid w:val="005F4401"/>
    <w:rsid w:val="00601ED4"/>
    <w:rsid w:val="006030BC"/>
    <w:rsid w:val="00612866"/>
    <w:rsid w:val="00616EB5"/>
    <w:rsid w:val="006269D4"/>
    <w:rsid w:val="00627076"/>
    <w:rsid w:val="006327D8"/>
    <w:rsid w:val="0064070A"/>
    <w:rsid w:val="00640C27"/>
    <w:rsid w:val="006414C7"/>
    <w:rsid w:val="00643A01"/>
    <w:rsid w:val="006462CC"/>
    <w:rsid w:val="006574D2"/>
    <w:rsid w:val="00666381"/>
    <w:rsid w:val="006676D4"/>
    <w:rsid w:val="00672119"/>
    <w:rsid w:val="00675535"/>
    <w:rsid w:val="00681359"/>
    <w:rsid w:val="00696262"/>
    <w:rsid w:val="006C0027"/>
    <w:rsid w:val="006C3A4F"/>
    <w:rsid w:val="006C4845"/>
    <w:rsid w:val="006D6BC1"/>
    <w:rsid w:val="006E2BFC"/>
    <w:rsid w:val="006E5C57"/>
    <w:rsid w:val="006F22A5"/>
    <w:rsid w:val="006F3374"/>
    <w:rsid w:val="00702C73"/>
    <w:rsid w:val="00712651"/>
    <w:rsid w:val="00713394"/>
    <w:rsid w:val="00721328"/>
    <w:rsid w:val="00724677"/>
    <w:rsid w:val="00725AC2"/>
    <w:rsid w:val="00732880"/>
    <w:rsid w:val="007416B9"/>
    <w:rsid w:val="007422FD"/>
    <w:rsid w:val="00743E46"/>
    <w:rsid w:val="00747C45"/>
    <w:rsid w:val="00756FDB"/>
    <w:rsid w:val="007629B6"/>
    <w:rsid w:val="007665BF"/>
    <w:rsid w:val="00767682"/>
    <w:rsid w:val="00770555"/>
    <w:rsid w:val="00771B2A"/>
    <w:rsid w:val="0077303F"/>
    <w:rsid w:val="007757CE"/>
    <w:rsid w:val="00775800"/>
    <w:rsid w:val="0079180E"/>
    <w:rsid w:val="007950CC"/>
    <w:rsid w:val="0079538B"/>
    <w:rsid w:val="007961B8"/>
    <w:rsid w:val="00797624"/>
    <w:rsid w:val="007A3FF5"/>
    <w:rsid w:val="007A4828"/>
    <w:rsid w:val="007B093D"/>
    <w:rsid w:val="007B2069"/>
    <w:rsid w:val="007C04A1"/>
    <w:rsid w:val="007C21FA"/>
    <w:rsid w:val="007C4DBF"/>
    <w:rsid w:val="007D4351"/>
    <w:rsid w:val="007D7019"/>
    <w:rsid w:val="007E18DB"/>
    <w:rsid w:val="007E6F1C"/>
    <w:rsid w:val="007F0C05"/>
    <w:rsid w:val="007F6B96"/>
    <w:rsid w:val="00801FAB"/>
    <w:rsid w:val="00804C69"/>
    <w:rsid w:val="0080711D"/>
    <w:rsid w:val="0080735D"/>
    <w:rsid w:val="008155CD"/>
    <w:rsid w:val="00822930"/>
    <w:rsid w:val="00833325"/>
    <w:rsid w:val="00840A41"/>
    <w:rsid w:val="00842F3C"/>
    <w:rsid w:val="008445ED"/>
    <w:rsid w:val="00847283"/>
    <w:rsid w:val="008505D1"/>
    <w:rsid w:val="00855158"/>
    <w:rsid w:val="00857EE8"/>
    <w:rsid w:val="0086321C"/>
    <w:rsid w:val="0086464B"/>
    <w:rsid w:val="008647FC"/>
    <w:rsid w:val="00864CA8"/>
    <w:rsid w:val="00865E2D"/>
    <w:rsid w:val="00870E6C"/>
    <w:rsid w:val="00872016"/>
    <w:rsid w:val="0087423E"/>
    <w:rsid w:val="00884486"/>
    <w:rsid w:val="008871A9"/>
    <w:rsid w:val="008916BA"/>
    <w:rsid w:val="00892176"/>
    <w:rsid w:val="008A1DB7"/>
    <w:rsid w:val="008A403A"/>
    <w:rsid w:val="008A4C13"/>
    <w:rsid w:val="008B604D"/>
    <w:rsid w:val="008B7A24"/>
    <w:rsid w:val="008C54A9"/>
    <w:rsid w:val="008D7986"/>
    <w:rsid w:val="008E41E1"/>
    <w:rsid w:val="008E67C3"/>
    <w:rsid w:val="008F589F"/>
    <w:rsid w:val="008F76A9"/>
    <w:rsid w:val="008F7E67"/>
    <w:rsid w:val="00900DBF"/>
    <w:rsid w:val="009048B9"/>
    <w:rsid w:val="00904E91"/>
    <w:rsid w:val="00915886"/>
    <w:rsid w:val="009214DC"/>
    <w:rsid w:val="00927027"/>
    <w:rsid w:val="009344BA"/>
    <w:rsid w:val="009350AD"/>
    <w:rsid w:val="00940D0E"/>
    <w:rsid w:val="00947F78"/>
    <w:rsid w:val="00953234"/>
    <w:rsid w:val="00961EAF"/>
    <w:rsid w:val="0096278F"/>
    <w:rsid w:val="009726E1"/>
    <w:rsid w:val="00974EEF"/>
    <w:rsid w:val="00977591"/>
    <w:rsid w:val="00980E75"/>
    <w:rsid w:val="009862F6"/>
    <w:rsid w:val="00987FA3"/>
    <w:rsid w:val="00994BE0"/>
    <w:rsid w:val="009A25B1"/>
    <w:rsid w:val="009A4608"/>
    <w:rsid w:val="009A6A57"/>
    <w:rsid w:val="009A70BF"/>
    <w:rsid w:val="009B1A15"/>
    <w:rsid w:val="009C0852"/>
    <w:rsid w:val="009C13CA"/>
    <w:rsid w:val="009C32C6"/>
    <w:rsid w:val="009C37E7"/>
    <w:rsid w:val="009C665F"/>
    <w:rsid w:val="009D7E38"/>
    <w:rsid w:val="009E095B"/>
    <w:rsid w:val="009E1846"/>
    <w:rsid w:val="009E78FF"/>
    <w:rsid w:val="00A00221"/>
    <w:rsid w:val="00A01494"/>
    <w:rsid w:val="00A138F1"/>
    <w:rsid w:val="00A22FA9"/>
    <w:rsid w:val="00A25024"/>
    <w:rsid w:val="00A35F8F"/>
    <w:rsid w:val="00A41377"/>
    <w:rsid w:val="00A4263D"/>
    <w:rsid w:val="00A46901"/>
    <w:rsid w:val="00A509B8"/>
    <w:rsid w:val="00A52AB9"/>
    <w:rsid w:val="00A6210B"/>
    <w:rsid w:val="00A7323A"/>
    <w:rsid w:val="00A75EC0"/>
    <w:rsid w:val="00A831B4"/>
    <w:rsid w:val="00A97798"/>
    <w:rsid w:val="00A97F84"/>
    <w:rsid w:val="00AA5213"/>
    <w:rsid w:val="00AA65A6"/>
    <w:rsid w:val="00AC1BEB"/>
    <w:rsid w:val="00AC1D8E"/>
    <w:rsid w:val="00AC48FA"/>
    <w:rsid w:val="00AC663D"/>
    <w:rsid w:val="00AD0240"/>
    <w:rsid w:val="00AD4137"/>
    <w:rsid w:val="00AE2B41"/>
    <w:rsid w:val="00AF0ACC"/>
    <w:rsid w:val="00AF0EA0"/>
    <w:rsid w:val="00AF22CF"/>
    <w:rsid w:val="00B01D27"/>
    <w:rsid w:val="00B037BA"/>
    <w:rsid w:val="00B04FCA"/>
    <w:rsid w:val="00B15866"/>
    <w:rsid w:val="00B17C35"/>
    <w:rsid w:val="00B20139"/>
    <w:rsid w:val="00B218DA"/>
    <w:rsid w:val="00B2250B"/>
    <w:rsid w:val="00B25C02"/>
    <w:rsid w:val="00B30994"/>
    <w:rsid w:val="00B3219A"/>
    <w:rsid w:val="00B342FA"/>
    <w:rsid w:val="00B53E8B"/>
    <w:rsid w:val="00B6475C"/>
    <w:rsid w:val="00B73E89"/>
    <w:rsid w:val="00B774D2"/>
    <w:rsid w:val="00B8015A"/>
    <w:rsid w:val="00B82A57"/>
    <w:rsid w:val="00BA053B"/>
    <w:rsid w:val="00BA2A9A"/>
    <w:rsid w:val="00BB095D"/>
    <w:rsid w:val="00BB35AE"/>
    <w:rsid w:val="00BC03A1"/>
    <w:rsid w:val="00BC0D25"/>
    <w:rsid w:val="00BC4D68"/>
    <w:rsid w:val="00BC618B"/>
    <w:rsid w:val="00BD2505"/>
    <w:rsid w:val="00BE592D"/>
    <w:rsid w:val="00BF52B0"/>
    <w:rsid w:val="00BF5697"/>
    <w:rsid w:val="00C021C2"/>
    <w:rsid w:val="00C0777F"/>
    <w:rsid w:val="00C14CCC"/>
    <w:rsid w:val="00C2040F"/>
    <w:rsid w:val="00C22C1C"/>
    <w:rsid w:val="00C253B3"/>
    <w:rsid w:val="00C33F2E"/>
    <w:rsid w:val="00C34936"/>
    <w:rsid w:val="00C34C14"/>
    <w:rsid w:val="00C355B9"/>
    <w:rsid w:val="00C401C4"/>
    <w:rsid w:val="00C41680"/>
    <w:rsid w:val="00C60A25"/>
    <w:rsid w:val="00C629FD"/>
    <w:rsid w:val="00C7391D"/>
    <w:rsid w:val="00C765C5"/>
    <w:rsid w:val="00C82479"/>
    <w:rsid w:val="00C867F0"/>
    <w:rsid w:val="00C96148"/>
    <w:rsid w:val="00CA06D8"/>
    <w:rsid w:val="00CA345A"/>
    <w:rsid w:val="00CB49FF"/>
    <w:rsid w:val="00CC02CF"/>
    <w:rsid w:val="00CC086A"/>
    <w:rsid w:val="00CD0F66"/>
    <w:rsid w:val="00CD364B"/>
    <w:rsid w:val="00CE23B8"/>
    <w:rsid w:val="00CE50D7"/>
    <w:rsid w:val="00CF4B2E"/>
    <w:rsid w:val="00D00344"/>
    <w:rsid w:val="00D14078"/>
    <w:rsid w:val="00D14DF0"/>
    <w:rsid w:val="00D1754D"/>
    <w:rsid w:val="00D2223F"/>
    <w:rsid w:val="00D274A4"/>
    <w:rsid w:val="00D277AF"/>
    <w:rsid w:val="00D31163"/>
    <w:rsid w:val="00D320B1"/>
    <w:rsid w:val="00D33AFD"/>
    <w:rsid w:val="00D36489"/>
    <w:rsid w:val="00D42195"/>
    <w:rsid w:val="00D50704"/>
    <w:rsid w:val="00D5760A"/>
    <w:rsid w:val="00D61410"/>
    <w:rsid w:val="00D624E1"/>
    <w:rsid w:val="00D77AC0"/>
    <w:rsid w:val="00D8181D"/>
    <w:rsid w:val="00D93A35"/>
    <w:rsid w:val="00D968D8"/>
    <w:rsid w:val="00DA563D"/>
    <w:rsid w:val="00DA7277"/>
    <w:rsid w:val="00DB3627"/>
    <w:rsid w:val="00DB4724"/>
    <w:rsid w:val="00DC4746"/>
    <w:rsid w:val="00DE3933"/>
    <w:rsid w:val="00DE7149"/>
    <w:rsid w:val="00E0064F"/>
    <w:rsid w:val="00E0314C"/>
    <w:rsid w:val="00E1508F"/>
    <w:rsid w:val="00E23193"/>
    <w:rsid w:val="00E27240"/>
    <w:rsid w:val="00E27EDD"/>
    <w:rsid w:val="00E30584"/>
    <w:rsid w:val="00E310B9"/>
    <w:rsid w:val="00E37E1B"/>
    <w:rsid w:val="00E41A7A"/>
    <w:rsid w:val="00E46C48"/>
    <w:rsid w:val="00E562C0"/>
    <w:rsid w:val="00E672D6"/>
    <w:rsid w:val="00E76024"/>
    <w:rsid w:val="00E826BB"/>
    <w:rsid w:val="00E856A2"/>
    <w:rsid w:val="00E91657"/>
    <w:rsid w:val="00E96884"/>
    <w:rsid w:val="00EA5435"/>
    <w:rsid w:val="00EA5F47"/>
    <w:rsid w:val="00EC58C4"/>
    <w:rsid w:val="00EC79DE"/>
    <w:rsid w:val="00ED4ACE"/>
    <w:rsid w:val="00EE4D35"/>
    <w:rsid w:val="00EF0619"/>
    <w:rsid w:val="00EF2DA7"/>
    <w:rsid w:val="00F05E89"/>
    <w:rsid w:val="00F40137"/>
    <w:rsid w:val="00F435AA"/>
    <w:rsid w:val="00F5738A"/>
    <w:rsid w:val="00F612D4"/>
    <w:rsid w:val="00F741AB"/>
    <w:rsid w:val="00F77F1D"/>
    <w:rsid w:val="00F87CCB"/>
    <w:rsid w:val="00FA36E5"/>
    <w:rsid w:val="00FA48C7"/>
    <w:rsid w:val="00FB1ACC"/>
    <w:rsid w:val="00FB73C1"/>
    <w:rsid w:val="00FE634E"/>
    <w:rsid w:val="00FE76AB"/>
    <w:rsid w:val="00FF6093"/>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FC5D7416-AD24-4911-8A6F-9B20574B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5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72336">
      <w:bodyDiv w:val="1"/>
      <w:marLeft w:val="0"/>
      <w:marRight w:val="0"/>
      <w:marTop w:val="0"/>
      <w:marBottom w:val="0"/>
      <w:divBdr>
        <w:top w:val="none" w:sz="0" w:space="0" w:color="auto"/>
        <w:left w:val="none" w:sz="0" w:space="0" w:color="auto"/>
        <w:bottom w:val="none" w:sz="0" w:space="0" w:color="auto"/>
        <w:right w:val="none" w:sz="0" w:space="0" w:color="auto"/>
      </w:divBdr>
    </w:div>
    <w:div w:id="65298545">
      <w:bodyDiv w:val="1"/>
      <w:marLeft w:val="0"/>
      <w:marRight w:val="0"/>
      <w:marTop w:val="0"/>
      <w:marBottom w:val="0"/>
      <w:divBdr>
        <w:top w:val="none" w:sz="0" w:space="0" w:color="auto"/>
        <w:left w:val="none" w:sz="0" w:space="0" w:color="auto"/>
        <w:bottom w:val="none" w:sz="0" w:space="0" w:color="auto"/>
        <w:right w:val="none" w:sz="0" w:space="0" w:color="auto"/>
      </w:divBdr>
    </w:div>
    <w:div w:id="115679920">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39899462">
      <w:bodyDiv w:val="1"/>
      <w:marLeft w:val="0"/>
      <w:marRight w:val="0"/>
      <w:marTop w:val="0"/>
      <w:marBottom w:val="0"/>
      <w:divBdr>
        <w:top w:val="none" w:sz="0" w:space="0" w:color="auto"/>
        <w:left w:val="none" w:sz="0" w:space="0" w:color="auto"/>
        <w:bottom w:val="none" w:sz="0" w:space="0" w:color="auto"/>
        <w:right w:val="none" w:sz="0" w:space="0" w:color="auto"/>
      </w:divBdr>
    </w:div>
    <w:div w:id="571737792">
      <w:bodyDiv w:val="1"/>
      <w:marLeft w:val="0"/>
      <w:marRight w:val="0"/>
      <w:marTop w:val="0"/>
      <w:marBottom w:val="0"/>
      <w:divBdr>
        <w:top w:val="none" w:sz="0" w:space="0" w:color="auto"/>
        <w:left w:val="none" w:sz="0" w:space="0" w:color="auto"/>
        <w:bottom w:val="none" w:sz="0" w:space="0" w:color="auto"/>
        <w:right w:val="none" w:sz="0" w:space="0" w:color="auto"/>
      </w:divBdr>
    </w:div>
    <w:div w:id="780564052">
      <w:bodyDiv w:val="1"/>
      <w:marLeft w:val="0"/>
      <w:marRight w:val="0"/>
      <w:marTop w:val="0"/>
      <w:marBottom w:val="0"/>
      <w:divBdr>
        <w:top w:val="none" w:sz="0" w:space="0" w:color="auto"/>
        <w:left w:val="none" w:sz="0" w:space="0" w:color="auto"/>
        <w:bottom w:val="none" w:sz="0" w:space="0" w:color="auto"/>
        <w:right w:val="none" w:sz="0" w:space="0" w:color="auto"/>
      </w:divBdr>
    </w:div>
    <w:div w:id="915087159">
      <w:bodyDiv w:val="1"/>
      <w:marLeft w:val="0"/>
      <w:marRight w:val="0"/>
      <w:marTop w:val="0"/>
      <w:marBottom w:val="0"/>
      <w:divBdr>
        <w:top w:val="none" w:sz="0" w:space="0" w:color="auto"/>
        <w:left w:val="none" w:sz="0" w:space="0" w:color="auto"/>
        <w:bottom w:val="none" w:sz="0" w:space="0" w:color="auto"/>
        <w:right w:val="none" w:sz="0" w:space="0" w:color="auto"/>
      </w:divBdr>
    </w:div>
    <w:div w:id="970474450">
      <w:bodyDiv w:val="1"/>
      <w:marLeft w:val="0"/>
      <w:marRight w:val="0"/>
      <w:marTop w:val="0"/>
      <w:marBottom w:val="0"/>
      <w:divBdr>
        <w:top w:val="none" w:sz="0" w:space="0" w:color="auto"/>
        <w:left w:val="none" w:sz="0" w:space="0" w:color="auto"/>
        <w:bottom w:val="none" w:sz="0" w:space="0" w:color="auto"/>
        <w:right w:val="none" w:sz="0" w:space="0" w:color="auto"/>
      </w:divBdr>
    </w:div>
    <w:div w:id="1124083637">
      <w:bodyDiv w:val="1"/>
      <w:marLeft w:val="0"/>
      <w:marRight w:val="0"/>
      <w:marTop w:val="0"/>
      <w:marBottom w:val="0"/>
      <w:divBdr>
        <w:top w:val="none" w:sz="0" w:space="0" w:color="auto"/>
        <w:left w:val="none" w:sz="0" w:space="0" w:color="auto"/>
        <w:bottom w:val="none" w:sz="0" w:space="0" w:color="auto"/>
        <w:right w:val="none" w:sz="0" w:space="0" w:color="auto"/>
      </w:divBdr>
    </w:div>
    <w:div w:id="123234658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27732783">
      <w:bodyDiv w:val="1"/>
      <w:marLeft w:val="0"/>
      <w:marRight w:val="0"/>
      <w:marTop w:val="0"/>
      <w:marBottom w:val="0"/>
      <w:divBdr>
        <w:top w:val="none" w:sz="0" w:space="0" w:color="auto"/>
        <w:left w:val="none" w:sz="0" w:space="0" w:color="auto"/>
        <w:bottom w:val="none" w:sz="0" w:space="0" w:color="auto"/>
        <w:right w:val="none" w:sz="0" w:space="0" w:color="auto"/>
      </w:divBdr>
    </w:div>
    <w:div w:id="17688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ms.gov/Medicare/Coding/ICD10/2012-ICD-10-CM-and-GEM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7225D4CA52546879DB3E24588819A00"/>
        <w:category>
          <w:name w:val="General"/>
          <w:gallery w:val="placeholder"/>
        </w:category>
        <w:types>
          <w:type w:val="bbPlcHdr"/>
        </w:types>
        <w:behaviors>
          <w:behavior w:val="content"/>
        </w:behaviors>
        <w:guid w:val="{F0ADA8C3-372A-4A63-9816-859137AC1F32}"/>
      </w:docPartPr>
      <w:docPartBody>
        <w:p w:rsidR="001C5F2C" w:rsidRDefault="001C5F2C" w:rsidP="001C5F2C">
          <w:pPr>
            <w:pStyle w:val="07225D4CA52546879DB3E24588819A00"/>
          </w:pPr>
          <w:r w:rsidRPr="00870134">
            <w:rPr>
              <w:rStyle w:val="PlaceholderText"/>
            </w:rPr>
            <w:t xml:space="preserve">Click here to enter </w:t>
          </w:r>
          <w:r>
            <w:rPr>
              <w:rStyle w:val="PlaceholderText"/>
            </w:rPr>
            <w:t>NQF number</w:t>
          </w:r>
        </w:p>
      </w:docPartBody>
    </w:docPart>
    <w:docPart>
      <w:docPartPr>
        <w:name w:val="AD314D8C03D94047A34F45DCDDDF1560"/>
        <w:category>
          <w:name w:val="General"/>
          <w:gallery w:val="placeholder"/>
        </w:category>
        <w:types>
          <w:type w:val="bbPlcHdr"/>
        </w:types>
        <w:behaviors>
          <w:behavior w:val="content"/>
        </w:behaviors>
        <w:guid w:val="{934FF27B-0F77-425A-B391-49776415F65F}"/>
      </w:docPartPr>
      <w:docPartBody>
        <w:p w:rsidR="001C5F2C" w:rsidRDefault="001C5F2C" w:rsidP="001C5F2C">
          <w:pPr>
            <w:pStyle w:val="AD314D8C03D94047A34F45DCDDDF1560"/>
          </w:pPr>
          <w:r w:rsidRPr="00A25024">
            <w:rPr>
              <w:rStyle w:val="PlaceholderText"/>
              <w:rFonts w:cstheme="minorHAnsi"/>
              <w:color w:val="A6A6A6" w:themeColor="background1" w:themeShade="A6"/>
            </w:rPr>
            <w:t>Click here to enter measure title</w:t>
          </w:r>
        </w:p>
      </w:docPartBody>
    </w:docPart>
    <w:docPart>
      <w:docPartPr>
        <w:name w:val="B2088F21885C4479BE67966F95DE065F"/>
        <w:category>
          <w:name w:val="General"/>
          <w:gallery w:val="placeholder"/>
        </w:category>
        <w:types>
          <w:type w:val="bbPlcHdr"/>
        </w:types>
        <w:behaviors>
          <w:behavior w:val="content"/>
        </w:behaviors>
        <w:guid w:val="{FCE99461-66DD-4479-99E6-69BF86436B8F}"/>
      </w:docPartPr>
      <w:docPartBody>
        <w:p w:rsidR="001C5F2C" w:rsidRDefault="001C5F2C" w:rsidP="001C5F2C">
          <w:pPr>
            <w:pStyle w:val="B2088F21885C4479BE67966F95DE065F"/>
          </w:pPr>
          <w:r w:rsidRPr="00A25024">
            <w:rPr>
              <w:rStyle w:val="PlaceholderText"/>
              <w:rFonts w:cstheme="minorHAnsi"/>
              <w:color w:val="A6A6A6" w:themeColor="background1" w:themeShade="A6"/>
            </w:rPr>
            <w:t>Click here to enter a date</w:t>
          </w:r>
        </w:p>
      </w:docPartBody>
    </w:docPart>
    <w:docPart>
      <w:docPartPr>
        <w:name w:val="BFC88832826F4E068694DDE1784D42A3"/>
        <w:category>
          <w:name w:val="General"/>
          <w:gallery w:val="placeholder"/>
        </w:category>
        <w:types>
          <w:type w:val="bbPlcHdr"/>
        </w:types>
        <w:behaviors>
          <w:behavior w:val="content"/>
        </w:behaviors>
        <w:guid w:val="{B0572210-7897-4FD2-8BCE-72EC2CD34701}"/>
      </w:docPartPr>
      <w:docPartBody>
        <w:p w:rsidR="007B4A15" w:rsidRDefault="00357747" w:rsidP="00357747">
          <w:pPr>
            <w:pStyle w:val="BFC88832826F4E068694DDE1784D42A3"/>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90121"/>
    <w:rsid w:val="00021F89"/>
    <w:rsid w:val="0010611D"/>
    <w:rsid w:val="00127222"/>
    <w:rsid w:val="00190AF4"/>
    <w:rsid w:val="001C5F2C"/>
    <w:rsid w:val="00223FA3"/>
    <w:rsid w:val="002A288F"/>
    <w:rsid w:val="002B1BC0"/>
    <w:rsid w:val="002E26D8"/>
    <w:rsid w:val="002F052A"/>
    <w:rsid w:val="00350176"/>
    <w:rsid w:val="00357747"/>
    <w:rsid w:val="00367AEC"/>
    <w:rsid w:val="003840F0"/>
    <w:rsid w:val="00437537"/>
    <w:rsid w:val="004F763E"/>
    <w:rsid w:val="0053654E"/>
    <w:rsid w:val="00550953"/>
    <w:rsid w:val="00604156"/>
    <w:rsid w:val="00632A7E"/>
    <w:rsid w:val="00632AB6"/>
    <w:rsid w:val="006D2961"/>
    <w:rsid w:val="00730B33"/>
    <w:rsid w:val="00772B2A"/>
    <w:rsid w:val="0077614E"/>
    <w:rsid w:val="007B4A15"/>
    <w:rsid w:val="007C672A"/>
    <w:rsid w:val="007D4368"/>
    <w:rsid w:val="007F42F9"/>
    <w:rsid w:val="00822666"/>
    <w:rsid w:val="00823ECC"/>
    <w:rsid w:val="00866C97"/>
    <w:rsid w:val="009017AE"/>
    <w:rsid w:val="00931BDA"/>
    <w:rsid w:val="0093338F"/>
    <w:rsid w:val="00967A8E"/>
    <w:rsid w:val="009C542D"/>
    <w:rsid w:val="009E45CD"/>
    <w:rsid w:val="00A95183"/>
    <w:rsid w:val="00AB4AF7"/>
    <w:rsid w:val="00AD7C4F"/>
    <w:rsid w:val="00B445F5"/>
    <w:rsid w:val="00BD40CB"/>
    <w:rsid w:val="00C362A2"/>
    <w:rsid w:val="00C90121"/>
    <w:rsid w:val="00CA1E31"/>
    <w:rsid w:val="00CA344F"/>
    <w:rsid w:val="00D1676E"/>
    <w:rsid w:val="00D3462E"/>
    <w:rsid w:val="00DC0246"/>
    <w:rsid w:val="00E6518A"/>
    <w:rsid w:val="00EC4F8F"/>
    <w:rsid w:val="00F34B47"/>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A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774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07225D4CA52546879DB3E24588819A00">
    <w:name w:val="07225D4CA52546879DB3E24588819A00"/>
    <w:rsid w:val="001C5F2C"/>
    <w:pPr>
      <w:spacing w:after="160" w:line="259" w:lineRule="auto"/>
    </w:pPr>
  </w:style>
  <w:style w:type="paragraph" w:customStyle="1" w:styleId="AD314D8C03D94047A34F45DCDDDF1560">
    <w:name w:val="AD314D8C03D94047A34F45DCDDDF1560"/>
    <w:rsid w:val="001C5F2C"/>
    <w:pPr>
      <w:spacing w:after="160" w:line="259" w:lineRule="auto"/>
    </w:pPr>
  </w:style>
  <w:style w:type="paragraph" w:customStyle="1" w:styleId="B2088F21885C4479BE67966F95DE065F">
    <w:name w:val="B2088F21885C4479BE67966F95DE065F"/>
    <w:rsid w:val="001C5F2C"/>
    <w:pPr>
      <w:spacing w:after="160" w:line="259" w:lineRule="auto"/>
    </w:pPr>
  </w:style>
  <w:style w:type="paragraph" w:customStyle="1" w:styleId="BFC88832826F4E068694DDE1784D42A3">
    <w:name w:val="BFC88832826F4E068694DDE1784D42A3"/>
    <w:rsid w:val="0035774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FBF1EAD-C846-4A8A-9579-421D47882041}">
  <ds:schemaRefs>
    <ds:schemaRef ds:uri="http://schemas.microsoft.com/sharepoint/v3/contenttype/forms"/>
  </ds:schemaRefs>
</ds:datastoreItem>
</file>

<file path=customXml/itemProps2.xml><?xml version="1.0" encoding="utf-8"?>
<ds:datastoreItem xmlns:ds="http://schemas.openxmlformats.org/officeDocument/2006/customXml" ds:itemID="{5D8328B1-F3C0-4650-A2DD-B5933A62B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75E483-E017-4B04-A9ED-792DBC75D3A6}">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45B7D9A2-6297-4EB8-A272-C3D05BEC2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6064</Words>
  <Characters>34567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Rita Lewis</cp:lastModifiedBy>
  <cp:revision>6</cp:revision>
  <dcterms:created xsi:type="dcterms:W3CDTF">2014-08-01T13:06:00Z</dcterms:created>
  <dcterms:modified xsi:type="dcterms:W3CDTF">2014-08-04T14:00:00Z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0x010100B4ABC7696B0B7D4C8009D7E353112BF2</vt:lpwstr>
  </property>
</Properties>
</file>