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3053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7BCA12FC"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D7A80">
            <w:rPr>
              <w:rStyle w:val="Style1"/>
            </w:rPr>
            <w:t>0712</w:t>
          </w:r>
        </w:sdtContent>
      </w:sdt>
    </w:p>
    <w:p w14:paraId="12473F24"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A27C7E" w:rsidRPr="00A27C7E">
            <w:rPr>
              <w:rFonts w:ascii="Trebuchet MS" w:eastAsia="Times New Roman" w:hAnsi="Trebuchet MS" w:cs="Times New Roman"/>
              <w:sz w:val="18"/>
              <w:szCs w:val="18"/>
              <w:lang w:val="en"/>
            </w:rPr>
            <w:t xml:space="preserve">Depression </w:t>
          </w:r>
          <w:r w:rsidR="003D7A80">
            <w:rPr>
              <w:rFonts w:ascii="Trebuchet MS" w:eastAsia="Times New Roman" w:hAnsi="Trebuchet MS" w:cs="Times New Roman"/>
              <w:sz w:val="18"/>
              <w:szCs w:val="18"/>
              <w:lang w:val="en"/>
            </w:rPr>
            <w:t>Utilization of the PHQ-9</w:t>
          </w:r>
        </w:sdtContent>
      </w:sdt>
    </w:p>
    <w:p w14:paraId="524E09A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786EA8CF" w14:textId="7753B97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12-02T00:00:00Z">
            <w:dateFormat w:val="M/d/yyyy"/>
            <w:lid w:val="en-US"/>
            <w:storeMappedDataAs w:val="dateTime"/>
            <w:calendar w:val="gregorian"/>
          </w:date>
        </w:sdtPr>
        <w:sdtEndPr>
          <w:rPr>
            <w:rStyle w:val="DefaultParagraphFont"/>
            <w:noProof/>
            <w:color w:val="auto"/>
            <w:u w:val="none"/>
          </w:rPr>
        </w:sdtEndPr>
        <w:sdtContent>
          <w:r w:rsidR="00521D07">
            <w:rPr>
              <w:rStyle w:val="Style2"/>
            </w:rPr>
            <w:t>12/2/2016</w:t>
          </w:r>
        </w:sdtContent>
      </w:sdt>
    </w:p>
    <w:p w14:paraId="102C6601" w14:textId="1320325C" w:rsidR="001A26FB" w:rsidRPr="001E2136" w:rsidRDefault="001E2136" w:rsidP="002E2177">
      <w:pPr>
        <w:ind w:left="0" w:firstLine="0"/>
        <w:rPr>
          <w:rStyle w:val="Style2"/>
          <w:color w:val="FF0000"/>
        </w:rPr>
      </w:pPr>
      <w:r w:rsidRPr="001E2136">
        <w:rPr>
          <w:rStyle w:val="Style2"/>
          <w:color w:val="FF0000"/>
        </w:rPr>
        <w:t>Please Note: Text in black is from our last submission and supports depression monitoring in adults. The direction of the evidence has not changed since the previous endorsement, but we have added evidence that supports including adolescents in the measure. This new content is in red text.</w:t>
      </w:r>
    </w:p>
    <w:tbl>
      <w:tblPr>
        <w:tblStyle w:val="TableGrid"/>
        <w:tblW w:w="5500" w:type="pct"/>
        <w:jc w:val="center"/>
        <w:tblLook w:val="04A0" w:firstRow="1" w:lastRow="0" w:firstColumn="1" w:lastColumn="0" w:noHBand="0" w:noVBand="1"/>
      </w:tblPr>
      <w:tblGrid>
        <w:gridCol w:w="10285"/>
      </w:tblGrid>
      <w:tr w:rsidR="00496AF8" w:rsidRPr="003B1CC5" w14:paraId="0226225A" w14:textId="77777777" w:rsidTr="00176E60">
        <w:trPr>
          <w:jc w:val="center"/>
        </w:trPr>
        <w:tc>
          <w:tcPr>
            <w:tcW w:w="9576" w:type="dxa"/>
          </w:tcPr>
          <w:p w14:paraId="1912F900"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07E741E1"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4DD7162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4F799F99"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07EC8AB9"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1892A264"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4C6C9F3C"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7E259084"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0C0076B1"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4EC3F3A9" w14:textId="77777777" w:rsidTr="00176E60">
        <w:trPr>
          <w:jc w:val="center"/>
        </w:trPr>
        <w:tc>
          <w:tcPr>
            <w:tcW w:w="9576" w:type="dxa"/>
          </w:tcPr>
          <w:p w14:paraId="08D62D4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1A56F60E" w14:textId="77777777" w:rsidR="008659ED" w:rsidRPr="003B1CC5" w:rsidRDefault="008659ED" w:rsidP="008659ED">
            <w:pPr>
              <w:pStyle w:val="Heading3"/>
              <w:rPr>
                <w:rFonts w:asciiTheme="minorHAnsi" w:hAnsiTheme="minorHAnsi"/>
                <w:sz w:val="20"/>
                <w:szCs w:val="20"/>
              </w:rPr>
            </w:pPr>
            <w:bookmarkStart w:id="0" w:name="Note2"/>
            <w:bookmarkEnd w:id="0"/>
            <w:r w:rsidRPr="003B1CC5">
              <w:rPr>
                <w:rFonts w:asciiTheme="minorHAnsi" w:hAnsiTheme="minorHAnsi"/>
                <w:sz w:val="20"/>
                <w:szCs w:val="20"/>
              </w:rPr>
              <w:t xml:space="preserve">1a. Evidence to Support the Measure Focus  </w:t>
            </w:r>
          </w:p>
          <w:p w14:paraId="152A43E4"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117B3C46"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3FC416F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60B274F2"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93D58FB"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018B72B3"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0C3A6B3B"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8307C1E"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71661E4"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70B63D3E"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A58766D"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4E677FD9"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73A07F6C"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6F453909" w14:textId="77777777" w:rsidR="00496AF8" w:rsidRPr="003B1CC5" w:rsidRDefault="00EF2B61"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4DA9F033" w14:textId="77777777" w:rsidR="00236F87" w:rsidRPr="003B1CC5" w:rsidRDefault="00EF2B61"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3D7A80">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0B70BDF4"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7F3402EB" w14:textId="77777777" w:rsidR="00496AF8" w:rsidRPr="003B1CC5" w:rsidRDefault="00EF2B61"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0960E3F1" w14:textId="77777777" w:rsidR="00496AF8" w:rsidRPr="003B1CC5" w:rsidRDefault="00EF2B61"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3D7A8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3D7A80">
            <w:rPr>
              <w:rStyle w:val="Style2"/>
              <w:rFonts w:cstheme="minorHAnsi"/>
            </w:rPr>
            <w:t xml:space="preserve">Administration of a Patient Reported Outcome (PRO), the Patient Health Questionnaire tool PHQ-9, to patients with major depression </w:t>
          </w:r>
          <w:r w:rsidR="00C362C1">
            <w:rPr>
              <w:rStyle w:val="Style2"/>
              <w:rFonts w:cstheme="minorHAnsi"/>
            </w:rPr>
            <w:t>and dysthymia</w:t>
          </w:r>
        </w:sdtContent>
      </w:sdt>
    </w:p>
    <w:p w14:paraId="65153DAF" w14:textId="77777777" w:rsidR="00496AF8" w:rsidRPr="003B1CC5" w:rsidRDefault="00EF2B6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7AEC580F" w14:textId="77777777" w:rsidR="00496AF8" w:rsidRPr="003B1CC5" w:rsidRDefault="00EF2B6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A7EDFD4" w14:textId="25AB30C7" w:rsidR="00850C35" w:rsidRPr="003B1CC5" w:rsidRDefault="00925F11" w:rsidP="002E2177">
      <w:pPr>
        <w:ind w:left="0" w:firstLine="0"/>
        <w:rPr>
          <w:b/>
          <w:bCs/>
        </w:rPr>
      </w:pPr>
      <w:r w:rsidRPr="003B1CC5">
        <w:rPr>
          <w:b/>
          <w:iCs/>
          <w:caps/>
        </w:rPr>
        <w:t>________________________</w:t>
      </w:r>
    </w:p>
    <w:p w14:paraId="505DB45C"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35DD204A"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6896DEF5"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7F6F0E82"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628C96D2" w14:textId="77777777" w:rsidR="002B06BD" w:rsidRPr="003B1CC5" w:rsidRDefault="00925F11" w:rsidP="002E2177">
      <w:pPr>
        <w:ind w:left="0" w:firstLine="0"/>
        <w:rPr>
          <w:b/>
          <w:iCs/>
          <w:caps/>
        </w:rPr>
      </w:pPr>
      <w:r w:rsidRPr="003B1CC5">
        <w:rPr>
          <w:b/>
          <w:iCs/>
          <w:caps/>
        </w:rPr>
        <w:t>_________________________</w:t>
      </w:r>
    </w:p>
    <w:p w14:paraId="4682F165"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28739A3E"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38E32E46" w14:textId="77777777" w:rsidR="003D7A80" w:rsidRDefault="003D7A80" w:rsidP="002E2177">
      <w:pPr>
        <w:ind w:left="0" w:firstLine="0"/>
      </w:pPr>
      <w:r>
        <w:rPr>
          <w:noProof/>
          <w:color w:val="0000FF"/>
        </w:rPr>
        <w:drawing>
          <wp:inline distT="0" distB="0" distL="0" distR="0" wp14:anchorId="24742056" wp14:editId="06B59928">
            <wp:extent cx="5943600" cy="1445895"/>
            <wp:effectExtent l="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E730878" w14:textId="77777777" w:rsidR="003D7A80" w:rsidRDefault="00C362C1" w:rsidP="002E2177">
      <w:pPr>
        <w:ind w:left="0" w:firstLine="0"/>
      </w:pPr>
      <w:r>
        <w:t xml:space="preserve">Please note that this process measure for administration of the PHQ-9 depression tool, a PROM that is validated for both the assessment and diagnosis of depression as well as for monitoring ongoing outcomes of treatment, is a PAIRED process measure with RELATED measures of depression remission (PHQ-9 &lt; 5) and depression response (PHQ-9 is improved by </w:t>
      </w:r>
      <w:r w:rsidRPr="00C362C1">
        <w:rPr>
          <w:u w:val="single"/>
        </w:rPr>
        <w:t>&gt;</w:t>
      </w:r>
      <w:r>
        <w:t xml:space="preserve"> 50%) at six and twelve months.  To quote a NQF Behavioral Steering Committee member as these measures were initially endorsed “the best way to avoid being measured is to never give the PHQ-9”</w:t>
      </w:r>
      <w:r w:rsidR="005238CC">
        <w:t>.  This process measure allows an understanding of the use of the tool in the target population, promotes frequent and follow-up contact with patients whose score indicates a need for treatment and serves as a catalyst in a collaborative care model for patients with major depression or dysthymia.  It is estimated that up to 90% of patients diagnosed with depression and anxiety are treated solely in primary care</w:t>
      </w:r>
      <w:r w:rsidR="00F1161D">
        <w:t>.</w:t>
      </w:r>
      <w:r w:rsidR="005238CC">
        <w:t xml:space="preserve"> [NICE National Institute Health and Care Excellence United Kingdom 2011]</w:t>
      </w:r>
    </w:p>
    <w:p w14:paraId="1E18EA04" w14:textId="77777777" w:rsidR="00C362C1" w:rsidRPr="003B1CC5" w:rsidRDefault="00C362C1" w:rsidP="002E2177">
      <w:pPr>
        <w:ind w:left="0" w:firstLine="0"/>
      </w:pPr>
    </w:p>
    <w:p w14:paraId="3CD67033"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099B18B7" w14:textId="77777777" w:rsidR="00FD4D82" w:rsidRPr="003B1CC5" w:rsidRDefault="00EF2B61"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C362C1">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1E0FE333" w14:textId="77777777" w:rsidR="00FD4D82" w:rsidRPr="003B1CC5" w:rsidRDefault="00EF2B61"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28BD046" w14:textId="77777777" w:rsidR="007573F0" w:rsidRPr="003B1CC5" w:rsidRDefault="00EF2B61"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C362C1">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28C208D7" w14:textId="77777777" w:rsidR="00FD4D82" w:rsidRPr="003B1CC5" w:rsidRDefault="00EF2B61"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5E856211"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3E1002CA"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0747C65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6790D1F8"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39D3F32E" w14:textId="77777777" w:rsidR="00D53405" w:rsidRPr="00F1161D" w:rsidRDefault="00F1161D" w:rsidP="002E2177">
      <w:pPr>
        <w:ind w:left="0" w:firstLine="0"/>
      </w:pPr>
      <w:r w:rsidRPr="00F1161D">
        <w:t>Depression, Adult in Primary Care</w:t>
      </w:r>
    </w:p>
    <w:p w14:paraId="13250E9F" w14:textId="77777777" w:rsidR="00F1161D" w:rsidRPr="00F1161D" w:rsidRDefault="00F1161D" w:rsidP="002E2177">
      <w:pPr>
        <w:ind w:left="0" w:firstLine="0"/>
      </w:pPr>
      <w:r w:rsidRPr="00F1161D">
        <w:t>Institute for Clinical Systems Improvement (ICSI) September 2013</w:t>
      </w:r>
    </w:p>
    <w:p w14:paraId="0FAE9440" w14:textId="77777777" w:rsidR="006F4B7F" w:rsidRPr="00F1161D" w:rsidRDefault="00EF2B61" w:rsidP="002E2177">
      <w:pPr>
        <w:ind w:left="0" w:firstLine="0"/>
        <w:rPr>
          <w:rFonts w:cs="Arial"/>
          <w:szCs w:val="20"/>
        </w:rPr>
      </w:pPr>
      <w:hyperlink r:id="rId22" w:history="1">
        <w:r w:rsidR="00F1161D" w:rsidRPr="00F1161D">
          <w:rPr>
            <w:rStyle w:val="Hyperlink"/>
            <w:rFonts w:cs="Arial"/>
            <w:szCs w:val="20"/>
          </w:rPr>
          <w:t>https://www.icsi.org/guidelines__more/catalog_guidelines_and_more/catalog_guidelines/catalog_behavioral_health_guidelines/depression/</w:t>
        </w:r>
      </w:hyperlink>
    </w:p>
    <w:p w14:paraId="6B1E8EA7" w14:textId="77777777" w:rsidR="002F168E" w:rsidRDefault="002F168E" w:rsidP="00DB5135">
      <w:pPr>
        <w:spacing w:before="120"/>
        <w:ind w:left="0" w:firstLine="0"/>
        <w:rPr>
          <w:rFonts w:ascii="Calibri" w:eastAsia="Times New Roman" w:hAnsi="Calibri" w:cs="Times New Roman"/>
          <w:color w:val="FF0000"/>
          <w:lang w:val="en"/>
        </w:rPr>
      </w:pPr>
      <w:r>
        <w:rPr>
          <w:rFonts w:ascii="Calibri" w:eastAsia="Times New Roman" w:hAnsi="Calibri" w:cs="Times New Roman"/>
          <w:color w:val="FF0000"/>
          <w:lang w:val="en"/>
        </w:rPr>
        <w:t xml:space="preserve">Adolescents: </w:t>
      </w:r>
    </w:p>
    <w:p w14:paraId="08D0349C" w14:textId="1AE61135" w:rsidR="0062372F" w:rsidRDefault="009A32F0" w:rsidP="001E2136">
      <w:pPr>
        <w:ind w:left="0" w:firstLine="0"/>
        <w:rPr>
          <w:rStyle w:val="Hyperlink"/>
          <w:rFonts w:ascii="Calibri" w:eastAsia="Times New Roman" w:hAnsi="Calibri" w:cs="Times New Roman"/>
          <w:color w:val="FF0000"/>
          <w:lang w:val="en"/>
        </w:rPr>
      </w:pPr>
      <w:r w:rsidRPr="008B0971">
        <w:rPr>
          <w:rFonts w:ascii="Calibri" w:eastAsia="Times New Roman" w:hAnsi="Calibri" w:cs="Times New Roman"/>
          <w:color w:val="FF0000"/>
          <w:lang w:val="en"/>
        </w:rPr>
        <w:t>Guidelines for Adolescent Depression in Primary Care (GLAD-PC): I. Identification, Assessment, and Initial Management (2007)</w:t>
      </w:r>
      <w:r w:rsidR="008B0971" w:rsidRPr="008B0971">
        <w:rPr>
          <w:rFonts w:ascii="Calibri" w:eastAsia="Times New Roman" w:hAnsi="Calibri" w:cs="Times New Roman"/>
          <w:color w:val="FF0000"/>
          <w:lang w:val="en"/>
        </w:rPr>
        <w:t xml:space="preserve"> </w:t>
      </w:r>
      <w:r w:rsidR="008B0971">
        <w:rPr>
          <w:rFonts w:ascii="Calibri" w:eastAsia="Times New Roman" w:hAnsi="Calibri" w:cs="Times New Roman"/>
          <w:color w:val="FF0000"/>
          <w:lang w:val="en"/>
        </w:rPr>
        <w:t xml:space="preserve">- </w:t>
      </w:r>
      <w:hyperlink r:id="rId23" w:history="1">
        <w:r w:rsidR="0062372F" w:rsidRPr="00ED6063">
          <w:rPr>
            <w:rStyle w:val="Hyperlink"/>
          </w:rPr>
          <w:t>http://pediatrics.aappublications.org/content/120/5/e1299.short</w:t>
        </w:r>
      </w:hyperlink>
      <w:r w:rsidR="0062372F">
        <w:t xml:space="preserve"> </w:t>
      </w:r>
      <w:r w:rsidR="0062372F" w:rsidRPr="0062372F">
        <w:t xml:space="preserve"> </w:t>
      </w:r>
      <w:r w:rsidR="0062372F">
        <w:t xml:space="preserve"> </w:t>
      </w:r>
    </w:p>
    <w:p w14:paraId="4BF24FA4" w14:textId="588B3C8B" w:rsidR="00AD1ED5" w:rsidRPr="002F168E" w:rsidRDefault="009A32F0" w:rsidP="001E2136">
      <w:pPr>
        <w:spacing w:after="120"/>
        <w:ind w:left="0" w:firstLine="0"/>
        <w:rPr>
          <w:rFonts w:ascii="Calibri" w:eastAsia="Times New Roman" w:hAnsi="Calibri" w:cs="Times New Roman"/>
          <w:color w:val="FF0000"/>
          <w:lang w:val="en"/>
        </w:rPr>
      </w:pPr>
      <w:r w:rsidRPr="008B0971">
        <w:rPr>
          <w:rFonts w:ascii="Calibri" w:eastAsia="Times New Roman" w:hAnsi="Calibri" w:cs="Times New Roman"/>
          <w:color w:val="FF0000"/>
          <w:lang w:val="en"/>
        </w:rPr>
        <w:t>Guidelines for A</w:t>
      </w:r>
      <w:r w:rsidR="002F168E" w:rsidRPr="008B0971">
        <w:rPr>
          <w:rFonts w:ascii="Calibri" w:eastAsia="Times New Roman" w:hAnsi="Calibri" w:cs="Times New Roman"/>
          <w:color w:val="FF0000"/>
          <w:lang w:val="en"/>
        </w:rPr>
        <w:t>doles</w:t>
      </w:r>
      <w:r w:rsidRPr="008B0971">
        <w:rPr>
          <w:rFonts w:ascii="Calibri" w:eastAsia="Times New Roman" w:hAnsi="Calibri" w:cs="Times New Roman"/>
          <w:color w:val="FF0000"/>
          <w:lang w:val="en"/>
        </w:rPr>
        <w:t>cent Depression in Primary C</w:t>
      </w:r>
      <w:r w:rsidR="002F168E" w:rsidRPr="008B0971">
        <w:rPr>
          <w:rFonts w:ascii="Calibri" w:eastAsia="Times New Roman" w:hAnsi="Calibri" w:cs="Times New Roman"/>
          <w:color w:val="FF0000"/>
          <w:lang w:val="en"/>
        </w:rPr>
        <w:t xml:space="preserve">are (GLAD-PC): II. Treatment and </w:t>
      </w:r>
      <w:r w:rsidRPr="008B0971">
        <w:rPr>
          <w:rFonts w:ascii="Calibri" w:eastAsia="Times New Roman" w:hAnsi="Calibri" w:cs="Times New Roman"/>
          <w:color w:val="FF0000"/>
          <w:lang w:val="en"/>
        </w:rPr>
        <w:t>Ongoing M</w:t>
      </w:r>
      <w:r w:rsidR="002F168E" w:rsidRPr="008B0971">
        <w:rPr>
          <w:rFonts w:ascii="Calibri" w:eastAsia="Times New Roman" w:hAnsi="Calibri" w:cs="Times New Roman"/>
          <w:color w:val="FF0000"/>
          <w:lang w:val="en"/>
        </w:rPr>
        <w:t>anagement</w:t>
      </w:r>
      <w:r w:rsidRPr="008B0971">
        <w:rPr>
          <w:rFonts w:ascii="Calibri" w:eastAsia="Times New Roman" w:hAnsi="Calibri" w:cs="Times New Roman"/>
          <w:color w:val="FF0000"/>
          <w:lang w:val="en"/>
        </w:rPr>
        <w:t xml:space="preserve"> (2007)</w:t>
      </w:r>
      <w:r w:rsidR="008B0971">
        <w:rPr>
          <w:rFonts w:ascii="Calibri" w:eastAsia="Times New Roman" w:hAnsi="Calibri" w:cs="Times New Roman"/>
          <w:color w:val="FF0000"/>
          <w:lang w:val="en"/>
        </w:rPr>
        <w:t xml:space="preserve"> - </w:t>
      </w:r>
      <w:hyperlink r:id="rId24" w:history="1">
        <w:r w:rsidR="0062372F" w:rsidRPr="00ED6063">
          <w:rPr>
            <w:rStyle w:val="Hyperlink"/>
          </w:rPr>
          <w:t>http://pediatrics.aappublications.org/content/120/5/e1313</w:t>
        </w:r>
      </w:hyperlink>
      <w:r w:rsidR="0062372F">
        <w:t xml:space="preserve"> </w:t>
      </w:r>
      <w:r w:rsidR="0062372F" w:rsidRPr="0062372F">
        <w:t xml:space="preserve"> </w:t>
      </w:r>
    </w:p>
    <w:p w14:paraId="608567E3"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0C9194B2" w14:textId="77777777" w:rsidR="00AD1ED5" w:rsidRDefault="00AD1ED5" w:rsidP="002E2177">
      <w:pPr>
        <w:ind w:left="0" w:firstLine="0"/>
      </w:pPr>
      <w:r>
        <w:t>Adults:</w:t>
      </w:r>
    </w:p>
    <w:p w14:paraId="11E14439" w14:textId="7FA8D635" w:rsidR="007F1383" w:rsidRDefault="00F1161D" w:rsidP="008B0971">
      <w:pPr>
        <w:spacing w:after="120"/>
        <w:ind w:left="0" w:firstLine="0"/>
      </w:pPr>
      <w:r>
        <w:t>There are several references related to the effectiveness of collaborative care</w:t>
      </w:r>
      <w:r w:rsidR="007F1383">
        <w:t>, assessing patients with a standardized instrument for ongoing monitoring of depression symptoms and treatment effectiveness, the importance of follow-up care and measurement of treatment effectiveness.</w:t>
      </w:r>
    </w:p>
    <w:p w14:paraId="0A02F5C8" w14:textId="77777777" w:rsidR="007F1383" w:rsidRDefault="007F1383" w:rsidP="002E2177">
      <w:pPr>
        <w:ind w:left="0" w:firstLine="0"/>
      </w:pPr>
      <w:r>
        <w:t>Guideline Aims</w:t>
      </w:r>
      <w:r w:rsidR="00DA575C">
        <w:t xml:space="preserve"> (pg. 7)</w:t>
      </w:r>
    </w:p>
    <w:p w14:paraId="2E9BC08A" w14:textId="77777777" w:rsidR="00DA575C" w:rsidRDefault="007F1383" w:rsidP="008B0971">
      <w:pPr>
        <w:pStyle w:val="ListParagraph"/>
        <w:numPr>
          <w:ilvl w:val="0"/>
          <w:numId w:val="18"/>
        </w:numPr>
        <w:spacing w:after="0" w:line="240" w:lineRule="auto"/>
        <w:contextualSpacing w:val="0"/>
        <w:rPr>
          <w:rFonts w:cs="Times"/>
          <w:i/>
          <w:iCs/>
          <w:color w:val="000000"/>
          <w:sz w:val="21"/>
          <w:szCs w:val="21"/>
        </w:rPr>
      </w:pPr>
      <w:r w:rsidRPr="00DA575C">
        <w:rPr>
          <w:rFonts w:cs="Times"/>
          <w:color w:val="000000"/>
        </w:rPr>
        <w:t xml:space="preserve">Improve communication between the primary care physician and the mental health care clinician (if </w:t>
      </w:r>
      <w:r w:rsidRPr="00DA575C">
        <w:rPr>
          <w:rFonts w:cs="Times"/>
          <w:color w:val="000000"/>
          <w:sz w:val="21"/>
          <w:szCs w:val="21"/>
        </w:rPr>
        <w:t xml:space="preserve">patient is co-managed). </w:t>
      </w:r>
      <w:r w:rsidRPr="00DA575C">
        <w:rPr>
          <w:rFonts w:cs="Times"/>
          <w:i/>
          <w:iCs/>
          <w:color w:val="000000"/>
          <w:sz w:val="21"/>
          <w:szCs w:val="21"/>
        </w:rPr>
        <w:t>(Annotations #4, 8, 12)</w:t>
      </w:r>
    </w:p>
    <w:p w14:paraId="28364188" w14:textId="77777777" w:rsidR="00DA575C" w:rsidRDefault="00B05AB0" w:rsidP="008B0971">
      <w:pPr>
        <w:pStyle w:val="ListParagraph"/>
        <w:numPr>
          <w:ilvl w:val="0"/>
          <w:numId w:val="18"/>
        </w:numPr>
        <w:spacing w:after="0" w:line="240" w:lineRule="auto"/>
        <w:contextualSpacing w:val="0"/>
        <w:rPr>
          <w:rFonts w:cs="Times"/>
          <w:i/>
          <w:iCs/>
          <w:color w:val="000000"/>
          <w:sz w:val="21"/>
          <w:szCs w:val="21"/>
        </w:rPr>
      </w:pPr>
      <w:r w:rsidRPr="00DA575C">
        <w:rPr>
          <w:rFonts w:cs="Times"/>
          <w:color w:val="000000"/>
        </w:rPr>
        <w:t xml:space="preserve">Increase the percentage of patients with major depression or persistent depressive disorder who have </w:t>
      </w:r>
      <w:r w:rsidRPr="00DA575C">
        <w:rPr>
          <w:rFonts w:cs="Times"/>
          <w:color w:val="000000"/>
          <w:sz w:val="21"/>
          <w:szCs w:val="21"/>
        </w:rPr>
        <w:t xml:space="preserve">improvement in outcomes from treatment for major depression or persistent depressive disorder. </w:t>
      </w:r>
      <w:r w:rsidRPr="00DA575C">
        <w:rPr>
          <w:rFonts w:cs="Times"/>
          <w:i/>
          <w:iCs/>
          <w:color w:val="000000"/>
          <w:sz w:val="21"/>
          <w:szCs w:val="21"/>
        </w:rPr>
        <w:t>(Anno</w:t>
      </w:r>
      <w:r w:rsidRPr="00DA575C">
        <w:rPr>
          <w:rFonts w:cs="Times"/>
          <w:i/>
          <w:iCs/>
          <w:color w:val="000000"/>
          <w:sz w:val="21"/>
          <w:szCs w:val="21"/>
        </w:rPr>
        <w:softHyphen/>
        <w:t>tations #8, 9)</w:t>
      </w:r>
    </w:p>
    <w:p w14:paraId="447CB840" w14:textId="77777777" w:rsidR="00F33A55" w:rsidRPr="00F32136" w:rsidRDefault="00B05AB0" w:rsidP="008B0971">
      <w:pPr>
        <w:pStyle w:val="ListParagraph"/>
        <w:numPr>
          <w:ilvl w:val="0"/>
          <w:numId w:val="18"/>
        </w:numPr>
        <w:spacing w:after="0" w:line="240" w:lineRule="auto"/>
        <w:contextualSpacing w:val="0"/>
        <w:rPr>
          <w:rFonts w:cs="Times"/>
          <w:i/>
          <w:iCs/>
          <w:color w:val="000000"/>
          <w:sz w:val="21"/>
          <w:szCs w:val="21"/>
        </w:rPr>
      </w:pPr>
      <w:r>
        <w:t xml:space="preserve">Increase the percentage of patients with major depression or persistent depressive disorder who have a </w:t>
      </w:r>
      <w:r w:rsidRPr="00DA575C">
        <w:rPr>
          <w:sz w:val="21"/>
          <w:szCs w:val="21"/>
        </w:rPr>
        <w:t xml:space="preserve">follow-up to assess of response to treatment. </w:t>
      </w:r>
      <w:r w:rsidRPr="00DA575C">
        <w:rPr>
          <w:i/>
          <w:iCs/>
          <w:sz w:val="21"/>
          <w:szCs w:val="21"/>
        </w:rPr>
        <w:t>(Annotations #8, 10)</w:t>
      </w:r>
    </w:p>
    <w:p w14:paraId="6A0F3A06" w14:textId="15E66A67" w:rsidR="005E34B3" w:rsidRPr="008B0971" w:rsidRDefault="005E34B3" w:rsidP="008B0971">
      <w:pPr>
        <w:pStyle w:val="Pa31"/>
        <w:spacing w:after="120" w:line="240" w:lineRule="auto"/>
        <w:jc w:val="both"/>
        <w:rPr>
          <w:rFonts w:asciiTheme="minorHAnsi" w:hAnsiTheme="minorHAnsi" w:cs="Times"/>
          <w:bCs/>
          <w:color w:val="000000"/>
          <w:sz w:val="22"/>
          <w:szCs w:val="22"/>
        </w:rPr>
      </w:pPr>
      <w:r w:rsidRPr="005E34B3">
        <w:rPr>
          <w:rFonts w:asciiTheme="minorHAnsi" w:hAnsiTheme="minorHAnsi" w:cs="Times"/>
          <w:bCs/>
          <w:color w:val="000000"/>
          <w:sz w:val="22"/>
          <w:szCs w:val="22"/>
        </w:rPr>
        <w:t xml:space="preserve">Select </w:t>
      </w:r>
      <w:r>
        <w:rPr>
          <w:rFonts w:asciiTheme="minorHAnsi" w:hAnsiTheme="minorHAnsi" w:cs="Times"/>
          <w:bCs/>
          <w:color w:val="000000"/>
          <w:sz w:val="22"/>
          <w:szCs w:val="22"/>
        </w:rPr>
        <w:t>e</w:t>
      </w:r>
      <w:r w:rsidRPr="005E34B3">
        <w:rPr>
          <w:rFonts w:asciiTheme="minorHAnsi" w:hAnsiTheme="minorHAnsi" w:cs="Times"/>
          <w:bCs/>
          <w:color w:val="000000"/>
          <w:sz w:val="22"/>
          <w:szCs w:val="22"/>
        </w:rPr>
        <w:t>xcerpts</w:t>
      </w:r>
      <w:r>
        <w:rPr>
          <w:rFonts w:asciiTheme="minorHAnsi" w:hAnsiTheme="minorHAnsi" w:cs="Times"/>
          <w:bCs/>
          <w:color w:val="000000"/>
          <w:sz w:val="22"/>
          <w:szCs w:val="22"/>
        </w:rPr>
        <w:t xml:space="preserve"> from guideline annotation # 8 Comprehensive Treatment Plan with Shared Decision Making (pages 38 to 52)</w:t>
      </w:r>
      <w:r w:rsidRPr="005E34B3">
        <w:rPr>
          <w:rFonts w:asciiTheme="minorHAnsi" w:hAnsiTheme="minorHAnsi" w:cs="Times"/>
          <w:bCs/>
          <w:color w:val="000000"/>
          <w:sz w:val="22"/>
          <w:szCs w:val="22"/>
        </w:rPr>
        <w:t xml:space="preserve"> </w:t>
      </w:r>
    </w:p>
    <w:p w14:paraId="6531E666" w14:textId="77777777" w:rsidR="00DA575C" w:rsidRPr="00DA575C" w:rsidRDefault="00DA575C" w:rsidP="00DA575C">
      <w:pPr>
        <w:pStyle w:val="Pa31"/>
        <w:spacing w:line="240" w:lineRule="auto"/>
        <w:ind w:right="605"/>
        <w:jc w:val="both"/>
        <w:rPr>
          <w:rFonts w:asciiTheme="minorHAnsi" w:hAnsiTheme="minorHAnsi" w:cs="Times"/>
          <w:color w:val="000000"/>
          <w:sz w:val="22"/>
          <w:szCs w:val="22"/>
          <w:u w:val="single"/>
        </w:rPr>
      </w:pPr>
      <w:r w:rsidRPr="00DA575C">
        <w:rPr>
          <w:rFonts w:asciiTheme="minorHAnsi" w:hAnsiTheme="minorHAnsi" w:cs="Times"/>
          <w:bCs/>
          <w:color w:val="000000"/>
          <w:sz w:val="22"/>
          <w:szCs w:val="22"/>
          <w:u w:val="single"/>
        </w:rPr>
        <w:t>Collaborative Care Model</w:t>
      </w:r>
      <w:r>
        <w:rPr>
          <w:rFonts w:asciiTheme="minorHAnsi" w:hAnsiTheme="minorHAnsi" w:cs="Times"/>
          <w:bCs/>
          <w:color w:val="000000"/>
          <w:sz w:val="22"/>
          <w:szCs w:val="22"/>
          <w:u w:val="single"/>
        </w:rPr>
        <w:t xml:space="preserve"> and Improved Patient Outcomes</w:t>
      </w:r>
      <w:r w:rsidR="00F11226">
        <w:rPr>
          <w:rFonts w:asciiTheme="minorHAnsi" w:hAnsiTheme="minorHAnsi" w:cs="Times"/>
          <w:bCs/>
          <w:color w:val="000000"/>
          <w:sz w:val="22"/>
          <w:szCs w:val="22"/>
          <w:u w:val="single"/>
        </w:rPr>
        <w:t xml:space="preserve"> (pg.38)</w:t>
      </w:r>
    </w:p>
    <w:p w14:paraId="4660B850" w14:textId="77777777" w:rsidR="000B6A0A" w:rsidRDefault="00F33A55" w:rsidP="008B0971">
      <w:pPr>
        <w:pStyle w:val="Pa44"/>
        <w:spacing w:after="120" w:line="240" w:lineRule="auto"/>
        <w:jc w:val="both"/>
        <w:rPr>
          <w:rFonts w:asciiTheme="minorHAnsi" w:hAnsiTheme="minorHAnsi" w:cs="Times"/>
          <w:color w:val="000000"/>
          <w:sz w:val="22"/>
          <w:szCs w:val="22"/>
        </w:rPr>
      </w:pPr>
      <w:r w:rsidRPr="00A357B0">
        <w:rPr>
          <w:rFonts w:asciiTheme="minorHAnsi" w:hAnsiTheme="minorHAnsi" w:cs="Times"/>
          <w:color w:val="000000"/>
          <w:sz w:val="22"/>
          <w:szCs w:val="22"/>
        </w:rPr>
        <w:t>A collaborative care approach is recommended for patients with depression in primary care (High Quality Evidence, Strong Recommendation).</w:t>
      </w:r>
    </w:p>
    <w:p w14:paraId="078BA610" w14:textId="77777777" w:rsidR="00F32136" w:rsidRDefault="00DA575C" w:rsidP="00A35A78">
      <w:pPr>
        <w:pStyle w:val="Pa27"/>
        <w:spacing w:after="120" w:line="240" w:lineRule="auto"/>
        <w:jc w:val="both"/>
        <w:rPr>
          <w:rFonts w:asciiTheme="minorHAnsi" w:hAnsiTheme="minorHAnsi" w:cs="Times"/>
          <w:color w:val="000000"/>
          <w:sz w:val="22"/>
          <w:szCs w:val="22"/>
        </w:rPr>
      </w:pPr>
      <w:r w:rsidRPr="00A357B0">
        <w:rPr>
          <w:rFonts w:asciiTheme="minorHAnsi" w:hAnsiTheme="minorHAnsi" w:cs="Times"/>
          <w:color w:val="000000"/>
          <w:sz w:val="22"/>
          <w:szCs w:val="22"/>
        </w:rPr>
        <w:t xml:space="preserve">More than 37 randomized controlled trials have demonstrated the effectiveness of the collaborative care model, in which primary care treatment of depression is provided by a team (depression care manager, primary physician, consulting psychiatrist, others). The work group recommends three key references </w:t>
      </w:r>
      <w:r w:rsidRPr="00A357B0">
        <w:rPr>
          <w:rFonts w:asciiTheme="minorHAnsi" w:hAnsiTheme="minorHAnsi" w:cs="Times"/>
          <w:i/>
          <w:iCs/>
          <w:color w:val="000000"/>
          <w:sz w:val="22"/>
          <w:szCs w:val="22"/>
        </w:rPr>
        <w:t>(Gilbody, 2006 [Meta-analysis]; Hunkeler, 2006 [High Quality Evidence]; Katon</w:t>
      </w:r>
      <w:r>
        <w:rPr>
          <w:rFonts w:asciiTheme="minorHAnsi" w:hAnsiTheme="minorHAnsi" w:cs="Times"/>
          <w:i/>
          <w:iCs/>
          <w:color w:val="000000"/>
          <w:sz w:val="22"/>
          <w:szCs w:val="22"/>
        </w:rPr>
        <w:t>, 1999 [High Quality Evidence])</w:t>
      </w:r>
      <w:r w:rsidRPr="00A357B0">
        <w:rPr>
          <w:rFonts w:asciiTheme="minorHAnsi" w:hAnsiTheme="minorHAnsi" w:cs="Times"/>
          <w:color w:val="000000"/>
          <w:sz w:val="22"/>
          <w:szCs w:val="22"/>
        </w:rPr>
        <w:t>. This model has demonstrated improvement in treatment adherence, patient quality of life and depression outcomes.</w:t>
      </w:r>
      <w:r w:rsidR="00F11226">
        <w:rPr>
          <w:rFonts w:asciiTheme="minorHAnsi" w:hAnsiTheme="minorHAnsi" w:cs="Times"/>
          <w:color w:val="000000"/>
          <w:sz w:val="22"/>
          <w:szCs w:val="22"/>
        </w:rPr>
        <w:t xml:space="preserve"> (pg.38)</w:t>
      </w:r>
    </w:p>
    <w:p w14:paraId="136E74DA" w14:textId="77777777" w:rsidR="00DA575C" w:rsidRPr="00A357B0" w:rsidRDefault="00DA575C" w:rsidP="00A35A78">
      <w:pPr>
        <w:pStyle w:val="Pa27"/>
        <w:spacing w:after="120" w:line="240" w:lineRule="auto"/>
        <w:jc w:val="both"/>
        <w:rPr>
          <w:rFonts w:asciiTheme="minorHAnsi" w:hAnsiTheme="minorHAnsi" w:cs="Times"/>
          <w:color w:val="000000"/>
          <w:sz w:val="22"/>
          <w:szCs w:val="22"/>
        </w:rPr>
      </w:pPr>
      <w:r w:rsidRPr="00A357B0">
        <w:rPr>
          <w:rFonts w:asciiTheme="minorHAnsi" w:hAnsiTheme="minorHAnsi" w:cs="Times"/>
          <w:color w:val="000000"/>
          <w:sz w:val="22"/>
          <w:szCs w:val="22"/>
        </w:rPr>
        <w:t xml:space="preserve">In the Prevention of Suicide in Primary Care Elderly: Collaborative Trial (PROSPECT) study, suicidal ideation rates declined in patients receiving care based on treatment guidelines and use of a care manager </w:t>
      </w:r>
      <w:r w:rsidRPr="00A357B0">
        <w:rPr>
          <w:rFonts w:asciiTheme="minorHAnsi" w:hAnsiTheme="minorHAnsi" w:cs="Times"/>
          <w:i/>
          <w:iCs/>
          <w:color w:val="000000"/>
          <w:sz w:val="22"/>
          <w:szCs w:val="22"/>
        </w:rPr>
        <w:t>(Bruce, 2004 [High Quality Evidence])</w:t>
      </w:r>
      <w:r w:rsidRPr="00A357B0">
        <w:rPr>
          <w:rFonts w:asciiTheme="minorHAnsi" w:hAnsiTheme="minorHAnsi" w:cs="Times"/>
          <w:color w:val="000000"/>
          <w:sz w:val="22"/>
          <w:szCs w:val="22"/>
        </w:rPr>
        <w:t>.</w:t>
      </w:r>
      <w:r w:rsidR="00F11226">
        <w:rPr>
          <w:rFonts w:asciiTheme="minorHAnsi" w:hAnsiTheme="minorHAnsi" w:cs="Times"/>
          <w:color w:val="000000"/>
          <w:sz w:val="22"/>
          <w:szCs w:val="22"/>
        </w:rPr>
        <w:t xml:space="preserve"> (pg.39)</w:t>
      </w:r>
    </w:p>
    <w:p w14:paraId="0F859C26" w14:textId="77777777" w:rsidR="00DA575C" w:rsidRDefault="00DA575C" w:rsidP="00A35A78">
      <w:pPr>
        <w:pStyle w:val="Pa27"/>
        <w:spacing w:after="120" w:line="240" w:lineRule="auto"/>
        <w:jc w:val="both"/>
        <w:rPr>
          <w:rFonts w:asciiTheme="minorHAnsi" w:hAnsiTheme="minorHAnsi" w:cs="Times"/>
          <w:color w:val="000000"/>
          <w:sz w:val="22"/>
          <w:szCs w:val="22"/>
        </w:rPr>
      </w:pPr>
      <w:r w:rsidRPr="00A357B0">
        <w:rPr>
          <w:rFonts w:asciiTheme="minorHAnsi" w:hAnsiTheme="minorHAnsi" w:cs="Times"/>
          <w:color w:val="000000"/>
          <w:sz w:val="22"/>
          <w:szCs w:val="22"/>
        </w:rPr>
        <w:lastRenderedPageBreak/>
        <w:t xml:space="preserve">In the Improving Mood Providing Access to Collaborative Treatment (IMPACT) study, 1,801 primary care patients were randomly assigned to collaborative care or usual care. Intervention subjects had less suicidal ideation at 6 and 12 months, and there were no completed suicides for either group in 18 months </w:t>
      </w:r>
      <w:r w:rsidRPr="00A357B0">
        <w:rPr>
          <w:rFonts w:asciiTheme="minorHAnsi" w:hAnsiTheme="minorHAnsi" w:cs="Times"/>
          <w:i/>
          <w:iCs/>
          <w:color w:val="000000"/>
          <w:sz w:val="22"/>
          <w:szCs w:val="22"/>
        </w:rPr>
        <w:t>(Unützer, 2006 [High Quality Evidence])</w:t>
      </w:r>
      <w:r w:rsidRPr="00A357B0">
        <w:rPr>
          <w:rFonts w:asciiTheme="minorHAnsi" w:hAnsiTheme="minorHAnsi" w:cs="Times"/>
          <w:color w:val="000000"/>
          <w:sz w:val="22"/>
          <w:szCs w:val="22"/>
        </w:rPr>
        <w:t>.</w:t>
      </w:r>
      <w:r w:rsidR="00F11226">
        <w:rPr>
          <w:rFonts w:asciiTheme="minorHAnsi" w:hAnsiTheme="minorHAnsi" w:cs="Times"/>
          <w:color w:val="000000"/>
          <w:sz w:val="22"/>
          <w:szCs w:val="22"/>
        </w:rPr>
        <w:t xml:space="preserve"> (pg.39)</w:t>
      </w:r>
    </w:p>
    <w:p w14:paraId="13C42630" w14:textId="77777777" w:rsidR="00DA575C" w:rsidRPr="00A357B0" w:rsidRDefault="00DA575C" w:rsidP="00A35A78">
      <w:pPr>
        <w:tabs>
          <w:tab w:val="left" w:pos="90"/>
        </w:tabs>
        <w:ind w:left="0" w:firstLine="0"/>
        <w:jc w:val="both"/>
        <w:rPr>
          <w:rFonts w:cs="Times"/>
          <w:color w:val="000000"/>
        </w:rPr>
      </w:pPr>
      <w:r w:rsidRPr="00A357B0">
        <w:rPr>
          <w:rFonts w:cs="Times"/>
          <w:color w:val="000000"/>
        </w:rPr>
        <w:t>The use of a collaborative care model can help with medication complia</w:t>
      </w:r>
      <w:r>
        <w:rPr>
          <w:rFonts w:cs="Times"/>
          <w:color w:val="000000"/>
        </w:rPr>
        <w:t>nce, by providing closer follow-</w:t>
      </w:r>
      <w:r w:rsidRPr="00A357B0">
        <w:rPr>
          <w:rFonts w:cs="Times"/>
          <w:color w:val="000000"/>
        </w:rPr>
        <w:t xml:space="preserve">up than is possible without a care manager. Three or more follow-up visits in the first three months reduced the risk of relapse/recurrence of depression, as did continuous use of antidepressants </w:t>
      </w:r>
      <w:r w:rsidRPr="00A357B0">
        <w:rPr>
          <w:rFonts w:cs="Times"/>
          <w:i/>
          <w:iCs/>
          <w:color w:val="000000"/>
        </w:rPr>
        <w:t>(Kim, 2011 [Low Quality Evidence])</w:t>
      </w:r>
      <w:r w:rsidRPr="00A357B0">
        <w:rPr>
          <w:rFonts w:cs="Times"/>
          <w:color w:val="000000"/>
        </w:rPr>
        <w:t>. Care management facilitates continuous use of antidepressants, by providing close follow-up and early intervention when side effects occur.</w:t>
      </w:r>
      <w:r w:rsidR="00F11226">
        <w:rPr>
          <w:rFonts w:cs="Times"/>
          <w:color w:val="000000"/>
        </w:rPr>
        <w:t xml:space="preserve"> (pg.38)</w:t>
      </w:r>
    </w:p>
    <w:p w14:paraId="66F9C4BE" w14:textId="77777777" w:rsidR="00DA575C" w:rsidRPr="00DA575C" w:rsidRDefault="00DA575C" w:rsidP="00DA575C"/>
    <w:p w14:paraId="16FDADE7" w14:textId="77777777" w:rsidR="00F11226" w:rsidRPr="00F11226" w:rsidRDefault="00F11226" w:rsidP="00F11226">
      <w:pPr>
        <w:pStyle w:val="Pa44"/>
        <w:ind w:right="605"/>
        <w:jc w:val="both"/>
        <w:rPr>
          <w:rFonts w:asciiTheme="minorHAnsi" w:hAnsiTheme="minorHAnsi" w:cs="Times"/>
          <w:color w:val="000000"/>
          <w:sz w:val="22"/>
          <w:szCs w:val="22"/>
          <w:u w:val="single"/>
        </w:rPr>
      </w:pPr>
      <w:r w:rsidRPr="00F11226">
        <w:rPr>
          <w:rFonts w:asciiTheme="minorHAnsi" w:hAnsiTheme="minorHAnsi" w:cs="Times"/>
          <w:color w:val="000000"/>
          <w:sz w:val="22"/>
          <w:szCs w:val="22"/>
          <w:u w:val="single"/>
        </w:rPr>
        <w:t>Establish a Follow-up Plan</w:t>
      </w:r>
      <w:r w:rsidR="00417EB6">
        <w:rPr>
          <w:rFonts w:asciiTheme="minorHAnsi" w:hAnsiTheme="minorHAnsi" w:cs="Times"/>
          <w:color w:val="000000"/>
          <w:sz w:val="22"/>
          <w:szCs w:val="22"/>
          <w:u w:val="single"/>
        </w:rPr>
        <w:t xml:space="preserve"> and PHQ-9 as a monitor and manage tool.</w:t>
      </w:r>
      <w:r w:rsidRPr="00F11226">
        <w:rPr>
          <w:rFonts w:asciiTheme="minorHAnsi" w:hAnsiTheme="minorHAnsi" w:cs="Times"/>
          <w:color w:val="000000"/>
          <w:sz w:val="22"/>
          <w:szCs w:val="22"/>
          <w:u w:val="single"/>
        </w:rPr>
        <w:t xml:space="preserve"> (pg. 38)</w:t>
      </w:r>
    </w:p>
    <w:p w14:paraId="1D053A95" w14:textId="77777777" w:rsidR="00F11226" w:rsidRPr="000B6A0A" w:rsidRDefault="00F11226" w:rsidP="00CF029F">
      <w:pPr>
        <w:pStyle w:val="Pa44"/>
        <w:spacing w:after="120" w:line="240" w:lineRule="auto"/>
        <w:rPr>
          <w:rFonts w:asciiTheme="minorHAnsi" w:hAnsiTheme="minorHAnsi" w:cs="Times"/>
          <w:color w:val="000000"/>
          <w:sz w:val="22"/>
          <w:szCs w:val="22"/>
        </w:rPr>
      </w:pPr>
      <w:r w:rsidRPr="000B6A0A">
        <w:rPr>
          <w:rFonts w:asciiTheme="minorHAnsi" w:hAnsiTheme="minorHAnsi" w:cs="Times"/>
          <w:color w:val="000000"/>
          <w:sz w:val="22"/>
          <w:szCs w:val="22"/>
        </w:rPr>
        <w:t>Clinicians should establish and maintain follow-up with patients (Low Quality Evidence, Strong Recommendation).</w:t>
      </w:r>
      <w:r>
        <w:rPr>
          <w:rFonts w:asciiTheme="minorHAnsi" w:hAnsiTheme="minorHAnsi" w:cs="Times"/>
          <w:color w:val="000000"/>
          <w:sz w:val="22"/>
          <w:szCs w:val="22"/>
        </w:rPr>
        <w:t xml:space="preserve"> </w:t>
      </w:r>
    </w:p>
    <w:p w14:paraId="6CA51A6D" w14:textId="77777777" w:rsidR="000B6A0A" w:rsidRPr="00F33A55" w:rsidRDefault="000B6A0A" w:rsidP="00A35A78">
      <w:pPr>
        <w:autoSpaceDE w:val="0"/>
        <w:autoSpaceDN w:val="0"/>
        <w:adjustRightInd w:val="0"/>
        <w:spacing w:after="100" w:line="211" w:lineRule="atLeast"/>
        <w:ind w:left="0" w:firstLine="0"/>
        <w:jc w:val="both"/>
        <w:rPr>
          <w:rFonts w:cs="Times"/>
          <w:color w:val="000000"/>
        </w:rPr>
      </w:pPr>
      <w:r w:rsidRPr="00F33A55">
        <w:rPr>
          <w:rFonts w:cs="Times"/>
          <w:bCs/>
          <w:color w:val="000000"/>
        </w:rPr>
        <w:t>Proactive follow-up contacts</w:t>
      </w:r>
      <w:r w:rsidRPr="00F33A55">
        <w:rPr>
          <w:rFonts w:cs="Times"/>
          <w:b/>
          <w:bCs/>
          <w:color w:val="000000"/>
        </w:rPr>
        <w:t xml:space="preserve"> </w:t>
      </w:r>
      <w:r w:rsidRPr="00F33A55">
        <w:rPr>
          <w:rFonts w:cs="Times"/>
          <w:color w:val="000000"/>
        </w:rPr>
        <w:t>(in person, telephone) based on th</w:t>
      </w:r>
      <w:r>
        <w:rPr>
          <w:rFonts w:cs="Times"/>
          <w:color w:val="000000"/>
        </w:rPr>
        <w:t xml:space="preserve">e collaborative care model have </w:t>
      </w:r>
      <w:r w:rsidRPr="00F33A55">
        <w:rPr>
          <w:rFonts w:cs="Times"/>
          <w:color w:val="000000"/>
        </w:rPr>
        <w:t xml:space="preserve">been shown to significantly lower depression severity </w:t>
      </w:r>
      <w:r w:rsidRPr="00F33A55">
        <w:rPr>
          <w:rFonts w:cs="Times"/>
          <w:i/>
          <w:iCs/>
          <w:color w:val="000000"/>
        </w:rPr>
        <w:t>(Unützer, 2002 [High Quality Evidence])</w:t>
      </w:r>
      <w:r w:rsidRPr="00F33A55">
        <w:rPr>
          <w:rFonts w:cs="Times"/>
          <w:color w:val="000000"/>
        </w:rPr>
        <w:t xml:space="preserve">. In the available clinical effectiveness trials conducted in real clinical practice settings, even the addition of a care manager leads to modest remission rates </w:t>
      </w:r>
      <w:r w:rsidRPr="00F33A55">
        <w:rPr>
          <w:rFonts w:cs="Times"/>
          <w:i/>
          <w:iCs/>
          <w:color w:val="000000"/>
        </w:rPr>
        <w:t>(Trivedi, 2006b [High Quality Evidence]; Unützer, 2002 [High Quality Evidence])</w:t>
      </w:r>
      <w:r w:rsidRPr="00F33A55">
        <w:rPr>
          <w:rFonts w:cs="Times"/>
          <w:color w:val="000000"/>
        </w:rPr>
        <w:t xml:space="preserve">. Interventions are critical to educating the patient regarding the importance of preventing relapse, safety and efficacy of medications and management of potential side effects. Establish and maintain initial follow-up contact intervals (office, phone, other) </w:t>
      </w:r>
      <w:r w:rsidRPr="00F33A55">
        <w:rPr>
          <w:rFonts w:cs="Times"/>
          <w:i/>
          <w:iCs/>
          <w:color w:val="000000"/>
        </w:rPr>
        <w:t>(Hunkeler, 2000 [High Quality Evidence]; Simon, 2000 [High Quality Evidence])</w:t>
      </w:r>
      <w:r w:rsidRPr="00F33A55">
        <w:rPr>
          <w:rFonts w:cs="Times"/>
          <w:color w:val="000000"/>
        </w:rPr>
        <w:t>.</w:t>
      </w:r>
      <w:r w:rsidR="00F11226">
        <w:rPr>
          <w:rFonts w:cs="Times"/>
          <w:color w:val="000000"/>
        </w:rPr>
        <w:t xml:space="preserve"> (pg. 50)</w:t>
      </w:r>
    </w:p>
    <w:p w14:paraId="14F3BF90" w14:textId="77777777" w:rsidR="000B6A0A" w:rsidRPr="00F33A55" w:rsidRDefault="000B6A0A" w:rsidP="00A35A78">
      <w:pPr>
        <w:autoSpaceDE w:val="0"/>
        <w:autoSpaceDN w:val="0"/>
        <w:adjustRightInd w:val="0"/>
        <w:spacing w:after="100" w:line="211" w:lineRule="atLeast"/>
        <w:ind w:left="0" w:firstLine="0"/>
        <w:jc w:val="both"/>
        <w:rPr>
          <w:rFonts w:cs="Times"/>
          <w:color w:val="000000"/>
        </w:rPr>
      </w:pPr>
      <w:r w:rsidRPr="00F33A55">
        <w:rPr>
          <w:rFonts w:cs="Times"/>
          <w:color w:val="000000"/>
        </w:rPr>
        <w:t>The PHQ-9 is an effe</w:t>
      </w:r>
      <w:r>
        <w:rPr>
          <w:rFonts w:cs="Times"/>
          <w:color w:val="000000"/>
        </w:rPr>
        <w:t xml:space="preserve">ctive management tool, as well, </w:t>
      </w:r>
      <w:r w:rsidRPr="00F33A55">
        <w:rPr>
          <w:rFonts w:cs="Times"/>
          <w:color w:val="000000"/>
        </w:rPr>
        <w:t xml:space="preserve">and should be used routinely for subsequent visits to monitor treatment outcomes and severity. It can also help the clinician decide if/how to modify the treatment plan </w:t>
      </w:r>
      <w:r w:rsidRPr="00F33A55">
        <w:rPr>
          <w:rFonts w:cs="Times"/>
          <w:i/>
          <w:iCs/>
          <w:color w:val="000000"/>
        </w:rPr>
        <w:t>(Duffy, 2008 [Low Quality Evidence]; Löwe, 2004 [Low Quality Evidence])</w:t>
      </w:r>
      <w:r w:rsidRPr="00F33A55">
        <w:rPr>
          <w:rFonts w:cs="Times"/>
          <w:color w:val="000000"/>
        </w:rPr>
        <w:t xml:space="preserve">. Using a measurement-based approach to depression care, PHQ-9 results and side effect evaluation should be combined with treatment algorithms to drive patients toward remission. A five-point drop in PHQ-9 score is considered the minimal clinically significant difference </w:t>
      </w:r>
      <w:r w:rsidRPr="00F33A55">
        <w:rPr>
          <w:rFonts w:cs="Times"/>
          <w:i/>
          <w:iCs/>
          <w:color w:val="000000"/>
        </w:rPr>
        <w:t>(Trivedi, 2009 [Low Quality Evidence])</w:t>
      </w:r>
      <w:r w:rsidRPr="00F33A55">
        <w:rPr>
          <w:rFonts w:cs="Times"/>
          <w:color w:val="000000"/>
        </w:rPr>
        <w:t>.</w:t>
      </w:r>
      <w:r w:rsidR="00F11226">
        <w:rPr>
          <w:rFonts w:cs="Times"/>
          <w:color w:val="000000"/>
        </w:rPr>
        <w:t xml:space="preserve"> (pg. 50)</w:t>
      </w:r>
    </w:p>
    <w:p w14:paraId="6608A371" w14:textId="77777777" w:rsidR="00B84520" w:rsidRDefault="000B6A0A" w:rsidP="00A35A78">
      <w:pPr>
        <w:autoSpaceDE w:val="0"/>
        <w:autoSpaceDN w:val="0"/>
        <w:adjustRightInd w:val="0"/>
        <w:spacing w:line="211" w:lineRule="atLeast"/>
        <w:ind w:left="0" w:firstLine="0"/>
        <w:jc w:val="both"/>
        <w:rPr>
          <w:rFonts w:cs="Times"/>
          <w:color w:val="000000"/>
        </w:rPr>
      </w:pPr>
      <w:r w:rsidRPr="00F33A55">
        <w:rPr>
          <w:rFonts w:cs="Times"/>
          <w:color w:val="000000"/>
        </w:rPr>
        <w:t xml:space="preserve">If the primary care clinician is seeing some improvement, continue working with that patient to increase medication dosage or augment with psychotherapy or medication to reach remission. This can take up to three months. Don't give up on the patient whether treating in primary care or referring. Stay connected through consultation or collaboration, and take the steps needed to get the patient to remission. This can take longer and can take several medication interventions or other steps. The STAR*D study has shown that primary care can be just as successful as specialty care </w:t>
      </w:r>
      <w:r w:rsidRPr="00F33A55">
        <w:rPr>
          <w:rFonts w:cs="Times"/>
          <w:i/>
          <w:iCs/>
          <w:color w:val="000000"/>
        </w:rPr>
        <w:t>(Trivedi, 2006a [High Quality Evidence])</w:t>
      </w:r>
      <w:r w:rsidRPr="00F33A55">
        <w:rPr>
          <w:rFonts w:cs="Times"/>
          <w:color w:val="000000"/>
        </w:rPr>
        <w:t>.</w:t>
      </w:r>
    </w:p>
    <w:p w14:paraId="130DADC1" w14:textId="67837D71" w:rsidR="00417EB6" w:rsidRDefault="00417EB6" w:rsidP="00AD1ED5">
      <w:pPr>
        <w:autoSpaceDE w:val="0"/>
        <w:autoSpaceDN w:val="0"/>
        <w:adjustRightInd w:val="0"/>
        <w:spacing w:line="211" w:lineRule="atLeast"/>
        <w:ind w:left="0" w:right="600" w:firstLine="0"/>
        <w:jc w:val="both"/>
        <w:rPr>
          <w:rFonts w:cs="Times"/>
          <w:color w:val="000000"/>
        </w:rPr>
      </w:pPr>
    </w:p>
    <w:p w14:paraId="0ECF7153" w14:textId="77777777" w:rsidR="00417EB6" w:rsidRPr="00B84520" w:rsidRDefault="00417EB6" w:rsidP="00DB5135">
      <w:pPr>
        <w:autoSpaceDE w:val="0"/>
        <w:autoSpaceDN w:val="0"/>
        <w:adjustRightInd w:val="0"/>
        <w:spacing w:after="60" w:line="211" w:lineRule="atLeast"/>
        <w:ind w:left="0" w:right="600" w:firstLine="0"/>
        <w:jc w:val="both"/>
        <w:rPr>
          <w:rFonts w:cs="Times"/>
          <w:color w:val="000000"/>
        </w:rPr>
      </w:pPr>
      <w:r>
        <w:rPr>
          <w:noProof/>
        </w:rPr>
        <w:lastRenderedPageBreak/>
        <w:drawing>
          <wp:inline distT="0" distB="0" distL="0" distR="0" wp14:anchorId="7E2298DF" wp14:editId="104F8C24">
            <wp:extent cx="5826113" cy="4217158"/>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a:srcRect l="12629" t="37240" r="8381" b="20514"/>
                    <a:stretch/>
                  </pic:blipFill>
                  <pic:spPr bwMode="auto">
                    <a:xfrm>
                      <a:off x="0" y="0"/>
                      <a:ext cx="5826113" cy="4217158"/>
                    </a:xfrm>
                    <a:prstGeom prst="rect">
                      <a:avLst/>
                    </a:prstGeom>
                    <a:ln>
                      <a:noFill/>
                    </a:ln>
                    <a:extLst>
                      <a:ext uri="{53640926-AAD7-44D8-BBD7-CCE9431645EC}">
                        <a14:shadowObscured xmlns:a14="http://schemas.microsoft.com/office/drawing/2010/main"/>
                      </a:ext>
                    </a:extLst>
                  </pic:spPr>
                </pic:pic>
              </a:graphicData>
            </a:graphic>
          </wp:inline>
        </w:drawing>
      </w:r>
    </w:p>
    <w:p w14:paraId="49FD863B" w14:textId="7EDCC2C6" w:rsidR="002F168E" w:rsidRDefault="002F168E" w:rsidP="000B7E25">
      <w:pPr>
        <w:ind w:left="0" w:firstLine="0"/>
        <w:rPr>
          <w:color w:val="FF0000"/>
        </w:rPr>
      </w:pPr>
      <w:r w:rsidRPr="00FA63A8">
        <w:rPr>
          <w:color w:val="FF0000"/>
        </w:rPr>
        <w:t>Adolescents:</w:t>
      </w:r>
    </w:p>
    <w:p w14:paraId="2171E218" w14:textId="6D4095E5" w:rsidR="002C3FA0" w:rsidRPr="00CF6D93" w:rsidRDefault="002F168E" w:rsidP="00CF6D93">
      <w:pPr>
        <w:spacing w:after="120"/>
        <w:ind w:left="0" w:firstLine="0"/>
        <w:rPr>
          <w:rFonts w:cs="Times"/>
          <w:bCs/>
          <w:color w:val="FF0000"/>
        </w:rPr>
      </w:pPr>
      <w:r>
        <w:rPr>
          <w:color w:val="FF0000"/>
        </w:rPr>
        <w:t>The GLAD-PC guideline</w:t>
      </w:r>
      <w:r w:rsidR="00F220BD">
        <w:rPr>
          <w:color w:val="FF0000"/>
        </w:rPr>
        <w:t>s</w:t>
      </w:r>
      <w:r>
        <w:rPr>
          <w:color w:val="FF0000"/>
        </w:rPr>
        <w:t xml:space="preserve"> </w:t>
      </w:r>
      <w:r w:rsidR="00EE7E78">
        <w:rPr>
          <w:color w:val="FF0000"/>
        </w:rPr>
        <w:t>emphasize providing frequent follow-up</w:t>
      </w:r>
      <w:r w:rsidR="00F220BD">
        <w:rPr>
          <w:color w:val="FF0000"/>
        </w:rPr>
        <w:t xml:space="preserve"> for</w:t>
      </w:r>
      <w:r w:rsidR="00EE7E78">
        <w:rPr>
          <w:color w:val="FF0000"/>
        </w:rPr>
        <w:t xml:space="preserve"> adolescent patients with depression</w:t>
      </w:r>
      <w:r w:rsidRPr="002B23AE">
        <w:rPr>
          <w:color w:val="FF0000"/>
        </w:rPr>
        <w:t xml:space="preserve"> and </w:t>
      </w:r>
      <w:r w:rsidR="00F220BD">
        <w:rPr>
          <w:color w:val="FF0000"/>
        </w:rPr>
        <w:t xml:space="preserve">routine assessment of depressive symptoms to </w:t>
      </w:r>
      <w:r w:rsidRPr="002B23AE">
        <w:rPr>
          <w:color w:val="FF0000"/>
        </w:rPr>
        <w:t xml:space="preserve">measure treatment </w:t>
      </w:r>
      <w:r w:rsidRPr="002C3FA0">
        <w:rPr>
          <w:color w:val="FF0000"/>
        </w:rPr>
        <w:t>effectiveness.</w:t>
      </w:r>
      <w:r w:rsidR="002C3FA0">
        <w:rPr>
          <w:color w:val="FF0000"/>
        </w:rPr>
        <w:t xml:space="preserve"> Similar to the literature supporting the collaborative care model for depression management in adults, the GLAD-PC guidelines recommend collaboration between the PCP and mental health providers and resources, with co-management of patients across settings. </w:t>
      </w:r>
      <w:r w:rsidR="00FA7AC9">
        <w:rPr>
          <w:rFonts w:cs="Times"/>
          <w:bCs/>
          <w:color w:val="FF0000"/>
        </w:rPr>
        <w:t>Relevant recommendations</w:t>
      </w:r>
      <w:r w:rsidR="009A32F0" w:rsidRPr="002C3FA0">
        <w:rPr>
          <w:rFonts w:cs="Times"/>
          <w:bCs/>
          <w:color w:val="FF0000"/>
        </w:rPr>
        <w:t xml:space="preserve"> from</w:t>
      </w:r>
      <w:r w:rsidR="00CF6D93">
        <w:rPr>
          <w:rFonts w:cs="Times"/>
          <w:bCs/>
          <w:color w:val="FF0000"/>
        </w:rPr>
        <w:t xml:space="preserve"> the</w:t>
      </w:r>
      <w:r w:rsidR="009A32F0" w:rsidRPr="002C3FA0">
        <w:rPr>
          <w:rFonts w:cs="Times"/>
          <w:bCs/>
          <w:color w:val="FF0000"/>
        </w:rPr>
        <w:t xml:space="preserve"> </w:t>
      </w:r>
      <w:r w:rsidR="002B23AE" w:rsidRPr="00FA7AC9">
        <w:rPr>
          <w:rFonts w:cs="Times"/>
          <w:bCs/>
          <w:i/>
          <w:color w:val="FF0000"/>
        </w:rPr>
        <w:t>Identification, Assessment, and Initial Management</w:t>
      </w:r>
      <w:r w:rsidR="002C3FA0" w:rsidRPr="002C3FA0">
        <w:rPr>
          <w:rFonts w:cs="Times"/>
          <w:bCs/>
          <w:color w:val="FF0000"/>
        </w:rPr>
        <w:t xml:space="preserve"> and </w:t>
      </w:r>
      <w:r w:rsidR="002C3FA0" w:rsidRPr="00FA7AC9">
        <w:rPr>
          <w:rFonts w:cs="Times"/>
          <w:bCs/>
          <w:i/>
          <w:color w:val="FF0000"/>
        </w:rPr>
        <w:t>Treatment and Ongoing Management</w:t>
      </w:r>
      <w:r w:rsidR="002C3FA0" w:rsidRPr="002C3FA0">
        <w:rPr>
          <w:rFonts w:cs="Times"/>
          <w:bCs/>
          <w:color w:val="FF0000"/>
        </w:rPr>
        <w:t xml:space="preserve"> </w:t>
      </w:r>
      <w:r w:rsidR="00FA7AC9" w:rsidRPr="002C3FA0">
        <w:rPr>
          <w:rFonts w:cs="Times"/>
          <w:bCs/>
          <w:color w:val="FF0000"/>
        </w:rPr>
        <w:t>guideline</w:t>
      </w:r>
      <w:r w:rsidR="00FA7AC9">
        <w:rPr>
          <w:rFonts w:cs="Times"/>
          <w:bCs/>
          <w:color w:val="FF0000"/>
        </w:rPr>
        <w:t>s</w:t>
      </w:r>
      <w:r w:rsidR="00FA7AC9" w:rsidRPr="002C3FA0">
        <w:rPr>
          <w:rFonts w:cs="Times"/>
          <w:bCs/>
          <w:color w:val="FF0000"/>
        </w:rPr>
        <w:t xml:space="preserve"> </w:t>
      </w:r>
      <w:r w:rsidR="002C3FA0" w:rsidRPr="002C3FA0">
        <w:rPr>
          <w:rFonts w:cs="Times"/>
          <w:bCs/>
          <w:color w:val="FF0000"/>
        </w:rPr>
        <w:t>are quoted.</w:t>
      </w:r>
    </w:p>
    <w:p w14:paraId="1E53DAB8" w14:textId="77777777" w:rsidR="002C3FA0" w:rsidRPr="006B11DA" w:rsidRDefault="002C3FA0" w:rsidP="002B23AE">
      <w:pPr>
        <w:pStyle w:val="Pa31"/>
        <w:rPr>
          <w:rFonts w:asciiTheme="minorHAnsi" w:hAnsiTheme="minorHAnsi" w:cs="Times"/>
          <w:bCs/>
          <w:i/>
          <w:color w:val="FF0000"/>
          <w:sz w:val="22"/>
          <w:szCs w:val="22"/>
          <w:u w:val="single"/>
        </w:rPr>
      </w:pPr>
      <w:r w:rsidRPr="006B11DA">
        <w:rPr>
          <w:rFonts w:asciiTheme="minorHAnsi" w:hAnsiTheme="minorHAnsi" w:cs="Times"/>
          <w:bCs/>
          <w:color w:val="FF0000"/>
          <w:sz w:val="22"/>
          <w:szCs w:val="22"/>
          <w:u w:val="single"/>
        </w:rPr>
        <w:t>Identification, Assessment, and Initial Management</w:t>
      </w:r>
      <w:r w:rsidRPr="006B11DA">
        <w:rPr>
          <w:rFonts w:asciiTheme="minorHAnsi" w:hAnsiTheme="minorHAnsi" w:cs="Times"/>
          <w:bCs/>
          <w:i/>
          <w:color w:val="FF0000"/>
          <w:sz w:val="22"/>
          <w:szCs w:val="22"/>
          <w:u w:val="single"/>
        </w:rPr>
        <w:t xml:space="preserve"> </w:t>
      </w:r>
    </w:p>
    <w:p w14:paraId="36DD54B4" w14:textId="3E1E49E1" w:rsidR="00F5302D" w:rsidRPr="00CF6D93" w:rsidRDefault="00F5302D" w:rsidP="00A35A78">
      <w:pPr>
        <w:pStyle w:val="Pa31"/>
        <w:spacing w:line="240" w:lineRule="auto"/>
        <w:jc w:val="both"/>
        <w:rPr>
          <w:rFonts w:asciiTheme="minorHAnsi" w:hAnsiTheme="minorHAnsi" w:cs="Times"/>
          <w:bCs/>
          <w:i/>
          <w:color w:val="FF0000"/>
          <w:sz w:val="22"/>
          <w:szCs w:val="22"/>
        </w:rPr>
      </w:pPr>
      <w:r w:rsidRPr="000B7E25">
        <w:rPr>
          <w:rFonts w:asciiTheme="minorHAnsi" w:hAnsiTheme="minorHAnsi" w:cs="Times"/>
          <w:bCs/>
          <w:i/>
          <w:color w:val="FF0000"/>
          <w:sz w:val="22"/>
          <w:szCs w:val="22"/>
        </w:rPr>
        <w:t xml:space="preserve">Recommendation 1: </w:t>
      </w:r>
      <w:r w:rsidR="002B23AE">
        <w:rPr>
          <w:rFonts w:asciiTheme="minorHAnsi" w:hAnsiTheme="minorHAnsi" w:cs="Times"/>
          <w:bCs/>
          <w:i/>
          <w:color w:val="FF0000"/>
          <w:sz w:val="22"/>
          <w:szCs w:val="22"/>
        </w:rPr>
        <w:t>…</w:t>
      </w:r>
      <w:r w:rsidRPr="000B7E25">
        <w:rPr>
          <w:rFonts w:asciiTheme="minorHAnsi" w:hAnsiTheme="minorHAnsi" w:cs="Times"/>
          <w:bCs/>
          <w:i/>
          <w:color w:val="FF0000"/>
          <w:sz w:val="22"/>
          <w:szCs w:val="22"/>
        </w:rPr>
        <w:t>Clinicians</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should assess for depressive symptoms on</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the basis of</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diagnostic criteria established in the DSM-IV or International Classification of</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Diseases, 10th Revision (grade of evidence:</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B; strength of recommendation: very strong) and should use</w:t>
      </w:r>
      <w:r w:rsidR="009A32F0" w:rsidRPr="000B7E25">
        <w:rPr>
          <w:rFonts w:asciiTheme="minorHAnsi" w:hAnsiTheme="minorHAnsi" w:cs="Times"/>
          <w:bCs/>
          <w:i/>
          <w:color w:val="FF0000"/>
          <w:sz w:val="22"/>
          <w:szCs w:val="22"/>
        </w:rPr>
        <w:t xml:space="preserve"> </w:t>
      </w:r>
      <w:r w:rsidRPr="000B7E25">
        <w:rPr>
          <w:rFonts w:asciiTheme="minorHAnsi" w:hAnsiTheme="minorHAnsi" w:cs="Times"/>
          <w:bCs/>
          <w:i/>
          <w:color w:val="FF0000"/>
          <w:sz w:val="22"/>
          <w:szCs w:val="22"/>
        </w:rPr>
        <w:t xml:space="preserve">standardized depression tools to </w:t>
      </w:r>
      <w:r w:rsidRPr="00CF6D93">
        <w:rPr>
          <w:rFonts w:asciiTheme="minorHAnsi" w:hAnsiTheme="minorHAnsi" w:cs="Times"/>
          <w:bCs/>
          <w:i/>
          <w:color w:val="FF0000"/>
          <w:sz w:val="22"/>
          <w:szCs w:val="22"/>
        </w:rPr>
        <w:t>aid in the assessment (grade of</w:t>
      </w:r>
      <w:r w:rsidR="009A32F0" w:rsidRPr="00CF6D93">
        <w:rPr>
          <w:rFonts w:asciiTheme="minorHAnsi" w:hAnsiTheme="minorHAnsi" w:cs="Times"/>
          <w:bCs/>
          <w:i/>
          <w:color w:val="FF0000"/>
          <w:sz w:val="22"/>
          <w:szCs w:val="22"/>
        </w:rPr>
        <w:t xml:space="preserve"> </w:t>
      </w:r>
      <w:r w:rsidRPr="00CF6D93">
        <w:rPr>
          <w:rFonts w:asciiTheme="minorHAnsi" w:hAnsiTheme="minorHAnsi" w:cs="Times"/>
          <w:bCs/>
          <w:i/>
          <w:color w:val="FF0000"/>
          <w:sz w:val="22"/>
          <w:szCs w:val="22"/>
        </w:rPr>
        <w:t>evidence: A; strength of recommendation: very strong).</w:t>
      </w:r>
    </w:p>
    <w:p w14:paraId="209BDD20" w14:textId="2F0B319E" w:rsidR="00F5302D" w:rsidRPr="008029E3" w:rsidRDefault="00F5302D" w:rsidP="00A35A78">
      <w:pPr>
        <w:spacing w:after="120"/>
        <w:ind w:left="0" w:firstLine="0"/>
        <w:jc w:val="both"/>
        <w:rPr>
          <w:rFonts w:cs="Times"/>
          <w:bCs/>
          <w:color w:val="FF0000"/>
        </w:rPr>
      </w:pPr>
      <w:r w:rsidRPr="00CF6D93">
        <w:rPr>
          <w:rFonts w:cs="Times"/>
          <w:bCs/>
          <w:color w:val="FF0000"/>
        </w:rPr>
        <w:t>PC clinicians should probe for the presence of any of</w:t>
      </w:r>
      <w:r w:rsidR="008029E3" w:rsidRPr="00CF6D93">
        <w:rPr>
          <w:rFonts w:cs="Times"/>
          <w:bCs/>
          <w:color w:val="FF0000"/>
        </w:rPr>
        <w:t xml:space="preserve"> </w:t>
      </w:r>
      <w:r w:rsidRPr="00CF6D93">
        <w:rPr>
          <w:rFonts w:cs="Times"/>
          <w:bCs/>
          <w:color w:val="FF0000"/>
        </w:rPr>
        <w:t>several depressive disorders, including MDD,</w:t>
      </w:r>
      <w:r w:rsidR="002B23AE" w:rsidRPr="00CF6D93">
        <w:rPr>
          <w:rFonts w:cs="Times"/>
          <w:bCs/>
          <w:color w:val="FF0000"/>
        </w:rPr>
        <w:t xml:space="preserve"> d</w:t>
      </w:r>
      <w:r w:rsidRPr="00CF6D93">
        <w:rPr>
          <w:rFonts w:cs="Times"/>
          <w:bCs/>
          <w:color w:val="FF0000"/>
        </w:rPr>
        <w:t>ysthymia,</w:t>
      </w:r>
      <w:r w:rsidR="008029E3" w:rsidRPr="00CF6D93">
        <w:rPr>
          <w:rFonts w:cs="Times"/>
          <w:bCs/>
          <w:color w:val="FF0000"/>
        </w:rPr>
        <w:t xml:space="preserve"> </w:t>
      </w:r>
      <w:r w:rsidRPr="00CF6D93">
        <w:rPr>
          <w:rFonts w:cs="Times"/>
          <w:bCs/>
          <w:color w:val="FF0000"/>
        </w:rPr>
        <w:t>and depression not otherwise specified by using systematic,</w:t>
      </w:r>
      <w:r w:rsidR="008029E3" w:rsidRPr="00CF6D93">
        <w:rPr>
          <w:rFonts w:cs="Times"/>
          <w:bCs/>
          <w:color w:val="FF0000"/>
        </w:rPr>
        <w:t xml:space="preserve"> </w:t>
      </w:r>
      <w:r w:rsidRPr="00CF6D93">
        <w:rPr>
          <w:rFonts w:cs="Times"/>
          <w:bCs/>
          <w:color w:val="FF0000"/>
        </w:rPr>
        <w:t>rigorous assessment methods. Standardized instruments</w:t>
      </w:r>
      <w:r w:rsidR="008029E3" w:rsidRPr="00CF6D93">
        <w:rPr>
          <w:rFonts w:cs="Times"/>
          <w:bCs/>
          <w:color w:val="FF0000"/>
        </w:rPr>
        <w:t xml:space="preserve"> </w:t>
      </w:r>
      <w:r w:rsidRPr="00CF6D93">
        <w:rPr>
          <w:rFonts w:cs="Times"/>
          <w:bCs/>
          <w:color w:val="FF0000"/>
        </w:rPr>
        <w:t>should be used to help with diagnosis but should</w:t>
      </w:r>
      <w:r w:rsidR="008029E3" w:rsidRPr="00CF6D93">
        <w:rPr>
          <w:rFonts w:cs="Times"/>
          <w:bCs/>
          <w:color w:val="FF0000"/>
        </w:rPr>
        <w:t xml:space="preserve"> </w:t>
      </w:r>
      <w:r w:rsidRPr="00CF6D93">
        <w:rPr>
          <w:rFonts w:cs="Times"/>
          <w:bCs/>
          <w:color w:val="FF0000"/>
        </w:rPr>
        <w:t>not replace direct interview by the clinician.</w:t>
      </w:r>
      <w:r w:rsidR="00D37AC2" w:rsidRPr="00CF6D93">
        <w:rPr>
          <w:rFonts w:cs="Times"/>
          <w:bCs/>
          <w:color w:val="FF0000"/>
          <w:vertAlign w:val="superscript"/>
        </w:rPr>
        <w:t>87-89</w:t>
      </w:r>
      <w:r w:rsidRPr="00CF6D93">
        <w:rPr>
          <w:rFonts w:cs="Times"/>
          <w:bCs/>
          <w:color w:val="FF0000"/>
        </w:rPr>
        <w:t xml:space="preserve"> </w:t>
      </w:r>
    </w:p>
    <w:p w14:paraId="056AE275" w14:textId="69399FF6" w:rsidR="00F5302D" w:rsidRPr="000B7E25" w:rsidRDefault="00F5302D" w:rsidP="00A35A78">
      <w:pPr>
        <w:autoSpaceDE w:val="0"/>
        <w:autoSpaceDN w:val="0"/>
        <w:adjustRightInd w:val="0"/>
        <w:ind w:left="0" w:firstLine="0"/>
        <w:jc w:val="both"/>
        <w:rPr>
          <w:rFonts w:cs="Times"/>
          <w:bCs/>
          <w:i/>
          <w:color w:val="FF0000"/>
        </w:rPr>
      </w:pPr>
      <w:r w:rsidRPr="000B7E25">
        <w:rPr>
          <w:rFonts w:cs="Times"/>
          <w:bCs/>
          <w:i/>
          <w:color w:val="FF0000"/>
        </w:rPr>
        <w:t>Recommendation 3: The PC clinician should establish relevant</w:t>
      </w:r>
      <w:r w:rsidR="008029E3" w:rsidRPr="000B7E25">
        <w:rPr>
          <w:rFonts w:cs="Times"/>
          <w:bCs/>
          <w:i/>
          <w:color w:val="FF0000"/>
        </w:rPr>
        <w:t xml:space="preserve"> </w:t>
      </w:r>
      <w:r w:rsidRPr="000B7E25">
        <w:rPr>
          <w:rFonts w:cs="Times"/>
          <w:bCs/>
          <w:i/>
          <w:color w:val="FF0000"/>
        </w:rPr>
        <w:t>links/collaboration with mental health</w:t>
      </w:r>
      <w:r w:rsidR="008029E3" w:rsidRPr="000B7E25">
        <w:rPr>
          <w:rFonts w:cs="Times"/>
          <w:bCs/>
          <w:i/>
          <w:color w:val="FF0000"/>
        </w:rPr>
        <w:t xml:space="preserve"> </w:t>
      </w:r>
      <w:r w:rsidRPr="000B7E25">
        <w:rPr>
          <w:rFonts w:cs="Times"/>
          <w:bCs/>
          <w:i/>
          <w:color w:val="FF0000"/>
        </w:rPr>
        <w:t>resources in the community</w:t>
      </w:r>
      <w:r w:rsidR="008029E3" w:rsidRPr="000B7E25">
        <w:rPr>
          <w:rFonts w:cs="Times"/>
          <w:bCs/>
          <w:i/>
          <w:color w:val="FF0000"/>
        </w:rPr>
        <w:t xml:space="preserve"> </w:t>
      </w:r>
      <w:r w:rsidRPr="000B7E25">
        <w:rPr>
          <w:rFonts w:cs="Times"/>
          <w:bCs/>
          <w:i/>
          <w:color w:val="FF0000"/>
        </w:rPr>
        <w:t>(grade of evidence: B; strength of recommendation: very</w:t>
      </w:r>
      <w:r w:rsidR="008029E3" w:rsidRPr="000B7E25">
        <w:rPr>
          <w:rFonts w:cs="Times"/>
          <w:bCs/>
          <w:i/>
          <w:color w:val="FF0000"/>
        </w:rPr>
        <w:t xml:space="preserve"> </w:t>
      </w:r>
      <w:r w:rsidRPr="000B7E25">
        <w:rPr>
          <w:rFonts w:cs="Times"/>
          <w:bCs/>
          <w:i/>
          <w:color w:val="FF0000"/>
        </w:rPr>
        <w:t>strong</w:t>
      </w:r>
      <w:r w:rsidR="002B23AE">
        <w:rPr>
          <w:rFonts w:cs="Times"/>
          <w:bCs/>
          <w:i/>
          <w:color w:val="FF0000"/>
        </w:rPr>
        <w:t>)…</w:t>
      </w:r>
    </w:p>
    <w:p w14:paraId="5BAE6DDB" w14:textId="5B7B3451" w:rsidR="00F5302D" w:rsidRDefault="00F5302D" w:rsidP="00A35A78">
      <w:pPr>
        <w:autoSpaceDE w:val="0"/>
        <w:autoSpaceDN w:val="0"/>
        <w:adjustRightInd w:val="0"/>
        <w:spacing w:after="120"/>
        <w:ind w:left="0" w:firstLine="0"/>
        <w:jc w:val="both"/>
        <w:rPr>
          <w:rFonts w:cs="Times"/>
          <w:bCs/>
          <w:color w:val="FF0000"/>
        </w:rPr>
      </w:pPr>
      <w:r w:rsidRPr="008029E3">
        <w:rPr>
          <w:rFonts w:cs="Times"/>
          <w:bCs/>
          <w:color w:val="FF0000"/>
        </w:rPr>
        <w:t>A major gap in the management of chronic disorders</w:t>
      </w:r>
      <w:r w:rsidR="008029E3">
        <w:rPr>
          <w:rFonts w:cs="Times"/>
          <w:bCs/>
          <w:color w:val="FF0000"/>
        </w:rPr>
        <w:t xml:space="preserve"> </w:t>
      </w:r>
      <w:r w:rsidRPr="008029E3">
        <w:rPr>
          <w:rFonts w:cs="Times"/>
          <w:bCs/>
          <w:color w:val="FF0000"/>
        </w:rPr>
        <w:t>in young people is the lack of linkages between relevant</w:t>
      </w:r>
      <w:r w:rsidR="008029E3">
        <w:rPr>
          <w:rFonts w:cs="Times"/>
          <w:bCs/>
          <w:color w:val="FF0000"/>
        </w:rPr>
        <w:t xml:space="preserve"> </w:t>
      </w:r>
      <w:r w:rsidRPr="008029E3">
        <w:rPr>
          <w:rFonts w:cs="Times"/>
          <w:bCs/>
          <w:color w:val="FF0000"/>
        </w:rPr>
        <w:t>services that make up the system of care for an individual</w:t>
      </w:r>
      <w:r w:rsidR="008029E3">
        <w:rPr>
          <w:rFonts w:cs="Times"/>
          <w:bCs/>
          <w:color w:val="FF0000"/>
        </w:rPr>
        <w:t xml:space="preserve"> </w:t>
      </w:r>
      <w:r w:rsidRPr="008029E3">
        <w:rPr>
          <w:rFonts w:cs="Times"/>
          <w:bCs/>
          <w:color w:val="FF0000"/>
        </w:rPr>
        <w:t>youth.</w:t>
      </w:r>
      <w:r w:rsidR="00D37AC2">
        <w:rPr>
          <w:rFonts w:cs="Times"/>
          <w:bCs/>
          <w:color w:val="FF0000"/>
          <w:vertAlign w:val="superscript"/>
        </w:rPr>
        <w:t>103</w:t>
      </w:r>
      <w:r w:rsidRPr="008029E3">
        <w:rPr>
          <w:rFonts w:cs="Times"/>
          <w:bCs/>
          <w:color w:val="FF0000"/>
        </w:rPr>
        <w:t xml:space="preserve"> Furthermore, family-based interventions</w:t>
      </w:r>
      <w:r w:rsidR="008029E3">
        <w:rPr>
          <w:rFonts w:cs="Times"/>
          <w:bCs/>
          <w:color w:val="FF0000"/>
        </w:rPr>
        <w:t xml:space="preserve"> </w:t>
      </w:r>
      <w:r w:rsidRPr="008029E3">
        <w:rPr>
          <w:rFonts w:cs="Times"/>
          <w:bCs/>
          <w:color w:val="FF0000"/>
        </w:rPr>
        <w:t>have been shown to help youth with mental illness.</w:t>
      </w:r>
      <w:r w:rsidR="00D37AC2">
        <w:rPr>
          <w:rFonts w:cs="Times"/>
          <w:bCs/>
          <w:color w:val="FF0000"/>
          <w:vertAlign w:val="superscript"/>
        </w:rPr>
        <w:t>104</w:t>
      </w:r>
      <w:r w:rsidR="008029E3">
        <w:rPr>
          <w:rFonts w:cs="Times"/>
          <w:bCs/>
          <w:color w:val="FF0000"/>
        </w:rPr>
        <w:t xml:space="preserve"> </w:t>
      </w:r>
      <w:r w:rsidRPr="008029E3">
        <w:rPr>
          <w:rFonts w:cs="Times"/>
          <w:bCs/>
          <w:color w:val="FF0000"/>
        </w:rPr>
        <w:t>Therefore, establishing relevant links/collaboration with</w:t>
      </w:r>
      <w:r w:rsidR="008029E3">
        <w:rPr>
          <w:rFonts w:cs="Times"/>
          <w:bCs/>
          <w:color w:val="FF0000"/>
        </w:rPr>
        <w:t xml:space="preserve"> </w:t>
      </w:r>
      <w:r w:rsidRPr="008029E3">
        <w:rPr>
          <w:rFonts w:cs="Times"/>
          <w:bCs/>
          <w:color w:val="FF0000"/>
        </w:rPr>
        <w:t>mental health resources in the local community, including</w:t>
      </w:r>
      <w:r w:rsidR="008029E3">
        <w:rPr>
          <w:rFonts w:cs="Times"/>
          <w:bCs/>
          <w:color w:val="FF0000"/>
        </w:rPr>
        <w:t xml:space="preserve"> </w:t>
      </w:r>
      <w:r w:rsidRPr="008029E3">
        <w:rPr>
          <w:rFonts w:cs="Times"/>
          <w:bCs/>
          <w:color w:val="FF0000"/>
        </w:rPr>
        <w:t xml:space="preserve">peer support groups, </w:t>
      </w:r>
      <w:r w:rsidRPr="008029E3">
        <w:rPr>
          <w:rFonts w:cs="Times"/>
          <w:bCs/>
          <w:color w:val="FF0000"/>
        </w:rPr>
        <w:lastRenderedPageBreak/>
        <w:t>advocacy groups, and traditional</w:t>
      </w:r>
      <w:r w:rsidR="008029E3">
        <w:rPr>
          <w:rFonts w:cs="Times"/>
          <w:bCs/>
          <w:color w:val="FF0000"/>
        </w:rPr>
        <w:t xml:space="preserve"> </w:t>
      </w:r>
      <w:r w:rsidRPr="008029E3">
        <w:rPr>
          <w:rFonts w:cs="Times"/>
          <w:bCs/>
          <w:color w:val="FF0000"/>
        </w:rPr>
        <w:t>community- or hospital-based mental health services</w:t>
      </w:r>
      <w:r w:rsidR="008029E3">
        <w:rPr>
          <w:rFonts w:cs="Times"/>
          <w:bCs/>
          <w:color w:val="FF0000"/>
        </w:rPr>
        <w:t xml:space="preserve"> </w:t>
      </w:r>
      <w:r w:rsidRPr="008029E3">
        <w:rPr>
          <w:rFonts w:cs="Times"/>
          <w:bCs/>
          <w:color w:val="FF0000"/>
        </w:rPr>
        <w:t>whenever these services are available, is essential</w:t>
      </w:r>
      <w:r w:rsidR="008029E3">
        <w:rPr>
          <w:rFonts w:cs="Times"/>
          <w:bCs/>
          <w:color w:val="FF0000"/>
        </w:rPr>
        <w:t xml:space="preserve"> </w:t>
      </w:r>
      <w:r w:rsidRPr="008029E3">
        <w:rPr>
          <w:rFonts w:cs="Times"/>
          <w:bCs/>
          <w:color w:val="FF0000"/>
        </w:rPr>
        <w:t>to ensure timely and effective access to needed services.</w:t>
      </w:r>
      <w:r w:rsidR="00D37AC2">
        <w:rPr>
          <w:rFonts w:cs="Times"/>
          <w:bCs/>
          <w:color w:val="FF0000"/>
          <w:vertAlign w:val="superscript"/>
        </w:rPr>
        <w:t>8,105</w:t>
      </w:r>
    </w:p>
    <w:p w14:paraId="2B714918" w14:textId="2092F0ED" w:rsidR="0000250A" w:rsidRPr="006B11DA" w:rsidRDefault="002B23AE" w:rsidP="002B23AE">
      <w:pPr>
        <w:pStyle w:val="Pa31"/>
        <w:spacing w:line="240" w:lineRule="auto"/>
        <w:rPr>
          <w:rFonts w:asciiTheme="minorHAnsi" w:hAnsiTheme="minorHAnsi" w:cs="Times"/>
          <w:bCs/>
          <w:color w:val="FF0000"/>
          <w:sz w:val="22"/>
          <w:szCs w:val="22"/>
          <w:u w:val="single"/>
        </w:rPr>
      </w:pPr>
      <w:r w:rsidRPr="006B11DA">
        <w:rPr>
          <w:rFonts w:asciiTheme="minorHAnsi" w:hAnsiTheme="minorHAnsi" w:cs="Times"/>
          <w:bCs/>
          <w:color w:val="FF0000"/>
          <w:sz w:val="22"/>
          <w:szCs w:val="22"/>
          <w:u w:val="single"/>
        </w:rPr>
        <w:t>Treatment and Ongoing Management</w:t>
      </w:r>
    </w:p>
    <w:p w14:paraId="6A94970E" w14:textId="270CDAA7" w:rsidR="002F168E" w:rsidRPr="000B7E25" w:rsidRDefault="0000250A" w:rsidP="00A35A78">
      <w:pPr>
        <w:pStyle w:val="Pa31"/>
        <w:spacing w:line="240" w:lineRule="auto"/>
        <w:jc w:val="both"/>
        <w:rPr>
          <w:rFonts w:asciiTheme="minorHAnsi" w:hAnsiTheme="minorHAnsi" w:cs="Times"/>
          <w:bCs/>
          <w:i/>
          <w:color w:val="FF0000"/>
          <w:sz w:val="22"/>
          <w:szCs w:val="22"/>
        </w:rPr>
      </w:pPr>
      <w:r w:rsidRPr="000B7E25">
        <w:rPr>
          <w:rFonts w:asciiTheme="minorHAnsi" w:hAnsiTheme="minorHAnsi" w:cs="Times"/>
          <w:bCs/>
          <w:i/>
          <w:color w:val="FF0000"/>
          <w:sz w:val="22"/>
          <w:szCs w:val="22"/>
        </w:rPr>
        <w:t>Recommendation 1: Systematic and regular tracking of goals and outcomes from treatment should be performed, including assessment of depressive symptoms and functioning in several key domains: home, school, and peer settings (grade of evidence: D; strength of recommendation: very strong).</w:t>
      </w:r>
      <w:r w:rsidR="002F168E" w:rsidRPr="002B23AE">
        <w:rPr>
          <w:rFonts w:asciiTheme="minorHAnsi" w:hAnsiTheme="minorHAnsi" w:cs="Times"/>
          <w:bCs/>
          <w:i/>
          <w:color w:val="FF0000"/>
          <w:sz w:val="22"/>
          <w:szCs w:val="22"/>
        </w:rPr>
        <w:t xml:space="preserve"> </w:t>
      </w:r>
    </w:p>
    <w:p w14:paraId="6173F077" w14:textId="20876CA5" w:rsidR="002F168E" w:rsidRPr="002B23AE" w:rsidRDefault="0000250A" w:rsidP="00A35A78">
      <w:pPr>
        <w:spacing w:after="120"/>
        <w:ind w:left="0" w:firstLine="0"/>
        <w:jc w:val="both"/>
        <w:rPr>
          <w:rFonts w:cs="Times"/>
          <w:bCs/>
          <w:color w:val="FF0000"/>
        </w:rPr>
      </w:pPr>
      <w:r w:rsidRPr="000B7E25">
        <w:rPr>
          <w:rFonts w:cs="Times"/>
          <w:bCs/>
          <w:color w:val="FF0000"/>
        </w:rPr>
        <w:t>Goals should include both improvement in functioning</w:t>
      </w:r>
      <w:r w:rsidR="000B7E25">
        <w:rPr>
          <w:rFonts w:cs="Times"/>
          <w:bCs/>
          <w:color w:val="FF0000"/>
        </w:rPr>
        <w:t xml:space="preserve"> </w:t>
      </w:r>
      <w:r w:rsidRPr="000B7E25">
        <w:rPr>
          <w:rFonts w:cs="Times"/>
          <w:bCs/>
          <w:color w:val="FF0000"/>
        </w:rPr>
        <w:t>status and re</w:t>
      </w:r>
      <w:r w:rsidR="002C3FA0">
        <w:rPr>
          <w:rFonts w:cs="Times"/>
          <w:bCs/>
          <w:color w:val="FF0000"/>
        </w:rPr>
        <w:t>solution of depressive symptoms…</w:t>
      </w:r>
      <w:r w:rsidRPr="000B7E25">
        <w:rPr>
          <w:rFonts w:cs="Times"/>
          <w:bCs/>
          <w:color w:val="FF0000"/>
        </w:rPr>
        <w:t>Evidence from large RCTs demonstrates</w:t>
      </w:r>
      <w:r w:rsidR="000B7E25">
        <w:rPr>
          <w:rFonts w:cs="Times"/>
          <w:bCs/>
          <w:color w:val="FF0000"/>
        </w:rPr>
        <w:t xml:space="preserve"> </w:t>
      </w:r>
      <w:r w:rsidRPr="000B7E25">
        <w:rPr>
          <w:rFonts w:cs="Times"/>
          <w:bCs/>
          <w:color w:val="FF0000"/>
        </w:rPr>
        <w:t>that depressive symptoms and functional impairments</w:t>
      </w:r>
      <w:r w:rsidR="000B7E25">
        <w:rPr>
          <w:rFonts w:cs="Times"/>
          <w:bCs/>
          <w:color w:val="FF0000"/>
        </w:rPr>
        <w:t xml:space="preserve"> </w:t>
      </w:r>
      <w:r w:rsidRPr="000B7E25">
        <w:rPr>
          <w:rFonts w:cs="Times"/>
          <w:bCs/>
          <w:color w:val="FF0000"/>
        </w:rPr>
        <w:t>may not improve at the same rate with treatment.</w:t>
      </w:r>
      <w:r w:rsidR="00D37AC2">
        <w:rPr>
          <w:rFonts w:cs="Times"/>
          <w:bCs/>
          <w:color w:val="FF0000"/>
          <w:vertAlign w:val="superscript"/>
        </w:rPr>
        <w:t>23,26</w:t>
      </w:r>
      <w:r w:rsidR="00D37AC2">
        <w:rPr>
          <w:rFonts w:cs="Times"/>
          <w:bCs/>
          <w:color w:val="FF0000"/>
        </w:rPr>
        <w:t xml:space="preserve"> </w:t>
      </w:r>
      <w:r w:rsidRPr="00D37AC2">
        <w:rPr>
          <w:rFonts w:cs="Times"/>
          <w:bCs/>
          <w:color w:val="FF0000"/>
        </w:rPr>
        <w:t>Therefore</w:t>
      </w:r>
      <w:r w:rsidRPr="000B7E25">
        <w:rPr>
          <w:rFonts w:cs="Times"/>
          <w:bCs/>
          <w:color w:val="FF0000"/>
        </w:rPr>
        <w:t>, symptoms and functioning should be tracked</w:t>
      </w:r>
      <w:r w:rsidR="000B7E25">
        <w:rPr>
          <w:rFonts w:cs="Times"/>
          <w:bCs/>
          <w:color w:val="FF0000"/>
        </w:rPr>
        <w:t xml:space="preserve"> </w:t>
      </w:r>
      <w:r w:rsidRPr="000B7E25">
        <w:rPr>
          <w:rFonts w:cs="Times"/>
          <w:bCs/>
          <w:color w:val="FF0000"/>
        </w:rPr>
        <w:t>regularly during the course of treatment with information</w:t>
      </w:r>
      <w:r w:rsidR="000B7E25">
        <w:rPr>
          <w:rFonts w:cs="Times"/>
          <w:bCs/>
          <w:color w:val="FF0000"/>
        </w:rPr>
        <w:t xml:space="preserve"> </w:t>
      </w:r>
      <w:r w:rsidRPr="000B7E25">
        <w:rPr>
          <w:rFonts w:cs="Times"/>
          <w:bCs/>
          <w:color w:val="FF0000"/>
        </w:rPr>
        <w:t>gathered from both the patients and their families</w:t>
      </w:r>
      <w:r w:rsidR="000B7E25">
        <w:rPr>
          <w:rFonts w:cs="Times"/>
          <w:bCs/>
          <w:color w:val="FF0000"/>
        </w:rPr>
        <w:t xml:space="preserve"> </w:t>
      </w:r>
      <w:r w:rsidRPr="000B7E25">
        <w:rPr>
          <w:rFonts w:cs="Times"/>
          <w:bCs/>
          <w:color w:val="FF0000"/>
        </w:rPr>
        <w:t>when possible.</w:t>
      </w:r>
      <w:r w:rsidR="000B7E25">
        <w:rPr>
          <w:rFonts w:cs="Times"/>
          <w:bCs/>
          <w:color w:val="FF0000"/>
        </w:rPr>
        <w:t xml:space="preserve"> </w:t>
      </w:r>
      <w:r w:rsidRPr="000B7E25">
        <w:rPr>
          <w:rFonts w:cs="Times"/>
          <w:bCs/>
          <w:color w:val="FF0000"/>
        </w:rPr>
        <w:t>According to expert consensus, patients should be</w:t>
      </w:r>
      <w:r w:rsidR="000B7E25">
        <w:rPr>
          <w:rFonts w:cs="Times"/>
          <w:bCs/>
          <w:color w:val="FF0000"/>
        </w:rPr>
        <w:t xml:space="preserve"> </w:t>
      </w:r>
      <w:r w:rsidRPr="000B7E25">
        <w:rPr>
          <w:rFonts w:cs="Times"/>
          <w:bCs/>
          <w:color w:val="FF0000"/>
        </w:rPr>
        <w:t>seen within 1 week of the initiation of treatment. At</w:t>
      </w:r>
      <w:r w:rsidR="000B7E25">
        <w:rPr>
          <w:rFonts w:cs="Times"/>
          <w:bCs/>
          <w:color w:val="FF0000"/>
        </w:rPr>
        <w:t xml:space="preserve"> </w:t>
      </w:r>
      <w:r w:rsidRPr="000B7E25">
        <w:rPr>
          <w:rFonts w:cs="Times"/>
          <w:bCs/>
          <w:color w:val="FF0000"/>
        </w:rPr>
        <w:t>every visit, clinicians s</w:t>
      </w:r>
      <w:r w:rsidR="00D37AC2">
        <w:rPr>
          <w:rFonts w:cs="Times"/>
          <w:bCs/>
          <w:color w:val="FF0000"/>
        </w:rPr>
        <w:t>hould inquire about ongoing de</w:t>
      </w:r>
      <w:r w:rsidRPr="000B7E25">
        <w:rPr>
          <w:rFonts w:cs="Times"/>
          <w:bCs/>
          <w:color w:val="FF0000"/>
        </w:rPr>
        <w:t>pressive symptoms, risk of suicide, possible adverse effects</w:t>
      </w:r>
      <w:r w:rsidR="000B7E25">
        <w:rPr>
          <w:rFonts w:cs="Times"/>
          <w:bCs/>
          <w:color w:val="FF0000"/>
        </w:rPr>
        <w:t xml:space="preserve"> </w:t>
      </w:r>
      <w:r w:rsidRPr="000B7E25">
        <w:rPr>
          <w:rFonts w:cs="Times"/>
          <w:bCs/>
          <w:color w:val="FF0000"/>
        </w:rPr>
        <w:t>from treatment (including the use of specific adverse-effect scales), adherence to treatment, and new or</w:t>
      </w:r>
      <w:r w:rsidR="000B7E25">
        <w:rPr>
          <w:rFonts w:cs="Times"/>
          <w:bCs/>
          <w:color w:val="FF0000"/>
        </w:rPr>
        <w:t xml:space="preserve"> </w:t>
      </w:r>
      <w:r w:rsidRPr="000B7E25">
        <w:rPr>
          <w:rFonts w:cs="Times"/>
          <w:bCs/>
          <w:color w:val="FF0000"/>
        </w:rPr>
        <w:t>ongoing environmental stressors.</w:t>
      </w:r>
      <w:r w:rsidR="007963A5">
        <w:rPr>
          <w:rFonts w:cs="Times"/>
          <w:bCs/>
          <w:color w:val="FF0000"/>
        </w:rPr>
        <w:t xml:space="preserve"> </w:t>
      </w:r>
      <w:r w:rsidR="00F220BD">
        <w:rPr>
          <w:rFonts w:cs="Times"/>
          <w:bCs/>
          <w:color w:val="FF0000"/>
        </w:rPr>
        <w:t>R</w:t>
      </w:r>
      <w:r w:rsidR="00F220BD" w:rsidRPr="00F220BD">
        <w:rPr>
          <w:rFonts w:cs="Times"/>
          <w:bCs/>
          <w:color w:val="FF0000"/>
        </w:rPr>
        <w:t xml:space="preserve">egardless </w:t>
      </w:r>
      <w:r w:rsidR="00F220BD">
        <w:rPr>
          <w:rFonts w:cs="Times"/>
          <w:bCs/>
          <w:color w:val="FF0000"/>
        </w:rPr>
        <w:t xml:space="preserve">of the length of treatment, all </w:t>
      </w:r>
      <w:r w:rsidR="00F220BD" w:rsidRPr="00F220BD">
        <w:rPr>
          <w:rFonts w:cs="Times"/>
          <w:bCs/>
          <w:color w:val="FF0000"/>
        </w:rPr>
        <w:t>patients should be monitored on a monthly basis for 6 to</w:t>
      </w:r>
      <w:r w:rsidR="007963A5">
        <w:rPr>
          <w:rFonts w:cs="Times"/>
          <w:bCs/>
          <w:color w:val="FF0000"/>
        </w:rPr>
        <w:t xml:space="preserve"> </w:t>
      </w:r>
      <w:r w:rsidR="00F220BD" w:rsidRPr="00F220BD">
        <w:rPr>
          <w:rFonts w:cs="Times"/>
          <w:bCs/>
          <w:color w:val="FF0000"/>
        </w:rPr>
        <w:t>12 months after the full resolution of symptoms.</w:t>
      </w:r>
      <w:r w:rsidR="00F220BD">
        <w:rPr>
          <w:rFonts w:cs="Times"/>
          <w:bCs/>
          <w:color w:val="FF0000"/>
          <w:vertAlign w:val="superscript"/>
        </w:rPr>
        <w:t>19</w:t>
      </w:r>
      <w:r w:rsidR="00F220BD" w:rsidRPr="00F220BD">
        <w:rPr>
          <w:rFonts w:cs="Times"/>
          <w:bCs/>
          <w:color w:val="FF0000"/>
        </w:rPr>
        <w:t xml:space="preserve"> </w:t>
      </w:r>
    </w:p>
    <w:p w14:paraId="0C310966" w14:textId="71092382" w:rsidR="0000250A" w:rsidRPr="000B7E25" w:rsidRDefault="0000250A" w:rsidP="00A35A78">
      <w:pPr>
        <w:ind w:left="0" w:firstLine="0"/>
        <w:jc w:val="both"/>
        <w:rPr>
          <w:rFonts w:cs="Times"/>
          <w:bCs/>
          <w:i/>
          <w:color w:val="FF0000"/>
        </w:rPr>
      </w:pPr>
      <w:r w:rsidRPr="000B7E25">
        <w:rPr>
          <w:rFonts w:cs="Times"/>
          <w:bCs/>
          <w:i/>
          <w:color w:val="FF0000"/>
        </w:rPr>
        <w:t>Recommendation 4: PC clinicians should actively support depressed</w:t>
      </w:r>
      <w:r w:rsidR="000B7E25" w:rsidRPr="000B7E25">
        <w:rPr>
          <w:rFonts w:cs="Times"/>
          <w:bCs/>
          <w:i/>
          <w:color w:val="FF0000"/>
        </w:rPr>
        <w:t xml:space="preserve"> </w:t>
      </w:r>
      <w:r w:rsidRPr="000B7E25">
        <w:rPr>
          <w:rFonts w:cs="Times"/>
          <w:bCs/>
          <w:i/>
          <w:color w:val="FF0000"/>
        </w:rPr>
        <w:t>adolescents who are referred to</w:t>
      </w:r>
      <w:r w:rsidR="000B7E25" w:rsidRPr="000B7E25">
        <w:rPr>
          <w:rFonts w:cs="Times"/>
          <w:bCs/>
          <w:i/>
          <w:color w:val="FF0000"/>
        </w:rPr>
        <w:t xml:space="preserve"> </w:t>
      </w:r>
      <w:r w:rsidRPr="000B7E25">
        <w:rPr>
          <w:rFonts w:cs="Times"/>
          <w:bCs/>
          <w:i/>
          <w:color w:val="FF0000"/>
        </w:rPr>
        <w:t>mental health to ensure</w:t>
      </w:r>
      <w:r w:rsidR="000B7E25" w:rsidRPr="000B7E25">
        <w:rPr>
          <w:rFonts w:cs="Times"/>
          <w:bCs/>
          <w:i/>
          <w:color w:val="FF0000"/>
        </w:rPr>
        <w:t xml:space="preserve"> </w:t>
      </w:r>
      <w:r w:rsidRPr="000B7E25">
        <w:rPr>
          <w:rFonts w:cs="Times"/>
          <w:bCs/>
          <w:i/>
          <w:color w:val="FF0000"/>
        </w:rPr>
        <w:t>adequate management (grade of evidence: D; strength of recommendation:</w:t>
      </w:r>
    </w:p>
    <w:p w14:paraId="0FE07832" w14:textId="40318459" w:rsidR="0000250A" w:rsidRPr="000B7E25" w:rsidRDefault="0000250A" w:rsidP="00A35A78">
      <w:pPr>
        <w:ind w:left="0" w:firstLine="0"/>
        <w:jc w:val="both"/>
        <w:rPr>
          <w:rFonts w:cs="Times"/>
          <w:bCs/>
          <w:i/>
          <w:color w:val="FF0000"/>
        </w:rPr>
      </w:pPr>
      <w:r w:rsidRPr="000B7E25">
        <w:rPr>
          <w:rFonts w:cs="Times"/>
          <w:bCs/>
          <w:i/>
          <w:color w:val="FF0000"/>
        </w:rPr>
        <w:t>very strong).</w:t>
      </w:r>
      <w:r w:rsidR="002B23AE">
        <w:rPr>
          <w:rFonts w:cs="Times"/>
          <w:bCs/>
          <w:i/>
          <w:color w:val="FF0000"/>
        </w:rPr>
        <w:t xml:space="preserve"> </w:t>
      </w:r>
      <w:r w:rsidR="002B23AE" w:rsidRPr="002B23AE">
        <w:rPr>
          <w:rFonts w:cs="Times"/>
          <w:bCs/>
          <w:i/>
          <w:color w:val="FF0000"/>
        </w:rPr>
        <w:t>PC clinicians may also consider</w:t>
      </w:r>
      <w:r w:rsidR="002B23AE">
        <w:rPr>
          <w:rFonts w:cs="Times"/>
          <w:bCs/>
          <w:i/>
          <w:color w:val="FF0000"/>
        </w:rPr>
        <w:t xml:space="preserve"> </w:t>
      </w:r>
      <w:r w:rsidR="002B23AE" w:rsidRPr="002B23AE">
        <w:rPr>
          <w:rFonts w:cs="Times"/>
          <w:bCs/>
          <w:i/>
          <w:color w:val="FF0000"/>
        </w:rPr>
        <w:t>sharing care with mental health agencies/professionals when</w:t>
      </w:r>
      <w:r w:rsidR="002B23AE">
        <w:rPr>
          <w:rFonts w:cs="Times"/>
          <w:bCs/>
          <w:i/>
          <w:color w:val="FF0000"/>
        </w:rPr>
        <w:t xml:space="preserve"> </w:t>
      </w:r>
      <w:r w:rsidR="002B23AE" w:rsidRPr="002B23AE">
        <w:rPr>
          <w:rFonts w:cs="Times"/>
          <w:bCs/>
          <w:i/>
          <w:color w:val="FF0000"/>
        </w:rPr>
        <w:t>possible (grade of evidence: B; strength of recommendation: very</w:t>
      </w:r>
      <w:r w:rsidR="002B23AE">
        <w:rPr>
          <w:rFonts w:cs="Times"/>
          <w:bCs/>
          <w:i/>
          <w:color w:val="FF0000"/>
        </w:rPr>
        <w:t xml:space="preserve"> </w:t>
      </w:r>
      <w:r w:rsidR="002B23AE" w:rsidRPr="002B23AE">
        <w:rPr>
          <w:rFonts w:cs="Times"/>
          <w:bCs/>
          <w:i/>
          <w:color w:val="FF0000"/>
        </w:rPr>
        <w:t>strong). Appropriate roles and responsibilities regarding the</w:t>
      </w:r>
      <w:r w:rsidR="002B23AE">
        <w:rPr>
          <w:rFonts w:cs="Times"/>
          <w:bCs/>
          <w:i/>
          <w:color w:val="FF0000"/>
        </w:rPr>
        <w:t xml:space="preserve"> </w:t>
      </w:r>
      <w:r w:rsidR="002B23AE" w:rsidRPr="002B23AE">
        <w:rPr>
          <w:rFonts w:cs="Times"/>
          <w:bCs/>
          <w:i/>
          <w:color w:val="FF0000"/>
        </w:rPr>
        <w:t>provision and coordination of care should be communicated</w:t>
      </w:r>
      <w:r w:rsidR="002B23AE">
        <w:rPr>
          <w:rFonts w:cs="Times"/>
          <w:bCs/>
          <w:i/>
          <w:color w:val="FF0000"/>
        </w:rPr>
        <w:t xml:space="preserve"> </w:t>
      </w:r>
      <w:r w:rsidR="002B23AE" w:rsidRPr="002B23AE">
        <w:rPr>
          <w:rFonts w:cs="Times"/>
          <w:bCs/>
          <w:i/>
          <w:color w:val="FF0000"/>
        </w:rPr>
        <w:t>and agreed upon by the PC clinician and the mental health</w:t>
      </w:r>
      <w:r w:rsidR="002B23AE">
        <w:rPr>
          <w:rFonts w:cs="Times"/>
          <w:bCs/>
          <w:i/>
          <w:color w:val="FF0000"/>
        </w:rPr>
        <w:t xml:space="preserve"> </w:t>
      </w:r>
      <w:r w:rsidR="002B23AE" w:rsidRPr="002B23AE">
        <w:rPr>
          <w:rFonts w:cs="Times"/>
          <w:bCs/>
          <w:i/>
          <w:color w:val="FF0000"/>
        </w:rPr>
        <w:t>specialist (grade of evidence: D; strength of</w:t>
      </w:r>
      <w:r w:rsidR="002B23AE">
        <w:rPr>
          <w:rFonts w:cs="Times"/>
          <w:bCs/>
          <w:i/>
          <w:color w:val="FF0000"/>
        </w:rPr>
        <w:t xml:space="preserve"> </w:t>
      </w:r>
      <w:r w:rsidR="002B23AE" w:rsidRPr="002B23AE">
        <w:rPr>
          <w:rFonts w:cs="Times"/>
          <w:bCs/>
          <w:i/>
          <w:color w:val="FF0000"/>
        </w:rPr>
        <w:t>recommendation:</w:t>
      </w:r>
      <w:r w:rsidR="002B23AE">
        <w:rPr>
          <w:rFonts w:cs="Times"/>
          <w:bCs/>
          <w:i/>
          <w:color w:val="FF0000"/>
        </w:rPr>
        <w:t xml:space="preserve"> </w:t>
      </w:r>
      <w:r w:rsidR="002B23AE" w:rsidRPr="002B23AE">
        <w:rPr>
          <w:rFonts w:cs="Times"/>
          <w:bCs/>
          <w:i/>
          <w:color w:val="FF0000"/>
        </w:rPr>
        <w:t>very strong).</w:t>
      </w:r>
    </w:p>
    <w:p w14:paraId="7223E8CF" w14:textId="3E00A55A" w:rsidR="0000250A" w:rsidRPr="000B7E25" w:rsidRDefault="0000250A" w:rsidP="00A35A78">
      <w:pPr>
        <w:spacing w:after="120"/>
        <w:ind w:left="0" w:firstLine="0"/>
        <w:jc w:val="both"/>
        <w:rPr>
          <w:rFonts w:cs="Times"/>
          <w:bCs/>
          <w:color w:val="FF0000"/>
        </w:rPr>
      </w:pPr>
      <w:r w:rsidRPr="000B7E25">
        <w:rPr>
          <w:rFonts w:cs="Times"/>
          <w:bCs/>
          <w:color w:val="FF0000"/>
        </w:rPr>
        <w:t>PC clinicians should continue follow-up with adolescents</w:t>
      </w:r>
      <w:r w:rsidR="000B7E25">
        <w:rPr>
          <w:rFonts w:cs="Times"/>
          <w:bCs/>
          <w:color w:val="FF0000"/>
        </w:rPr>
        <w:t xml:space="preserve"> </w:t>
      </w:r>
      <w:r w:rsidRPr="000B7E25">
        <w:rPr>
          <w:rFonts w:cs="Times"/>
          <w:bCs/>
          <w:color w:val="FF0000"/>
        </w:rPr>
        <w:t>with depression who have been referred to mental</w:t>
      </w:r>
      <w:r w:rsidR="000B7E25">
        <w:rPr>
          <w:rFonts w:cs="Times"/>
          <w:bCs/>
          <w:color w:val="FF0000"/>
        </w:rPr>
        <w:t xml:space="preserve"> </w:t>
      </w:r>
      <w:r w:rsidRPr="000B7E25">
        <w:rPr>
          <w:rFonts w:cs="Times"/>
          <w:bCs/>
          <w:color w:val="FF0000"/>
        </w:rPr>
        <w:t xml:space="preserve">health services for assessment and/or </w:t>
      </w:r>
      <w:r w:rsidRPr="002B23AE">
        <w:rPr>
          <w:rFonts w:cs="Times"/>
          <w:bCs/>
          <w:color w:val="FF0000"/>
        </w:rPr>
        <w:t>management.</w:t>
      </w:r>
      <w:r w:rsidR="000B7E25" w:rsidRPr="002B23AE">
        <w:rPr>
          <w:rFonts w:cs="Times"/>
          <w:bCs/>
          <w:color w:val="FF0000"/>
        </w:rPr>
        <w:t xml:space="preserve"> </w:t>
      </w:r>
      <w:r w:rsidRPr="002B23AE">
        <w:rPr>
          <w:rFonts w:cs="Times"/>
          <w:bCs/>
          <w:color w:val="FF0000"/>
        </w:rPr>
        <w:t>When possible, PC clinicians may consider sharing management</w:t>
      </w:r>
      <w:r w:rsidR="000B7E25" w:rsidRPr="002B23AE">
        <w:rPr>
          <w:rFonts w:cs="Times"/>
          <w:bCs/>
          <w:color w:val="FF0000"/>
        </w:rPr>
        <w:t xml:space="preserve"> </w:t>
      </w:r>
      <w:r w:rsidRPr="002B23AE">
        <w:rPr>
          <w:rFonts w:cs="Times"/>
          <w:bCs/>
          <w:color w:val="FF0000"/>
        </w:rPr>
        <w:t>of depressed adolescents with mental health</w:t>
      </w:r>
      <w:r w:rsidR="000B7E25" w:rsidRPr="002B23AE">
        <w:rPr>
          <w:rFonts w:cs="Times"/>
          <w:bCs/>
          <w:color w:val="FF0000"/>
        </w:rPr>
        <w:t xml:space="preserve"> </w:t>
      </w:r>
      <w:r w:rsidRPr="002B23AE">
        <w:rPr>
          <w:rFonts w:cs="Times"/>
          <w:bCs/>
          <w:color w:val="FF0000"/>
        </w:rPr>
        <w:t>agencies/professionals. There is emerging evidence from</w:t>
      </w:r>
      <w:r w:rsidR="000B7E25" w:rsidRPr="002B23AE">
        <w:rPr>
          <w:rFonts w:cs="Times"/>
          <w:bCs/>
          <w:color w:val="FF0000"/>
        </w:rPr>
        <w:t xml:space="preserve"> </w:t>
      </w:r>
      <w:r w:rsidRPr="002B23AE">
        <w:rPr>
          <w:rFonts w:cs="Times"/>
          <w:bCs/>
          <w:color w:val="FF0000"/>
        </w:rPr>
        <w:t>the adult literature about the greater effectiveness of</w:t>
      </w:r>
      <w:r w:rsidR="000B7E25" w:rsidRPr="002B23AE">
        <w:rPr>
          <w:rFonts w:cs="Times"/>
          <w:bCs/>
          <w:color w:val="FF0000"/>
        </w:rPr>
        <w:t xml:space="preserve"> </w:t>
      </w:r>
      <w:r w:rsidRPr="002B23AE">
        <w:rPr>
          <w:rFonts w:cs="Times"/>
          <w:bCs/>
          <w:color w:val="FF0000"/>
        </w:rPr>
        <w:t>“shared-care” models for the management of depression</w:t>
      </w:r>
      <w:r w:rsidR="000B7E25" w:rsidRPr="002B23AE">
        <w:rPr>
          <w:rFonts w:cs="Times"/>
          <w:bCs/>
          <w:color w:val="FF0000"/>
        </w:rPr>
        <w:t xml:space="preserve"> </w:t>
      </w:r>
      <w:r w:rsidRPr="002B23AE">
        <w:rPr>
          <w:rFonts w:cs="Times"/>
          <w:bCs/>
          <w:color w:val="FF0000"/>
        </w:rPr>
        <w:t>in the PC setting.</w:t>
      </w:r>
      <w:r w:rsidR="00D37AC2">
        <w:rPr>
          <w:rFonts w:cs="Times"/>
          <w:bCs/>
          <w:color w:val="FF0000"/>
          <w:vertAlign w:val="superscript"/>
        </w:rPr>
        <w:t>67-72,79-81</w:t>
      </w:r>
      <w:r w:rsidRPr="002B23AE">
        <w:rPr>
          <w:rFonts w:cs="Times"/>
          <w:bCs/>
          <w:color w:val="FF0000"/>
        </w:rPr>
        <w:t xml:space="preserve"> Similar</w:t>
      </w:r>
      <w:r w:rsidRPr="000B7E25">
        <w:rPr>
          <w:rFonts w:cs="Times"/>
          <w:bCs/>
          <w:color w:val="FF0000"/>
        </w:rPr>
        <w:t xml:space="preserve"> evidence from case</w:t>
      </w:r>
      <w:r w:rsidR="000B7E25">
        <w:rPr>
          <w:rFonts w:cs="Times"/>
          <w:bCs/>
          <w:color w:val="FF0000"/>
        </w:rPr>
        <w:t xml:space="preserve"> </w:t>
      </w:r>
      <w:r w:rsidRPr="000B7E25">
        <w:rPr>
          <w:rFonts w:cs="Times"/>
          <w:bCs/>
          <w:color w:val="FF0000"/>
        </w:rPr>
        <w:t>reports in the pediatric literature is emerging.</w:t>
      </w:r>
      <w:r w:rsidR="00D37AC2">
        <w:rPr>
          <w:rFonts w:cs="Times"/>
          <w:bCs/>
          <w:color w:val="FF0000"/>
          <w:vertAlign w:val="superscript"/>
        </w:rPr>
        <w:t>82</w:t>
      </w:r>
    </w:p>
    <w:p w14:paraId="4775D330"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4A5B0C6B" w14:textId="77777777" w:rsidR="00CF6D93" w:rsidRPr="006B11DA" w:rsidRDefault="00CF6D93" w:rsidP="00265702">
      <w:pPr>
        <w:ind w:left="0" w:firstLine="0"/>
      </w:pPr>
      <w:r w:rsidRPr="006B11DA">
        <w:t>Adults:</w:t>
      </w:r>
    </w:p>
    <w:p w14:paraId="0E33A910" w14:textId="4B48FE92" w:rsidR="00F32136" w:rsidRDefault="008955B9" w:rsidP="00265702">
      <w:pPr>
        <w:ind w:left="0" w:firstLine="0"/>
      </w:pPr>
      <w:r>
        <w:t xml:space="preserve">Overall review of the evidence in two areas of this </w:t>
      </w:r>
      <w:r w:rsidR="00BE3591">
        <w:t xml:space="preserve">extensive </w:t>
      </w:r>
      <w:r>
        <w:t>guidelin</w:t>
      </w:r>
      <w:r w:rsidR="00BE3591">
        <w:t xml:space="preserve">e demonstrate strong recommendations for both a collaborative care model approach to improve patient outcomes and a key clinical process of establishing and maintaining follow-up with adult patients with depression.  </w:t>
      </w:r>
      <w:r w:rsidR="004B68C1">
        <w:t xml:space="preserve">Collaborative care models demonstrate a high quality rating of evidence and strong recommendations for use in clinical practices.  </w:t>
      </w:r>
      <w:r w:rsidR="00644139">
        <w:t>Additionally, s</w:t>
      </w:r>
      <w:r w:rsidR="005E34B3">
        <w:t xml:space="preserve">upport for the impact of collaborative care models in the treatment of depression is demonstrated by Cochrane review </w:t>
      </w:r>
      <w:r w:rsidR="005E34B3" w:rsidRPr="005E34B3">
        <w:t>noted</w:t>
      </w:r>
      <w:r w:rsidR="00644139">
        <w:t xml:space="preserve"> briefly </w:t>
      </w:r>
      <w:r w:rsidR="00AA1E56">
        <w:t xml:space="preserve">in 1a.6.  In this review, </w:t>
      </w:r>
      <w:r w:rsidR="004B68C1" w:rsidRPr="005E34B3">
        <w:t>which cont</w:t>
      </w:r>
      <w:r w:rsidR="005E34B3">
        <w:t>ained 47 random control trial</w:t>
      </w:r>
      <w:r w:rsidR="00C77889">
        <w:t>s</w:t>
      </w:r>
      <w:r w:rsidR="005E34B3">
        <w:t xml:space="preserve"> measuring depression outcomes with patient reported outcome </w:t>
      </w:r>
      <w:r w:rsidR="00AA1E56">
        <w:t>tools,</w:t>
      </w:r>
      <w:r w:rsidR="00C77889">
        <w:t xml:space="preserve"> 26 (55%) used the PHQ-9 either for measuring depression outcomes or for denominator criteria for inclusion.</w:t>
      </w:r>
      <w:r w:rsidR="004B68C1">
        <w:t xml:space="preserve">  </w:t>
      </w:r>
      <w:r w:rsidR="00BE3591">
        <w:t xml:space="preserve">While the overall categorization of evidence for the recommendation to establish a follow-up plan and the use of the PHQ-9 patient reported outcome tool as a means to monitor and manage the patient has a low quality rating, it comes with several high quality evidence studies and a strong recommendation </w:t>
      </w:r>
      <w:r w:rsidR="006A3C62">
        <w:t xml:space="preserve">(evidence consistently demonstrates benefit outweighs harm) </w:t>
      </w:r>
      <w:r w:rsidR="00BE3591">
        <w:t>f</w:t>
      </w:r>
      <w:r w:rsidR="00AA1E56">
        <w:t>or its use in clinical practice</w:t>
      </w:r>
      <w:r w:rsidR="004B68C1">
        <w:t xml:space="preserve"> (pg. 5).</w:t>
      </w:r>
    </w:p>
    <w:p w14:paraId="112E1112" w14:textId="77777777" w:rsidR="00F32136" w:rsidRDefault="00F32136" w:rsidP="00A35A78">
      <w:pPr>
        <w:spacing w:before="120"/>
        <w:ind w:left="0" w:firstLine="0"/>
      </w:pPr>
      <w:r>
        <w:t>Rationale for Use of GRADE:</w:t>
      </w:r>
    </w:p>
    <w:p w14:paraId="2F51A633" w14:textId="77777777" w:rsidR="00F32136" w:rsidRDefault="00F32136" w:rsidP="006B11DA">
      <w:pPr>
        <w:ind w:left="0" w:firstLine="0"/>
      </w:pPr>
      <w:r>
        <w:lastRenderedPageBreak/>
        <w:t xml:space="preserve">ICSI Guideline for Adult Depression in Primary Care utilizes the GRADE methodology for literature review.  </w:t>
      </w:r>
    </w:p>
    <w:p w14:paraId="6A61B104" w14:textId="44BD1D90" w:rsidR="00F32136" w:rsidRPr="004F0F90" w:rsidRDefault="00F32136" w:rsidP="006B11DA">
      <w:pPr>
        <w:pStyle w:val="Default"/>
        <w:ind w:right="600"/>
        <w:jc w:val="both"/>
        <w:rPr>
          <w:rFonts w:asciiTheme="minorHAnsi" w:hAnsiTheme="minorHAnsi"/>
          <w:sz w:val="22"/>
          <w:szCs w:val="22"/>
        </w:rPr>
      </w:pPr>
      <w:r w:rsidRPr="004F0F90">
        <w:rPr>
          <w:rStyle w:val="A10"/>
          <w:rFonts w:asciiTheme="minorHAnsi" w:hAnsiTheme="minorHAnsi"/>
          <w:sz w:val="22"/>
          <w:szCs w:val="22"/>
        </w:rPr>
        <w:t>GRADE has advantages over other systems including the current system us</w:t>
      </w:r>
      <w:r w:rsidR="00DB5135">
        <w:rPr>
          <w:rStyle w:val="A10"/>
          <w:rFonts w:asciiTheme="minorHAnsi" w:hAnsiTheme="minorHAnsi"/>
          <w:sz w:val="22"/>
          <w:szCs w:val="22"/>
        </w:rPr>
        <w:t>ed by ICSI. Advantages include</w:t>
      </w:r>
    </w:p>
    <w:p w14:paraId="40D0D306" w14:textId="77777777" w:rsidR="00F32136" w:rsidRPr="004F0F90" w:rsidRDefault="00F32136" w:rsidP="00F32136">
      <w:pPr>
        <w:pStyle w:val="Pa21"/>
        <w:numPr>
          <w:ilvl w:val="0"/>
          <w:numId w:val="20"/>
        </w:numPr>
        <w:spacing w:line="240" w:lineRule="auto"/>
        <w:ind w:right="600"/>
        <w:jc w:val="both"/>
        <w:rPr>
          <w:rFonts w:asciiTheme="minorHAnsi" w:hAnsiTheme="minorHAnsi" w:cs="Times"/>
          <w:color w:val="000000"/>
          <w:sz w:val="22"/>
          <w:szCs w:val="22"/>
        </w:rPr>
      </w:pPr>
      <w:r w:rsidRPr="004F0F90">
        <w:rPr>
          <w:rStyle w:val="A10"/>
          <w:rFonts w:asciiTheme="minorHAnsi" w:hAnsiTheme="minorHAnsi"/>
          <w:sz w:val="22"/>
          <w:szCs w:val="22"/>
        </w:rPr>
        <w:t>developed by a widely representative group of international guideline developers;</w:t>
      </w:r>
    </w:p>
    <w:p w14:paraId="263C6E97" w14:textId="77777777" w:rsidR="00F32136" w:rsidRPr="004F0F90" w:rsidRDefault="00F32136" w:rsidP="00F32136">
      <w:pPr>
        <w:pStyle w:val="Pa21"/>
        <w:numPr>
          <w:ilvl w:val="0"/>
          <w:numId w:val="20"/>
        </w:numPr>
        <w:spacing w:line="240" w:lineRule="auto"/>
        <w:ind w:right="600"/>
        <w:jc w:val="both"/>
        <w:rPr>
          <w:rFonts w:asciiTheme="minorHAnsi" w:hAnsiTheme="minorHAnsi" w:cs="Times"/>
          <w:color w:val="000000"/>
          <w:sz w:val="22"/>
          <w:szCs w:val="22"/>
        </w:rPr>
      </w:pPr>
      <w:r w:rsidRPr="004F0F90">
        <w:rPr>
          <w:rStyle w:val="A10"/>
          <w:rFonts w:asciiTheme="minorHAnsi" w:hAnsiTheme="minorHAnsi"/>
          <w:sz w:val="22"/>
          <w:szCs w:val="22"/>
        </w:rPr>
        <w:t>explicit and comprehensive criteria for downgrading and upgrading quality of evidence ratings;</w:t>
      </w:r>
    </w:p>
    <w:p w14:paraId="776B4F6C" w14:textId="77777777" w:rsidR="00F32136" w:rsidRPr="004F0F90" w:rsidRDefault="00F32136" w:rsidP="00F32136">
      <w:pPr>
        <w:pStyle w:val="Pa21"/>
        <w:numPr>
          <w:ilvl w:val="0"/>
          <w:numId w:val="20"/>
        </w:numPr>
        <w:spacing w:line="240" w:lineRule="auto"/>
        <w:ind w:right="600"/>
        <w:jc w:val="both"/>
        <w:rPr>
          <w:rFonts w:asciiTheme="minorHAnsi" w:hAnsiTheme="minorHAnsi" w:cs="Times"/>
          <w:color w:val="000000"/>
          <w:sz w:val="22"/>
          <w:szCs w:val="22"/>
        </w:rPr>
      </w:pPr>
      <w:r w:rsidRPr="004F0F90">
        <w:rPr>
          <w:rStyle w:val="A10"/>
          <w:rFonts w:asciiTheme="minorHAnsi" w:hAnsiTheme="minorHAnsi"/>
          <w:sz w:val="22"/>
          <w:szCs w:val="22"/>
        </w:rPr>
        <w:t>clear separation between quality of evidence and strength of recommendations that includes a transparent process of moving from evidence evaluation to recommendations;</w:t>
      </w:r>
    </w:p>
    <w:p w14:paraId="6AD2E7C1" w14:textId="77777777" w:rsidR="00F32136" w:rsidRPr="004F0F90" w:rsidRDefault="00F32136" w:rsidP="00F32136">
      <w:pPr>
        <w:pStyle w:val="Pa21"/>
        <w:numPr>
          <w:ilvl w:val="0"/>
          <w:numId w:val="20"/>
        </w:numPr>
        <w:spacing w:line="240" w:lineRule="auto"/>
        <w:ind w:right="600"/>
        <w:jc w:val="both"/>
        <w:rPr>
          <w:rFonts w:asciiTheme="minorHAnsi" w:hAnsiTheme="minorHAnsi" w:cs="Times"/>
          <w:color w:val="000000"/>
          <w:sz w:val="22"/>
          <w:szCs w:val="22"/>
        </w:rPr>
      </w:pPr>
      <w:r w:rsidRPr="004F0F90">
        <w:rPr>
          <w:rStyle w:val="A10"/>
          <w:rFonts w:asciiTheme="minorHAnsi" w:hAnsiTheme="minorHAnsi"/>
          <w:sz w:val="22"/>
          <w:szCs w:val="22"/>
        </w:rPr>
        <w:t>clear, pragmatic interpretations of strong versus weak recommendations for clinicians, patients and policy-makers;</w:t>
      </w:r>
    </w:p>
    <w:p w14:paraId="3811CB54" w14:textId="77777777" w:rsidR="00F32136" w:rsidRPr="004F0F90" w:rsidRDefault="00F32136" w:rsidP="00F32136">
      <w:pPr>
        <w:pStyle w:val="Pa21"/>
        <w:numPr>
          <w:ilvl w:val="0"/>
          <w:numId w:val="20"/>
        </w:numPr>
        <w:spacing w:line="240" w:lineRule="auto"/>
        <w:ind w:right="600"/>
        <w:jc w:val="both"/>
        <w:rPr>
          <w:rFonts w:asciiTheme="minorHAnsi" w:hAnsiTheme="minorHAnsi" w:cs="Times"/>
          <w:color w:val="000000"/>
          <w:sz w:val="22"/>
          <w:szCs w:val="22"/>
        </w:rPr>
      </w:pPr>
      <w:r w:rsidRPr="004F0F90">
        <w:rPr>
          <w:rStyle w:val="A10"/>
          <w:rFonts w:asciiTheme="minorHAnsi" w:hAnsiTheme="minorHAnsi"/>
          <w:sz w:val="22"/>
          <w:szCs w:val="22"/>
        </w:rPr>
        <w:t>explicit acknowledgement of values and preferences; and</w:t>
      </w:r>
    </w:p>
    <w:p w14:paraId="563D19D6" w14:textId="7D2FE148" w:rsidR="00B74F30" w:rsidRPr="00CF029F" w:rsidRDefault="00F32136" w:rsidP="00CF029F">
      <w:pPr>
        <w:pStyle w:val="ListParagraph"/>
        <w:numPr>
          <w:ilvl w:val="0"/>
          <w:numId w:val="20"/>
        </w:numPr>
        <w:spacing w:after="0" w:line="240" w:lineRule="auto"/>
      </w:pPr>
      <w:r w:rsidRPr="00B74F30">
        <w:rPr>
          <w:rStyle w:val="A10"/>
          <w:sz w:val="22"/>
          <w:szCs w:val="22"/>
        </w:rPr>
        <w:t>explicit evaluation of the importance of outcomes of alternative management strategies.</w:t>
      </w:r>
    </w:p>
    <w:tbl>
      <w:tblPr>
        <w:tblStyle w:val="TableGrid"/>
        <w:tblW w:w="5000" w:type="pct"/>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29" w:type="dxa"/>
          <w:right w:w="29" w:type="dxa"/>
        </w:tblCellMar>
        <w:tblLook w:val="04A0" w:firstRow="1" w:lastRow="0" w:firstColumn="1" w:lastColumn="0" w:noHBand="0" w:noVBand="1"/>
      </w:tblPr>
      <w:tblGrid>
        <w:gridCol w:w="970"/>
        <w:gridCol w:w="2442"/>
        <w:gridCol w:w="2790"/>
        <w:gridCol w:w="3142"/>
      </w:tblGrid>
      <w:tr w:rsidR="00CF029F" w:rsidRPr="00B74F30" w14:paraId="295ABEA9" w14:textId="77777777" w:rsidTr="00CF029F">
        <w:trPr>
          <w:tblHeader/>
          <w:tblCellSpacing w:w="14" w:type="dxa"/>
        </w:trPr>
        <w:tc>
          <w:tcPr>
            <w:tcW w:w="928" w:type="dxa"/>
          </w:tcPr>
          <w:p w14:paraId="011501A2" w14:textId="77777777" w:rsidR="00B74F30" w:rsidRPr="00B74F30" w:rsidRDefault="00B74F30" w:rsidP="00265702">
            <w:pPr>
              <w:ind w:left="0" w:firstLine="0"/>
              <w:rPr>
                <w:rFonts w:ascii="Calibri" w:hAnsi="Calibri"/>
                <w:sz w:val="18"/>
                <w:szCs w:val="18"/>
              </w:rPr>
            </w:pPr>
            <w:r w:rsidRPr="00B74F30">
              <w:rPr>
                <w:rFonts w:ascii="Calibri" w:hAnsi="Calibri" w:cs="Times"/>
                <w:b/>
                <w:bCs/>
                <w:color w:val="000000"/>
                <w:sz w:val="18"/>
                <w:szCs w:val="18"/>
              </w:rPr>
              <w:t>Category</w:t>
            </w:r>
          </w:p>
        </w:tc>
        <w:tc>
          <w:tcPr>
            <w:tcW w:w="2414" w:type="dxa"/>
          </w:tcPr>
          <w:p w14:paraId="1DEC63FE" w14:textId="77777777" w:rsidR="00B74F30" w:rsidRPr="00B74F30" w:rsidRDefault="00B74F30" w:rsidP="00265702">
            <w:pPr>
              <w:ind w:left="0" w:firstLine="0"/>
              <w:rPr>
                <w:rFonts w:ascii="Calibri" w:hAnsi="Calibri"/>
                <w:sz w:val="18"/>
                <w:szCs w:val="18"/>
              </w:rPr>
            </w:pPr>
            <w:r w:rsidRPr="00B74F30">
              <w:rPr>
                <w:rFonts w:ascii="Calibri" w:hAnsi="Calibri" w:cs="Times"/>
                <w:b/>
                <w:bCs/>
                <w:color w:val="000000"/>
                <w:sz w:val="18"/>
                <w:szCs w:val="18"/>
              </w:rPr>
              <w:t>Quality Definitions</w:t>
            </w:r>
          </w:p>
        </w:tc>
        <w:tc>
          <w:tcPr>
            <w:tcW w:w="2762" w:type="dxa"/>
          </w:tcPr>
          <w:p w14:paraId="10C4CD56" w14:textId="77777777" w:rsidR="00B74F30" w:rsidRPr="00B74F30" w:rsidRDefault="00B74F30" w:rsidP="00265702">
            <w:pPr>
              <w:ind w:left="0" w:firstLine="0"/>
              <w:rPr>
                <w:rFonts w:ascii="Calibri" w:hAnsi="Calibri"/>
                <w:sz w:val="18"/>
                <w:szCs w:val="18"/>
              </w:rPr>
            </w:pPr>
            <w:r w:rsidRPr="00B74F30">
              <w:rPr>
                <w:rFonts w:ascii="Calibri" w:hAnsi="Calibri" w:cs="Times"/>
                <w:b/>
                <w:bCs/>
                <w:color w:val="000000"/>
                <w:sz w:val="18"/>
                <w:szCs w:val="18"/>
              </w:rPr>
              <w:t>Strong Recommendation</w:t>
            </w:r>
          </w:p>
        </w:tc>
        <w:tc>
          <w:tcPr>
            <w:tcW w:w="3100" w:type="dxa"/>
          </w:tcPr>
          <w:p w14:paraId="690614D9" w14:textId="77777777" w:rsidR="00B74F30" w:rsidRPr="00B74F30" w:rsidRDefault="00B74F30" w:rsidP="00265702">
            <w:pPr>
              <w:ind w:left="0" w:firstLine="0"/>
              <w:rPr>
                <w:rFonts w:ascii="Calibri" w:hAnsi="Calibri"/>
                <w:sz w:val="18"/>
                <w:szCs w:val="18"/>
              </w:rPr>
            </w:pPr>
            <w:r w:rsidRPr="00B74F30">
              <w:rPr>
                <w:rFonts w:ascii="Calibri" w:hAnsi="Calibri" w:cs="Times"/>
                <w:b/>
                <w:bCs/>
                <w:color w:val="000000"/>
                <w:sz w:val="18"/>
                <w:szCs w:val="18"/>
              </w:rPr>
              <w:t>Weak Recommendation</w:t>
            </w:r>
          </w:p>
        </w:tc>
      </w:tr>
      <w:tr w:rsidR="00CF029F" w:rsidRPr="00B74F30" w14:paraId="1725E77B" w14:textId="77777777" w:rsidTr="00CF029F">
        <w:trPr>
          <w:tblCellSpacing w:w="14" w:type="dxa"/>
        </w:trPr>
        <w:tc>
          <w:tcPr>
            <w:tcW w:w="928" w:type="dxa"/>
          </w:tcPr>
          <w:p w14:paraId="195111E5" w14:textId="77777777" w:rsidR="00B74F30" w:rsidRPr="00B74F30" w:rsidRDefault="00B74F30" w:rsidP="00265702">
            <w:pPr>
              <w:ind w:left="0" w:firstLine="0"/>
              <w:rPr>
                <w:rFonts w:ascii="Calibri" w:hAnsi="Calibri"/>
                <w:sz w:val="18"/>
                <w:szCs w:val="18"/>
              </w:rPr>
            </w:pPr>
            <w:r w:rsidRPr="00B74F30">
              <w:rPr>
                <w:rFonts w:ascii="Calibri" w:hAnsi="Calibri" w:cs="Times"/>
                <w:b/>
                <w:bCs/>
                <w:color w:val="000000"/>
                <w:sz w:val="18"/>
                <w:szCs w:val="18"/>
              </w:rPr>
              <w:t>High Quality Evidence</w:t>
            </w:r>
          </w:p>
        </w:tc>
        <w:tc>
          <w:tcPr>
            <w:tcW w:w="2414" w:type="dxa"/>
          </w:tcPr>
          <w:p w14:paraId="56283005" w14:textId="77777777" w:rsidR="00B74F30" w:rsidRPr="00B74F30" w:rsidRDefault="00B74F30" w:rsidP="00265702">
            <w:pPr>
              <w:ind w:left="0" w:firstLine="0"/>
              <w:rPr>
                <w:rFonts w:ascii="Calibri" w:hAnsi="Calibri"/>
                <w:sz w:val="18"/>
                <w:szCs w:val="18"/>
              </w:rPr>
            </w:pPr>
            <w:r w:rsidRPr="00B74F30">
              <w:rPr>
                <w:rFonts w:ascii="Calibri" w:hAnsi="Calibri" w:cs="Times"/>
                <w:color w:val="000000"/>
                <w:sz w:val="18"/>
                <w:szCs w:val="18"/>
              </w:rPr>
              <w:t>Further research is very unlikely to change our confidence in the estimate of effect.</w:t>
            </w:r>
          </w:p>
        </w:tc>
        <w:tc>
          <w:tcPr>
            <w:tcW w:w="2762" w:type="dxa"/>
          </w:tcPr>
          <w:p w14:paraId="5EC701A3" w14:textId="77777777" w:rsidR="00B74F30" w:rsidRPr="00B74F30" w:rsidRDefault="00B74F30" w:rsidP="00265702">
            <w:pPr>
              <w:ind w:left="0" w:firstLine="0"/>
              <w:rPr>
                <w:rFonts w:ascii="Calibri" w:hAnsi="Calibri"/>
                <w:sz w:val="18"/>
                <w:szCs w:val="18"/>
              </w:rPr>
            </w:pPr>
            <w:r w:rsidRPr="00B74F30">
              <w:rPr>
                <w:rFonts w:ascii="Calibri" w:hAnsi="Calibri" w:cs="Times"/>
                <w:color w:val="000000"/>
                <w:sz w:val="18"/>
                <w:szCs w:val="18"/>
              </w:rPr>
              <w:t>The work group is confident that the desirable effects of adhering to this recommendation outweigh the undesirable effects. This is a strong recommendation for or against. This applies to most patients.</w:t>
            </w:r>
          </w:p>
        </w:tc>
        <w:tc>
          <w:tcPr>
            <w:tcW w:w="3100" w:type="dxa"/>
          </w:tcPr>
          <w:p w14:paraId="1396B18B" w14:textId="77777777" w:rsidR="00B74F30" w:rsidRPr="00B74F30" w:rsidRDefault="00B74F30" w:rsidP="00265702">
            <w:pPr>
              <w:ind w:left="0" w:firstLine="0"/>
              <w:rPr>
                <w:rFonts w:ascii="Calibri" w:hAnsi="Calibri"/>
                <w:sz w:val="18"/>
                <w:szCs w:val="18"/>
              </w:rPr>
            </w:pPr>
            <w:r w:rsidRPr="00B74F30">
              <w:rPr>
                <w:rFonts w:ascii="Calibri" w:hAnsi="Calibri" w:cs="Times"/>
                <w:color w:val="000000"/>
                <w:sz w:val="18"/>
                <w:szCs w:val="18"/>
              </w:rPr>
              <w:t>The work group recognizes that the evidence, though of high quality, shows a balance between estimates of harms and benefits. The best action will depend on local circumstances, patient values or preferences.</w:t>
            </w:r>
          </w:p>
        </w:tc>
      </w:tr>
      <w:tr w:rsidR="00CF029F" w:rsidRPr="00B74F30" w14:paraId="68B1896A" w14:textId="77777777" w:rsidTr="00CF029F">
        <w:trPr>
          <w:tblCellSpacing w:w="14" w:type="dxa"/>
        </w:trPr>
        <w:tc>
          <w:tcPr>
            <w:tcW w:w="928" w:type="dxa"/>
          </w:tcPr>
          <w:p w14:paraId="242E2630" w14:textId="77777777" w:rsidR="00B74F30" w:rsidRPr="00B74F30" w:rsidRDefault="00B74F30" w:rsidP="00265702">
            <w:pPr>
              <w:ind w:left="0" w:firstLine="0"/>
              <w:rPr>
                <w:rFonts w:ascii="Calibri" w:hAnsi="Calibri"/>
                <w:sz w:val="18"/>
                <w:szCs w:val="18"/>
              </w:rPr>
            </w:pPr>
            <w:r w:rsidRPr="00B74F30">
              <w:rPr>
                <w:rFonts w:cs="Times"/>
                <w:b/>
                <w:bCs/>
                <w:color w:val="000000"/>
                <w:sz w:val="18"/>
                <w:szCs w:val="18"/>
              </w:rPr>
              <w:t>Moderate Quality Evidence</w:t>
            </w:r>
          </w:p>
        </w:tc>
        <w:tc>
          <w:tcPr>
            <w:tcW w:w="2414" w:type="dxa"/>
          </w:tcPr>
          <w:p w14:paraId="197BC460"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Further research is likely to have an important impact on our confidence in the estimate of effect and may change the estimate.</w:t>
            </w:r>
          </w:p>
        </w:tc>
        <w:tc>
          <w:tcPr>
            <w:tcW w:w="2762" w:type="dxa"/>
          </w:tcPr>
          <w:p w14:paraId="3C294E8C"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The work group is confident that the benefits outweigh the risks but recognizes that the evidence has limitations. Further evidence may impact this recommendation. This is a recommendation that likely applies to most patients.</w:t>
            </w:r>
          </w:p>
        </w:tc>
        <w:tc>
          <w:tcPr>
            <w:tcW w:w="3100" w:type="dxa"/>
          </w:tcPr>
          <w:p w14:paraId="17B72921"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The work group recognizes that there is a balance between harms and benefits, based on moderate quality evidence, or that there is uncertainty about the estimates of the harms and benefits of the proposed intervention that may be affected by new evidence. Alternative approaches will likely be better for some patients under some circumstances.</w:t>
            </w:r>
          </w:p>
        </w:tc>
      </w:tr>
      <w:tr w:rsidR="00CF029F" w:rsidRPr="00B74F30" w14:paraId="77F94A5F" w14:textId="77777777" w:rsidTr="00CF029F">
        <w:trPr>
          <w:tblCellSpacing w:w="14" w:type="dxa"/>
        </w:trPr>
        <w:tc>
          <w:tcPr>
            <w:tcW w:w="928" w:type="dxa"/>
          </w:tcPr>
          <w:p w14:paraId="7DF18AB6" w14:textId="77777777" w:rsidR="00B74F30" w:rsidRPr="00B74F30" w:rsidRDefault="00B74F30" w:rsidP="00265702">
            <w:pPr>
              <w:ind w:left="0" w:firstLine="0"/>
              <w:rPr>
                <w:rFonts w:ascii="Calibri" w:hAnsi="Calibri"/>
                <w:sz w:val="18"/>
                <w:szCs w:val="18"/>
              </w:rPr>
            </w:pPr>
            <w:r w:rsidRPr="00B74F30">
              <w:rPr>
                <w:rFonts w:cs="Times"/>
                <w:b/>
                <w:bCs/>
                <w:color w:val="000000"/>
                <w:sz w:val="18"/>
                <w:szCs w:val="18"/>
              </w:rPr>
              <w:t>Low Quality Evidence</w:t>
            </w:r>
          </w:p>
        </w:tc>
        <w:tc>
          <w:tcPr>
            <w:tcW w:w="2414" w:type="dxa"/>
          </w:tcPr>
          <w:p w14:paraId="366354D7"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Further research is very likely to have an important impact on our confidence in the estimate of effect and is likely to change. The estimate or any estimate of effect is very uncertain.</w:t>
            </w:r>
          </w:p>
        </w:tc>
        <w:tc>
          <w:tcPr>
            <w:tcW w:w="2762" w:type="dxa"/>
          </w:tcPr>
          <w:p w14:paraId="1BBA852A"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The work group feels that the evidence consistently indicates the benefit of this action outweighs the harms. This recommendation might change when higher quality evidence becomes available.</w:t>
            </w:r>
          </w:p>
        </w:tc>
        <w:tc>
          <w:tcPr>
            <w:tcW w:w="3100" w:type="dxa"/>
          </w:tcPr>
          <w:p w14:paraId="5D93538E" w14:textId="77777777" w:rsidR="00B74F30" w:rsidRPr="00B74F30" w:rsidRDefault="00B74F30" w:rsidP="00265702">
            <w:pPr>
              <w:ind w:left="0" w:firstLine="0"/>
              <w:rPr>
                <w:rFonts w:ascii="Calibri" w:hAnsi="Calibri"/>
                <w:sz w:val="18"/>
                <w:szCs w:val="18"/>
              </w:rPr>
            </w:pPr>
            <w:r w:rsidRPr="00B74F30">
              <w:rPr>
                <w:rFonts w:cs="Times"/>
                <w:color w:val="000000"/>
                <w:sz w:val="18"/>
                <w:szCs w:val="18"/>
              </w:rPr>
              <w:t>The work group recognizes that there is significant uncertainty about the best estimates of benefits and harms.</w:t>
            </w:r>
          </w:p>
        </w:tc>
      </w:tr>
    </w:tbl>
    <w:p w14:paraId="285A0401" w14:textId="41161919" w:rsidR="00CF6D93" w:rsidRDefault="00CF6D93" w:rsidP="00E0514A">
      <w:pPr>
        <w:spacing w:before="120"/>
        <w:ind w:left="0" w:firstLine="0"/>
        <w:rPr>
          <w:color w:val="FF0000"/>
        </w:rPr>
      </w:pPr>
      <w:r>
        <w:rPr>
          <w:color w:val="FF0000"/>
        </w:rPr>
        <w:t>Adolescents:</w:t>
      </w:r>
    </w:p>
    <w:p w14:paraId="485BFFB7" w14:textId="48F76BF0" w:rsidR="0062372F" w:rsidRDefault="0062372F" w:rsidP="007963A5">
      <w:pPr>
        <w:spacing w:after="120"/>
        <w:ind w:left="0" w:firstLine="0"/>
        <w:rPr>
          <w:color w:val="FF0000"/>
        </w:rPr>
      </w:pPr>
      <w:r>
        <w:rPr>
          <w:color w:val="FF0000"/>
        </w:rPr>
        <w:t>In the GLAD-PC guidelines, e</w:t>
      </w:r>
      <w:r w:rsidR="00CF6D93" w:rsidRPr="00CF6D93">
        <w:rPr>
          <w:color w:val="FF0000"/>
        </w:rPr>
        <w:t>ach of the recommendations was graded</w:t>
      </w:r>
      <w:r w:rsidR="00CF6D93">
        <w:rPr>
          <w:color w:val="FF0000"/>
        </w:rPr>
        <w:t xml:space="preserve"> </w:t>
      </w:r>
      <w:r w:rsidR="00CF6D93" w:rsidRPr="00CF6D93">
        <w:rPr>
          <w:color w:val="FF0000"/>
        </w:rPr>
        <w:t>on the basis of the level of supporting research evidence</w:t>
      </w:r>
      <w:r w:rsidR="00CF6D93">
        <w:rPr>
          <w:color w:val="FF0000"/>
        </w:rPr>
        <w:t xml:space="preserve"> </w:t>
      </w:r>
      <w:r w:rsidR="00CF6D93" w:rsidRPr="00CF6D93">
        <w:rPr>
          <w:color w:val="FF0000"/>
        </w:rPr>
        <w:t>from the literature and the extent to which experts</w:t>
      </w:r>
      <w:r w:rsidR="00CF6D93">
        <w:rPr>
          <w:color w:val="FF0000"/>
        </w:rPr>
        <w:t xml:space="preserve"> </w:t>
      </w:r>
      <w:r w:rsidR="00153728">
        <w:rPr>
          <w:color w:val="FF0000"/>
        </w:rPr>
        <w:t>agreed that it was</w:t>
      </w:r>
      <w:r w:rsidR="00CF6D93" w:rsidRPr="00CF6D93">
        <w:rPr>
          <w:color w:val="FF0000"/>
        </w:rPr>
        <w:t xml:space="preserve"> highly appropri</w:t>
      </w:r>
      <w:r w:rsidR="00153728">
        <w:rPr>
          <w:color w:val="FF0000"/>
        </w:rPr>
        <w:t>ate in primary care</w:t>
      </w:r>
      <w:r w:rsidR="00CF6D93" w:rsidRPr="00CF6D93">
        <w:rPr>
          <w:color w:val="FF0000"/>
        </w:rPr>
        <w:t>. The level of</w:t>
      </w:r>
      <w:r w:rsidR="00CF6D93">
        <w:rPr>
          <w:color w:val="FF0000"/>
        </w:rPr>
        <w:t xml:space="preserve"> </w:t>
      </w:r>
      <w:r w:rsidR="00CF6D93" w:rsidRPr="00CF6D93">
        <w:rPr>
          <w:color w:val="FF0000"/>
        </w:rPr>
        <w:t>supporting evidence for each rec</w:t>
      </w:r>
      <w:r>
        <w:rPr>
          <w:color w:val="FF0000"/>
        </w:rPr>
        <w:t>ommendation wa</w:t>
      </w:r>
      <w:r w:rsidR="00CF6D93" w:rsidRPr="00CF6D93">
        <w:rPr>
          <w:color w:val="FF0000"/>
        </w:rPr>
        <w:t>s based</w:t>
      </w:r>
      <w:r w:rsidR="00CF6D93">
        <w:rPr>
          <w:color w:val="FF0000"/>
        </w:rPr>
        <w:t xml:space="preserve"> </w:t>
      </w:r>
      <w:r w:rsidR="00CF6D93" w:rsidRPr="00CF6D93">
        <w:rPr>
          <w:color w:val="FF0000"/>
        </w:rPr>
        <w:t>on the Oxford Centre for Evidence-Based Medicine</w:t>
      </w:r>
      <w:r w:rsidR="00CF6D93">
        <w:rPr>
          <w:color w:val="FF0000"/>
        </w:rPr>
        <w:t xml:space="preserve"> </w:t>
      </w:r>
      <w:r w:rsidR="00CF6D93" w:rsidRPr="00CF6D93">
        <w:rPr>
          <w:color w:val="FF0000"/>
        </w:rPr>
        <w:t>grades of evidence (A–D) system</w:t>
      </w:r>
      <w:r w:rsidR="00016DDB">
        <w:rPr>
          <w:color w:val="FF0000"/>
        </w:rPr>
        <w:t>.</w:t>
      </w:r>
      <w:r w:rsidR="00016DDB" w:rsidRPr="00016DDB">
        <w:rPr>
          <w:color w:val="FF0000"/>
          <w:vertAlign w:val="superscript"/>
        </w:rPr>
        <w:t>a</w:t>
      </w:r>
      <w:r w:rsidR="00CF6D93" w:rsidRPr="00CF6D93">
        <w:rPr>
          <w:color w:val="FF0000"/>
        </w:rPr>
        <w:t xml:space="preserve"> </w:t>
      </w:r>
      <w:r w:rsidR="00153728">
        <w:rPr>
          <w:color w:val="FF0000"/>
        </w:rPr>
        <w:t xml:space="preserve"> </w:t>
      </w:r>
      <w:r w:rsidR="00CF6D93" w:rsidRPr="00CF6D93">
        <w:rPr>
          <w:color w:val="FF0000"/>
        </w:rPr>
        <w:t>Recommendation strength based on expert consensus</w:t>
      </w:r>
      <w:r w:rsidR="00153728">
        <w:rPr>
          <w:color w:val="FF0000"/>
        </w:rPr>
        <w:t xml:space="preserve"> </w:t>
      </w:r>
      <w:r w:rsidR="00CF6D93" w:rsidRPr="00CF6D93">
        <w:rPr>
          <w:color w:val="FF0000"/>
        </w:rPr>
        <w:t>was rated</w:t>
      </w:r>
      <w:r w:rsidR="00153728">
        <w:rPr>
          <w:color w:val="FF0000"/>
        </w:rPr>
        <w:t xml:space="preserve"> in 4 categories: very strong (&gt;</w:t>
      </w:r>
      <w:r w:rsidR="00CF6D93" w:rsidRPr="00CF6D93">
        <w:rPr>
          <w:color w:val="FF0000"/>
        </w:rPr>
        <w:t>90% agreement),</w:t>
      </w:r>
      <w:r w:rsidR="00153728">
        <w:rPr>
          <w:color w:val="FF0000"/>
        </w:rPr>
        <w:t xml:space="preserve"> </w:t>
      </w:r>
      <w:r w:rsidR="00CF6D93" w:rsidRPr="00CF6D93">
        <w:rPr>
          <w:color w:val="FF0000"/>
        </w:rPr>
        <w:t>str</w:t>
      </w:r>
      <w:r w:rsidR="00153728">
        <w:rPr>
          <w:color w:val="FF0000"/>
        </w:rPr>
        <w:t>ong (&gt;70% agreement), fair (&gt;</w:t>
      </w:r>
      <w:r w:rsidR="00CF6D93" w:rsidRPr="00CF6D93">
        <w:rPr>
          <w:color w:val="FF0000"/>
        </w:rPr>
        <w:t>50% agreement),</w:t>
      </w:r>
      <w:r w:rsidR="00153728">
        <w:rPr>
          <w:color w:val="FF0000"/>
        </w:rPr>
        <w:t xml:space="preserve"> and weak (&gt;</w:t>
      </w:r>
      <w:r w:rsidR="00CF6D93" w:rsidRPr="00CF6D93">
        <w:rPr>
          <w:color w:val="FF0000"/>
        </w:rPr>
        <w:t xml:space="preserve">50% agreement). </w:t>
      </w:r>
    </w:p>
    <w:p w14:paraId="5730DEA0" w14:textId="0200E604" w:rsidR="00977B63" w:rsidRDefault="00977B63" w:rsidP="00CF6D93">
      <w:pPr>
        <w:ind w:left="0" w:firstLine="0"/>
        <w:rPr>
          <w:color w:val="FF0000"/>
        </w:rPr>
      </w:pPr>
      <w:r>
        <w:rPr>
          <w:color w:val="FF0000"/>
        </w:rPr>
        <w:t>Grades of A, B and D were</w:t>
      </w:r>
      <w:r w:rsidR="0062372F">
        <w:rPr>
          <w:color w:val="FF0000"/>
        </w:rPr>
        <w:t xml:space="preserve"> assigned to the recommendations in 1a.4.2. For all</w:t>
      </w:r>
      <w:r>
        <w:rPr>
          <w:color w:val="FF0000"/>
        </w:rPr>
        <w:t xml:space="preserve"> recommendations</w:t>
      </w:r>
      <w:r w:rsidR="0062372F">
        <w:rPr>
          <w:color w:val="FF0000"/>
        </w:rPr>
        <w:t>, the strength of the recommendation was rated “very strong”.</w:t>
      </w:r>
    </w:p>
    <w:tbl>
      <w:tblPr>
        <w:tblStyle w:val="TableGrid"/>
        <w:tblW w:w="0" w:type="auto"/>
        <w:tblLook w:val="04A0" w:firstRow="1" w:lastRow="0" w:firstColumn="1" w:lastColumn="0" w:noHBand="0" w:noVBand="1"/>
      </w:tblPr>
      <w:tblGrid>
        <w:gridCol w:w="535"/>
        <w:gridCol w:w="7380"/>
      </w:tblGrid>
      <w:tr w:rsidR="0062372F" w:rsidRPr="00016DDB" w14:paraId="6E288D4D" w14:textId="77777777" w:rsidTr="0062372F">
        <w:tc>
          <w:tcPr>
            <w:tcW w:w="535" w:type="dxa"/>
          </w:tcPr>
          <w:p w14:paraId="6AF04B38" w14:textId="29CA6498" w:rsidR="0062372F" w:rsidRPr="00F544B9" w:rsidRDefault="0062372F" w:rsidP="0062372F">
            <w:pPr>
              <w:ind w:left="0" w:firstLine="0"/>
              <w:rPr>
                <w:b/>
                <w:color w:val="FF0000"/>
              </w:rPr>
            </w:pPr>
            <w:r w:rsidRPr="00F544B9">
              <w:rPr>
                <w:b/>
                <w:color w:val="FF0000"/>
              </w:rPr>
              <w:t>A</w:t>
            </w:r>
          </w:p>
        </w:tc>
        <w:tc>
          <w:tcPr>
            <w:tcW w:w="7380" w:type="dxa"/>
          </w:tcPr>
          <w:p w14:paraId="1F828B59" w14:textId="3A1E87B1" w:rsidR="0062372F" w:rsidRPr="00F544B9" w:rsidRDefault="0062372F" w:rsidP="0062372F">
            <w:pPr>
              <w:ind w:left="0" w:firstLine="0"/>
              <w:rPr>
                <w:b/>
                <w:color w:val="FF0000"/>
              </w:rPr>
            </w:pPr>
            <w:r w:rsidRPr="00F544B9">
              <w:rPr>
                <w:b/>
                <w:color w:val="FF0000"/>
              </w:rPr>
              <w:t>consistent level 1 studies</w:t>
            </w:r>
          </w:p>
        </w:tc>
      </w:tr>
      <w:tr w:rsidR="0062372F" w:rsidRPr="00016DDB" w14:paraId="645F2B8C" w14:textId="77777777" w:rsidTr="0062372F">
        <w:tc>
          <w:tcPr>
            <w:tcW w:w="535" w:type="dxa"/>
          </w:tcPr>
          <w:p w14:paraId="24C1B71D" w14:textId="43ABAF79" w:rsidR="0062372F" w:rsidRPr="00F544B9" w:rsidRDefault="0062372F" w:rsidP="0062372F">
            <w:pPr>
              <w:ind w:left="0" w:firstLine="0"/>
              <w:rPr>
                <w:b/>
                <w:color w:val="FF0000"/>
              </w:rPr>
            </w:pPr>
            <w:r w:rsidRPr="00F544B9">
              <w:rPr>
                <w:b/>
                <w:color w:val="FF0000"/>
              </w:rPr>
              <w:t>B</w:t>
            </w:r>
          </w:p>
        </w:tc>
        <w:tc>
          <w:tcPr>
            <w:tcW w:w="7380" w:type="dxa"/>
          </w:tcPr>
          <w:p w14:paraId="369A9BFE" w14:textId="0E33BE51" w:rsidR="0062372F" w:rsidRPr="00F544B9" w:rsidRDefault="0062372F" w:rsidP="0062372F">
            <w:pPr>
              <w:ind w:left="0" w:firstLine="0"/>
              <w:rPr>
                <w:b/>
                <w:color w:val="FF0000"/>
              </w:rPr>
            </w:pPr>
            <w:r w:rsidRPr="00F544B9">
              <w:rPr>
                <w:b/>
                <w:color w:val="FF0000"/>
              </w:rPr>
              <w:t>consistent level 2 or 3 studies or extrapolations from level 1 studies</w:t>
            </w:r>
          </w:p>
        </w:tc>
      </w:tr>
      <w:tr w:rsidR="0062372F" w:rsidRPr="00016DDB" w14:paraId="4A9A4C77" w14:textId="77777777" w:rsidTr="0062372F">
        <w:tc>
          <w:tcPr>
            <w:tcW w:w="535" w:type="dxa"/>
          </w:tcPr>
          <w:p w14:paraId="3216969E" w14:textId="479CCD4D" w:rsidR="0062372F" w:rsidRPr="00016DDB" w:rsidRDefault="0062372F" w:rsidP="0062372F">
            <w:pPr>
              <w:ind w:left="0" w:firstLine="0"/>
              <w:rPr>
                <w:color w:val="FF0000"/>
              </w:rPr>
            </w:pPr>
            <w:r w:rsidRPr="00016DDB">
              <w:rPr>
                <w:color w:val="FF0000"/>
              </w:rPr>
              <w:t>C</w:t>
            </w:r>
          </w:p>
        </w:tc>
        <w:tc>
          <w:tcPr>
            <w:tcW w:w="7380" w:type="dxa"/>
          </w:tcPr>
          <w:p w14:paraId="279CEF6F" w14:textId="5795F2E7" w:rsidR="0062372F" w:rsidRPr="00016DDB" w:rsidRDefault="0062372F" w:rsidP="0062372F">
            <w:pPr>
              <w:ind w:left="0" w:firstLine="0"/>
              <w:rPr>
                <w:color w:val="FF0000"/>
              </w:rPr>
            </w:pPr>
            <w:r w:rsidRPr="00016DDB">
              <w:rPr>
                <w:color w:val="FF0000"/>
              </w:rPr>
              <w:t>level 4 studies or extrapolations from level 2 or 3 studies</w:t>
            </w:r>
          </w:p>
        </w:tc>
      </w:tr>
      <w:tr w:rsidR="0062372F" w:rsidRPr="00016DDB" w14:paraId="19EC5020" w14:textId="77777777" w:rsidTr="0062372F">
        <w:tc>
          <w:tcPr>
            <w:tcW w:w="535" w:type="dxa"/>
          </w:tcPr>
          <w:p w14:paraId="1C745496" w14:textId="3E7076A4" w:rsidR="0062372F" w:rsidRPr="00F544B9" w:rsidRDefault="0062372F" w:rsidP="0062372F">
            <w:pPr>
              <w:ind w:left="0" w:firstLine="0"/>
              <w:rPr>
                <w:b/>
                <w:color w:val="FF0000"/>
              </w:rPr>
            </w:pPr>
            <w:r w:rsidRPr="00F544B9">
              <w:rPr>
                <w:b/>
                <w:color w:val="FF0000"/>
              </w:rPr>
              <w:t>D</w:t>
            </w:r>
          </w:p>
        </w:tc>
        <w:tc>
          <w:tcPr>
            <w:tcW w:w="7380" w:type="dxa"/>
          </w:tcPr>
          <w:p w14:paraId="35DDD2CA" w14:textId="30DE66D6" w:rsidR="0062372F" w:rsidRPr="00F544B9" w:rsidRDefault="0062372F" w:rsidP="0062372F">
            <w:pPr>
              <w:ind w:left="0" w:firstLine="0"/>
              <w:rPr>
                <w:b/>
                <w:color w:val="FF0000"/>
              </w:rPr>
            </w:pPr>
            <w:r w:rsidRPr="00F544B9">
              <w:rPr>
                <w:b/>
                <w:color w:val="FF0000"/>
              </w:rPr>
              <w:t>level 5 evidence or troublingly inconsistent or inconclusive studies of any level</w:t>
            </w:r>
          </w:p>
        </w:tc>
      </w:tr>
    </w:tbl>
    <w:p w14:paraId="63F82537" w14:textId="00D5601A" w:rsidR="00CF6D93" w:rsidRPr="004F0F90" w:rsidRDefault="00016DDB" w:rsidP="00A35A78">
      <w:pPr>
        <w:spacing w:before="60"/>
        <w:ind w:left="0" w:firstLine="0"/>
      </w:pPr>
      <w:r w:rsidRPr="00016DDB">
        <w:rPr>
          <w:color w:val="FF0000"/>
          <w:vertAlign w:val="superscript"/>
        </w:rPr>
        <w:t>a</w:t>
      </w:r>
      <w:hyperlink r:id="rId26" w:history="1">
        <w:r w:rsidRPr="00016DDB">
          <w:rPr>
            <w:rStyle w:val="Hyperlink"/>
            <w:sz w:val="16"/>
          </w:rPr>
          <w:t>http://www.cebm.net/ocebm-levels-of-evidence/</w:t>
        </w:r>
      </w:hyperlink>
      <w:r w:rsidRPr="00016DDB">
        <w:rPr>
          <w:color w:val="FF0000"/>
          <w:sz w:val="16"/>
        </w:rPr>
        <w:t xml:space="preserve">; </w:t>
      </w:r>
      <w:hyperlink r:id="rId27" w:history="1">
        <w:r w:rsidRPr="00016DDB">
          <w:rPr>
            <w:rStyle w:val="Hyperlink"/>
            <w:sz w:val="16"/>
          </w:rPr>
          <w:t>http://www.cebm.net/wp-content/uploads/2014/06/CEBM-Levels-of-Evidence-2.1.pdf</w:t>
        </w:r>
      </w:hyperlink>
    </w:p>
    <w:p w14:paraId="7080A49C" w14:textId="77777777" w:rsidR="00265702" w:rsidRPr="003B1CC5" w:rsidRDefault="00965FF6" w:rsidP="00A35A78">
      <w:pPr>
        <w:ind w:left="0" w:firstLine="0"/>
      </w:pPr>
      <w:r w:rsidRPr="003B1CC5">
        <w:rPr>
          <w:b/>
          <w:color w:val="0000FF"/>
        </w:rPr>
        <w:lastRenderedPageBreak/>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07722A6F"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474D02B0" w14:textId="77777777" w:rsidR="00736AEC" w:rsidRPr="003B1CC5" w:rsidRDefault="00736AEC" w:rsidP="00A35A78">
      <w:pPr>
        <w:ind w:left="0" w:firstLine="0"/>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706CF1C0" w14:textId="77777777" w:rsidR="00FC32D3" w:rsidRPr="003B1CC5" w:rsidRDefault="00EF2B61" w:rsidP="00A35A78">
      <w:pPr>
        <w:ind w:left="432" w:hanging="432"/>
        <w:rPr>
          <w:b/>
        </w:rPr>
      </w:pPr>
      <w:sdt>
        <w:sdtPr>
          <w:rPr>
            <w:bCs/>
            <w:color w:val="0000FF"/>
          </w:rPr>
          <w:id w:val="-1346319738"/>
          <w14:checkbox>
            <w14:checked w14:val="1"/>
            <w14:checkedState w14:val="2612" w14:font="MS Gothic"/>
            <w14:uncheckedState w14:val="2610" w14:font="MS Gothic"/>
          </w14:checkbox>
        </w:sdtPr>
        <w:sdtEndPr/>
        <w:sdtContent>
          <w:r w:rsidR="00FB4081">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1E834E75" w14:textId="77777777" w:rsidR="00736AEC" w:rsidRPr="003B1CC5" w:rsidRDefault="00EF2B61" w:rsidP="00A35A78">
      <w:pPr>
        <w:ind w:left="720"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0EBCE0E3" w14:textId="77777777" w:rsidR="00EE5AF6" w:rsidRPr="003B1CC5" w:rsidRDefault="00925F11" w:rsidP="00307FA5">
      <w:pPr>
        <w:ind w:left="0" w:firstLine="0"/>
        <w:rPr>
          <w:color w:val="0000FF"/>
        </w:rPr>
      </w:pPr>
      <w:r w:rsidRPr="003B1CC5">
        <w:rPr>
          <w:b/>
          <w:iCs/>
          <w:caps/>
        </w:rPr>
        <w:t>_________________________</w:t>
      </w:r>
    </w:p>
    <w:p w14:paraId="7F0C1816"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0E0509F8"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52B78057"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2F897D6E"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2DC3C1D"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7BEE98A9"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040948AE" w14:textId="77777777" w:rsidR="00EE5AF6" w:rsidRPr="003B1CC5" w:rsidRDefault="00923295" w:rsidP="002E2177">
      <w:pPr>
        <w:ind w:left="432" w:hanging="432"/>
        <w:rPr>
          <w:i/>
        </w:rPr>
      </w:pPr>
      <w:r w:rsidRPr="007963A5">
        <w:rPr>
          <w:b/>
          <w:i/>
        </w:rPr>
        <w:t xml:space="preserve">Complete section </w:t>
      </w:r>
      <w:hyperlink w:anchor="Section1a7" w:history="1">
        <w:r w:rsidR="009477D6" w:rsidRPr="007963A5">
          <w:rPr>
            <w:rStyle w:val="Hyperlink"/>
            <w:b/>
            <w:i/>
          </w:rPr>
          <w:t>1a.7</w:t>
        </w:r>
      </w:hyperlink>
    </w:p>
    <w:p w14:paraId="7335E59E" w14:textId="77777777" w:rsidR="00EE5AF6" w:rsidRPr="003B1CC5" w:rsidRDefault="00925F11" w:rsidP="002E2177">
      <w:pPr>
        <w:ind w:left="432" w:hanging="432"/>
        <w:rPr>
          <w:b/>
          <w:color w:val="0000FF"/>
        </w:rPr>
      </w:pPr>
      <w:r w:rsidRPr="003B1CC5">
        <w:rPr>
          <w:b/>
          <w:iCs/>
          <w:caps/>
        </w:rPr>
        <w:t>_________________________</w:t>
      </w:r>
    </w:p>
    <w:p w14:paraId="75B6D741" w14:textId="77777777" w:rsidR="00EE5AF6" w:rsidRDefault="00EE5AF6" w:rsidP="002E2177">
      <w:pPr>
        <w:ind w:left="432" w:hanging="432"/>
        <w:rPr>
          <w:b/>
        </w:rPr>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24B55C73"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5CA87A80" w14:textId="77777777" w:rsidR="00EF540D" w:rsidRPr="00F939E4" w:rsidRDefault="00EF540D" w:rsidP="00F939E4">
      <w:pPr>
        <w:ind w:left="432" w:hanging="432"/>
      </w:pPr>
      <w:r w:rsidRPr="00EF540D">
        <w:rPr>
          <w:b/>
        </w:rPr>
        <w:t>Collaborative care for depression and anxiety problems</w:t>
      </w:r>
      <w:r w:rsidR="00F939E4">
        <w:t xml:space="preserve">- </w:t>
      </w:r>
      <w:r w:rsidR="00F939E4" w:rsidRPr="00EF540D">
        <w:t>Cochrane</w:t>
      </w:r>
      <w:r w:rsidR="00F939E4">
        <w:t xml:space="preserve"> Review June 2012</w:t>
      </w:r>
    </w:p>
    <w:p w14:paraId="6007249C" w14:textId="42732E0A" w:rsidR="00EF540D" w:rsidRPr="00CF69A4" w:rsidRDefault="00EF540D" w:rsidP="00A35A78">
      <w:pPr>
        <w:ind w:left="0" w:firstLine="0"/>
        <w:rPr>
          <w:rFonts w:ascii="Calibri" w:hAnsi="Calibri"/>
        </w:rPr>
      </w:pPr>
      <w:r w:rsidRPr="00CF69A4">
        <w:rPr>
          <w:rFonts w:ascii="Calibri" w:hAnsi="Calibri" w:cs="AGaramond-Regular"/>
        </w:rPr>
        <w:t>Janine Archer, Peter Bower, Simon Gilbody, Karina Lovell, David Richards, Linda Gask, Chris Dickens</w:t>
      </w:r>
      <w:r>
        <w:rPr>
          <w:rFonts w:ascii="Calibri" w:hAnsi="Calibri" w:cs="AGaramond-Regular"/>
        </w:rPr>
        <w:t xml:space="preserve">, </w:t>
      </w:r>
      <w:r w:rsidRPr="00CF69A4">
        <w:rPr>
          <w:rFonts w:ascii="Calibri" w:hAnsi="Calibri" w:cs="AGaramond-Regular"/>
        </w:rPr>
        <w:t>Peter Coventry</w:t>
      </w:r>
      <w:r w:rsidR="00A35A78">
        <w:rPr>
          <w:rFonts w:ascii="Calibri" w:hAnsi="Calibri" w:cs="AGaramond-Regular"/>
        </w:rPr>
        <w:t xml:space="preserve">. </w:t>
      </w:r>
      <w:r w:rsidRPr="00CF69A4">
        <w:rPr>
          <w:rFonts w:ascii="Calibri" w:hAnsi="Calibri"/>
        </w:rPr>
        <w:t>http://onlinelibrary.wiley.com/doi/10.1002/14651858.CD006525.pub2/abstract</w:t>
      </w:r>
    </w:p>
    <w:p w14:paraId="30DF6E73" w14:textId="02AFE8EF" w:rsidR="00AA1E56" w:rsidRDefault="00AA1E56" w:rsidP="00F544B9">
      <w:pPr>
        <w:autoSpaceDE w:val="0"/>
        <w:autoSpaceDN w:val="0"/>
        <w:adjustRightInd w:val="0"/>
        <w:spacing w:before="120"/>
        <w:ind w:left="0" w:firstLine="0"/>
        <w:rPr>
          <w:rFonts w:ascii="Calibri" w:hAnsi="Calibri" w:cs="AGaramond-Regular"/>
        </w:rPr>
      </w:pPr>
      <w:r>
        <w:rPr>
          <w:rFonts w:ascii="Calibri" w:hAnsi="Calibri" w:cs="AGaramond-Regular"/>
        </w:rPr>
        <w:t xml:space="preserve">Note:  Of the random control trials included in this Cochrane review, 47 studies dating from 1993 to 2012 utilized a standardized tool to assess the patient’s depression symptoms. 16 RCT’s used the PHQ-9 PROM to assess patient outcomes, while an additional 10 used the PHQ-9 as part of study inclusion criteria.  </w:t>
      </w:r>
    </w:p>
    <w:p w14:paraId="4FD3D517" w14:textId="77777777" w:rsidR="00EF540D" w:rsidRPr="00FF2378" w:rsidRDefault="00EF540D" w:rsidP="00CF029F">
      <w:pPr>
        <w:autoSpaceDE w:val="0"/>
        <w:autoSpaceDN w:val="0"/>
        <w:adjustRightInd w:val="0"/>
        <w:spacing w:before="120"/>
        <w:rPr>
          <w:rFonts w:ascii="Calibri" w:hAnsi="Calibri" w:cs="AGaramond-Bold"/>
          <w:b/>
          <w:bCs/>
        </w:rPr>
      </w:pPr>
      <w:r w:rsidRPr="00FF2378">
        <w:rPr>
          <w:rFonts w:ascii="Calibri" w:hAnsi="Calibri" w:cs="AGaramond-Bold"/>
          <w:b/>
          <w:bCs/>
        </w:rPr>
        <w:t>Collaborative care for people with depression and anxiety</w:t>
      </w:r>
    </w:p>
    <w:p w14:paraId="0CA2B165" w14:textId="77777777" w:rsidR="00EF540D" w:rsidRPr="00FF2378" w:rsidRDefault="00EF540D" w:rsidP="00EF540D">
      <w:pPr>
        <w:autoSpaceDE w:val="0"/>
        <w:autoSpaceDN w:val="0"/>
        <w:adjustRightInd w:val="0"/>
        <w:ind w:left="0" w:firstLine="0"/>
        <w:rPr>
          <w:rFonts w:ascii="Calibri" w:hAnsi="Calibri" w:cs="AGaramond-Regular"/>
        </w:rPr>
      </w:pPr>
      <w:r w:rsidRPr="00FF2378">
        <w:rPr>
          <w:rFonts w:ascii="Calibri" w:hAnsi="Calibri" w:cs="AGaramond-Regular"/>
        </w:rPr>
        <w:t>Collaborative care has been tested with patients in a number of countries and health care systems, but it</w:t>
      </w:r>
      <w:r>
        <w:rPr>
          <w:rFonts w:ascii="Calibri" w:hAnsi="Calibri" w:cs="AGaramond-Regular"/>
        </w:rPr>
        <w:t xml:space="preserve"> is not clear whether it should </w:t>
      </w:r>
      <w:r w:rsidRPr="00FF2378">
        <w:rPr>
          <w:rFonts w:ascii="Calibri" w:hAnsi="Calibri" w:cs="AGaramond-Regular"/>
        </w:rPr>
        <w:t>be recommended for people with depression or anxiety.</w:t>
      </w:r>
    </w:p>
    <w:p w14:paraId="587C2198" w14:textId="77777777" w:rsidR="00EF540D" w:rsidRDefault="00EF540D" w:rsidP="00EF540D">
      <w:pPr>
        <w:autoSpaceDE w:val="0"/>
        <w:autoSpaceDN w:val="0"/>
        <w:adjustRightInd w:val="0"/>
        <w:ind w:left="0" w:firstLine="0"/>
        <w:rPr>
          <w:rFonts w:ascii="Calibri" w:hAnsi="Calibri" w:cs="AGaramond-Regular"/>
        </w:rPr>
      </w:pPr>
      <w:r w:rsidRPr="00FF2378">
        <w:rPr>
          <w:rFonts w:ascii="Calibri" w:hAnsi="Calibri" w:cs="AGaramond-Regular"/>
        </w:rPr>
        <w:t>79 randomised controlled trials (RCTs) (90 comparisons) including 24,30</w:t>
      </w:r>
      <w:r>
        <w:rPr>
          <w:rFonts w:ascii="Calibri" w:hAnsi="Calibri" w:cs="AGaramond-Regular"/>
        </w:rPr>
        <w:t xml:space="preserve">8 patients worldwide, comparing </w:t>
      </w:r>
      <w:r w:rsidRPr="00FF2378">
        <w:rPr>
          <w:rFonts w:ascii="Calibri" w:hAnsi="Calibri" w:cs="AGaramond-Regular"/>
        </w:rPr>
        <w:t>collaborative care with routine care or alternative treatments (such as consultation-liaison) for dep</w:t>
      </w:r>
      <w:r>
        <w:rPr>
          <w:rFonts w:ascii="Calibri" w:hAnsi="Calibri" w:cs="AGaramond-Regular"/>
        </w:rPr>
        <w:t>ression and anxiety</w:t>
      </w:r>
      <w:r w:rsidR="00F80BC6">
        <w:rPr>
          <w:rFonts w:ascii="Calibri" w:hAnsi="Calibri" w:cs="AGaramond-Regular"/>
        </w:rPr>
        <w:t xml:space="preserve"> were included in this systematic review</w:t>
      </w:r>
      <w:r>
        <w:rPr>
          <w:rFonts w:ascii="Calibri" w:hAnsi="Calibri" w:cs="AGaramond-Regular"/>
        </w:rPr>
        <w:t xml:space="preserve">. </w:t>
      </w:r>
      <w:r w:rsidRPr="00FF2378">
        <w:rPr>
          <w:rFonts w:ascii="Calibri" w:hAnsi="Calibri" w:cs="AGaramond-Regular"/>
        </w:rPr>
        <w:t>Most</w:t>
      </w:r>
      <w:r>
        <w:rPr>
          <w:rFonts w:ascii="Calibri" w:hAnsi="Calibri" w:cs="AGaramond-Regular"/>
        </w:rPr>
        <w:t xml:space="preserve"> </w:t>
      </w:r>
      <w:r w:rsidRPr="00FF2378">
        <w:rPr>
          <w:rFonts w:ascii="Calibri" w:hAnsi="Calibri" w:cs="AGaramond-Regular"/>
        </w:rPr>
        <w:t>of the studies focused on depression and the evidence suggests that collaborative care is better than routine care in improv</w:t>
      </w:r>
      <w:r>
        <w:rPr>
          <w:rFonts w:ascii="Calibri" w:hAnsi="Calibri" w:cs="AGaramond-Regular"/>
        </w:rPr>
        <w:t xml:space="preserve">ing depression </w:t>
      </w:r>
      <w:r w:rsidRPr="00FF2378">
        <w:rPr>
          <w:rFonts w:ascii="Calibri" w:hAnsi="Calibri" w:cs="AGaramond-Regular"/>
        </w:rPr>
        <w:t>for up to two years. Collaborative ca</w:t>
      </w:r>
      <w:r>
        <w:rPr>
          <w:rFonts w:ascii="Calibri" w:hAnsi="Calibri" w:cs="AGaramond-Regular"/>
        </w:rPr>
        <w:t xml:space="preserve">re increases the number of </w:t>
      </w:r>
      <w:r w:rsidRPr="00FF2378">
        <w:rPr>
          <w:rFonts w:ascii="Calibri" w:hAnsi="Calibri" w:cs="AGaramond-Regular"/>
        </w:rPr>
        <w:t>patients using medication in line with current guidance, and can improve mental health related quality of</w:t>
      </w:r>
      <w:r>
        <w:rPr>
          <w:rFonts w:ascii="Calibri" w:hAnsi="Calibri" w:cs="AGaramond-Regular"/>
        </w:rPr>
        <w:t xml:space="preserve"> life. Patients with depression </w:t>
      </w:r>
      <w:r w:rsidRPr="00FF2378">
        <w:rPr>
          <w:rFonts w:ascii="Calibri" w:hAnsi="Calibri" w:cs="AGaramond-Regular"/>
        </w:rPr>
        <w:t>and anxiety treated with collaborative care are also more satisfied with their treatment.</w:t>
      </w:r>
    </w:p>
    <w:p w14:paraId="7D9138EE" w14:textId="77777777" w:rsidR="00EF540D" w:rsidRPr="00FF2378" w:rsidRDefault="00EF540D" w:rsidP="00CF029F">
      <w:pPr>
        <w:autoSpaceDE w:val="0"/>
        <w:autoSpaceDN w:val="0"/>
        <w:adjustRightInd w:val="0"/>
        <w:spacing w:before="120"/>
        <w:ind w:left="0" w:firstLine="0"/>
        <w:rPr>
          <w:rFonts w:ascii="Calibri" w:hAnsi="Calibri" w:cs="AGaramond-Regular"/>
        </w:rPr>
      </w:pPr>
      <w:r w:rsidRPr="00FF2378">
        <w:rPr>
          <w:rFonts w:ascii="Calibri" w:hAnsi="Calibri" w:cs="AGaramond-Regular"/>
        </w:rPr>
        <w:t>The results of primary analyses demonstrated significantly greater improvement in depression outc</w:t>
      </w:r>
      <w:r>
        <w:rPr>
          <w:rFonts w:ascii="Calibri" w:hAnsi="Calibri" w:cs="AGaramond-Regular"/>
        </w:rPr>
        <w:t xml:space="preserve">omes for adults with depression </w:t>
      </w:r>
      <w:r w:rsidRPr="00FF2378">
        <w:rPr>
          <w:rFonts w:ascii="Calibri" w:hAnsi="Calibri" w:cs="AGaramond-Regular"/>
        </w:rPr>
        <w:t>treated with the collaborative care model in the short-term (SMD -0.34, 95% CI -0.41 to -0.27; RR 1.32, 95% CI 1.2</w:t>
      </w:r>
      <w:r>
        <w:rPr>
          <w:rFonts w:ascii="Calibri" w:hAnsi="Calibri" w:cs="AGaramond-Regular"/>
        </w:rPr>
        <w:t xml:space="preserve">2 to 1.43), </w:t>
      </w:r>
      <w:r w:rsidRPr="00FF2378">
        <w:rPr>
          <w:rFonts w:ascii="Calibri" w:hAnsi="Calibri" w:cs="AGaramond-Regular"/>
        </w:rPr>
        <w:t>medium-term (SMD -0.28, 95% CI -0.41 to -0.15; RR 1.31, 95% CI 1.17 to 1.48), and long-ter</w:t>
      </w:r>
      <w:r>
        <w:rPr>
          <w:rFonts w:ascii="Calibri" w:hAnsi="Calibri" w:cs="AGaramond-Regular"/>
        </w:rPr>
        <w:t xml:space="preserve">m (SMD -0.35, 95% CI -0.46 to - </w:t>
      </w:r>
      <w:r w:rsidRPr="00FF2378">
        <w:rPr>
          <w:rFonts w:ascii="Calibri" w:hAnsi="Calibri" w:cs="AGaramond-Regular"/>
        </w:rPr>
        <w:t>0.24; RR 1.29, 95% CI 1.18 to 1.41). However, these significant benefits were not demonstrated into the very long-term (RR 1.12,</w:t>
      </w:r>
    </w:p>
    <w:p w14:paraId="4741EF2F" w14:textId="77777777" w:rsidR="00EF540D" w:rsidRDefault="00EF540D" w:rsidP="00EF540D">
      <w:pPr>
        <w:autoSpaceDE w:val="0"/>
        <w:autoSpaceDN w:val="0"/>
        <w:adjustRightInd w:val="0"/>
        <w:rPr>
          <w:rFonts w:ascii="Calibri" w:hAnsi="Calibri" w:cs="AGaramond-Regular"/>
        </w:rPr>
      </w:pPr>
      <w:r w:rsidRPr="00FF2378">
        <w:rPr>
          <w:rFonts w:ascii="Calibri" w:hAnsi="Calibri" w:cs="AGaramond-Regular"/>
        </w:rPr>
        <w:t>95% CI 0.98 to 1.27).</w:t>
      </w:r>
    </w:p>
    <w:p w14:paraId="53F57AA6" w14:textId="77777777" w:rsidR="00EF540D" w:rsidRPr="00FF2378" w:rsidRDefault="00EF540D" w:rsidP="00EF540D">
      <w:pPr>
        <w:autoSpaceDE w:val="0"/>
        <w:autoSpaceDN w:val="0"/>
        <w:adjustRightInd w:val="0"/>
        <w:rPr>
          <w:rFonts w:ascii="Calibri" w:hAnsi="Calibri" w:cs="AGaramond-Regular"/>
        </w:rPr>
      </w:pPr>
      <w:r w:rsidRPr="00FF2378">
        <w:rPr>
          <w:rFonts w:ascii="Calibri" w:hAnsi="Calibri" w:cs="AGaramond-Regular"/>
        </w:rPr>
        <w:t>Authors’ conclusions</w:t>
      </w:r>
      <w:r>
        <w:rPr>
          <w:rFonts w:ascii="Calibri" w:hAnsi="Calibri" w:cs="AGaramond-Regular"/>
        </w:rPr>
        <w:t>:</w:t>
      </w:r>
    </w:p>
    <w:p w14:paraId="0B6F0E18" w14:textId="77777777" w:rsidR="00EF540D" w:rsidRDefault="00EF540D" w:rsidP="00EF540D">
      <w:pPr>
        <w:ind w:left="0" w:firstLine="0"/>
        <w:rPr>
          <w:rFonts w:ascii="Calibri" w:hAnsi="Calibri" w:cs="AGaramond-Regular"/>
        </w:rPr>
      </w:pPr>
      <w:r w:rsidRPr="00FF2378">
        <w:rPr>
          <w:rFonts w:ascii="Calibri" w:hAnsi="Calibri" w:cs="AGaramond-Regular"/>
        </w:rPr>
        <w:lastRenderedPageBreak/>
        <w:t>Collaborative care is associated with significant improvement in depression and anxiety outcome</w:t>
      </w:r>
      <w:r>
        <w:rPr>
          <w:rFonts w:ascii="Calibri" w:hAnsi="Calibri" w:cs="AGaramond-Regular"/>
        </w:rPr>
        <w:t xml:space="preserve">s compared with usual care, and </w:t>
      </w:r>
      <w:r w:rsidRPr="00FF2378">
        <w:rPr>
          <w:rFonts w:ascii="Calibri" w:hAnsi="Calibri" w:cs="AGaramond-Regular"/>
        </w:rPr>
        <w:t>represents a useful addition to clinical pathways for adult patients with depression and anxiety.</w:t>
      </w:r>
    </w:p>
    <w:p w14:paraId="3E7C75C0" w14:textId="77777777" w:rsidR="00AA1E56" w:rsidRPr="003B1CC5" w:rsidRDefault="00AA1E56" w:rsidP="00AA1E56">
      <w:pPr>
        <w:autoSpaceDE w:val="0"/>
        <w:autoSpaceDN w:val="0"/>
        <w:adjustRightInd w:val="0"/>
        <w:ind w:left="0" w:firstLine="0"/>
        <w:rPr>
          <w:rFonts w:cs="Arial"/>
          <w:sz w:val="20"/>
          <w:szCs w:val="20"/>
        </w:rPr>
      </w:pPr>
    </w:p>
    <w:p w14:paraId="47BE2815"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5F55FB7F"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009E2AD5" w14:textId="77777777" w:rsidR="00C84623" w:rsidRPr="003B1CC5" w:rsidRDefault="00925F11" w:rsidP="00EE5AF6">
      <w:pPr>
        <w:ind w:left="0" w:firstLine="0"/>
        <w:rPr>
          <w:b/>
          <w:color w:val="0000FF"/>
        </w:rPr>
      </w:pPr>
      <w:r w:rsidRPr="003B1CC5">
        <w:rPr>
          <w:b/>
          <w:iCs/>
          <w:caps/>
        </w:rPr>
        <w:t>_________________________</w:t>
      </w:r>
    </w:p>
    <w:p w14:paraId="4EDDCBE0"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2DE32772"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36EECB51" w14:textId="77777777" w:rsidR="00F80BC6" w:rsidRPr="00F1161D" w:rsidRDefault="00F80BC6" w:rsidP="009B5427">
      <w:pPr>
        <w:spacing w:before="120"/>
        <w:ind w:left="0" w:firstLine="0"/>
      </w:pPr>
      <w:r w:rsidRPr="00F1161D">
        <w:t>Depression, Adult in Primary Care</w:t>
      </w:r>
    </w:p>
    <w:p w14:paraId="01FAB886" w14:textId="77777777" w:rsidR="00F80BC6" w:rsidRPr="00F1161D" w:rsidRDefault="00F80BC6" w:rsidP="00F80BC6">
      <w:pPr>
        <w:ind w:left="0" w:firstLine="0"/>
      </w:pPr>
      <w:r w:rsidRPr="00F1161D">
        <w:t>Institute for Clinical Systems Improvement (ICSI) September 2013</w:t>
      </w:r>
    </w:p>
    <w:p w14:paraId="0A8594D8" w14:textId="77777777" w:rsidR="00F80BC6" w:rsidRPr="00F1161D" w:rsidRDefault="00EF2B61" w:rsidP="00F80BC6">
      <w:pPr>
        <w:ind w:left="0" w:firstLine="0"/>
        <w:rPr>
          <w:rFonts w:cs="Arial"/>
          <w:szCs w:val="20"/>
        </w:rPr>
      </w:pPr>
      <w:hyperlink r:id="rId28" w:history="1">
        <w:r w:rsidR="00F80BC6" w:rsidRPr="00F1161D">
          <w:rPr>
            <w:rStyle w:val="Hyperlink"/>
            <w:rFonts w:cs="Arial"/>
            <w:szCs w:val="20"/>
          </w:rPr>
          <w:t>https://www.icsi.org/guidelines__more/catalog_guidelines_and_more/catalog_guidelines/catalog_behavioral_health_guidelines/depression/</w:t>
        </w:r>
      </w:hyperlink>
    </w:p>
    <w:p w14:paraId="41ABE3BC" w14:textId="336984A5" w:rsidR="00F80BC6" w:rsidRDefault="00F80BC6" w:rsidP="00EE5AF6">
      <w:pPr>
        <w:ind w:left="0" w:firstLine="0"/>
        <w:rPr>
          <w:b/>
          <w:color w:val="0000FF"/>
        </w:rPr>
      </w:pPr>
    </w:p>
    <w:p w14:paraId="7A4C75C8"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064D5FAF" w14:textId="40C816A7" w:rsidR="00111E9D" w:rsidRDefault="00F80BC6" w:rsidP="00F80BC6">
      <w:pPr>
        <w:tabs>
          <w:tab w:val="left" w:pos="900"/>
        </w:tabs>
        <w:ind w:left="0" w:firstLine="0"/>
      </w:pPr>
      <w:r>
        <w:t>Process</w:t>
      </w:r>
      <w:r w:rsidR="00111E9D">
        <w:t>es</w:t>
      </w:r>
      <w:r w:rsidR="00DB5135">
        <w:t xml:space="preserve">: </w:t>
      </w:r>
      <w:r>
        <w:t xml:space="preserve">Establish a follow-up plan and use the PHQ-9 as a monitor and management tool.  </w:t>
      </w:r>
    </w:p>
    <w:p w14:paraId="615C621D" w14:textId="77777777" w:rsidR="00111E9D" w:rsidRDefault="00111E9D" w:rsidP="00F80BC6">
      <w:pPr>
        <w:tabs>
          <w:tab w:val="left" w:pos="900"/>
        </w:tabs>
        <w:ind w:left="0" w:firstLine="0"/>
      </w:pPr>
      <w:r>
        <w:t>Comprehensive treatment plan.</w:t>
      </w:r>
    </w:p>
    <w:p w14:paraId="302CCC73" w14:textId="77777777" w:rsidR="00111E9D" w:rsidRPr="003B1CC5" w:rsidRDefault="00111E9D" w:rsidP="00EE5AF6">
      <w:pPr>
        <w:ind w:left="0" w:firstLine="0"/>
      </w:pPr>
    </w:p>
    <w:p w14:paraId="05CA4E25" w14:textId="2332E438"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tbl>
      <w:tblPr>
        <w:tblStyle w:val="TableGrid"/>
        <w:tblW w:w="10063"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29" w:type="dxa"/>
          <w:right w:w="29" w:type="dxa"/>
        </w:tblCellMar>
        <w:tblLook w:val="04A0" w:firstRow="1" w:lastRow="0" w:firstColumn="1" w:lastColumn="0" w:noHBand="0" w:noVBand="1"/>
      </w:tblPr>
      <w:tblGrid>
        <w:gridCol w:w="1972"/>
        <w:gridCol w:w="900"/>
        <w:gridCol w:w="2790"/>
        <w:gridCol w:w="1530"/>
        <w:gridCol w:w="2871"/>
      </w:tblGrid>
      <w:tr w:rsidR="00111E9D" w:rsidRPr="00111E9D" w14:paraId="4C6AF26A" w14:textId="77777777" w:rsidTr="00F544B9">
        <w:trPr>
          <w:tblCellSpacing w:w="20" w:type="dxa"/>
        </w:trPr>
        <w:tc>
          <w:tcPr>
            <w:tcW w:w="1912" w:type="dxa"/>
            <w:vAlign w:val="bottom"/>
          </w:tcPr>
          <w:p w14:paraId="3D2489AE" w14:textId="77777777" w:rsidR="00E76CF2" w:rsidRPr="00111E9D" w:rsidRDefault="00E76CF2" w:rsidP="00111E9D">
            <w:pPr>
              <w:ind w:left="0" w:firstLine="0"/>
              <w:rPr>
                <w:b/>
                <w:sz w:val="18"/>
                <w:szCs w:val="18"/>
              </w:rPr>
            </w:pPr>
            <w:r w:rsidRPr="00111E9D">
              <w:rPr>
                <w:b/>
                <w:sz w:val="18"/>
                <w:szCs w:val="18"/>
              </w:rPr>
              <w:t>Topic</w:t>
            </w:r>
          </w:p>
        </w:tc>
        <w:tc>
          <w:tcPr>
            <w:tcW w:w="860" w:type="dxa"/>
            <w:vAlign w:val="bottom"/>
          </w:tcPr>
          <w:p w14:paraId="3DC2A071" w14:textId="77777777" w:rsidR="00E76CF2" w:rsidRPr="00111E9D" w:rsidRDefault="00E76CF2" w:rsidP="00111E9D">
            <w:pPr>
              <w:ind w:left="0" w:firstLine="0"/>
              <w:rPr>
                <w:b/>
                <w:sz w:val="18"/>
                <w:szCs w:val="18"/>
              </w:rPr>
            </w:pPr>
            <w:r w:rsidRPr="00111E9D">
              <w:rPr>
                <w:b/>
                <w:sz w:val="18"/>
                <w:szCs w:val="18"/>
              </w:rPr>
              <w:t>Quality of Evidence</w:t>
            </w:r>
          </w:p>
        </w:tc>
        <w:tc>
          <w:tcPr>
            <w:tcW w:w="2750" w:type="dxa"/>
            <w:vAlign w:val="bottom"/>
          </w:tcPr>
          <w:p w14:paraId="6E91ECC9" w14:textId="77777777" w:rsidR="00E76CF2" w:rsidRPr="00111E9D" w:rsidRDefault="00E76CF2" w:rsidP="00111E9D">
            <w:pPr>
              <w:ind w:left="0" w:firstLine="0"/>
              <w:rPr>
                <w:b/>
                <w:sz w:val="18"/>
                <w:szCs w:val="18"/>
              </w:rPr>
            </w:pPr>
            <w:r w:rsidRPr="00111E9D">
              <w:rPr>
                <w:b/>
                <w:sz w:val="18"/>
                <w:szCs w:val="18"/>
              </w:rPr>
              <w:t>Recommendations</w:t>
            </w:r>
          </w:p>
        </w:tc>
        <w:tc>
          <w:tcPr>
            <w:tcW w:w="1490" w:type="dxa"/>
            <w:vAlign w:val="bottom"/>
          </w:tcPr>
          <w:p w14:paraId="6F35BDC6" w14:textId="77777777" w:rsidR="00E76CF2" w:rsidRPr="00111E9D" w:rsidRDefault="00E76CF2" w:rsidP="00111E9D">
            <w:pPr>
              <w:ind w:left="0" w:firstLine="0"/>
              <w:rPr>
                <w:b/>
                <w:sz w:val="18"/>
                <w:szCs w:val="18"/>
              </w:rPr>
            </w:pPr>
            <w:r w:rsidRPr="00111E9D">
              <w:rPr>
                <w:b/>
                <w:sz w:val="18"/>
                <w:szCs w:val="18"/>
              </w:rPr>
              <w:t>Strength of Recommendation</w:t>
            </w:r>
          </w:p>
        </w:tc>
        <w:tc>
          <w:tcPr>
            <w:tcW w:w="2811" w:type="dxa"/>
            <w:vAlign w:val="bottom"/>
          </w:tcPr>
          <w:p w14:paraId="7BBE3E5A" w14:textId="77777777" w:rsidR="00E76CF2" w:rsidRPr="00111E9D" w:rsidRDefault="00E76CF2" w:rsidP="00111E9D">
            <w:pPr>
              <w:ind w:left="0" w:firstLine="0"/>
              <w:rPr>
                <w:b/>
                <w:sz w:val="18"/>
                <w:szCs w:val="18"/>
              </w:rPr>
            </w:pPr>
            <w:r w:rsidRPr="00111E9D">
              <w:rPr>
                <w:b/>
                <w:sz w:val="18"/>
                <w:szCs w:val="18"/>
              </w:rPr>
              <w:t xml:space="preserve">Relevant References </w:t>
            </w:r>
          </w:p>
        </w:tc>
      </w:tr>
      <w:tr w:rsidR="00111E9D" w:rsidRPr="002D66F6" w14:paraId="67388958" w14:textId="77777777" w:rsidTr="00F544B9">
        <w:trPr>
          <w:tblCellSpacing w:w="20" w:type="dxa"/>
        </w:trPr>
        <w:tc>
          <w:tcPr>
            <w:tcW w:w="1912" w:type="dxa"/>
          </w:tcPr>
          <w:p w14:paraId="3DE29FC1" w14:textId="77777777" w:rsidR="00E76CF2" w:rsidRPr="00111E9D" w:rsidRDefault="00E76CF2" w:rsidP="000B7E25">
            <w:pPr>
              <w:ind w:left="0" w:firstLine="0"/>
              <w:rPr>
                <w:sz w:val="20"/>
                <w:szCs w:val="18"/>
              </w:rPr>
            </w:pPr>
            <w:r w:rsidRPr="00111E9D">
              <w:rPr>
                <w:rFonts w:cs="Times"/>
                <w:color w:val="000000"/>
                <w:sz w:val="20"/>
                <w:szCs w:val="18"/>
              </w:rPr>
              <w:t>Establish follow-up plan. Use of PHQ-9 as monitor and management tool</w:t>
            </w:r>
          </w:p>
        </w:tc>
        <w:tc>
          <w:tcPr>
            <w:tcW w:w="860" w:type="dxa"/>
          </w:tcPr>
          <w:p w14:paraId="3A178163" w14:textId="77777777" w:rsidR="00E76CF2" w:rsidRPr="00111E9D" w:rsidRDefault="00E76CF2" w:rsidP="000B7E25">
            <w:pPr>
              <w:ind w:left="0" w:firstLine="0"/>
              <w:rPr>
                <w:rFonts w:cs="Times"/>
                <w:color w:val="000000"/>
                <w:sz w:val="20"/>
                <w:szCs w:val="18"/>
              </w:rPr>
            </w:pPr>
            <w:r w:rsidRPr="00111E9D">
              <w:rPr>
                <w:rFonts w:cs="Times"/>
                <w:color w:val="000000"/>
                <w:sz w:val="20"/>
                <w:szCs w:val="18"/>
              </w:rPr>
              <w:t>Low</w:t>
            </w:r>
          </w:p>
          <w:p w14:paraId="32CB7760" w14:textId="77777777" w:rsidR="00E76CF2" w:rsidRPr="00111E9D" w:rsidRDefault="00E76CF2" w:rsidP="000B7E25">
            <w:pPr>
              <w:ind w:left="0" w:firstLine="0"/>
              <w:rPr>
                <w:sz w:val="20"/>
                <w:szCs w:val="18"/>
              </w:rPr>
            </w:pPr>
          </w:p>
        </w:tc>
        <w:tc>
          <w:tcPr>
            <w:tcW w:w="2750" w:type="dxa"/>
          </w:tcPr>
          <w:p w14:paraId="42AF717F" w14:textId="77777777" w:rsidR="00E76CF2" w:rsidRPr="00111E9D" w:rsidRDefault="00E76CF2" w:rsidP="000B7E25">
            <w:pPr>
              <w:ind w:left="0" w:firstLine="0"/>
              <w:rPr>
                <w:sz w:val="20"/>
                <w:szCs w:val="18"/>
              </w:rPr>
            </w:pPr>
            <w:r w:rsidRPr="00111E9D">
              <w:rPr>
                <w:rFonts w:cs="Times"/>
                <w:color w:val="000000"/>
                <w:sz w:val="20"/>
                <w:szCs w:val="18"/>
              </w:rPr>
              <w:t>Clinicians should establish and maintain follow-up with patients.</w:t>
            </w:r>
          </w:p>
        </w:tc>
        <w:tc>
          <w:tcPr>
            <w:tcW w:w="1490" w:type="dxa"/>
          </w:tcPr>
          <w:p w14:paraId="5FA1E3E2" w14:textId="77777777" w:rsidR="00E76CF2" w:rsidRPr="00111E9D" w:rsidRDefault="00E76CF2" w:rsidP="000B7E25">
            <w:pPr>
              <w:ind w:left="0" w:firstLine="0"/>
              <w:rPr>
                <w:sz w:val="20"/>
                <w:szCs w:val="18"/>
              </w:rPr>
            </w:pPr>
            <w:r w:rsidRPr="00111E9D">
              <w:rPr>
                <w:rFonts w:cs="Times"/>
                <w:color w:val="000000"/>
                <w:sz w:val="20"/>
                <w:szCs w:val="18"/>
              </w:rPr>
              <w:t>Strong</w:t>
            </w:r>
          </w:p>
        </w:tc>
        <w:tc>
          <w:tcPr>
            <w:tcW w:w="2811" w:type="dxa"/>
          </w:tcPr>
          <w:p w14:paraId="60B051A1" w14:textId="77777777" w:rsidR="00E76CF2" w:rsidRPr="00111E9D" w:rsidRDefault="00E76CF2" w:rsidP="000B7E25">
            <w:pPr>
              <w:ind w:left="0" w:firstLine="0"/>
              <w:rPr>
                <w:sz w:val="20"/>
                <w:szCs w:val="18"/>
              </w:rPr>
            </w:pPr>
            <w:r w:rsidRPr="00111E9D">
              <w:rPr>
                <w:rFonts w:cs="Times"/>
                <w:i/>
                <w:iCs/>
                <w:color w:val="000000"/>
                <w:sz w:val="20"/>
                <w:szCs w:val="18"/>
              </w:rPr>
              <w:t xml:space="preserve">Trivedi, 2009; Trivedi, 2006; Löwe, </w:t>
            </w:r>
            <w:r w:rsidR="00993662">
              <w:rPr>
                <w:rFonts w:cs="Times"/>
                <w:i/>
                <w:iCs/>
                <w:color w:val="000000"/>
                <w:sz w:val="20"/>
                <w:szCs w:val="18"/>
              </w:rPr>
              <w:t>2004; Unützer, 2002; Duffy, 2008</w:t>
            </w:r>
            <w:r w:rsidRPr="00111E9D">
              <w:rPr>
                <w:rFonts w:cs="Times"/>
                <w:i/>
                <w:iCs/>
                <w:color w:val="000000"/>
                <w:sz w:val="20"/>
                <w:szCs w:val="18"/>
              </w:rPr>
              <w:t>; Hunkeler, 2000; Simon, 2000</w:t>
            </w:r>
          </w:p>
        </w:tc>
      </w:tr>
      <w:tr w:rsidR="00111E9D" w:rsidRPr="002D66F6" w14:paraId="7D0675C6" w14:textId="77777777" w:rsidTr="00F544B9">
        <w:trPr>
          <w:tblCellSpacing w:w="20" w:type="dxa"/>
        </w:trPr>
        <w:tc>
          <w:tcPr>
            <w:tcW w:w="1912" w:type="dxa"/>
          </w:tcPr>
          <w:p w14:paraId="7EF9D878" w14:textId="77777777" w:rsidR="00E76CF2" w:rsidRPr="00111E9D" w:rsidRDefault="00E76CF2" w:rsidP="000B7E25">
            <w:pPr>
              <w:ind w:left="0" w:firstLine="0"/>
              <w:rPr>
                <w:sz w:val="20"/>
                <w:szCs w:val="18"/>
              </w:rPr>
            </w:pPr>
            <w:r w:rsidRPr="00111E9D">
              <w:rPr>
                <w:rFonts w:cs="Times"/>
                <w:color w:val="000000"/>
                <w:sz w:val="20"/>
                <w:szCs w:val="18"/>
              </w:rPr>
              <w:t>Comprehensive treatment plan</w:t>
            </w:r>
          </w:p>
        </w:tc>
        <w:tc>
          <w:tcPr>
            <w:tcW w:w="860" w:type="dxa"/>
          </w:tcPr>
          <w:p w14:paraId="51F27C30" w14:textId="77777777" w:rsidR="00E76CF2" w:rsidRPr="00111E9D" w:rsidRDefault="00E76CF2" w:rsidP="000B7E25">
            <w:pPr>
              <w:ind w:left="0" w:firstLine="0"/>
              <w:rPr>
                <w:sz w:val="20"/>
                <w:szCs w:val="18"/>
              </w:rPr>
            </w:pPr>
            <w:r w:rsidRPr="00111E9D">
              <w:rPr>
                <w:rFonts w:cs="Times"/>
                <w:color w:val="000000"/>
                <w:sz w:val="20"/>
                <w:szCs w:val="18"/>
              </w:rPr>
              <w:t>High</w:t>
            </w:r>
          </w:p>
        </w:tc>
        <w:tc>
          <w:tcPr>
            <w:tcW w:w="2750" w:type="dxa"/>
          </w:tcPr>
          <w:p w14:paraId="5E931C5F" w14:textId="77777777" w:rsidR="00E76CF2" w:rsidRPr="00111E9D" w:rsidRDefault="00E76CF2" w:rsidP="000B7E25">
            <w:pPr>
              <w:ind w:left="0" w:firstLine="0"/>
              <w:rPr>
                <w:sz w:val="20"/>
                <w:szCs w:val="18"/>
              </w:rPr>
            </w:pPr>
            <w:r w:rsidRPr="00111E9D">
              <w:rPr>
                <w:rFonts w:cs="Times"/>
                <w:color w:val="000000"/>
                <w:sz w:val="20"/>
                <w:szCs w:val="18"/>
              </w:rPr>
              <w:t>A collaborative care approach is recommended for patients with depression in primary care.</w:t>
            </w:r>
          </w:p>
        </w:tc>
        <w:tc>
          <w:tcPr>
            <w:tcW w:w="1490" w:type="dxa"/>
          </w:tcPr>
          <w:p w14:paraId="4CB447AC" w14:textId="77777777" w:rsidR="00E76CF2" w:rsidRPr="00111E9D" w:rsidRDefault="00E76CF2" w:rsidP="000B7E25">
            <w:pPr>
              <w:ind w:left="0" w:firstLine="0"/>
              <w:rPr>
                <w:sz w:val="20"/>
                <w:szCs w:val="18"/>
              </w:rPr>
            </w:pPr>
            <w:r w:rsidRPr="00111E9D">
              <w:rPr>
                <w:rFonts w:cs="Times"/>
                <w:color w:val="000000"/>
                <w:sz w:val="20"/>
                <w:szCs w:val="18"/>
              </w:rPr>
              <w:t>Strong</w:t>
            </w:r>
          </w:p>
        </w:tc>
        <w:tc>
          <w:tcPr>
            <w:tcW w:w="2811" w:type="dxa"/>
          </w:tcPr>
          <w:p w14:paraId="3B2E5F30" w14:textId="77777777" w:rsidR="00E76CF2" w:rsidRPr="00111E9D" w:rsidRDefault="00E76CF2" w:rsidP="000B7E25">
            <w:pPr>
              <w:ind w:left="0" w:firstLine="0"/>
              <w:rPr>
                <w:sz w:val="20"/>
                <w:szCs w:val="18"/>
              </w:rPr>
            </w:pPr>
            <w:r w:rsidRPr="00111E9D">
              <w:rPr>
                <w:rFonts w:cs="Times"/>
                <w:i/>
                <w:iCs/>
                <w:color w:val="000000"/>
                <w:sz w:val="20"/>
                <w:szCs w:val="18"/>
              </w:rPr>
              <w:t>Katon, 2008; Hunkeler, 2006; Unützer, 2006; Gilbody, 2006; Unützer, 2002; Katon, 1999;</w:t>
            </w:r>
          </w:p>
        </w:tc>
      </w:tr>
    </w:tbl>
    <w:p w14:paraId="050C6B74" w14:textId="77777777" w:rsidR="00F80BC6" w:rsidRDefault="00111E9D" w:rsidP="00A35A78">
      <w:pPr>
        <w:spacing w:before="60"/>
        <w:ind w:left="0" w:firstLine="0"/>
      </w:pPr>
      <w:r>
        <w:t xml:space="preserve">GRADE Definitions: </w:t>
      </w:r>
    </w:p>
    <w:p w14:paraId="4882E8A1" w14:textId="77777777" w:rsidR="00F80BC6" w:rsidRDefault="00F80BC6" w:rsidP="00EA79C9">
      <w:pPr>
        <w:ind w:left="0" w:firstLine="0"/>
      </w:pPr>
      <w:r>
        <w:t>Low Quality of Evidence</w:t>
      </w:r>
      <w:r w:rsidR="00111E9D">
        <w:t xml:space="preserve">: </w:t>
      </w:r>
      <w:r w:rsidR="00E76CF2">
        <w:t xml:space="preserve"> Further</w:t>
      </w:r>
      <w:r w:rsidR="00E76CF2" w:rsidRPr="00E76CF2">
        <w:t xml:space="preserve"> research is very likely to have an important impact on our confidence in the estimate of effect and is likely to change. The estimate or any estimate of effect is very uncertain.</w:t>
      </w:r>
    </w:p>
    <w:p w14:paraId="6AFDEDDA" w14:textId="11F664C4" w:rsidR="00D347D0" w:rsidRDefault="00E76CF2" w:rsidP="00A35A78">
      <w:pPr>
        <w:spacing w:before="60"/>
        <w:ind w:left="0" w:firstLine="0"/>
      </w:pPr>
      <w:r>
        <w:t>Strong Recommendation</w:t>
      </w:r>
      <w:r w:rsidR="00A35A78">
        <w:t>:</w:t>
      </w:r>
      <w:r>
        <w:t xml:space="preserve"> </w:t>
      </w:r>
      <w:r w:rsidRPr="00E76CF2">
        <w:t>The work group feels that the evidence consistently indicates the benefit of this action outweighs the harms. This recommendation might change when higher quality evidence becomes available.</w:t>
      </w:r>
    </w:p>
    <w:p w14:paraId="065F523F" w14:textId="77777777" w:rsidR="00111E9D" w:rsidRPr="00111E9D" w:rsidRDefault="00111E9D" w:rsidP="00EA79C9">
      <w:pPr>
        <w:ind w:left="0" w:firstLine="0"/>
        <w:rPr>
          <w:sz w:val="14"/>
        </w:rPr>
      </w:pPr>
    </w:p>
    <w:p w14:paraId="11E2FAA7" w14:textId="77777777" w:rsidR="00EA79C9" w:rsidRPr="003B1CC5" w:rsidRDefault="00095EC9" w:rsidP="00A35A78">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695EECAB" w14:textId="37BC5EA4" w:rsidR="00496AF8" w:rsidRPr="003B1CC5" w:rsidRDefault="00496AF8" w:rsidP="00CF029F">
      <w:pPr>
        <w:spacing w:before="120"/>
        <w:ind w:left="0" w:firstLine="0"/>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F80BC6">
            <w:rPr>
              <w:rStyle w:val="Style2"/>
            </w:rPr>
            <w:t>2000 - 2009</w:t>
          </w:r>
        </w:sdtContent>
      </w:sdt>
    </w:p>
    <w:p w14:paraId="5F4690AE" w14:textId="77777777" w:rsidR="00CF029F" w:rsidRDefault="00CF029F" w:rsidP="002E2177">
      <w:pPr>
        <w:ind w:left="0" w:firstLine="0"/>
        <w:rPr>
          <w:b/>
          <w:noProof/>
        </w:rPr>
      </w:pPr>
    </w:p>
    <w:p w14:paraId="1537C9C3" w14:textId="77777777" w:rsidR="00496AF8" w:rsidRPr="003B1CC5" w:rsidRDefault="00C5180E" w:rsidP="002E2177">
      <w:pPr>
        <w:ind w:left="0" w:firstLine="0"/>
        <w:rPr>
          <w:b/>
        </w:rPr>
      </w:pPr>
      <w:r w:rsidRPr="003B1CC5">
        <w:rPr>
          <w:b/>
          <w:noProof/>
        </w:rPr>
        <w:t>QUANTITY AND QUALITY OF BODY OF EVIDENCE</w:t>
      </w:r>
    </w:p>
    <w:p w14:paraId="02ACF52B" w14:textId="458A617C" w:rsidR="00EC5E4E" w:rsidRDefault="001B772D" w:rsidP="00F544B9">
      <w:pPr>
        <w:ind w:left="0" w:firstLine="0"/>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p>
    <w:tbl>
      <w:tblPr>
        <w:tblStyle w:val="TableGrid"/>
        <w:tblW w:w="5000" w:type="pct"/>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14" w:type="dxa"/>
          <w:right w:w="14" w:type="dxa"/>
        </w:tblCellMar>
        <w:tblLook w:val="04A0" w:firstRow="1" w:lastRow="0" w:firstColumn="1" w:lastColumn="0" w:noHBand="0" w:noVBand="1"/>
      </w:tblPr>
      <w:tblGrid>
        <w:gridCol w:w="892"/>
        <w:gridCol w:w="6769"/>
        <w:gridCol w:w="894"/>
        <w:gridCol w:w="789"/>
      </w:tblGrid>
      <w:tr w:rsidR="00417EB6" w14:paraId="7C287508" w14:textId="77777777" w:rsidTr="00317482">
        <w:trPr>
          <w:tblHeader/>
          <w:tblCellSpacing w:w="14" w:type="dxa"/>
        </w:trPr>
        <w:tc>
          <w:tcPr>
            <w:tcW w:w="850" w:type="dxa"/>
            <w:vAlign w:val="bottom"/>
          </w:tcPr>
          <w:p w14:paraId="40462F8A" w14:textId="77777777" w:rsidR="00EC5E4E" w:rsidRPr="00F544B9" w:rsidRDefault="00EC5E4E" w:rsidP="00EC5E4E">
            <w:pPr>
              <w:ind w:left="0" w:firstLine="0"/>
              <w:rPr>
                <w:b/>
                <w:sz w:val="20"/>
              </w:rPr>
            </w:pPr>
            <w:r w:rsidRPr="00F544B9">
              <w:rPr>
                <w:b/>
                <w:sz w:val="20"/>
              </w:rPr>
              <w:lastRenderedPageBreak/>
              <w:t>Author</w:t>
            </w:r>
          </w:p>
        </w:tc>
        <w:tc>
          <w:tcPr>
            <w:tcW w:w="6741" w:type="dxa"/>
            <w:vAlign w:val="bottom"/>
          </w:tcPr>
          <w:p w14:paraId="5F9A8E76" w14:textId="77777777" w:rsidR="00EC5E4E" w:rsidRPr="00F544B9" w:rsidRDefault="00EC5E4E" w:rsidP="00EC5E4E">
            <w:pPr>
              <w:ind w:left="0" w:firstLine="0"/>
              <w:rPr>
                <w:b/>
                <w:sz w:val="20"/>
              </w:rPr>
            </w:pPr>
            <w:r w:rsidRPr="00F544B9">
              <w:rPr>
                <w:b/>
                <w:sz w:val="20"/>
              </w:rPr>
              <w:t>Publication</w:t>
            </w:r>
          </w:p>
        </w:tc>
        <w:tc>
          <w:tcPr>
            <w:tcW w:w="866" w:type="dxa"/>
            <w:vAlign w:val="bottom"/>
          </w:tcPr>
          <w:p w14:paraId="475820BB" w14:textId="77777777" w:rsidR="00EC5E4E" w:rsidRPr="00F544B9" w:rsidRDefault="00EC5E4E" w:rsidP="00EC5E4E">
            <w:pPr>
              <w:ind w:left="0" w:firstLine="0"/>
              <w:rPr>
                <w:b/>
                <w:sz w:val="20"/>
              </w:rPr>
            </w:pPr>
            <w:r w:rsidRPr="00F544B9">
              <w:rPr>
                <w:b/>
                <w:sz w:val="20"/>
              </w:rPr>
              <w:t>Evidence Grade</w:t>
            </w:r>
          </w:p>
        </w:tc>
        <w:tc>
          <w:tcPr>
            <w:tcW w:w="747" w:type="dxa"/>
            <w:vAlign w:val="bottom"/>
          </w:tcPr>
          <w:p w14:paraId="1AEC73F0" w14:textId="77777777" w:rsidR="00EC5E4E" w:rsidRPr="00F544B9" w:rsidRDefault="00EC5E4E" w:rsidP="00EC5E4E">
            <w:pPr>
              <w:ind w:left="0" w:firstLine="0"/>
              <w:rPr>
                <w:b/>
                <w:sz w:val="20"/>
              </w:rPr>
            </w:pPr>
            <w:r w:rsidRPr="00F544B9">
              <w:rPr>
                <w:b/>
                <w:sz w:val="20"/>
              </w:rPr>
              <w:t>Type of Study</w:t>
            </w:r>
          </w:p>
        </w:tc>
      </w:tr>
      <w:tr w:rsidR="00417EB6" w14:paraId="2B181A62" w14:textId="77777777" w:rsidTr="00317482">
        <w:trPr>
          <w:tblCellSpacing w:w="14" w:type="dxa"/>
        </w:trPr>
        <w:tc>
          <w:tcPr>
            <w:tcW w:w="850" w:type="dxa"/>
          </w:tcPr>
          <w:p w14:paraId="371EB29C" w14:textId="77777777" w:rsidR="00EC5E4E" w:rsidRDefault="00EC5E4E" w:rsidP="002E2177">
            <w:pPr>
              <w:ind w:left="0" w:firstLine="0"/>
            </w:pPr>
            <w:r w:rsidRPr="00111E9D">
              <w:rPr>
                <w:rFonts w:cs="Times"/>
                <w:i/>
                <w:iCs/>
                <w:color w:val="000000"/>
                <w:sz w:val="20"/>
                <w:szCs w:val="18"/>
              </w:rPr>
              <w:t>Unützer, 2002</w:t>
            </w:r>
          </w:p>
        </w:tc>
        <w:tc>
          <w:tcPr>
            <w:tcW w:w="6741" w:type="dxa"/>
          </w:tcPr>
          <w:p w14:paraId="2FB6EA82" w14:textId="77777777" w:rsidR="00EC5E4E" w:rsidRDefault="00EC5E4E" w:rsidP="00EC5E4E">
            <w:pPr>
              <w:ind w:left="0" w:firstLine="0"/>
            </w:pPr>
            <w:r>
              <w:rPr>
                <w:color w:val="000000"/>
                <w:sz w:val="20"/>
                <w:szCs w:val="20"/>
              </w:rPr>
              <w:t xml:space="preserve">Unützer J, Katon W, Callahan CM, et al. Collaborative care management of late-life depression in the primary care setting: a randomized controlled trial. </w:t>
            </w:r>
            <w:r>
              <w:rPr>
                <w:i/>
                <w:iCs/>
                <w:color w:val="000000"/>
                <w:sz w:val="20"/>
                <w:szCs w:val="20"/>
              </w:rPr>
              <w:t xml:space="preserve">JAMA </w:t>
            </w:r>
            <w:r>
              <w:rPr>
                <w:color w:val="000000"/>
                <w:sz w:val="20"/>
                <w:szCs w:val="20"/>
              </w:rPr>
              <w:t xml:space="preserve">2002;288:2836-45. </w:t>
            </w:r>
          </w:p>
        </w:tc>
        <w:tc>
          <w:tcPr>
            <w:tcW w:w="866" w:type="dxa"/>
          </w:tcPr>
          <w:p w14:paraId="174F3CEB" w14:textId="77777777" w:rsidR="00EC5E4E" w:rsidRPr="00317482" w:rsidRDefault="00EC5E4E" w:rsidP="002E2177">
            <w:pPr>
              <w:ind w:left="0" w:firstLine="0"/>
              <w:rPr>
                <w:sz w:val="20"/>
              </w:rPr>
            </w:pPr>
            <w:r w:rsidRPr="00317482">
              <w:rPr>
                <w:sz w:val="20"/>
              </w:rPr>
              <w:t>High</w:t>
            </w:r>
          </w:p>
        </w:tc>
        <w:tc>
          <w:tcPr>
            <w:tcW w:w="747" w:type="dxa"/>
          </w:tcPr>
          <w:p w14:paraId="55E0C5FB" w14:textId="77777777" w:rsidR="00EC5E4E" w:rsidRPr="00317482" w:rsidRDefault="00EC5E4E" w:rsidP="002E2177">
            <w:pPr>
              <w:ind w:left="0" w:firstLine="0"/>
              <w:rPr>
                <w:sz w:val="20"/>
              </w:rPr>
            </w:pPr>
            <w:r w:rsidRPr="00317482">
              <w:rPr>
                <w:sz w:val="20"/>
              </w:rPr>
              <w:t>RCT</w:t>
            </w:r>
          </w:p>
        </w:tc>
      </w:tr>
      <w:tr w:rsidR="00417EB6" w14:paraId="2C71D2A4" w14:textId="77777777" w:rsidTr="00317482">
        <w:trPr>
          <w:tblCellSpacing w:w="14" w:type="dxa"/>
        </w:trPr>
        <w:tc>
          <w:tcPr>
            <w:tcW w:w="850" w:type="dxa"/>
          </w:tcPr>
          <w:p w14:paraId="56B8E02A" w14:textId="77777777" w:rsidR="00417EB6" w:rsidRDefault="00417EB6" w:rsidP="000B7E25">
            <w:pPr>
              <w:ind w:left="0" w:firstLine="0"/>
            </w:pPr>
            <w:r w:rsidRPr="00111E9D">
              <w:rPr>
                <w:rFonts w:cs="Times"/>
                <w:i/>
                <w:iCs/>
                <w:color w:val="000000"/>
                <w:sz w:val="20"/>
                <w:szCs w:val="18"/>
              </w:rPr>
              <w:t>Trivedi, 2006</w:t>
            </w:r>
          </w:p>
        </w:tc>
        <w:tc>
          <w:tcPr>
            <w:tcW w:w="6741" w:type="dxa"/>
          </w:tcPr>
          <w:p w14:paraId="0D7C9ECD" w14:textId="77777777" w:rsidR="00417EB6" w:rsidRDefault="00417EB6" w:rsidP="000B7E25">
            <w:pPr>
              <w:ind w:left="0" w:firstLine="0"/>
            </w:pPr>
            <w:r>
              <w:rPr>
                <w:color w:val="000000"/>
                <w:sz w:val="20"/>
                <w:szCs w:val="20"/>
              </w:rPr>
              <w:t xml:space="preserve">Trivedi MH, Fava M, Wisniewski SR, et al. Medication augmentation after the failure of SSRIs for depression. </w:t>
            </w:r>
            <w:r>
              <w:rPr>
                <w:i/>
                <w:iCs/>
                <w:color w:val="000000"/>
                <w:sz w:val="20"/>
                <w:szCs w:val="20"/>
              </w:rPr>
              <w:t xml:space="preserve">N Engl J Med </w:t>
            </w:r>
            <w:r>
              <w:rPr>
                <w:color w:val="000000"/>
                <w:sz w:val="20"/>
                <w:szCs w:val="20"/>
              </w:rPr>
              <w:t>2006a;354:1243-52.</w:t>
            </w:r>
          </w:p>
        </w:tc>
        <w:tc>
          <w:tcPr>
            <w:tcW w:w="866" w:type="dxa"/>
          </w:tcPr>
          <w:p w14:paraId="00E4D566" w14:textId="77777777" w:rsidR="00417EB6" w:rsidRPr="00317482" w:rsidRDefault="00417EB6" w:rsidP="000B7E25">
            <w:pPr>
              <w:ind w:left="0" w:firstLine="0"/>
              <w:rPr>
                <w:sz w:val="20"/>
              </w:rPr>
            </w:pPr>
            <w:r w:rsidRPr="00317482">
              <w:rPr>
                <w:sz w:val="20"/>
              </w:rPr>
              <w:t>High</w:t>
            </w:r>
          </w:p>
        </w:tc>
        <w:tc>
          <w:tcPr>
            <w:tcW w:w="747" w:type="dxa"/>
          </w:tcPr>
          <w:p w14:paraId="65DB6300" w14:textId="77777777" w:rsidR="00417EB6" w:rsidRPr="00317482" w:rsidRDefault="00535D90" w:rsidP="002E2177">
            <w:pPr>
              <w:ind w:left="0" w:firstLine="0"/>
              <w:rPr>
                <w:sz w:val="20"/>
              </w:rPr>
            </w:pPr>
            <w:r w:rsidRPr="00317482">
              <w:rPr>
                <w:sz w:val="20"/>
              </w:rPr>
              <w:t>RCT</w:t>
            </w:r>
          </w:p>
        </w:tc>
      </w:tr>
      <w:tr w:rsidR="00417EB6" w14:paraId="60F12D42" w14:textId="77777777" w:rsidTr="00317482">
        <w:trPr>
          <w:tblCellSpacing w:w="14" w:type="dxa"/>
        </w:trPr>
        <w:tc>
          <w:tcPr>
            <w:tcW w:w="850" w:type="dxa"/>
          </w:tcPr>
          <w:p w14:paraId="25AAA224" w14:textId="77777777" w:rsidR="00417EB6" w:rsidRDefault="00417EB6" w:rsidP="000B7E25">
            <w:pPr>
              <w:ind w:left="0" w:firstLine="0"/>
            </w:pPr>
            <w:r w:rsidRPr="00111E9D">
              <w:rPr>
                <w:rFonts w:cs="Times"/>
                <w:i/>
                <w:iCs/>
                <w:color w:val="000000"/>
                <w:sz w:val="20"/>
                <w:szCs w:val="18"/>
              </w:rPr>
              <w:t>Hunkeler, 2000</w:t>
            </w:r>
          </w:p>
        </w:tc>
        <w:tc>
          <w:tcPr>
            <w:tcW w:w="6741" w:type="dxa"/>
          </w:tcPr>
          <w:p w14:paraId="1E1AFA46" w14:textId="77777777" w:rsidR="00417EB6" w:rsidRDefault="00417EB6" w:rsidP="00535D90">
            <w:pPr>
              <w:ind w:left="0" w:firstLine="0"/>
            </w:pPr>
            <w:r>
              <w:rPr>
                <w:color w:val="000000"/>
                <w:sz w:val="20"/>
                <w:szCs w:val="20"/>
              </w:rPr>
              <w:t xml:space="preserve">Hunkeler EM, Meresman JF, Hargreaves WA, et al. Efficacy of nurse telehealth care and peer support in augmenting treatment of depression in primary care. </w:t>
            </w:r>
            <w:r>
              <w:rPr>
                <w:i/>
                <w:iCs/>
                <w:color w:val="000000"/>
                <w:sz w:val="20"/>
                <w:szCs w:val="20"/>
              </w:rPr>
              <w:t xml:space="preserve">Arch Fam Med </w:t>
            </w:r>
            <w:r>
              <w:rPr>
                <w:color w:val="000000"/>
                <w:sz w:val="20"/>
                <w:szCs w:val="20"/>
              </w:rPr>
              <w:t xml:space="preserve">2000;9:700-08. </w:t>
            </w:r>
          </w:p>
        </w:tc>
        <w:tc>
          <w:tcPr>
            <w:tcW w:w="866" w:type="dxa"/>
          </w:tcPr>
          <w:p w14:paraId="0C0015F1" w14:textId="77777777" w:rsidR="00417EB6" w:rsidRPr="00317482" w:rsidRDefault="00417EB6" w:rsidP="000B7E25">
            <w:pPr>
              <w:ind w:left="0" w:firstLine="0"/>
              <w:rPr>
                <w:sz w:val="20"/>
              </w:rPr>
            </w:pPr>
            <w:r w:rsidRPr="00317482">
              <w:rPr>
                <w:sz w:val="20"/>
              </w:rPr>
              <w:t>High</w:t>
            </w:r>
          </w:p>
        </w:tc>
        <w:tc>
          <w:tcPr>
            <w:tcW w:w="747" w:type="dxa"/>
          </w:tcPr>
          <w:p w14:paraId="7A566F1A" w14:textId="77777777" w:rsidR="00417EB6" w:rsidRPr="00317482" w:rsidRDefault="00FF2984" w:rsidP="002E2177">
            <w:pPr>
              <w:ind w:left="0" w:firstLine="0"/>
              <w:rPr>
                <w:sz w:val="20"/>
              </w:rPr>
            </w:pPr>
            <w:r w:rsidRPr="00317482">
              <w:rPr>
                <w:sz w:val="20"/>
              </w:rPr>
              <w:t>RCT</w:t>
            </w:r>
          </w:p>
        </w:tc>
      </w:tr>
      <w:tr w:rsidR="00417EB6" w14:paraId="73046C46" w14:textId="77777777" w:rsidTr="00317482">
        <w:trPr>
          <w:tblCellSpacing w:w="14" w:type="dxa"/>
        </w:trPr>
        <w:tc>
          <w:tcPr>
            <w:tcW w:w="850" w:type="dxa"/>
          </w:tcPr>
          <w:p w14:paraId="1F621DB6" w14:textId="77777777" w:rsidR="00417EB6" w:rsidRPr="00111E9D" w:rsidRDefault="00417EB6" w:rsidP="000B7E25">
            <w:pPr>
              <w:ind w:left="0" w:firstLine="0"/>
              <w:rPr>
                <w:rFonts w:cs="Times"/>
                <w:i/>
                <w:iCs/>
                <w:color w:val="000000"/>
                <w:sz w:val="20"/>
                <w:szCs w:val="18"/>
              </w:rPr>
            </w:pPr>
            <w:r w:rsidRPr="00111E9D">
              <w:rPr>
                <w:rFonts w:cs="Times"/>
                <w:i/>
                <w:iCs/>
                <w:color w:val="000000"/>
                <w:sz w:val="20"/>
                <w:szCs w:val="18"/>
              </w:rPr>
              <w:t>Simon, 2000</w:t>
            </w:r>
          </w:p>
        </w:tc>
        <w:tc>
          <w:tcPr>
            <w:tcW w:w="6741" w:type="dxa"/>
          </w:tcPr>
          <w:p w14:paraId="121A95B4" w14:textId="77777777" w:rsidR="00417EB6" w:rsidRDefault="00417EB6" w:rsidP="000B7E25">
            <w:pPr>
              <w:ind w:left="0" w:firstLine="0"/>
            </w:pPr>
            <w:r>
              <w:rPr>
                <w:color w:val="000000"/>
                <w:sz w:val="20"/>
                <w:szCs w:val="20"/>
              </w:rPr>
              <w:t>Simon GE, Van Korff M, Rutter C, Wagner E. Randomised trial of monitoring, feedback, and manage</w:t>
            </w:r>
            <w:r>
              <w:rPr>
                <w:color w:val="000000"/>
                <w:sz w:val="20"/>
                <w:szCs w:val="20"/>
              </w:rPr>
              <w:softHyphen/>
              <w:t xml:space="preserve">ment of care by telephone to improve treatment of depression in primary care. </w:t>
            </w:r>
            <w:r>
              <w:rPr>
                <w:i/>
                <w:iCs/>
                <w:color w:val="000000"/>
                <w:sz w:val="20"/>
                <w:szCs w:val="20"/>
              </w:rPr>
              <w:t xml:space="preserve">BMJ </w:t>
            </w:r>
            <w:r>
              <w:rPr>
                <w:color w:val="000000"/>
                <w:sz w:val="20"/>
                <w:szCs w:val="20"/>
              </w:rPr>
              <w:t>2000;320:550-54. (High Quality Evidence)</w:t>
            </w:r>
          </w:p>
        </w:tc>
        <w:tc>
          <w:tcPr>
            <w:tcW w:w="866" w:type="dxa"/>
          </w:tcPr>
          <w:p w14:paraId="20EDD1EA" w14:textId="77777777" w:rsidR="00417EB6" w:rsidRPr="00317482" w:rsidRDefault="00417EB6" w:rsidP="000B7E25">
            <w:pPr>
              <w:ind w:left="0" w:firstLine="0"/>
              <w:rPr>
                <w:sz w:val="20"/>
              </w:rPr>
            </w:pPr>
            <w:r w:rsidRPr="00317482">
              <w:rPr>
                <w:sz w:val="20"/>
              </w:rPr>
              <w:t>High</w:t>
            </w:r>
          </w:p>
        </w:tc>
        <w:tc>
          <w:tcPr>
            <w:tcW w:w="747" w:type="dxa"/>
          </w:tcPr>
          <w:p w14:paraId="5E9AC856" w14:textId="77777777" w:rsidR="00417EB6" w:rsidRPr="00317482" w:rsidRDefault="00417EB6" w:rsidP="000B7E25">
            <w:pPr>
              <w:ind w:left="0" w:firstLine="0"/>
              <w:rPr>
                <w:sz w:val="20"/>
              </w:rPr>
            </w:pPr>
            <w:r w:rsidRPr="00317482">
              <w:rPr>
                <w:sz w:val="20"/>
              </w:rPr>
              <w:t>RCT</w:t>
            </w:r>
          </w:p>
        </w:tc>
      </w:tr>
      <w:tr w:rsidR="00417EB6" w14:paraId="48E0ACDF" w14:textId="77777777" w:rsidTr="00317482">
        <w:trPr>
          <w:tblCellSpacing w:w="14" w:type="dxa"/>
        </w:trPr>
        <w:tc>
          <w:tcPr>
            <w:tcW w:w="850" w:type="dxa"/>
          </w:tcPr>
          <w:p w14:paraId="0BBA9BE4" w14:textId="77777777" w:rsidR="00417EB6" w:rsidRDefault="00417EB6" w:rsidP="002E2177">
            <w:pPr>
              <w:ind w:left="0" w:firstLine="0"/>
            </w:pPr>
            <w:r w:rsidRPr="00111E9D">
              <w:rPr>
                <w:rFonts w:cs="Times"/>
                <w:i/>
                <w:iCs/>
                <w:color w:val="000000"/>
                <w:sz w:val="20"/>
                <w:szCs w:val="18"/>
              </w:rPr>
              <w:t>Trivedi, 2009</w:t>
            </w:r>
          </w:p>
        </w:tc>
        <w:tc>
          <w:tcPr>
            <w:tcW w:w="6741" w:type="dxa"/>
          </w:tcPr>
          <w:p w14:paraId="10FB2105" w14:textId="77777777" w:rsidR="00417EB6" w:rsidRDefault="00417EB6" w:rsidP="00417EB6">
            <w:pPr>
              <w:ind w:left="0" w:firstLine="0"/>
            </w:pPr>
            <w:r>
              <w:rPr>
                <w:color w:val="000000"/>
                <w:sz w:val="20"/>
                <w:szCs w:val="20"/>
              </w:rPr>
              <w:t xml:space="preserve">Trivedi MH. Tools and strategies for ongoing assessment of depression: a measurement-based approach to remission. </w:t>
            </w:r>
            <w:r>
              <w:rPr>
                <w:i/>
                <w:iCs/>
                <w:color w:val="000000"/>
                <w:sz w:val="20"/>
                <w:szCs w:val="20"/>
              </w:rPr>
              <w:t xml:space="preserve">J Clin Psychiatry </w:t>
            </w:r>
            <w:r>
              <w:rPr>
                <w:color w:val="000000"/>
                <w:sz w:val="20"/>
                <w:szCs w:val="20"/>
              </w:rPr>
              <w:t xml:space="preserve">2009;70:26-31. </w:t>
            </w:r>
          </w:p>
        </w:tc>
        <w:tc>
          <w:tcPr>
            <w:tcW w:w="866" w:type="dxa"/>
          </w:tcPr>
          <w:p w14:paraId="0D2E7038" w14:textId="77777777" w:rsidR="00417EB6" w:rsidRPr="00317482" w:rsidRDefault="00417EB6" w:rsidP="002E2177">
            <w:pPr>
              <w:ind w:left="0" w:firstLine="0"/>
              <w:rPr>
                <w:sz w:val="20"/>
              </w:rPr>
            </w:pPr>
            <w:r w:rsidRPr="00317482">
              <w:rPr>
                <w:sz w:val="20"/>
              </w:rPr>
              <w:t>Low</w:t>
            </w:r>
          </w:p>
        </w:tc>
        <w:tc>
          <w:tcPr>
            <w:tcW w:w="747" w:type="dxa"/>
          </w:tcPr>
          <w:p w14:paraId="4993DF0C" w14:textId="77777777" w:rsidR="00417EB6" w:rsidRPr="00317482" w:rsidRDefault="00993662" w:rsidP="002E2177">
            <w:pPr>
              <w:ind w:left="0" w:firstLine="0"/>
              <w:rPr>
                <w:sz w:val="20"/>
              </w:rPr>
            </w:pPr>
            <w:r w:rsidRPr="00317482">
              <w:rPr>
                <w:sz w:val="20"/>
              </w:rPr>
              <w:t>Observ</w:t>
            </w:r>
          </w:p>
        </w:tc>
      </w:tr>
      <w:tr w:rsidR="00417EB6" w14:paraId="7D63AF6A" w14:textId="77777777" w:rsidTr="00317482">
        <w:trPr>
          <w:tblCellSpacing w:w="14" w:type="dxa"/>
        </w:trPr>
        <w:tc>
          <w:tcPr>
            <w:tcW w:w="850" w:type="dxa"/>
          </w:tcPr>
          <w:p w14:paraId="6E54B4DC" w14:textId="77777777" w:rsidR="00417EB6" w:rsidRDefault="00417EB6" w:rsidP="002E2177">
            <w:pPr>
              <w:ind w:left="0" w:firstLine="0"/>
            </w:pPr>
            <w:r w:rsidRPr="00111E9D">
              <w:rPr>
                <w:rFonts w:cs="Times"/>
                <w:i/>
                <w:iCs/>
                <w:color w:val="000000"/>
                <w:sz w:val="20"/>
                <w:szCs w:val="18"/>
              </w:rPr>
              <w:t>Löwe, 2004</w:t>
            </w:r>
          </w:p>
        </w:tc>
        <w:tc>
          <w:tcPr>
            <w:tcW w:w="6741" w:type="dxa"/>
          </w:tcPr>
          <w:p w14:paraId="42AB518F" w14:textId="421DBA11" w:rsidR="00417EB6" w:rsidRDefault="00417EB6" w:rsidP="002E2177">
            <w:pPr>
              <w:ind w:left="0" w:firstLine="0"/>
            </w:pPr>
            <w:r>
              <w:rPr>
                <w:color w:val="000000"/>
                <w:sz w:val="20"/>
                <w:szCs w:val="20"/>
              </w:rPr>
              <w:t xml:space="preserve">Löwe B, Unützer J, Callahan CM, et al. Monitoring depression treatment outcomes with the patient health questionnaire-9. </w:t>
            </w:r>
            <w:r>
              <w:rPr>
                <w:i/>
                <w:iCs/>
                <w:color w:val="000000"/>
                <w:sz w:val="20"/>
                <w:szCs w:val="20"/>
              </w:rPr>
              <w:t xml:space="preserve">Med Care </w:t>
            </w:r>
            <w:r w:rsidR="00317482">
              <w:rPr>
                <w:color w:val="000000"/>
                <w:sz w:val="20"/>
                <w:szCs w:val="20"/>
              </w:rPr>
              <w:t>2004;42:1194-1201.</w:t>
            </w:r>
          </w:p>
        </w:tc>
        <w:tc>
          <w:tcPr>
            <w:tcW w:w="866" w:type="dxa"/>
          </w:tcPr>
          <w:p w14:paraId="4164BBAF" w14:textId="77777777" w:rsidR="00417EB6" w:rsidRPr="00317482" w:rsidRDefault="00417EB6" w:rsidP="002E2177">
            <w:pPr>
              <w:ind w:left="0" w:firstLine="0"/>
              <w:rPr>
                <w:sz w:val="20"/>
              </w:rPr>
            </w:pPr>
            <w:r w:rsidRPr="00317482">
              <w:rPr>
                <w:sz w:val="20"/>
              </w:rPr>
              <w:t>Low</w:t>
            </w:r>
          </w:p>
        </w:tc>
        <w:tc>
          <w:tcPr>
            <w:tcW w:w="747" w:type="dxa"/>
          </w:tcPr>
          <w:p w14:paraId="5080EF28" w14:textId="77777777" w:rsidR="00417EB6" w:rsidRPr="00317482" w:rsidRDefault="00222357" w:rsidP="002E2177">
            <w:pPr>
              <w:ind w:left="0" w:firstLine="0"/>
              <w:rPr>
                <w:sz w:val="20"/>
              </w:rPr>
            </w:pPr>
            <w:r w:rsidRPr="00317482">
              <w:rPr>
                <w:sz w:val="20"/>
              </w:rPr>
              <w:t>Cohort</w:t>
            </w:r>
          </w:p>
        </w:tc>
      </w:tr>
      <w:tr w:rsidR="00417EB6" w14:paraId="71E5E6CA" w14:textId="77777777" w:rsidTr="00317482">
        <w:trPr>
          <w:tblCellSpacing w:w="14" w:type="dxa"/>
        </w:trPr>
        <w:tc>
          <w:tcPr>
            <w:tcW w:w="850" w:type="dxa"/>
          </w:tcPr>
          <w:p w14:paraId="744D6632" w14:textId="77777777" w:rsidR="00417EB6" w:rsidRPr="0056135C" w:rsidRDefault="008672A7" w:rsidP="002E2177">
            <w:pPr>
              <w:ind w:left="0" w:firstLine="0"/>
              <w:rPr>
                <w:rFonts w:cs="Times"/>
                <w:i/>
                <w:iCs/>
                <w:color w:val="000000"/>
                <w:sz w:val="20"/>
                <w:szCs w:val="18"/>
              </w:rPr>
            </w:pPr>
            <w:r>
              <w:rPr>
                <w:rFonts w:cs="Times"/>
                <w:i/>
                <w:iCs/>
                <w:color w:val="000000"/>
                <w:sz w:val="20"/>
                <w:szCs w:val="18"/>
              </w:rPr>
              <w:t>Duffy, 2008</w:t>
            </w:r>
          </w:p>
        </w:tc>
        <w:tc>
          <w:tcPr>
            <w:tcW w:w="6741" w:type="dxa"/>
          </w:tcPr>
          <w:p w14:paraId="5856938F" w14:textId="77777777" w:rsidR="00417EB6" w:rsidRDefault="00417EB6" w:rsidP="00417EB6">
            <w:pPr>
              <w:ind w:left="0" w:firstLine="0"/>
            </w:pPr>
            <w:r>
              <w:rPr>
                <w:color w:val="000000"/>
                <w:sz w:val="20"/>
                <w:szCs w:val="20"/>
              </w:rPr>
              <w:t xml:space="preserve">Duffy FF, Chung H, Trivedi M, et al. Systematic use of patient-rated depression severity monitoring: is it helpful and feasible in clinical psychiatry? </w:t>
            </w:r>
            <w:r>
              <w:rPr>
                <w:i/>
                <w:iCs/>
                <w:color w:val="000000"/>
                <w:sz w:val="20"/>
                <w:szCs w:val="20"/>
              </w:rPr>
              <w:t xml:space="preserve">Psychiatric Services </w:t>
            </w:r>
            <w:r>
              <w:rPr>
                <w:color w:val="000000"/>
                <w:sz w:val="20"/>
                <w:szCs w:val="20"/>
              </w:rPr>
              <w:t xml:space="preserve">2008;59:1148-54. </w:t>
            </w:r>
          </w:p>
        </w:tc>
        <w:tc>
          <w:tcPr>
            <w:tcW w:w="866" w:type="dxa"/>
          </w:tcPr>
          <w:p w14:paraId="0C67B77C" w14:textId="77777777" w:rsidR="00417EB6" w:rsidRPr="00317482" w:rsidRDefault="00417EB6" w:rsidP="002E2177">
            <w:pPr>
              <w:ind w:left="0" w:firstLine="0"/>
              <w:rPr>
                <w:sz w:val="20"/>
              </w:rPr>
            </w:pPr>
            <w:r w:rsidRPr="00317482">
              <w:rPr>
                <w:sz w:val="20"/>
              </w:rPr>
              <w:t>Low</w:t>
            </w:r>
          </w:p>
        </w:tc>
        <w:tc>
          <w:tcPr>
            <w:tcW w:w="747" w:type="dxa"/>
          </w:tcPr>
          <w:p w14:paraId="01F6BE0F" w14:textId="77777777" w:rsidR="00417EB6" w:rsidRPr="00317482" w:rsidRDefault="00993662" w:rsidP="002E2177">
            <w:pPr>
              <w:ind w:left="0" w:firstLine="0"/>
              <w:rPr>
                <w:sz w:val="20"/>
              </w:rPr>
            </w:pPr>
            <w:r w:rsidRPr="00317482">
              <w:rPr>
                <w:sz w:val="20"/>
              </w:rPr>
              <w:t>Cohort</w:t>
            </w:r>
          </w:p>
        </w:tc>
      </w:tr>
    </w:tbl>
    <w:p w14:paraId="276EF57F" w14:textId="77777777" w:rsidR="00496AF8" w:rsidRPr="003B1CC5" w:rsidRDefault="00496AF8" w:rsidP="002E2177">
      <w:pPr>
        <w:ind w:left="0" w:firstLine="0"/>
      </w:pPr>
    </w:p>
    <w:p w14:paraId="66CCC753" w14:textId="77777777" w:rsidR="00496AF8" w:rsidRPr="003B1CC5" w:rsidRDefault="001B772D" w:rsidP="00774858">
      <w:pPr>
        <w:ind w:left="0" w:firstLine="0"/>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174CB383" w14:textId="77777777" w:rsidR="00D14F0B" w:rsidRDefault="00FE732F" w:rsidP="002E2177">
      <w:pPr>
        <w:ind w:left="0" w:firstLine="0"/>
      </w:pPr>
      <w:r>
        <w:t>There are several studies with a high quality evidence rating and random control trials evaluated in the systematic review completed by the ICSI guideline work group, but some lower quality observational studies as well, leading to an overall lower quality of evidence rating, but with a strong recommendation for inclusion in clinical practice.</w:t>
      </w:r>
    </w:p>
    <w:p w14:paraId="748F5FA9" w14:textId="77777777" w:rsidR="00FE732F" w:rsidRPr="003B1CC5" w:rsidRDefault="00FE732F" w:rsidP="002E2177">
      <w:pPr>
        <w:ind w:left="0" w:firstLine="0"/>
      </w:pPr>
    </w:p>
    <w:p w14:paraId="3B55C3A4" w14:textId="77777777" w:rsidR="00496AF8" w:rsidRPr="003B1CC5" w:rsidRDefault="00C5180E" w:rsidP="002E2177">
      <w:pPr>
        <w:ind w:left="0" w:firstLine="0"/>
        <w:rPr>
          <w:b/>
        </w:rPr>
      </w:pPr>
      <w:r w:rsidRPr="003B1CC5">
        <w:rPr>
          <w:b/>
        </w:rPr>
        <w:t>ESTIMATES OF BENEFIT AND CONSISTENCY ACROSS STUDIES IN BODY OF EVIDENCE</w:t>
      </w:r>
    </w:p>
    <w:p w14:paraId="643F3E1F" w14:textId="77777777" w:rsidR="00496AF8" w:rsidRDefault="001B772D" w:rsidP="00774858">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4BE8512" w14:textId="36F6AD1A" w:rsidR="009B5BEA" w:rsidRDefault="00101075" w:rsidP="002E2177">
      <w:pPr>
        <w:ind w:left="0" w:firstLine="0"/>
      </w:pPr>
      <w:r>
        <w:t>T</w:t>
      </w:r>
      <w:r w:rsidR="00774858">
        <w:t>he ICSI guideline work group, in</w:t>
      </w:r>
      <w:r>
        <w:t xml:space="preserve"> its review of all available literature, determined that there was benefit in the ongoing follow-up with patients with major depression and recommend the use of the PHQ-9 tool for both monitoring and the management of depression symptoms.</w:t>
      </w:r>
    </w:p>
    <w:p w14:paraId="0C03D8A9" w14:textId="77777777" w:rsidR="00101075" w:rsidRPr="003B1CC5" w:rsidRDefault="00101075" w:rsidP="002E2177">
      <w:pPr>
        <w:ind w:left="0" w:firstLine="0"/>
      </w:pPr>
    </w:p>
    <w:p w14:paraId="0A9B8C10"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C58EBED" w14:textId="77777777" w:rsidR="00496AF8" w:rsidRPr="003B1CC5" w:rsidRDefault="00DC10AB" w:rsidP="002E2177">
      <w:pPr>
        <w:ind w:left="0" w:firstLine="0"/>
      </w:pPr>
      <w:r>
        <w:t>Not available</w:t>
      </w:r>
      <w:r w:rsidR="00101075">
        <w:t>.</w:t>
      </w:r>
    </w:p>
    <w:p w14:paraId="4A5F99B8" w14:textId="77777777" w:rsidR="00496AF8" w:rsidRPr="003B1CC5" w:rsidRDefault="00496AF8" w:rsidP="002E2177">
      <w:pPr>
        <w:ind w:left="0" w:firstLine="0"/>
      </w:pPr>
    </w:p>
    <w:p w14:paraId="509911A4" w14:textId="77777777" w:rsidR="00496AF8" w:rsidRPr="003B1CC5" w:rsidRDefault="00C5180E" w:rsidP="002E2177">
      <w:pPr>
        <w:ind w:left="0" w:firstLine="0"/>
        <w:rPr>
          <w:b/>
          <w:noProof/>
        </w:rPr>
      </w:pPr>
      <w:r w:rsidRPr="003B1CC5">
        <w:rPr>
          <w:b/>
          <w:noProof/>
        </w:rPr>
        <w:t>UPDATE TO THE SYSTEMATIC REVIEW(S) OF THE BODY OF EVIDENCE</w:t>
      </w:r>
    </w:p>
    <w:p w14:paraId="1B46ACB4" w14:textId="77777777" w:rsidR="00496AF8" w:rsidRPr="003B1CC5" w:rsidRDefault="001B772D" w:rsidP="00774858">
      <w:pPr>
        <w:ind w:left="0" w:firstLine="0"/>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6F58D1F0" w14:textId="3F38255E" w:rsidR="00583B11" w:rsidRDefault="00583B11" w:rsidP="00977B63">
      <w:pPr>
        <w:ind w:left="0" w:firstLine="0"/>
        <w:rPr>
          <w:color w:val="FF0000"/>
        </w:rPr>
      </w:pPr>
      <w:r>
        <w:rPr>
          <w:color w:val="FF0000"/>
        </w:rPr>
        <w:t xml:space="preserve">The effectiveness of the collaborative care model for depression has also been demonstrated in the adolescent population. Richardson et al. (2014) conducted a randomized controlled trial to examine the collaborative care model vs usual care for treating adolescents with depression. Results demonstrated </w:t>
      </w:r>
      <w:r>
        <w:rPr>
          <w:color w:val="FF0000"/>
        </w:rPr>
        <w:lastRenderedPageBreak/>
        <w:t>that adolescents treated with a collaborative care intervention vs usual care had greater improvement in depressive symptoms at 12 months.</w:t>
      </w:r>
      <w:r w:rsidR="00977B63">
        <w:rPr>
          <w:color w:val="FF0000"/>
        </w:rPr>
        <w:t xml:space="preserve"> The PHQ-9 tool was used to assess the outcome of remission for this study. Using this outcome, the study found that adolescents treated with the collaborative care intervention were significantly more </w:t>
      </w:r>
      <w:r w:rsidR="00977B63" w:rsidRPr="00977B63">
        <w:rPr>
          <w:color w:val="FF0000"/>
        </w:rPr>
        <w:t>likely to achieve depression remission at both 6 months</w:t>
      </w:r>
      <w:r w:rsidR="00977B63">
        <w:rPr>
          <w:color w:val="FF0000"/>
        </w:rPr>
        <w:t xml:space="preserve"> </w:t>
      </w:r>
      <w:r w:rsidR="00977B63" w:rsidRPr="00977B63">
        <w:rPr>
          <w:color w:val="FF0000"/>
        </w:rPr>
        <w:t>(OR = 5.2, 95%</w:t>
      </w:r>
      <w:r w:rsidR="00977B63">
        <w:rPr>
          <w:color w:val="FF0000"/>
        </w:rPr>
        <w:t xml:space="preserve"> </w:t>
      </w:r>
      <w:r w:rsidR="00977B63" w:rsidRPr="00977B63">
        <w:rPr>
          <w:color w:val="FF0000"/>
        </w:rPr>
        <w:t>CI, 1.6-17.3; P =</w:t>
      </w:r>
      <w:r w:rsidR="00977B63">
        <w:rPr>
          <w:color w:val="FF0000"/>
        </w:rPr>
        <w:t xml:space="preserve"> .007) and 12 months (OR = 3.9, </w:t>
      </w:r>
      <w:r w:rsidR="00977B63" w:rsidRPr="00977B63">
        <w:rPr>
          <w:color w:val="FF0000"/>
        </w:rPr>
        <w:t>95% CI, 1.5-10.6; P = .007).</w:t>
      </w:r>
    </w:p>
    <w:p w14:paraId="3D7ACED0" w14:textId="59E3F35D" w:rsidR="00583B11" w:rsidRDefault="00583B11" w:rsidP="00CF029F">
      <w:pPr>
        <w:spacing w:before="120"/>
        <w:ind w:left="0" w:firstLine="0"/>
        <w:rPr>
          <w:color w:val="FF0000"/>
        </w:rPr>
      </w:pPr>
      <w:r w:rsidRPr="00583B11">
        <w:rPr>
          <w:color w:val="FF0000"/>
        </w:rPr>
        <w:t>Richardson, Laura P., Evette Ludman, Elizabeth McCauley, Jeff Lindenbaum, Cindy Larison, Chuan Zhou, Greg Clarke, David Brent, and Wayne Katon. "Collaborative care for adolescents with depression in primary care: a randomized clinical trial." Jama 312, no. 8 (2014): 809-816.</w:t>
      </w:r>
    </w:p>
    <w:p w14:paraId="4836B735" w14:textId="77777777" w:rsidR="0094689F" w:rsidRPr="003B1CC5" w:rsidRDefault="00925F11" w:rsidP="002E2177">
      <w:pPr>
        <w:ind w:left="0" w:firstLine="0"/>
        <w:rPr>
          <w:b/>
          <w:color w:val="0070C0"/>
        </w:rPr>
      </w:pPr>
      <w:r w:rsidRPr="003B1CC5">
        <w:rPr>
          <w:b/>
          <w:iCs/>
          <w:caps/>
        </w:rPr>
        <w:t>_________________________</w:t>
      </w:r>
    </w:p>
    <w:p w14:paraId="761F492A" w14:textId="77777777"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14:paraId="2946BE8E"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bookmarkStart w:id="11" w:name="_GoBack"/>
      <w:bookmarkEnd w:id="11"/>
    </w:p>
    <w:p w14:paraId="68A27BA7"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7A9AE7D7"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1B88E" w14:textId="77777777" w:rsidR="00D347D0" w:rsidRDefault="00D347D0" w:rsidP="007E37A5">
      <w:r>
        <w:separator/>
      </w:r>
    </w:p>
  </w:endnote>
  <w:endnote w:type="continuationSeparator" w:id="0">
    <w:p w14:paraId="62CAE8E3" w14:textId="77777777" w:rsidR="00D347D0" w:rsidRDefault="00D347D0"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aramond-Regular">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2FAE1" w14:textId="68A122AA" w:rsidR="00D347D0" w:rsidRDefault="00D347D0">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F2B61">
      <w:rPr>
        <w:noProof/>
      </w:rPr>
      <w:t>11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F60E8" w14:textId="77777777" w:rsidR="00D347D0" w:rsidRDefault="00D347D0" w:rsidP="007E37A5">
      <w:r>
        <w:separator/>
      </w:r>
    </w:p>
  </w:footnote>
  <w:footnote w:type="continuationSeparator" w:id="0">
    <w:p w14:paraId="79232D9E" w14:textId="77777777" w:rsidR="00D347D0" w:rsidRDefault="00D347D0"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0B196" w14:textId="77777777" w:rsidR="00D347D0" w:rsidRDefault="00D347D0"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E297A"/>
    <w:multiLevelType w:val="hybridMultilevel"/>
    <w:tmpl w:val="C302CB5C"/>
    <w:lvl w:ilvl="0" w:tplc="04090005">
      <w:start w:val="1"/>
      <w:numFmt w:val="bullet"/>
      <w:lvlText w:val=""/>
      <w:lvlJc w:val="left"/>
      <w:pPr>
        <w:ind w:left="660" w:hanging="360"/>
      </w:pPr>
      <w:rPr>
        <w:rFonts w:ascii="Wingdings" w:hAnsi="Wingding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 w15:restartNumberingAfterBreak="0">
    <w:nsid w:val="0DD14A0E"/>
    <w:multiLevelType w:val="hybridMultilevel"/>
    <w:tmpl w:val="93243296"/>
    <w:lvl w:ilvl="0" w:tplc="04090005">
      <w:start w:val="1"/>
      <w:numFmt w:val="bullet"/>
      <w:lvlText w:val=""/>
      <w:lvlJc w:val="left"/>
      <w:pPr>
        <w:tabs>
          <w:tab w:val="num" w:pos="216"/>
        </w:tabs>
        <w:ind w:left="216" w:hanging="216"/>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54C8DDE4">
      <w:numFmt w:val="bullet"/>
      <w:lvlText w:val="•"/>
      <w:lvlJc w:val="left"/>
      <w:pPr>
        <w:ind w:left="2160" w:hanging="360"/>
      </w:pPr>
      <w:rPr>
        <w:rFonts w:ascii="Calibri" w:eastAsiaTheme="minorHAnsi" w:hAnsi="Calibri" w:cs="Time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D202B"/>
    <w:multiLevelType w:val="hybridMultilevel"/>
    <w:tmpl w:val="855CC06C"/>
    <w:lvl w:ilvl="0" w:tplc="04090005">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30E323C"/>
    <w:multiLevelType w:val="hybridMultilevel"/>
    <w:tmpl w:val="A8100610"/>
    <w:lvl w:ilvl="0" w:tplc="04090005">
      <w:start w:val="1"/>
      <w:numFmt w:val="bullet"/>
      <w:lvlText w:val=""/>
      <w:lvlJc w:val="left"/>
      <w:pPr>
        <w:ind w:left="660" w:hanging="360"/>
      </w:pPr>
      <w:rPr>
        <w:rFonts w:ascii="Wingdings" w:hAnsi="Wingding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4" w15:restartNumberingAfterBreak="0">
    <w:nsid w:val="17D7484C"/>
    <w:multiLevelType w:val="hybridMultilevel"/>
    <w:tmpl w:val="8996EA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C5283"/>
    <w:multiLevelType w:val="hybridMultilevel"/>
    <w:tmpl w:val="54441E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C33A9"/>
    <w:multiLevelType w:val="hybridMultilevel"/>
    <w:tmpl w:val="91E4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A2CE6"/>
    <w:multiLevelType w:val="hybridMultilevel"/>
    <w:tmpl w:val="460EF60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FB09CA"/>
    <w:multiLevelType w:val="hybridMultilevel"/>
    <w:tmpl w:val="D710FBF0"/>
    <w:lvl w:ilvl="0" w:tplc="04090005">
      <w:start w:val="1"/>
      <w:numFmt w:val="bullet"/>
      <w:lvlText w:val=""/>
      <w:lvlJc w:val="left"/>
      <w:pPr>
        <w:ind w:left="720" w:hanging="360"/>
      </w:pPr>
      <w:rPr>
        <w:rFonts w:ascii="Wingdings" w:hAnsi="Wingdings" w:hint="default"/>
      </w:rPr>
    </w:lvl>
    <w:lvl w:ilvl="1" w:tplc="8E26EB9A">
      <w:numFmt w:val="bullet"/>
      <w:lvlText w:val="-"/>
      <w:lvlJc w:val="left"/>
      <w:pPr>
        <w:ind w:left="1440" w:hanging="360"/>
      </w:pPr>
      <w:rPr>
        <w:rFonts w:ascii="Calibri" w:eastAsiaTheme="minorHAnsi" w:hAnsi="Calibri" w:cs="Times" w:hint="default"/>
      </w:rPr>
    </w:lvl>
    <w:lvl w:ilvl="2" w:tplc="BB264EA0">
      <w:numFmt w:val="bullet"/>
      <w:lvlText w:val="•"/>
      <w:lvlJc w:val="left"/>
      <w:pPr>
        <w:ind w:left="2160" w:hanging="360"/>
      </w:pPr>
      <w:rPr>
        <w:rFonts w:ascii="Calibri" w:eastAsiaTheme="minorHAnsi" w:hAnsi="Calibri" w:cs="Time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53C7ED3"/>
    <w:multiLevelType w:val="hybridMultilevel"/>
    <w:tmpl w:val="4E2C76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F7235EF"/>
    <w:multiLevelType w:val="hybridMultilevel"/>
    <w:tmpl w:val="82B00A48"/>
    <w:lvl w:ilvl="0" w:tplc="04090005">
      <w:start w:val="1"/>
      <w:numFmt w:val="bullet"/>
      <w:lvlText w:val=""/>
      <w:lvlJc w:val="left"/>
      <w:pPr>
        <w:ind w:left="660" w:hanging="360"/>
      </w:pPr>
      <w:rPr>
        <w:rFonts w:ascii="Wingdings" w:hAnsi="Wingdings" w:hint="default"/>
      </w:rPr>
    </w:lvl>
    <w:lvl w:ilvl="1" w:tplc="04090003">
      <w:start w:val="1"/>
      <w:numFmt w:val="bullet"/>
      <w:lvlText w:val="o"/>
      <w:lvlJc w:val="left"/>
      <w:pPr>
        <w:ind w:left="1380" w:hanging="360"/>
      </w:pPr>
      <w:rPr>
        <w:rFonts w:ascii="Courier New" w:hAnsi="Courier New" w:cs="Courier New" w:hint="default"/>
      </w:rPr>
    </w:lvl>
    <w:lvl w:ilvl="2" w:tplc="04090005">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6" w15:restartNumberingAfterBreak="0">
    <w:nsid w:val="43C10929"/>
    <w:multiLevelType w:val="hybridMultilevel"/>
    <w:tmpl w:val="47585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7270AB"/>
    <w:multiLevelType w:val="hybridMultilevel"/>
    <w:tmpl w:val="626C48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27353E"/>
    <w:multiLevelType w:val="hybridMultilevel"/>
    <w:tmpl w:val="983CC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4F1CD4"/>
    <w:multiLevelType w:val="hybridMultilevel"/>
    <w:tmpl w:val="3FD8B08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4A315C"/>
    <w:multiLevelType w:val="hybridMultilevel"/>
    <w:tmpl w:val="6EE02A20"/>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54C8DDE4">
      <w:numFmt w:val="bullet"/>
      <w:lvlText w:val="•"/>
      <w:lvlJc w:val="left"/>
      <w:pPr>
        <w:ind w:left="2160" w:hanging="360"/>
      </w:pPr>
      <w:rPr>
        <w:rFonts w:ascii="Calibri" w:eastAsiaTheme="minorHAnsi" w:hAnsi="Calibri" w:cs="Time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7"/>
  </w:num>
  <w:num w:numId="3">
    <w:abstractNumId w:val="8"/>
  </w:num>
  <w:num w:numId="4">
    <w:abstractNumId w:val="10"/>
  </w:num>
  <w:num w:numId="5">
    <w:abstractNumId w:val="12"/>
  </w:num>
  <w:num w:numId="6">
    <w:abstractNumId w:val="11"/>
  </w:num>
  <w:num w:numId="7">
    <w:abstractNumId w:val="22"/>
  </w:num>
  <w:num w:numId="8">
    <w:abstractNumId w:val="21"/>
  </w:num>
  <w:num w:numId="9">
    <w:abstractNumId w:val="16"/>
  </w:num>
  <w:num w:numId="10">
    <w:abstractNumId w:val="9"/>
  </w:num>
  <w:num w:numId="11">
    <w:abstractNumId w:val="2"/>
  </w:num>
  <w:num w:numId="12">
    <w:abstractNumId w:val="15"/>
  </w:num>
  <w:num w:numId="13">
    <w:abstractNumId w:val="0"/>
  </w:num>
  <w:num w:numId="14">
    <w:abstractNumId w:val="5"/>
  </w:num>
  <w:num w:numId="15">
    <w:abstractNumId w:val="3"/>
  </w:num>
  <w:num w:numId="16">
    <w:abstractNumId w:val="4"/>
  </w:num>
  <w:num w:numId="17">
    <w:abstractNumId w:val="18"/>
  </w:num>
  <w:num w:numId="18">
    <w:abstractNumId w:val="7"/>
  </w:num>
  <w:num w:numId="19">
    <w:abstractNumId w:val="19"/>
  </w:num>
  <w:num w:numId="20">
    <w:abstractNumId w:val="1"/>
  </w:num>
  <w:num w:numId="21">
    <w:abstractNumId w:val="6"/>
  </w:num>
  <w:num w:numId="22">
    <w:abstractNumId w:val="2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250A"/>
    <w:rsid w:val="000107EA"/>
    <w:rsid w:val="00015986"/>
    <w:rsid w:val="000160E6"/>
    <w:rsid w:val="00016DDB"/>
    <w:rsid w:val="00024526"/>
    <w:rsid w:val="00030F43"/>
    <w:rsid w:val="00040DCF"/>
    <w:rsid w:val="000444CB"/>
    <w:rsid w:val="00052C0B"/>
    <w:rsid w:val="00061CF3"/>
    <w:rsid w:val="00063601"/>
    <w:rsid w:val="00073079"/>
    <w:rsid w:val="0007593F"/>
    <w:rsid w:val="00095EC9"/>
    <w:rsid w:val="00096A37"/>
    <w:rsid w:val="000A0810"/>
    <w:rsid w:val="000A5974"/>
    <w:rsid w:val="000B599D"/>
    <w:rsid w:val="000B627F"/>
    <w:rsid w:val="000B6A0A"/>
    <w:rsid w:val="000B7E25"/>
    <w:rsid w:val="000D649E"/>
    <w:rsid w:val="000D6D06"/>
    <w:rsid w:val="000D7D85"/>
    <w:rsid w:val="00101075"/>
    <w:rsid w:val="00111E9D"/>
    <w:rsid w:val="00114848"/>
    <w:rsid w:val="00120934"/>
    <w:rsid w:val="00132070"/>
    <w:rsid w:val="00141875"/>
    <w:rsid w:val="0014347E"/>
    <w:rsid w:val="00153728"/>
    <w:rsid w:val="00154438"/>
    <w:rsid w:val="001551F6"/>
    <w:rsid w:val="0015535B"/>
    <w:rsid w:val="00162036"/>
    <w:rsid w:val="00162D75"/>
    <w:rsid w:val="001632DD"/>
    <w:rsid w:val="001638D1"/>
    <w:rsid w:val="00176E60"/>
    <w:rsid w:val="00194D9A"/>
    <w:rsid w:val="001A196B"/>
    <w:rsid w:val="001A26FB"/>
    <w:rsid w:val="001A6D05"/>
    <w:rsid w:val="001B38BF"/>
    <w:rsid w:val="001B772D"/>
    <w:rsid w:val="001D4D79"/>
    <w:rsid w:val="001D5B5D"/>
    <w:rsid w:val="001E2136"/>
    <w:rsid w:val="001E6153"/>
    <w:rsid w:val="00201FF9"/>
    <w:rsid w:val="00205857"/>
    <w:rsid w:val="00222357"/>
    <w:rsid w:val="00235ADC"/>
    <w:rsid w:val="00236F87"/>
    <w:rsid w:val="00264DA3"/>
    <w:rsid w:val="00265702"/>
    <w:rsid w:val="002662B2"/>
    <w:rsid w:val="002717C7"/>
    <w:rsid w:val="002875E9"/>
    <w:rsid w:val="00287EB3"/>
    <w:rsid w:val="0029546A"/>
    <w:rsid w:val="002A47BA"/>
    <w:rsid w:val="002A6777"/>
    <w:rsid w:val="002B06BD"/>
    <w:rsid w:val="002B23AE"/>
    <w:rsid w:val="002C0E48"/>
    <w:rsid w:val="002C3FA0"/>
    <w:rsid w:val="002C6F04"/>
    <w:rsid w:val="002D03D4"/>
    <w:rsid w:val="002D66F6"/>
    <w:rsid w:val="002E2177"/>
    <w:rsid w:val="002E2E41"/>
    <w:rsid w:val="002E78CD"/>
    <w:rsid w:val="002F168E"/>
    <w:rsid w:val="002F20A7"/>
    <w:rsid w:val="003008F4"/>
    <w:rsid w:val="00302B1D"/>
    <w:rsid w:val="00307FA5"/>
    <w:rsid w:val="00315BF3"/>
    <w:rsid w:val="00317482"/>
    <w:rsid w:val="00324D64"/>
    <w:rsid w:val="00352B52"/>
    <w:rsid w:val="0035760D"/>
    <w:rsid w:val="00363ECC"/>
    <w:rsid w:val="00383BA6"/>
    <w:rsid w:val="00387EC3"/>
    <w:rsid w:val="0039020B"/>
    <w:rsid w:val="00395263"/>
    <w:rsid w:val="003956E0"/>
    <w:rsid w:val="0039609A"/>
    <w:rsid w:val="00397500"/>
    <w:rsid w:val="003B1CC5"/>
    <w:rsid w:val="003B65CE"/>
    <w:rsid w:val="003D7A80"/>
    <w:rsid w:val="003E039E"/>
    <w:rsid w:val="00417EB6"/>
    <w:rsid w:val="00422917"/>
    <w:rsid w:val="00426430"/>
    <w:rsid w:val="00440687"/>
    <w:rsid w:val="0044131D"/>
    <w:rsid w:val="00441ADA"/>
    <w:rsid w:val="00457E46"/>
    <w:rsid w:val="00496AF8"/>
    <w:rsid w:val="004A575D"/>
    <w:rsid w:val="004B65C6"/>
    <w:rsid w:val="004B68C1"/>
    <w:rsid w:val="004B7AA2"/>
    <w:rsid w:val="004D1DC7"/>
    <w:rsid w:val="004F0F90"/>
    <w:rsid w:val="004F1D03"/>
    <w:rsid w:val="004F7D7E"/>
    <w:rsid w:val="00500B0C"/>
    <w:rsid w:val="00521D07"/>
    <w:rsid w:val="005234CE"/>
    <w:rsid w:val="005238CC"/>
    <w:rsid w:val="00532231"/>
    <w:rsid w:val="00535D90"/>
    <w:rsid w:val="00537150"/>
    <w:rsid w:val="00540984"/>
    <w:rsid w:val="00543851"/>
    <w:rsid w:val="0055559D"/>
    <w:rsid w:val="005569AE"/>
    <w:rsid w:val="0056135C"/>
    <w:rsid w:val="00583B11"/>
    <w:rsid w:val="005857F8"/>
    <w:rsid w:val="0058734C"/>
    <w:rsid w:val="00591D96"/>
    <w:rsid w:val="00592A23"/>
    <w:rsid w:val="005B0D18"/>
    <w:rsid w:val="005B12C3"/>
    <w:rsid w:val="005B409D"/>
    <w:rsid w:val="005D0FDB"/>
    <w:rsid w:val="005D25E9"/>
    <w:rsid w:val="005D6D59"/>
    <w:rsid w:val="005E34B3"/>
    <w:rsid w:val="005E586C"/>
    <w:rsid w:val="006071AA"/>
    <w:rsid w:val="00617390"/>
    <w:rsid w:val="00623420"/>
    <w:rsid w:val="0062372F"/>
    <w:rsid w:val="00634768"/>
    <w:rsid w:val="0063596F"/>
    <w:rsid w:val="00644139"/>
    <w:rsid w:val="006709EB"/>
    <w:rsid w:val="00672824"/>
    <w:rsid w:val="0068184A"/>
    <w:rsid w:val="006A20E4"/>
    <w:rsid w:val="006A3C62"/>
    <w:rsid w:val="006B11DA"/>
    <w:rsid w:val="006B5C51"/>
    <w:rsid w:val="006C7F30"/>
    <w:rsid w:val="006E6FDD"/>
    <w:rsid w:val="006F4B7F"/>
    <w:rsid w:val="006F760B"/>
    <w:rsid w:val="00701CC3"/>
    <w:rsid w:val="00724801"/>
    <w:rsid w:val="00734949"/>
    <w:rsid w:val="00736AEC"/>
    <w:rsid w:val="00736E0F"/>
    <w:rsid w:val="007434FA"/>
    <w:rsid w:val="007510D8"/>
    <w:rsid w:val="007573F0"/>
    <w:rsid w:val="00765156"/>
    <w:rsid w:val="00766B64"/>
    <w:rsid w:val="00767669"/>
    <w:rsid w:val="00773485"/>
    <w:rsid w:val="00774858"/>
    <w:rsid w:val="00776E8F"/>
    <w:rsid w:val="00776F6D"/>
    <w:rsid w:val="007963A5"/>
    <w:rsid w:val="00796D71"/>
    <w:rsid w:val="007C0297"/>
    <w:rsid w:val="007C1887"/>
    <w:rsid w:val="007D4775"/>
    <w:rsid w:val="007D5DC6"/>
    <w:rsid w:val="007E37A5"/>
    <w:rsid w:val="007F1383"/>
    <w:rsid w:val="007F49D8"/>
    <w:rsid w:val="008029E3"/>
    <w:rsid w:val="00805940"/>
    <w:rsid w:val="00830F92"/>
    <w:rsid w:val="00837121"/>
    <w:rsid w:val="008471E5"/>
    <w:rsid w:val="00850C35"/>
    <w:rsid w:val="00851466"/>
    <w:rsid w:val="00863E43"/>
    <w:rsid w:val="008647C3"/>
    <w:rsid w:val="008659ED"/>
    <w:rsid w:val="008672A7"/>
    <w:rsid w:val="00870987"/>
    <w:rsid w:val="0087564A"/>
    <w:rsid w:val="00881160"/>
    <w:rsid w:val="0088371C"/>
    <w:rsid w:val="008955B9"/>
    <w:rsid w:val="008A45F3"/>
    <w:rsid w:val="008B0971"/>
    <w:rsid w:val="008B51D9"/>
    <w:rsid w:val="008B652E"/>
    <w:rsid w:val="008F1DC6"/>
    <w:rsid w:val="00905C5B"/>
    <w:rsid w:val="00923295"/>
    <w:rsid w:val="00925F11"/>
    <w:rsid w:val="00935265"/>
    <w:rsid w:val="00937DC8"/>
    <w:rsid w:val="0094689F"/>
    <w:rsid w:val="009477D6"/>
    <w:rsid w:val="00953ED3"/>
    <w:rsid w:val="00965FF6"/>
    <w:rsid w:val="00977B63"/>
    <w:rsid w:val="009846D6"/>
    <w:rsid w:val="0098657F"/>
    <w:rsid w:val="00993662"/>
    <w:rsid w:val="009A3236"/>
    <w:rsid w:val="009A32F0"/>
    <w:rsid w:val="009B5427"/>
    <w:rsid w:val="009B5A93"/>
    <w:rsid w:val="009B5BEA"/>
    <w:rsid w:val="009C291F"/>
    <w:rsid w:val="009E0459"/>
    <w:rsid w:val="009E37BD"/>
    <w:rsid w:val="009E6B86"/>
    <w:rsid w:val="009E7CC9"/>
    <w:rsid w:val="00A03301"/>
    <w:rsid w:val="00A12762"/>
    <w:rsid w:val="00A13867"/>
    <w:rsid w:val="00A26FED"/>
    <w:rsid w:val="00A27C7E"/>
    <w:rsid w:val="00A357B0"/>
    <w:rsid w:val="00A35A78"/>
    <w:rsid w:val="00A421D4"/>
    <w:rsid w:val="00A44FF0"/>
    <w:rsid w:val="00A50E55"/>
    <w:rsid w:val="00A67EB1"/>
    <w:rsid w:val="00A91A47"/>
    <w:rsid w:val="00A95D2B"/>
    <w:rsid w:val="00AA1E56"/>
    <w:rsid w:val="00AA5587"/>
    <w:rsid w:val="00AB12C0"/>
    <w:rsid w:val="00AC1E53"/>
    <w:rsid w:val="00AD1ED5"/>
    <w:rsid w:val="00AD79C8"/>
    <w:rsid w:val="00AE5972"/>
    <w:rsid w:val="00AE6CE0"/>
    <w:rsid w:val="00AF77D7"/>
    <w:rsid w:val="00B058A6"/>
    <w:rsid w:val="00B05AB0"/>
    <w:rsid w:val="00B117D0"/>
    <w:rsid w:val="00B13998"/>
    <w:rsid w:val="00B439DD"/>
    <w:rsid w:val="00B51864"/>
    <w:rsid w:val="00B52E0F"/>
    <w:rsid w:val="00B7437A"/>
    <w:rsid w:val="00B74629"/>
    <w:rsid w:val="00B74F30"/>
    <w:rsid w:val="00B81E7B"/>
    <w:rsid w:val="00B84520"/>
    <w:rsid w:val="00B91F58"/>
    <w:rsid w:val="00BA579E"/>
    <w:rsid w:val="00BE2295"/>
    <w:rsid w:val="00BE3591"/>
    <w:rsid w:val="00BE6373"/>
    <w:rsid w:val="00BE7FC5"/>
    <w:rsid w:val="00BF533A"/>
    <w:rsid w:val="00C30BFB"/>
    <w:rsid w:val="00C32838"/>
    <w:rsid w:val="00C362C1"/>
    <w:rsid w:val="00C46677"/>
    <w:rsid w:val="00C5180E"/>
    <w:rsid w:val="00C54E40"/>
    <w:rsid w:val="00C55F56"/>
    <w:rsid w:val="00C57BA4"/>
    <w:rsid w:val="00C613EB"/>
    <w:rsid w:val="00C6187B"/>
    <w:rsid w:val="00C76036"/>
    <w:rsid w:val="00C77889"/>
    <w:rsid w:val="00C84623"/>
    <w:rsid w:val="00CB06C9"/>
    <w:rsid w:val="00CB1E41"/>
    <w:rsid w:val="00CB20C0"/>
    <w:rsid w:val="00CB271C"/>
    <w:rsid w:val="00CE4F96"/>
    <w:rsid w:val="00CF029F"/>
    <w:rsid w:val="00CF0AB1"/>
    <w:rsid w:val="00CF4B9B"/>
    <w:rsid w:val="00CF55E6"/>
    <w:rsid w:val="00CF6D93"/>
    <w:rsid w:val="00CF75E6"/>
    <w:rsid w:val="00CF772F"/>
    <w:rsid w:val="00D048DB"/>
    <w:rsid w:val="00D10403"/>
    <w:rsid w:val="00D14F0B"/>
    <w:rsid w:val="00D178CA"/>
    <w:rsid w:val="00D3311C"/>
    <w:rsid w:val="00D347D0"/>
    <w:rsid w:val="00D37AC2"/>
    <w:rsid w:val="00D53405"/>
    <w:rsid w:val="00D5457B"/>
    <w:rsid w:val="00D72995"/>
    <w:rsid w:val="00DA575C"/>
    <w:rsid w:val="00DA7FA2"/>
    <w:rsid w:val="00DB5135"/>
    <w:rsid w:val="00DC10AB"/>
    <w:rsid w:val="00DC2D8D"/>
    <w:rsid w:val="00DE1F5D"/>
    <w:rsid w:val="00DE50D8"/>
    <w:rsid w:val="00DF278A"/>
    <w:rsid w:val="00E0514A"/>
    <w:rsid w:val="00E1664B"/>
    <w:rsid w:val="00E2768E"/>
    <w:rsid w:val="00E30D12"/>
    <w:rsid w:val="00E3394E"/>
    <w:rsid w:val="00E34572"/>
    <w:rsid w:val="00E35241"/>
    <w:rsid w:val="00E41417"/>
    <w:rsid w:val="00E536D3"/>
    <w:rsid w:val="00E57BE2"/>
    <w:rsid w:val="00E62A95"/>
    <w:rsid w:val="00E746A2"/>
    <w:rsid w:val="00E76CF2"/>
    <w:rsid w:val="00E90D06"/>
    <w:rsid w:val="00E97E59"/>
    <w:rsid w:val="00EA79C9"/>
    <w:rsid w:val="00EB3677"/>
    <w:rsid w:val="00EB66AC"/>
    <w:rsid w:val="00EC2247"/>
    <w:rsid w:val="00EC5E4E"/>
    <w:rsid w:val="00EE1F87"/>
    <w:rsid w:val="00EE3931"/>
    <w:rsid w:val="00EE5AF6"/>
    <w:rsid w:val="00EE7E78"/>
    <w:rsid w:val="00EF2B61"/>
    <w:rsid w:val="00EF2CEF"/>
    <w:rsid w:val="00EF540D"/>
    <w:rsid w:val="00F1092D"/>
    <w:rsid w:val="00F11226"/>
    <w:rsid w:val="00F1161D"/>
    <w:rsid w:val="00F220BD"/>
    <w:rsid w:val="00F32136"/>
    <w:rsid w:val="00F33A55"/>
    <w:rsid w:val="00F42C20"/>
    <w:rsid w:val="00F431D8"/>
    <w:rsid w:val="00F5302D"/>
    <w:rsid w:val="00F544B9"/>
    <w:rsid w:val="00F67706"/>
    <w:rsid w:val="00F80BC6"/>
    <w:rsid w:val="00F92D75"/>
    <w:rsid w:val="00F939E4"/>
    <w:rsid w:val="00F97327"/>
    <w:rsid w:val="00FA296F"/>
    <w:rsid w:val="00FA63A8"/>
    <w:rsid w:val="00FA7323"/>
    <w:rsid w:val="00FA7AC9"/>
    <w:rsid w:val="00FB4081"/>
    <w:rsid w:val="00FC32D3"/>
    <w:rsid w:val="00FD4D82"/>
    <w:rsid w:val="00FE39AA"/>
    <w:rsid w:val="00FE57AE"/>
    <w:rsid w:val="00FE732F"/>
    <w:rsid w:val="00FF2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483980"/>
  <w15:docId w15:val="{C7BD6380-19F7-4DD5-8D35-608E64E1C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C30BFB"/>
    <w:pPr>
      <w:ind w:left="0" w:firstLine="0"/>
    </w:pPr>
    <w:rPr>
      <w:rFonts w:ascii="Calibri" w:eastAsia="Times New Roman" w:hAnsi="Calibri" w:cs="Times New Roman"/>
      <w:spacing w:val="4"/>
      <w:sz w:val="20"/>
      <w:szCs w:val="20"/>
      <w:lang w:eastAsia="ja-JP"/>
    </w:rPr>
  </w:style>
  <w:style w:type="character" w:customStyle="1" w:styleId="EndnoteTextChar">
    <w:name w:val="Endnote Text Char"/>
    <w:basedOn w:val="DefaultParagraphFont"/>
    <w:link w:val="EndnoteText"/>
    <w:uiPriority w:val="99"/>
    <w:semiHidden/>
    <w:rsid w:val="00C30BFB"/>
    <w:rPr>
      <w:rFonts w:ascii="Calibri" w:eastAsia="Times New Roman" w:hAnsi="Calibri" w:cs="Times New Roman"/>
      <w:spacing w:val="4"/>
      <w:sz w:val="20"/>
      <w:szCs w:val="20"/>
      <w:lang w:eastAsia="ja-JP"/>
    </w:rPr>
  </w:style>
  <w:style w:type="character" w:styleId="EndnoteReference">
    <w:name w:val="endnote reference"/>
    <w:uiPriority w:val="99"/>
    <w:semiHidden/>
    <w:unhideWhenUsed/>
    <w:rsid w:val="00C30BFB"/>
    <w:rPr>
      <w:vertAlign w:val="superscript"/>
    </w:rPr>
  </w:style>
  <w:style w:type="paragraph" w:customStyle="1" w:styleId="Pa29">
    <w:name w:val="Pa29"/>
    <w:basedOn w:val="Normal"/>
    <w:next w:val="Normal"/>
    <w:uiPriority w:val="99"/>
    <w:rsid w:val="00B05AB0"/>
    <w:pPr>
      <w:autoSpaceDE w:val="0"/>
      <w:autoSpaceDN w:val="0"/>
      <w:adjustRightInd w:val="0"/>
      <w:spacing w:line="211" w:lineRule="atLeast"/>
      <w:ind w:left="0" w:firstLine="0"/>
    </w:pPr>
    <w:rPr>
      <w:rFonts w:ascii="Times" w:hAnsi="Times"/>
      <w:sz w:val="24"/>
      <w:szCs w:val="24"/>
    </w:rPr>
  </w:style>
  <w:style w:type="paragraph" w:customStyle="1" w:styleId="Pa30">
    <w:name w:val="Pa30"/>
    <w:basedOn w:val="Normal"/>
    <w:next w:val="Normal"/>
    <w:uiPriority w:val="99"/>
    <w:rsid w:val="00B05AB0"/>
    <w:pPr>
      <w:autoSpaceDE w:val="0"/>
      <w:autoSpaceDN w:val="0"/>
      <w:adjustRightInd w:val="0"/>
      <w:spacing w:line="211" w:lineRule="atLeast"/>
      <w:ind w:left="0" w:firstLine="0"/>
    </w:pPr>
    <w:rPr>
      <w:rFonts w:ascii="Times" w:hAnsi="Times"/>
      <w:sz w:val="24"/>
      <w:szCs w:val="24"/>
    </w:rPr>
  </w:style>
  <w:style w:type="paragraph" w:customStyle="1" w:styleId="Pa31">
    <w:name w:val="Pa31"/>
    <w:basedOn w:val="Normal"/>
    <w:next w:val="Normal"/>
    <w:uiPriority w:val="99"/>
    <w:rsid w:val="00BE7FC5"/>
    <w:pPr>
      <w:autoSpaceDE w:val="0"/>
      <w:autoSpaceDN w:val="0"/>
      <w:adjustRightInd w:val="0"/>
      <w:spacing w:line="241" w:lineRule="atLeast"/>
      <w:ind w:left="0" w:firstLine="0"/>
    </w:pPr>
    <w:rPr>
      <w:rFonts w:ascii="Times" w:hAnsi="Times"/>
      <w:sz w:val="24"/>
      <w:szCs w:val="24"/>
    </w:rPr>
  </w:style>
  <w:style w:type="paragraph" w:customStyle="1" w:styleId="Pa27">
    <w:name w:val="Pa27"/>
    <w:basedOn w:val="Normal"/>
    <w:next w:val="Normal"/>
    <w:uiPriority w:val="99"/>
    <w:rsid w:val="00BE7FC5"/>
    <w:pPr>
      <w:autoSpaceDE w:val="0"/>
      <w:autoSpaceDN w:val="0"/>
      <w:adjustRightInd w:val="0"/>
      <w:spacing w:line="211" w:lineRule="atLeast"/>
      <w:ind w:left="0" w:firstLine="0"/>
    </w:pPr>
    <w:rPr>
      <w:rFonts w:ascii="Times" w:hAnsi="Times"/>
      <w:sz w:val="24"/>
      <w:szCs w:val="24"/>
    </w:rPr>
  </w:style>
  <w:style w:type="paragraph" w:customStyle="1" w:styleId="Pa5">
    <w:name w:val="Pa5"/>
    <w:basedOn w:val="Normal"/>
    <w:next w:val="Normal"/>
    <w:uiPriority w:val="99"/>
    <w:rsid w:val="00F33A55"/>
    <w:pPr>
      <w:autoSpaceDE w:val="0"/>
      <w:autoSpaceDN w:val="0"/>
      <w:adjustRightInd w:val="0"/>
      <w:spacing w:line="241" w:lineRule="atLeast"/>
      <w:ind w:left="0" w:firstLine="0"/>
    </w:pPr>
    <w:rPr>
      <w:rFonts w:ascii="Times" w:hAnsi="Times"/>
      <w:sz w:val="24"/>
      <w:szCs w:val="24"/>
    </w:rPr>
  </w:style>
  <w:style w:type="character" w:customStyle="1" w:styleId="A3">
    <w:name w:val="A3"/>
    <w:uiPriority w:val="99"/>
    <w:rsid w:val="00F33A55"/>
    <w:rPr>
      <w:rFonts w:ascii="Arial" w:hAnsi="Arial" w:cs="Arial"/>
      <w:b/>
      <w:bCs/>
      <w:color w:val="000000"/>
      <w:sz w:val="21"/>
      <w:szCs w:val="21"/>
    </w:rPr>
  </w:style>
  <w:style w:type="character" w:customStyle="1" w:styleId="A2">
    <w:name w:val="A2"/>
    <w:uiPriority w:val="99"/>
    <w:rsid w:val="00F33A55"/>
    <w:rPr>
      <w:rFonts w:cs="Times"/>
      <w:i/>
      <w:iCs/>
      <w:color w:val="000000"/>
      <w:sz w:val="20"/>
      <w:szCs w:val="20"/>
    </w:rPr>
  </w:style>
  <w:style w:type="paragraph" w:customStyle="1" w:styleId="Pa41">
    <w:name w:val="Pa41"/>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39">
    <w:name w:val="Pa39"/>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36">
    <w:name w:val="Pa36"/>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50">
    <w:name w:val="Pa50"/>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character" w:customStyle="1" w:styleId="A0">
    <w:name w:val="A0"/>
    <w:uiPriority w:val="99"/>
    <w:rsid w:val="00F33A55"/>
    <w:rPr>
      <w:rFonts w:cs="Times"/>
      <w:b/>
      <w:bCs/>
      <w:color w:val="000000"/>
    </w:rPr>
  </w:style>
  <w:style w:type="paragraph" w:customStyle="1" w:styleId="Pa45">
    <w:name w:val="Pa45"/>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51">
    <w:name w:val="Pa51"/>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48">
    <w:name w:val="Pa48"/>
    <w:basedOn w:val="Normal"/>
    <w:next w:val="Normal"/>
    <w:uiPriority w:val="99"/>
    <w:rsid w:val="00F33A55"/>
    <w:pPr>
      <w:autoSpaceDE w:val="0"/>
      <w:autoSpaceDN w:val="0"/>
      <w:adjustRightInd w:val="0"/>
      <w:spacing w:line="241" w:lineRule="atLeast"/>
      <w:ind w:left="0" w:firstLine="0"/>
    </w:pPr>
    <w:rPr>
      <w:rFonts w:ascii="Times" w:hAnsi="Times"/>
      <w:sz w:val="24"/>
      <w:szCs w:val="24"/>
    </w:rPr>
  </w:style>
  <w:style w:type="paragraph" w:customStyle="1" w:styleId="Pa49">
    <w:name w:val="Pa49"/>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paragraph" w:customStyle="1" w:styleId="Pa32">
    <w:name w:val="Pa32"/>
    <w:basedOn w:val="Normal"/>
    <w:next w:val="Normal"/>
    <w:uiPriority w:val="99"/>
    <w:rsid w:val="00F33A55"/>
    <w:pPr>
      <w:autoSpaceDE w:val="0"/>
      <w:autoSpaceDN w:val="0"/>
      <w:adjustRightInd w:val="0"/>
      <w:spacing w:line="211" w:lineRule="atLeast"/>
      <w:ind w:left="0" w:firstLine="0"/>
    </w:pPr>
    <w:rPr>
      <w:rFonts w:ascii="Times" w:hAnsi="Times"/>
      <w:sz w:val="24"/>
      <w:szCs w:val="24"/>
    </w:rPr>
  </w:style>
  <w:style w:type="character" w:customStyle="1" w:styleId="A7">
    <w:name w:val="A7"/>
    <w:uiPriority w:val="99"/>
    <w:rsid w:val="00F33A55"/>
    <w:rPr>
      <w:rFonts w:cs="Times"/>
      <w:color w:val="000000"/>
      <w:sz w:val="18"/>
      <w:szCs w:val="18"/>
    </w:rPr>
  </w:style>
  <w:style w:type="paragraph" w:customStyle="1" w:styleId="Pa44">
    <w:name w:val="Pa44"/>
    <w:basedOn w:val="Normal"/>
    <w:next w:val="Normal"/>
    <w:uiPriority w:val="99"/>
    <w:rsid w:val="00F33A55"/>
    <w:pPr>
      <w:autoSpaceDE w:val="0"/>
      <w:autoSpaceDN w:val="0"/>
      <w:adjustRightInd w:val="0"/>
      <w:spacing w:line="241" w:lineRule="atLeast"/>
      <w:ind w:left="0" w:firstLine="0"/>
    </w:pPr>
    <w:rPr>
      <w:rFonts w:ascii="Times" w:hAnsi="Times"/>
      <w:sz w:val="24"/>
      <w:szCs w:val="24"/>
    </w:rPr>
  </w:style>
  <w:style w:type="paragraph" w:customStyle="1" w:styleId="Default">
    <w:name w:val="Default"/>
    <w:rsid w:val="004F0F90"/>
    <w:pPr>
      <w:autoSpaceDE w:val="0"/>
      <w:autoSpaceDN w:val="0"/>
      <w:adjustRightInd w:val="0"/>
      <w:ind w:left="0" w:firstLine="0"/>
    </w:pPr>
    <w:rPr>
      <w:rFonts w:ascii="Times" w:hAnsi="Times" w:cs="Times"/>
      <w:color w:val="000000"/>
      <w:sz w:val="24"/>
      <w:szCs w:val="24"/>
    </w:rPr>
  </w:style>
  <w:style w:type="character" w:customStyle="1" w:styleId="A10">
    <w:name w:val="A10"/>
    <w:uiPriority w:val="99"/>
    <w:rsid w:val="004F0F90"/>
    <w:rPr>
      <w:rFonts w:cs="Times"/>
      <w:color w:val="000000"/>
      <w:sz w:val="23"/>
      <w:szCs w:val="23"/>
    </w:rPr>
  </w:style>
  <w:style w:type="paragraph" w:customStyle="1" w:styleId="Pa21">
    <w:name w:val="Pa21"/>
    <w:basedOn w:val="Default"/>
    <w:next w:val="Default"/>
    <w:uiPriority w:val="99"/>
    <w:rsid w:val="004F0F90"/>
    <w:pPr>
      <w:spacing w:line="211" w:lineRule="atLeast"/>
    </w:pPr>
    <w:rPr>
      <w:rFonts w:cstheme="minorBidi"/>
      <w:color w:val="auto"/>
    </w:rPr>
  </w:style>
  <w:style w:type="character" w:styleId="Emphasis">
    <w:name w:val="Emphasis"/>
    <w:basedOn w:val="DefaultParagraphFont"/>
    <w:uiPriority w:val="20"/>
    <w:qFormat/>
    <w:rsid w:val="000D7D85"/>
    <w:rPr>
      <w:i/>
      <w:i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92369">
      <w:bodyDiv w:val="1"/>
      <w:marLeft w:val="0"/>
      <w:marRight w:val="0"/>
      <w:marTop w:val="0"/>
      <w:marBottom w:val="0"/>
      <w:divBdr>
        <w:top w:val="none" w:sz="0" w:space="0" w:color="auto"/>
        <w:left w:val="none" w:sz="0" w:space="0" w:color="auto"/>
        <w:bottom w:val="none" w:sz="0" w:space="0" w:color="auto"/>
        <w:right w:val="none" w:sz="0" w:space="0" w:color="auto"/>
      </w:divBdr>
      <w:divsChild>
        <w:div w:id="1276476628">
          <w:marLeft w:val="0"/>
          <w:marRight w:val="0"/>
          <w:marTop w:val="0"/>
          <w:marBottom w:val="0"/>
          <w:divBdr>
            <w:top w:val="none" w:sz="0" w:space="0" w:color="auto"/>
            <w:left w:val="none" w:sz="0" w:space="0" w:color="auto"/>
            <w:bottom w:val="none" w:sz="0" w:space="0" w:color="auto"/>
            <w:right w:val="none" w:sz="0" w:space="0" w:color="auto"/>
          </w:divBdr>
          <w:divsChild>
            <w:div w:id="18316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diagramLayout" Target="diagrams/layout1.xml"/><Relationship Id="rId26" Type="http://schemas.openxmlformats.org/officeDocument/2006/relationships/hyperlink" Target="http://www.cebm.net/ocebm-levels-of-evidence/" TargetMode="External"/><Relationship Id="rId3" Type="http://schemas.openxmlformats.org/officeDocument/2006/relationships/customXml" Target="../customXml/item3.xml"/><Relationship Id="rId21" Type="http://schemas.microsoft.com/office/2007/relationships/diagramDrawing" Target="diagrams/drawing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diagramData" Target="diagrams/data1.xm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diagramColors" Target="diagrams/colors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pediatrics.aappublications.org/content/120/5/e1313"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23" Type="http://schemas.openxmlformats.org/officeDocument/2006/relationships/hyperlink" Target="http://pediatrics.aappublications.org/content/120/5/e1299.short" TargetMode="External"/><Relationship Id="rId28" Type="http://schemas.openxmlformats.org/officeDocument/2006/relationships/hyperlink" Target="https://www.icsi.org/guidelines__more/catalog_guidelines_and_more/catalog_guidelines/catalog_behavioral_health_guidelines/depression/" TargetMode="External"/><Relationship Id="rId10" Type="http://schemas.openxmlformats.org/officeDocument/2006/relationships/endnotes" Target="endnotes.xml"/><Relationship Id="rId19" Type="http://schemas.openxmlformats.org/officeDocument/2006/relationships/diagramQuickStyle" Target="diagrams/quickStyle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 Id="rId22" Type="http://schemas.openxmlformats.org/officeDocument/2006/relationships/hyperlink" Target="https://www.icsi.org/guidelines__more/catalog_guidelines_and_more/catalog_guidelines/catalog_behavioral_health_guidelines/depression/" TargetMode="External"/><Relationship Id="rId27" Type="http://schemas.openxmlformats.org/officeDocument/2006/relationships/hyperlink" Target="http://www.cebm.net/wp-content/uploads/2014/06/CEBM-Levels-of-Evidence-2.1.pdf" TargetMode="External"/><Relationship Id="rId30"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16274B-F142-45A7-8EA3-AE99F17C0BB6}"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1391AA2B-97CE-4F89-90F3-477B92717B14}">
      <dgm:prSet phldrT="[Text]" custT="1"/>
      <dgm:spPr>
        <a:noFill/>
        <a:ln w="12700">
          <a:solidFill>
            <a:schemeClr val="tx1"/>
          </a:solidFill>
        </a:ln>
      </dgm:spPr>
      <dgm:t>
        <a:bodyPr/>
        <a:lstStyle/>
        <a:p>
          <a:r>
            <a:rPr lang="en-US" sz="900">
              <a:solidFill>
                <a:sysClr val="windowText" lastClr="000000"/>
              </a:solidFill>
              <a:latin typeface="Calibri" panose="020F0502020204030204" pitchFamily="34" charset="0"/>
            </a:rPr>
            <a:t>Assessment and diagnosis of major depression or dysthymia</a:t>
          </a:r>
        </a:p>
        <a:p>
          <a:r>
            <a:rPr lang="en-US" sz="900">
              <a:solidFill>
                <a:sysClr val="windowText" lastClr="000000"/>
              </a:solidFill>
              <a:latin typeface="Calibri" panose="020F0502020204030204" pitchFamily="34" charset="0"/>
            </a:rPr>
            <a:t>PHQ-9 PRO Administration</a:t>
          </a:r>
        </a:p>
      </dgm:t>
    </dgm:pt>
    <dgm:pt modelId="{A6EC5C53-BCDD-4FC2-88E9-0E86C5D8BC77}" type="parTrans" cxnId="{B9F3B7ED-D18E-464D-8D83-4D996928B2D5}">
      <dgm:prSet/>
      <dgm:spPr/>
      <dgm:t>
        <a:bodyPr/>
        <a:lstStyle/>
        <a:p>
          <a:endParaRPr lang="en-US"/>
        </a:p>
      </dgm:t>
    </dgm:pt>
    <dgm:pt modelId="{D47A4A2C-0B1B-41C8-9A4C-9FB5D934FCF8}" type="sibTrans" cxnId="{B9F3B7ED-D18E-464D-8D83-4D996928B2D5}">
      <dgm:prSet/>
      <dgm:spPr>
        <a:noFill/>
        <a:ln>
          <a:solidFill>
            <a:schemeClr val="tx1"/>
          </a:solidFill>
        </a:ln>
      </dgm:spPr>
      <dgm:t>
        <a:bodyPr/>
        <a:lstStyle/>
        <a:p>
          <a:endParaRPr lang="en-US"/>
        </a:p>
      </dgm:t>
    </dgm:pt>
    <dgm:pt modelId="{FC9F5E38-7A78-4F51-B9E4-A28AB6347A65}">
      <dgm:prSet phldrT="[Text]" custT="1">
        <dgm:style>
          <a:lnRef idx="2">
            <a:schemeClr val="dk1"/>
          </a:lnRef>
          <a:fillRef idx="1">
            <a:schemeClr val="lt1"/>
          </a:fillRef>
          <a:effectRef idx="0">
            <a:schemeClr val="dk1"/>
          </a:effectRef>
          <a:fontRef idx="minor">
            <a:schemeClr val="dk1"/>
          </a:fontRef>
        </dgm:style>
      </dgm:prSet>
      <dgm:spPr>
        <a:ln w="12700"/>
      </dgm:spPr>
      <dgm:t>
        <a:bodyPr/>
        <a:lstStyle/>
        <a:p>
          <a:r>
            <a:rPr lang="en-US" sz="900">
              <a:solidFill>
                <a:sysClr val="windowText" lastClr="000000"/>
              </a:solidFill>
            </a:rPr>
            <a:t>Treatment with medication and/ or therapy</a:t>
          </a:r>
        </a:p>
        <a:p>
          <a:r>
            <a:rPr lang="en-US" sz="900">
              <a:solidFill>
                <a:sysClr val="windowText" lastClr="000000"/>
              </a:solidFill>
            </a:rPr>
            <a:t>Assess progress with PHQ-9 PRO</a:t>
          </a:r>
          <a:endParaRPr lang="en-US" sz="900"/>
        </a:p>
      </dgm:t>
    </dgm:pt>
    <dgm:pt modelId="{0A8A4E2E-B72A-47B1-92FF-4915AD59F1F8}" type="parTrans" cxnId="{C854D42D-4FCA-4172-92EC-F9AABD8C22E0}">
      <dgm:prSet/>
      <dgm:spPr/>
      <dgm:t>
        <a:bodyPr/>
        <a:lstStyle/>
        <a:p>
          <a:endParaRPr lang="en-US"/>
        </a:p>
      </dgm:t>
    </dgm:pt>
    <dgm:pt modelId="{F8538E1B-31E8-40EC-B0B3-65A9E8826439}" type="sibTrans" cxnId="{C854D42D-4FCA-4172-92EC-F9AABD8C22E0}">
      <dgm:prSet/>
      <dgm:spPr>
        <a:noFill/>
        <a:ln>
          <a:solidFill>
            <a:schemeClr val="tx1"/>
          </a:solidFill>
        </a:ln>
      </dgm:spPr>
      <dgm:t>
        <a:bodyPr/>
        <a:lstStyle/>
        <a:p>
          <a:endParaRPr lang="en-US">
            <a:ln>
              <a:solidFill>
                <a:sysClr val="windowText" lastClr="000000"/>
              </a:solidFill>
            </a:ln>
          </a:endParaRPr>
        </a:p>
      </dgm:t>
    </dgm:pt>
    <dgm:pt modelId="{69D32939-BD55-4DBC-8A4D-6DB04F3E429A}">
      <dgm:prSet custT="1"/>
      <dgm:spPr>
        <a:noFill/>
        <a:ln w="12700">
          <a:solidFill>
            <a:schemeClr val="tx1"/>
          </a:solidFill>
        </a:ln>
      </dgm:spPr>
      <dgm:t>
        <a:bodyPr/>
        <a:lstStyle/>
        <a:p>
          <a:r>
            <a:rPr lang="en-US" sz="900">
              <a:solidFill>
                <a:sysClr val="windowText" lastClr="000000"/>
              </a:solidFill>
            </a:rPr>
            <a:t>Continue to monitor and assess progress. Step-wise approach to treatment adjustments if needed. </a:t>
          </a:r>
        </a:p>
        <a:p>
          <a:r>
            <a:rPr lang="en-US" sz="900">
              <a:solidFill>
                <a:sysClr val="windowText" lastClr="000000"/>
              </a:solidFill>
            </a:rPr>
            <a:t>Assess progress with PHQ-9 PRO</a:t>
          </a:r>
        </a:p>
      </dgm:t>
    </dgm:pt>
    <dgm:pt modelId="{CFACA3E2-31FB-4EA6-9FBC-8F5B37FCB25A}" type="parTrans" cxnId="{707C7095-34E0-4981-881D-DF3FC42E1C9C}">
      <dgm:prSet/>
      <dgm:spPr/>
      <dgm:t>
        <a:bodyPr/>
        <a:lstStyle/>
        <a:p>
          <a:endParaRPr lang="en-US"/>
        </a:p>
      </dgm:t>
    </dgm:pt>
    <dgm:pt modelId="{A595FB97-D646-451B-A543-8778FED1A0BE}" type="sibTrans" cxnId="{707C7095-34E0-4981-881D-DF3FC42E1C9C}">
      <dgm:prSet/>
      <dgm:spPr>
        <a:noFill/>
        <a:ln>
          <a:solidFill>
            <a:schemeClr val="tx1"/>
          </a:solidFill>
        </a:ln>
      </dgm:spPr>
      <dgm:t>
        <a:bodyPr/>
        <a:lstStyle/>
        <a:p>
          <a:endParaRPr lang="en-US">
            <a:ln>
              <a:solidFill>
                <a:sysClr val="windowText" lastClr="000000"/>
              </a:solidFill>
            </a:ln>
          </a:endParaRPr>
        </a:p>
      </dgm:t>
    </dgm:pt>
    <dgm:pt modelId="{28B80F9C-9E78-4263-9BAA-0C532CFAE4CC}">
      <dgm:prSet phldrT="[Text]" custT="1">
        <dgm:style>
          <a:lnRef idx="2">
            <a:schemeClr val="dk1"/>
          </a:lnRef>
          <a:fillRef idx="1">
            <a:schemeClr val="lt1"/>
          </a:fillRef>
          <a:effectRef idx="0">
            <a:schemeClr val="dk1"/>
          </a:effectRef>
          <a:fontRef idx="minor">
            <a:schemeClr val="dk1"/>
          </a:fontRef>
        </dgm:style>
      </dgm:prSet>
      <dgm:spPr>
        <a:ln w="12700"/>
      </dgm:spPr>
      <dgm:t>
        <a:bodyPr/>
        <a:lstStyle/>
        <a:p>
          <a:pPr>
            <a:spcAft>
              <a:spcPts val="0"/>
            </a:spcAft>
          </a:pPr>
          <a:r>
            <a:rPr lang="en-US" sz="900">
              <a:latin typeface="Calibri" panose="020F0502020204030204" pitchFamily="34" charset="0"/>
            </a:rPr>
            <a:t>Remission at Six or Twelve Months </a:t>
          </a:r>
        </a:p>
        <a:p>
          <a:pPr>
            <a:spcAft>
              <a:spcPct val="35000"/>
            </a:spcAft>
          </a:pPr>
          <a:r>
            <a:rPr lang="en-US" sz="900">
              <a:latin typeface="Calibri" panose="020F0502020204030204" pitchFamily="34" charset="0"/>
            </a:rPr>
            <a:t>(+/- </a:t>
          </a:r>
          <a:r>
            <a:rPr lang="en-US" sz="900">
              <a:solidFill>
                <a:srgbClr val="FF0000"/>
              </a:solidFill>
              <a:latin typeface="Calibri" panose="020F0502020204030204" pitchFamily="34" charset="0"/>
            </a:rPr>
            <a:t>6</a:t>
          </a:r>
          <a:r>
            <a:rPr lang="en-US" sz="900">
              <a:latin typeface="Calibri" panose="020F0502020204030204" pitchFamily="34" charset="0"/>
            </a:rPr>
            <a:t>0 days)</a:t>
          </a:r>
        </a:p>
        <a:p>
          <a:pPr>
            <a:spcAft>
              <a:spcPct val="35000"/>
            </a:spcAft>
          </a:pPr>
          <a:r>
            <a:rPr lang="en-US" sz="900">
              <a:latin typeface="Calibri" panose="020F0502020204030204" pitchFamily="34" charset="0"/>
            </a:rPr>
            <a:t>Remission as demonstrated by PHQ-9 &lt; 5</a:t>
          </a:r>
        </a:p>
      </dgm:t>
    </dgm:pt>
    <dgm:pt modelId="{42A5F344-FB87-4BBE-8643-8AA3545E707A}" type="parTrans" cxnId="{42FA4270-3F9A-4BFD-9ACD-3A97C2BB3E06}">
      <dgm:prSet/>
      <dgm:spPr/>
      <dgm:t>
        <a:bodyPr/>
        <a:lstStyle/>
        <a:p>
          <a:endParaRPr lang="en-US"/>
        </a:p>
      </dgm:t>
    </dgm:pt>
    <dgm:pt modelId="{35FDA0E1-FB41-426A-ABE6-D47AFDE84471}" type="sibTrans" cxnId="{42FA4270-3F9A-4BFD-9ACD-3A97C2BB3E06}">
      <dgm:prSet/>
      <dgm:spPr/>
      <dgm:t>
        <a:bodyPr/>
        <a:lstStyle/>
        <a:p>
          <a:endParaRPr lang="en-US"/>
        </a:p>
      </dgm:t>
    </dgm:pt>
    <dgm:pt modelId="{017E705C-F9A0-4615-A926-DCBED648595F}" type="pres">
      <dgm:prSet presAssocID="{ED16274B-F142-45A7-8EA3-AE99F17C0BB6}" presName="Name0" presStyleCnt="0">
        <dgm:presLayoutVars>
          <dgm:dir/>
          <dgm:resizeHandles val="exact"/>
        </dgm:presLayoutVars>
      </dgm:prSet>
      <dgm:spPr/>
      <dgm:t>
        <a:bodyPr/>
        <a:lstStyle/>
        <a:p>
          <a:endParaRPr lang="en-US"/>
        </a:p>
      </dgm:t>
    </dgm:pt>
    <dgm:pt modelId="{5FF0205B-1149-40E6-AA27-77CA2F0822B7}" type="pres">
      <dgm:prSet presAssocID="{1391AA2B-97CE-4F89-90F3-477B92717B14}" presName="node" presStyleLbl="node1" presStyleIdx="0" presStyleCnt="4" custScaleX="84048" custScaleY="100905">
        <dgm:presLayoutVars>
          <dgm:bulletEnabled val="1"/>
        </dgm:presLayoutVars>
      </dgm:prSet>
      <dgm:spPr/>
      <dgm:t>
        <a:bodyPr/>
        <a:lstStyle/>
        <a:p>
          <a:endParaRPr lang="en-US"/>
        </a:p>
      </dgm:t>
    </dgm:pt>
    <dgm:pt modelId="{9E5FB81F-E62C-42B7-AF7D-F7AAE197F8D2}" type="pres">
      <dgm:prSet presAssocID="{D47A4A2C-0B1B-41C8-9A4C-9FB5D934FCF8}" presName="sibTrans" presStyleLbl="sibTrans2D1" presStyleIdx="0" presStyleCnt="3"/>
      <dgm:spPr/>
      <dgm:t>
        <a:bodyPr/>
        <a:lstStyle/>
        <a:p>
          <a:endParaRPr lang="en-US"/>
        </a:p>
      </dgm:t>
    </dgm:pt>
    <dgm:pt modelId="{66F6BB4E-5A35-4032-B90B-1D161B6BD4B6}" type="pres">
      <dgm:prSet presAssocID="{D47A4A2C-0B1B-41C8-9A4C-9FB5D934FCF8}" presName="connectorText" presStyleLbl="sibTrans2D1" presStyleIdx="0" presStyleCnt="3"/>
      <dgm:spPr/>
      <dgm:t>
        <a:bodyPr/>
        <a:lstStyle/>
        <a:p>
          <a:endParaRPr lang="en-US"/>
        </a:p>
      </dgm:t>
    </dgm:pt>
    <dgm:pt modelId="{F1C79FD0-5752-40BB-9A84-4ECD03456FD7}" type="pres">
      <dgm:prSet presAssocID="{FC9F5E38-7A78-4F51-B9E4-A28AB6347A65}" presName="node" presStyleLbl="node1" presStyleIdx="1" presStyleCnt="4" custScaleX="80614">
        <dgm:presLayoutVars>
          <dgm:bulletEnabled val="1"/>
        </dgm:presLayoutVars>
      </dgm:prSet>
      <dgm:spPr/>
      <dgm:t>
        <a:bodyPr/>
        <a:lstStyle/>
        <a:p>
          <a:endParaRPr lang="en-US"/>
        </a:p>
      </dgm:t>
    </dgm:pt>
    <dgm:pt modelId="{BFC9A279-8DAE-4771-9549-C8BA0E9BC852}" type="pres">
      <dgm:prSet presAssocID="{F8538E1B-31E8-40EC-B0B3-65A9E8826439}" presName="sibTrans" presStyleLbl="sibTrans2D1" presStyleIdx="1" presStyleCnt="3"/>
      <dgm:spPr/>
      <dgm:t>
        <a:bodyPr/>
        <a:lstStyle/>
        <a:p>
          <a:endParaRPr lang="en-US"/>
        </a:p>
      </dgm:t>
    </dgm:pt>
    <dgm:pt modelId="{45234C3E-A14E-4B60-92F8-4E6D2AA12024}" type="pres">
      <dgm:prSet presAssocID="{F8538E1B-31E8-40EC-B0B3-65A9E8826439}" presName="connectorText" presStyleLbl="sibTrans2D1" presStyleIdx="1" presStyleCnt="3"/>
      <dgm:spPr/>
      <dgm:t>
        <a:bodyPr/>
        <a:lstStyle/>
        <a:p>
          <a:endParaRPr lang="en-US"/>
        </a:p>
      </dgm:t>
    </dgm:pt>
    <dgm:pt modelId="{918C40CB-DFD3-45CF-87EF-F5AEBE6D53C6}" type="pres">
      <dgm:prSet presAssocID="{69D32939-BD55-4DBC-8A4D-6DB04F3E429A}" presName="node" presStyleLbl="node1" presStyleIdx="2" presStyleCnt="4" custScaleX="93687">
        <dgm:presLayoutVars>
          <dgm:bulletEnabled val="1"/>
        </dgm:presLayoutVars>
      </dgm:prSet>
      <dgm:spPr/>
      <dgm:t>
        <a:bodyPr/>
        <a:lstStyle/>
        <a:p>
          <a:endParaRPr lang="en-US"/>
        </a:p>
      </dgm:t>
    </dgm:pt>
    <dgm:pt modelId="{F01D2E66-78B7-4327-BA01-12CF7F3543B4}" type="pres">
      <dgm:prSet presAssocID="{A595FB97-D646-451B-A543-8778FED1A0BE}" presName="sibTrans" presStyleLbl="sibTrans2D1" presStyleIdx="2" presStyleCnt="3"/>
      <dgm:spPr/>
      <dgm:t>
        <a:bodyPr/>
        <a:lstStyle/>
        <a:p>
          <a:endParaRPr lang="en-US"/>
        </a:p>
      </dgm:t>
    </dgm:pt>
    <dgm:pt modelId="{8234C582-39D1-477C-92F4-943A8D01311F}" type="pres">
      <dgm:prSet presAssocID="{A595FB97-D646-451B-A543-8778FED1A0BE}" presName="connectorText" presStyleLbl="sibTrans2D1" presStyleIdx="2" presStyleCnt="3"/>
      <dgm:spPr/>
      <dgm:t>
        <a:bodyPr/>
        <a:lstStyle/>
        <a:p>
          <a:endParaRPr lang="en-US"/>
        </a:p>
      </dgm:t>
    </dgm:pt>
    <dgm:pt modelId="{832B6EE9-A8B0-4BF5-AA7F-B0460AD73DDA}" type="pres">
      <dgm:prSet presAssocID="{28B80F9C-9E78-4263-9BAA-0C532CFAE4CC}" presName="node" presStyleLbl="node1" presStyleIdx="3" presStyleCnt="4" custScaleX="80614" custLinFactNeighborX="849">
        <dgm:presLayoutVars>
          <dgm:bulletEnabled val="1"/>
        </dgm:presLayoutVars>
      </dgm:prSet>
      <dgm:spPr/>
      <dgm:t>
        <a:bodyPr/>
        <a:lstStyle/>
        <a:p>
          <a:endParaRPr lang="en-US"/>
        </a:p>
      </dgm:t>
    </dgm:pt>
  </dgm:ptLst>
  <dgm:cxnLst>
    <dgm:cxn modelId="{3FC8A21E-8471-4BD3-9616-D5E358DCC8D3}" type="presOf" srcId="{FC9F5E38-7A78-4F51-B9E4-A28AB6347A65}" destId="{F1C79FD0-5752-40BB-9A84-4ECD03456FD7}" srcOrd="0" destOrd="0" presId="urn:microsoft.com/office/officeart/2005/8/layout/process1"/>
    <dgm:cxn modelId="{2DD0F0B9-9F53-403A-8EA9-7DCC6C6A7F63}" type="presOf" srcId="{ED16274B-F142-45A7-8EA3-AE99F17C0BB6}" destId="{017E705C-F9A0-4615-A926-DCBED648595F}" srcOrd="0" destOrd="0" presId="urn:microsoft.com/office/officeart/2005/8/layout/process1"/>
    <dgm:cxn modelId="{86451114-C734-4D46-892E-F4E02EAA9520}" type="presOf" srcId="{69D32939-BD55-4DBC-8A4D-6DB04F3E429A}" destId="{918C40CB-DFD3-45CF-87EF-F5AEBE6D53C6}" srcOrd="0" destOrd="0" presId="urn:microsoft.com/office/officeart/2005/8/layout/process1"/>
    <dgm:cxn modelId="{B9F3B7ED-D18E-464D-8D83-4D996928B2D5}" srcId="{ED16274B-F142-45A7-8EA3-AE99F17C0BB6}" destId="{1391AA2B-97CE-4F89-90F3-477B92717B14}" srcOrd="0" destOrd="0" parTransId="{A6EC5C53-BCDD-4FC2-88E9-0E86C5D8BC77}" sibTransId="{D47A4A2C-0B1B-41C8-9A4C-9FB5D934FCF8}"/>
    <dgm:cxn modelId="{2C80FE0E-28AB-4683-95E3-13797AB396B2}" type="presOf" srcId="{F8538E1B-31E8-40EC-B0B3-65A9E8826439}" destId="{BFC9A279-8DAE-4771-9549-C8BA0E9BC852}" srcOrd="0" destOrd="0" presId="urn:microsoft.com/office/officeart/2005/8/layout/process1"/>
    <dgm:cxn modelId="{FADD76F7-A10E-47B8-95BC-070C11AF8594}" type="presOf" srcId="{A595FB97-D646-451B-A543-8778FED1A0BE}" destId="{8234C582-39D1-477C-92F4-943A8D01311F}" srcOrd="1" destOrd="0" presId="urn:microsoft.com/office/officeart/2005/8/layout/process1"/>
    <dgm:cxn modelId="{6DF10A1C-EC18-4DFF-8E47-5A629484BBB9}" type="presOf" srcId="{F8538E1B-31E8-40EC-B0B3-65A9E8826439}" destId="{45234C3E-A14E-4B60-92F8-4E6D2AA12024}" srcOrd="1" destOrd="0" presId="urn:microsoft.com/office/officeart/2005/8/layout/process1"/>
    <dgm:cxn modelId="{42FA4270-3F9A-4BFD-9ACD-3A97C2BB3E06}" srcId="{ED16274B-F142-45A7-8EA3-AE99F17C0BB6}" destId="{28B80F9C-9E78-4263-9BAA-0C532CFAE4CC}" srcOrd="3" destOrd="0" parTransId="{42A5F344-FB87-4BBE-8643-8AA3545E707A}" sibTransId="{35FDA0E1-FB41-426A-ABE6-D47AFDE84471}"/>
    <dgm:cxn modelId="{0D3AB021-FAC3-455B-B47F-1EBBBFC31A47}" type="presOf" srcId="{1391AA2B-97CE-4F89-90F3-477B92717B14}" destId="{5FF0205B-1149-40E6-AA27-77CA2F0822B7}" srcOrd="0" destOrd="0" presId="urn:microsoft.com/office/officeart/2005/8/layout/process1"/>
    <dgm:cxn modelId="{3E7B0F3C-310A-47B0-82F1-99EA38BD32F3}" type="presOf" srcId="{A595FB97-D646-451B-A543-8778FED1A0BE}" destId="{F01D2E66-78B7-4327-BA01-12CF7F3543B4}" srcOrd="0" destOrd="0" presId="urn:microsoft.com/office/officeart/2005/8/layout/process1"/>
    <dgm:cxn modelId="{C854D42D-4FCA-4172-92EC-F9AABD8C22E0}" srcId="{ED16274B-F142-45A7-8EA3-AE99F17C0BB6}" destId="{FC9F5E38-7A78-4F51-B9E4-A28AB6347A65}" srcOrd="1" destOrd="0" parTransId="{0A8A4E2E-B72A-47B1-92FF-4915AD59F1F8}" sibTransId="{F8538E1B-31E8-40EC-B0B3-65A9E8826439}"/>
    <dgm:cxn modelId="{720BD2F8-DF0A-416E-88E8-5EBC3DD35122}" type="presOf" srcId="{D47A4A2C-0B1B-41C8-9A4C-9FB5D934FCF8}" destId="{9E5FB81F-E62C-42B7-AF7D-F7AAE197F8D2}" srcOrd="0" destOrd="0" presId="urn:microsoft.com/office/officeart/2005/8/layout/process1"/>
    <dgm:cxn modelId="{1D836C04-7C23-4F95-8719-984E1DC85D2B}" type="presOf" srcId="{28B80F9C-9E78-4263-9BAA-0C532CFAE4CC}" destId="{832B6EE9-A8B0-4BF5-AA7F-B0460AD73DDA}" srcOrd="0" destOrd="0" presId="urn:microsoft.com/office/officeart/2005/8/layout/process1"/>
    <dgm:cxn modelId="{03489041-05E6-411B-98E8-0E0E91575A7B}" type="presOf" srcId="{D47A4A2C-0B1B-41C8-9A4C-9FB5D934FCF8}" destId="{66F6BB4E-5A35-4032-B90B-1D161B6BD4B6}" srcOrd="1" destOrd="0" presId="urn:microsoft.com/office/officeart/2005/8/layout/process1"/>
    <dgm:cxn modelId="{707C7095-34E0-4981-881D-DF3FC42E1C9C}" srcId="{ED16274B-F142-45A7-8EA3-AE99F17C0BB6}" destId="{69D32939-BD55-4DBC-8A4D-6DB04F3E429A}" srcOrd="2" destOrd="0" parTransId="{CFACA3E2-31FB-4EA6-9FBC-8F5B37FCB25A}" sibTransId="{A595FB97-D646-451B-A543-8778FED1A0BE}"/>
    <dgm:cxn modelId="{432233EA-3AB5-454F-92F4-A259CF8FA318}" type="presParOf" srcId="{017E705C-F9A0-4615-A926-DCBED648595F}" destId="{5FF0205B-1149-40E6-AA27-77CA2F0822B7}" srcOrd="0" destOrd="0" presId="urn:microsoft.com/office/officeart/2005/8/layout/process1"/>
    <dgm:cxn modelId="{22E5DD30-8475-49A9-8280-B5115EE801CB}" type="presParOf" srcId="{017E705C-F9A0-4615-A926-DCBED648595F}" destId="{9E5FB81F-E62C-42B7-AF7D-F7AAE197F8D2}" srcOrd="1" destOrd="0" presId="urn:microsoft.com/office/officeart/2005/8/layout/process1"/>
    <dgm:cxn modelId="{7E63E8BF-6D19-4C7F-BB0A-4CE4EEEAED8B}" type="presParOf" srcId="{9E5FB81F-E62C-42B7-AF7D-F7AAE197F8D2}" destId="{66F6BB4E-5A35-4032-B90B-1D161B6BD4B6}" srcOrd="0" destOrd="0" presId="urn:microsoft.com/office/officeart/2005/8/layout/process1"/>
    <dgm:cxn modelId="{25E9D625-E605-4C6D-8980-1A43CE95D094}" type="presParOf" srcId="{017E705C-F9A0-4615-A926-DCBED648595F}" destId="{F1C79FD0-5752-40BB-9A84-4ECD03456FD7}" srcOrd="2" destOrd="0" presId="urn:microsoft.com/office/officeart/2005/8/layout/process1"/>
    <dgm:cxn modelId="{7A9AC306-2AE3-494B-8242-E8447A011A76}" type="presParOf" srcId="{017E705C-F9A0-4615-A926-DCBED648595F}" destId="{BFC9A279-8DAE-4771-9549-C8BA0E9BC852}" srcOrd="3" destOrd="0" presId="urn:microsoft.com/office/officeart/2005/8/layout/process1"/>
    <dgm:cxn modelId="{1D39133D-6778-49FD-B3F1-6C3BD891E98F}" type="presParOf" srcId="{BFC9A279-8DAE-4771-9549-C8BA0E9BC852}" destId="{45234C3E-A14E-4B60-92F8-4E6D2AA12024}" srcOrd="0" destOrd="0" presId="urn:microsoft.com/office/officeart/2005/8/layout/process1"/>
    <dgm:cxn modelId="{09B3E15E-13B6-4170-9889-8760CF140B89}" type="presParOf" srcId="{017E705C-F9A0-4615-A926-DCBED648595F}" destId="{918C40CB-DFD3-45CF-87EF-F5AEBE6D53C6}" srcOrd="4" destOrd="0" presId="urn:microsoft.com/office/officeart/2005/8/layout/process1"/>
    <dgm:cxn modelId="{CE97916C-FAB9-413D-BC18-6E5560ABF10E}" type="presParOf" srcId="{017E705C-F9A0-4615-A926-DCBED648595F}" destId="{F01D2E66-78B7-4327-BA01-12CF7F3543B4}" srcOrd="5" destOrd="0" presId="urn:microsoft.com/office/officeart/2005/8/layout/process1"/>
    <dgm:cxn modelId="{468C57DA-71DB-46E6-881A-0CC6CE16547D}" type="presParOf" srcId="{F01D2E66-78B7-4327-BA01-12CF7F3543B4}" destId="{8234C582-39D1-477C-92F4-943A8D01311F}" srcOrd="0" destOrd="0" presId="urn:microsoft.com/office/officeart/2005/8/layout/process1"/>
    <dgm:cxn modelId="{66DA31C9-E40A-41EB-9B95-983302E6CCB1}" type="presParOf" srcId="{017E705C-F9A0-4615-A926-DCBED648595F}" destId="{832B6EE9-A8B0-4BF5-AA7F-B0460AD73DDA}" srcOrd="6" destOrd="0" presId="urn:microsoft.com/office/officeart/2005/8/layout/process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F0205B-1149-40E6-AA27-77CA2F0822B7}">
      <dsp:nvSpPr>
        <dsp:cNvPr id="0" name=""/>
        <dsp:cNvSpPr/>
      </dsp:nvSpPr>
      <dsp:spPr>
        <a:xfrm>
          <a:off x="4388" y="186241"/>
          <a:ext cx="1086819" cy="1073412"/>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Assessment and diagnosis of major depression or dysthymia</a:t>
          </a:r>
        </a:p>
        <a:p>
          <a:pPr lvl="0" algn="ctr" defTabSz="400050">
            <a:lnSpc>
              <a:spcPct val="90000"/>
            </a:lnSpc>
            <a:spcBef>
              <a:spcPct val="0"/>
            </a:spcBef>
            <a:spcAft>
              <a:spcPct val="35000"/>
            </a:spcAft>
          </a:pPr>
          <a:r>
            <a:rPr lang="en-US" sz="900" kern="1200">
              <a:solidFill>
                <a:sysClr val="windowText" lastClr="000000"/>
              </a:solidFill>
              <a:latin typeface="Calibri" panose="020F0502020204030204" pitchFamily="34" charset="0"/>
            </a:rPr>
            <a:t>PHQ-9 PRO Administration</a:t>
          </a:r>
        </a:p>
      </dsp:txBody>
      <dsp:txXfrm>
        <a:off x="35827" y="217680"/>
        <a:ext cx="1023941" cy="1010534"/>
      </dsp:txXfrm>
    </dsp:sp>
    <dsp:sp modelId="{9E5FB81F-E62C-42B7-AF7D-F7AAE197F8D2}">
      <dsp:nvSpPr>
        <dsp:cNvPr id="0" name=""/>
        <dsp:cNvSpPr/>
      </dsp:nvSpPr>
      <dsp:spPr>
        <a:xfrm>
          <a:off x="1220517" y="562603"/>
          <a:ext cx="274135" cy="320687"/>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p>
      </dsp:txBody>
      <dsp:txXfrm>
        <a:off x="1220517" y="626740"/>
        <a:ext cx="191895" cy="192413"/>
      </dsp:txXfrm>
    </dsp:sp>
    <dsp:sp modelId="{F1C79FD0-5752-40BB-9A84-4ECD03456FD7}">
      <dsp:nvSpPr>
        <dsp:cNvPr id="0" name=""/>
        <dsp:cNvSpPr/>
      </dsp:nvSpPr>
      <dsp:spPr>
        <a:xfrm>
          <a:off x="1608445" y="191054"/>
          <a:ext cx="1042414" cy="1063785"/>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Treatment with medication and/ or therapy</a:t>
          </a:r>
        </a:p>
        <a:p>
          <a:pPr lvl="0" algn="ctr" defTabSz="400050">
            <a:lnSpc>
              <a:spcPct val="90000"/>
            </a:lnSpc>
            <a:spcBef>
              <a:spcPct val="0"/>
            </a:spcBef>
            <a:spcAft>
              <a:spcPct val="35000"/>
            </a:spcAft>
          </a:pPr>
          <a:r>
            <a:rPr lang="en-US" sz="900" kern="1200">
              <a:solidFill>
                <a:sysClr val="windowText" lastClr="000000"/>
              </a:solidFill>
            </a:rPr>
            <a:t>Assess progress with PHQ-9 PRO</a:t>
          </a:r>
          <a:endParaRPr lang="en-US" sz="900" kern="1200"/>
        </a:p>
      </dsp:txBody>
      <dsp:txXfrm>
        <a:off x="1638976" y="221585"/>
        <a:ext cx="981352" cy="1002723"/>
      </dsp:txXfrm>
    </dsp:sp>
    <dsp:sp modelId="{BFC9A279-8DAE-4771-9549-C8BA0E9BC852}">
      <dsp:nvSpPr>
        <dsp:cNvPr id="0" name=""/>
        <dsp:cNvSpPr/>
      </dsp:nvSpPr>
      <dsp:spPr>
        <a:xfrm>
          <a:off x="2780169" y="562603"/>
          <a:ext cx="274135" cy="320687"/>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ln>
              <a:solidFill>
                <a:sysClr val="windowText" lastClr="000000"/>
              </a:solidFill>
            </a:ln>
          </a:endParaRPr>
        </a:p>
      </dsp:txBody>
      <dsp:txXfrm>
        <a:off x="2780169" y="626740"/>
        <a:ext cx="191895" cy="192413"/>
      </dsp:txXfrm>
    </dsp:sp>
    <dsp:sp modelId="{918C40CB-DFD3-45CF-87EF-F5AEBE6D53C6}">
      <dsp:nvSpPr>
        <dsp:cNvPr id="0" name=""/>
        <dsp:cNvSpPr/>
      </dsp:nvSpPr>
      <dsp:spPr>
        <a:xfrm>
          <a:off x="3168098" y="191054"/>
          <a:ext cx="1211461" cy="1063785"/>
        </a:xfrm>
        <a:prstGeom prst="roundRect">
          <a:avLst>
            <a:gd name="adj" fmla="val 10000"/>
          </a:avLst>
        </a:prstGeom>
        <a:noFill/>
        <a:ln w="1270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solidFill>
                <a:sysClr val="windowText" lastClr="000000"/>
              </a:solidFill>
            </a:rPr>
            <a:t>Continue to monitor and assess progress. Step-wise approach to treatment adjustments if needed. </a:t>
          </a:r>
        </a:p>
        <a:p>
          <a:pPr lvl="0" algn="ctr" defTabSz="400050">
            <a:lnSpc>
              <a:spcPct val="90000"/>
            </a:lnSpc>
            <a:spcBef>
              <a:spcPct val="0"/>
            </a:spcBef>
            <a:spcAft>
              <a:spcPct val="35000"/>
            </a:spcAft>
          </a:pPr>
          <a:r>
            <a:rPr lang="en-US" sz="900" kern="1200">
              <a:solidFill>
                <a:sysClr val="windowText" lastClr="000000"/>
              </a:solidFill>
            </a:rPr>
            <a:t>Assess progress with PHQ-9 PRO</a:t>
          </a:r>
        </a:p>
      </dsp:txBody>
      <dsp:txXfrm>
        <a:off x="3199255" y="222211"/>
        <a:ext cx="1149147" cy="1001471"/>
      </dsp:txXfrm>
    </dsp:sp>
    <dsp:sp modelId="{F01D2E66-78B7-4327-BA01-12CF7F3543B4}">
      <dsp:nvSpPr>
        <dsp:cNvPr id="0" name=""/>
        <dsp:cNvSpPr/>
      </dsp:nvSpPr>
      <dsp:spPr>
        <a:xfrm>
          <a:off x="4509965" y="562603"/>
          <a:ext cx="276461" cy="320687"/>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endParaRPr lang="en-US" sz="1300" kern="1200">
            <a:ln>
              <a:solidFill>
                <a:sysClr val="windowText" lastClr="000000"/>
              </a:solidFill>
            </a:ln>
          </a:endParaRPr>
        </a:p>
      </dsp:txBody>
      <dsp:txXfrm>
        <a:off x="4509965" y="626740"/>
        <a:ext cx="193523" cy="192413"/>
      </dsp:txXfrm>
    </dsp:sp>
    <dsp:sp modelId="{832B6EE9-A8B0-4BF5-AA7F-B0460AD73DDA}">
      <dsp:nvSpPr>
        <dsp:cNvPr id="0" name=""/>
        <dsp:cNvSpPr/>
      </dsp:nvSpPr>
      <dsp:spPr>
        <a:xfrm>
          <a:off x="4901185" y="191054"/>
          <a:ext cx="1042414" cy="1063785"/>
        </a:xfrm>
        <a:prstGeom prst="roundRect">
          <a:avLst>
            <a:gd name="adj" fmla="val 10000"/>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ts val="0"/>
            </a:spcAft>
          </a:pPr>
          <a:r>
            <a:rPr lang="en-US" sz="900" kern="1200">
              <a:latin typeface="Calibri" panose="020F0502020204030204" pitchFamily="34" charset="0"/>
            </a:rPr>
            <a:t>Remission at Six or Twelve Months </a:t>
          </a:r>
        </a:p>
        <a:p>
          <a:pPr lvl="0" algn="ctr" defTabSz="400050">
            <a:lnSpc>
              <a:spcPct val="90000"/>
            </a:lnSpc>
            <a:spcBef>
              <a:spcPct val="0"/>
            </a:spcBef>
            <a:spcAft>
              <a:spcPct val="35000"/>
            </a:spcAft>
          </a:pPr>
          <a:r>
            <a:rPr lang="en-US" sz="900" kern="1200">
              <a:latin typeface="Calibri" panose="020F0502020204030204" pitchFamily="34" charset="0"/>
            </a:rPr>
            <a:t>(+/- </a:t>
          </a:r>
          <a:r>
            <a:rPr lang="en-US" sz="900" kern="1200">
              <a:solidFill>
                <a:srgbClr val="FF0000"/>
              </a:solidFill>
              <a:latin typeface="Calibri" panose="020F0502020204030204" pitchFamily="34" charset="0"/>
            </a:rPr>
            <a:t>6</a:t>
          </a:r>
          <a:r>
            <a:rPr lang="en-US" sz="900" kern="1200">
              <a:latin typeface="Calibri" panose="020F0502020204030204" pitchFamily="34" charset="0"/>
            </a:rPr>
            <a:t>0 days)</a:t>
          </a:r>
        </a:p>
        <a:p>
          <a:pPr lvl="0" algn="ctr" defTabSz="400050">
            <a:lnSpc>
              <a:spcPct val="90000"/>
            </a:lnSpc>
            <a:spcBef>
              <a:spcPct val="0"/>
            </a:spcBef>
            <a:spcAft>
              <a:spcPct val="35000"/>
            </a:spcAft>
          </a:pPr>
          <a:r>
            <a:rPr lang="en-US" sz="900" kern="1200">
              <a:latin typeface="Calibri" panose="020F0502020204030204" pitchFamily="34" charset="0"/>
            </a:rPr>
            <a:t>Remission as demonstrated by PHQ-9 &lt; 5</a:t>
          </a:r>
        </a:p>
      </dsp:txBody>
      <dsp:txXfrm>
        <a:off x="4931716" y="221585"/>
        <a:ext cx="981352" cy="100272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aramond-Regular">
    <w:panose1 w:val="00000000000000000000"/>
    <w:charset w:val="00"/>
    <w:family w:val="roman"/>
    <w:notTrueType/>
    <w:pitch w:val="default"/>
    <w:sig w:usb0="00000003" w:usb1="00000000" w:usb2="00000000" w:usb3="00000000" w:csb0="00000001" w:csb1="00000000"/>
  </w:font>
  <w:font w:name="AGaramond-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675DE"/>
    <w:rsid w:val="002B5F47"/>
    <w:rsid w:val="003A1E4B"/>
    <w:rsid w:val="00455EB5"/>
    <w:rsid w:val="00461C1C"/>
    <w:rsid w:val="004E2027"/>
    <w:rsid w:val="00525736"/>
    <w:rsid w:val="005F21F3"/>
    <w:rsid w:val="007D198D"/>
    <w:rsid w:val="008F6A9B"/>
    <w:rsid w:val="009A794A"/>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6C70F1402D6449943EE183F437BEB5" ma:contentTypeVersion="0" ma:contentTypeDescription="Create a new document." ma:contentTypeScope="" ma:versionID="b0e1404e62aecadf13231a86f5c88593">
  <xsd:schema xmlns:xsd="http://www.w3.org/2001/XMLSchema" xmlns:xs="http://www.w3.org/2001/XMLSchema" xmlns:p="http://schemas.microsoft.com/office/2006/metadata/properties" targetNamespace="http://schemas.microsoft.com/office/2006/metadata/properties" ma:root="true" ma:fieldsID="abc59ee2edf01cfb808cadb27e045d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B7B68-C6B0-4298-B021-26F291082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85D9CA-3435-4C8F-8912-EC277D6D327E}">
  <ds:schemaRefs>
    <ds:schemaRef ds:uri="http://schemas.microsoft.com/sharepoint/v3/contenttype/forms"/>
  </ds:schemaRefs>
</ds:datastoreItem>
</file>

<file path=customXml/itemProps3.xml><?xml version="1.0" encoding="utf-8"?>
<ds:datastoreItem xmlns:ds="http://schemas.openxmlformats.org/officeDocument/2006/customXml" ds:itemID="{4808AE31-7ECF-40E2-9CF1-EA97E11CF66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7B0A75-FAD8-45FE-8796-780C6D32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5308</Words>
  <Characters>30262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Collette Pitzen</cp:lastModifiedBy>
  <cp:revision>4</cp:revision>
  <dcterms:created xsi:type="dcterms:W3CDTF">2016-12-02T18:59:00Z</dcterms:created>
  <dcterms:modified xsi:type="dcterms:W3CDTF">2016-12-02T20:07:00Z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0x010100F56C70F1402D6449943EE183F437BEB5</vt:lpwstr>
  </property>
</Properties>
</file>