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5B8DA2C" w14:textId="77777777" w:rsidR="00496AF8" w:rsidRPr="001A6D05" w:rsidRDefault="007C1887" w:rsidP="001A196B">
      <w:pPr>
        <w:jc w:val="center"/>
        <w:rPr>
          <w:b/>
          <w:noProof/>
          <w:sz w:val="24"/>
          <w:szCs w:val="24"/>
        </w:rPr>
      </w:pPr>
      <w:bookmarkStart w:id="0" w:name="_GoBack"/>
      <w:bookmarkEnd w:id="0"/>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14:paraId="55B8DA2D" w14:textId="77777777" w:rsidR="00496AF8" w:rsidRPr="00496AF8" w:rsidRDefault="00496AF8" w:rsidP="002E2177">
      <w:pPr>
        <w:ind w:left="0" w:firstLine="0"/>
        <w:rPr>
          <w:noProof/>
        </w:rPr>
      </w:pPr>
    </w:p>
    <w:p w14:paraId="55B8DA2E" w14:textId="45C23044"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7A7EC5">
            <w:rPr>
              <w:rStyle w:val="Style1"/>
            </w:rPr>
            <w:t>#0004</w:t>
          </w:r>
        </w:sdtContent>
      </w:sdt>
    </w:p>
    <w:p w14:paraId="55B8DA2F" w14:textId="74F644F9"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7A7EC5" w:rsidRPr="007A7EC5">
            <w:rPr>
              <w:rStyle w:val="Style1"/>
            </w:rPr>
            <w:t>Initiation and Engagement of Alcohol and Other Drug Abuse or Dependence Treatment</w:t>
          </w:r>
        </w:sdtContent>
      </w:sdt>
    </w:p>
    <w:p w14:paraId="55B8DA30" w14:textId="13C3FF28" w:rsidR="00114848"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placeholder>
            <w:docPart w:val="8924E7CB4D5C4CC4905BEA5FE80343E5"/>
          </w:placeholder>
        </w:sdtPr>
        <w:sdtEndPr>
          <w:rPr>
            <w:rStyle w:val="DefaultParagraphFont"/>
            <w:noProof/>
            <w:color w:val="auto"/>
          </w:rPr>
        </w:sdtEndPr>
        <w:sdtContent>
          <w:r w:rsidR="007A7EC5">
            <w:rPr>
              <w:rStyle w:val="Style1"/>
            </w:rPr>
            <w:t>n/a</w:t>
          </w:r>
        </w:sdtContent>
      </w:sdt>
    </w:p>
    <w:p w14:paraId="55B8DA31" w14:textId="496FE125"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placeholder>
            <w:docPart w:val="6A100845774148B09AFD987423307E3B"/>
          </w:placeholder>
          <w:date w:fullDate="2018-11-01T00:00:00Z">
            <w:dateFormat w:val="M/d/yyyy"/>
            <w:lid w:val="en-US"/>
            <w:storeMappedDataAs w:val="dateTime"/>
            <w:calendar w:val="gregorian"/>
          </w:date>
        </w:sdtPr>
        <w:sdtEndPr>
          <w:rPr>
            <w:rStyle w:val="DefaultParagraphFont"/>
            <w:noProof/>
            <w:color w:val="auto"/>
            <w:u w:val="none"/>
          </w:rPr>
        </w:sdtEndPr>
        <w:sdtContent>
          <w:r w:rsidR="007A7EC5">
            <w:rPr>
              <w:rStyle w:val="Style2"/>
            </w:rPr>
            <w:t>11/1/2018</w:t>
          </w:r>
        </w:sdtContent>
      </w:sdt>
    </w:p>
    <w:p w14:paraId="55B8DA32" w14:textId="77777777"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285"/>
      </w:tblGrid>
      <w:tr w:rsidR="00496AF8" w:rsidRPr="003B1CC5" w14:paraId="55B8DA3C" w14:textId="77777777" w:rsidTr="00176E60">
        <w:trPr>
          <w:jc w:val="center"/>
        </w:trPr>
        <w:tc>
          <w:tcPr>
            <w:tcW w:w="9576" w:type="dxa"/>
          </w:tcPr>
          <w:p w14:paraId="55B8DA33" w14:textId="77777777"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14:paraId="55B8DA34" w14:textId="7155EBC7" w:rsidR="000F4A7F" w:rsidRDefault="000F4A7F" w:rsidP="00024526">
            <w:pPr>
              <w:pStyle w:val="CommentText"/>
              <w:numPr>
                <w:ilvl w:val="0"/>
                <w:numId w:val="5"/>
              </w:numPr>
              <w:rPr>
                <w:i/>
                <w:sz w:val="22"/>
                <w:szCs w:val="22"/>
              </w:rPr>
            </w:pPr>
            <w:r>
              <w:rPr>
                <w:i/>
                <w:sz w:val="22"/>
                <w:szCs w:val="22"/>
              </w:rPr>
              <w:t xml:space="preserve">Complete 1a.1 </w:t>
            </w:r>
            <w:r w:rsidR="004922E4">
              <w:rPr>
                <w:i/>
                <w:sz w:val="22"/>
                <w:szCs w:val="22"/>
              </w:rPr>
              <w:t>and 1a.</w:t>
            </w:r>
            <w:r>
              <w:rPr>
                <w:i/>
                <w:sz w:val="22"/>
                <w:szCs w:val="22"/>
              </w:rPr>
              <w:t xml:space="preserve">2 for all measures. </w:t>
            </w:r>
            <w:r w:rsidR="004922E4">
              <w:rPr>
                <w:i/>
                <w:sz w:val="22"/>
                <w:szCs w:val="22"/>
              </w:rPr>
              <w:t>If instrument-based measure, complete 1a.3.</w:t>
            </w:r>
          </w:p>
          <w:p w14:paraId="55B8DA35" w14:textId="77777777" w:rsidR="000F4A7F" w:rsidRDefault="000F4A7F" w:rsidP="00024526">
            <w:pPr>
              <w:pStyle w:val="CommentText"/>
              <w:numPr>
                <w:ilvl w:val="0"/>
                <w:numId w:val="5"/>
              </w:numPr>
              <w:rPr>
                <w:i/>
                <w:sz w:val="22"/>
                <w:szCs w:val="22"/>
              </w:rPr>
            </w:pPr>
            <w:r>
              <w:rPr>
                <w:i/>
                <w:sz w:val="22"/>
                <w:szCs w:val="22"/>
              </w:rPr>
              <w:t xml:space="preserve">Complete </w:t>
            </w:r>
            <w:r w:rsidRPr="000F4A7F">
              <w:rPr>
                <w:b/>
                <w:i/>
                <w:sz w:val="22"/>
                <w:szCs w:val="22"/>
              </w:rPr>
              <w:t>EITHER 1a.2, 1a.3 or 1a.4</w:t>
            </w:r>
            <w:r>
              <w:rPr>
                <w:b/>
                <w:i/>
                <w:sz w:val="22"/>
                <w:szCs w:val="22"/>
              </w:rPr>
              <w:t xml:space="preserve"> </w:t>
            </w:r>
            <w:r w:rsidRPr="000F4A7F">
              <w:rPr>
                <w:i/>
                <w:sz w:val="22"/>
                <w:szCs w:val="22"/>
              </w:rPr>
              <w:t xml:space="preserve">as applicable for the </w:t>
            </w:r>
            <w:r>
              <w:rPr>
                <w:i/>
                <w:sz w:val="22"/>
                <w:szCs w:val="22"/>
              </w:rPr>
              <w:t xml:space="preserve">type of </w:t>
            </w:r>
            <w:r w:rsidRPr="000F4A7F">
              <w:rPr>
                <w:i/>
                <w:sz w:val="22"/>
                <w:szCs w:val="22"/>
              </w:rPr>
              <w:t>measure and evidence.</w:t>
            </w:r>
          </w:p>
          <w:p w14:paraId="55B8DA36" w14:textId="77777777"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14:paraId="55B8DA37"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14:paraId="55B8DA38" w14:textId="77777777"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14:paraId="55B8DA39" w14:textId="77777777" w:rsidR="002F20A7" w:rsidRPr="003B1CC5" w:rsidRDefault="008B652E" w:rsidP="00024526">
            <w:pPr>
              <w:pStyle w:val="ListParagraph"/>
              <w:numPr>
                <w:ilvl w:val="0"/>
                <w:numId w:val="5"/>
              </w:numPr>
              <w:spacing w:after="0" w:line="240" w:lineRule="auto"/>
            </w:pPr>
            <w:r w:rsidRPr="003B1CC5">
              <w:t xml:space="preserve">All information needed to demonstrate meeting the </w:t>
            </w:r>
            <w:r w:rsidRPr="003B1CC5">
              <w:rPr>
                <w:rFonts w:cstheme="minorHAnsi"/>
              </w:rPr>
              <w:t xml:space="preserve">evidence </w:t>
            </w:r>
            <w:r w:rsidR="00A13867" w:rsidRPr="003B1CC5">
              <w:rPr>
                <w:rFonts w:cstheme="minorHAnsi"/>
              </w:rPr>
              <w:t>sub</w:t>
            </w:r>
            <w:r w:rsidRPr="003B1CC5">
              <w:rPr>
                <w:rFonts w:cstheme="minorHAnsi"/>
              </w:rPr>
              <w:t>criterion (1a)</w:t>
            </w:r>
            <w:r w:rsidRPr="003B1CC5">
              <w:t xml:space="preserve"> must be in this form.  An appendix of </w:t>
            </w:r>
            <w:r w:rsidRPr="003B1CC5">
              <w:rPr>
                <w:i/>
              </w:rPr>
              <w:t>supplemental</w:t>
            </w:r>
            <w:r w:rsidRPr="003B1CC5">
              <w:t xml:space="preserve"> materials may be submitted, but there is no guarantee it will be reviewed.</w:t>
            </w:r>
          </w:p>
          <w:p w14:paraId="55B8DA3A" w14:textId="77777777"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14:paraId="55B8DA3B" w14:textId="77777777"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11" w:history="1">
              <w:r w:rsidRPr="003B1CC5">
                <w:rPr>
                  <w:rStyle w:val="Hyperlink"/>
                </w:rPr>
                <w:t>Submitting Standards webpage</w:t>
              </w:r>
            </w:hyperlink>
            <w:r w:rsidRPr="003B1CC5">
              <w:t>.</w:t>
            </w:r>
          </w:p>
        </w:tc>
      </w:tr>
    </w:tbl>
    <w:p w14:paraId="55B8DA3D" w14:textId="77777777"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285"/>
      </w:tblGrid>
      <w:tr w:rsidR="00176E60" w:rsidRPr="003B1CC5" w14:paraId="55B8DA4D" w14:textId="77777777" w:rsidTr="00F81FE3">
        <w:trPr>
          <w:jc w:val="center"/>
        </w:trPr>
        <w:tc>
          <w:tcPr>
            <w:tcW w:w="10534" w:type="dxa"/>
          </w:tcPr>
          <w:p w14:paraId="55B8DA3E" w14:textId="77777777"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w:t>
            </w:r>
            <w:r w:rsidR="00676BD4">
              <w:rPr>
                <w:b/>
                <w:bCs/>
                <w:sz w:val="20"/>
                <w:szCs w:val="20"/>
              </w:rPr>
              <w:t>and</w:t>
            </w:r>
            <w:r w:rsidR="008B652E" w:rsidRPr="003B1CC5">
              <w:rPr>
                <w:b/>
                <w:bCs/>
                <w:sz w:val="20"/>
                <w:szCs w:val="20"/>
              </w:rPr>
              <w:t>ing Committee and other stakeholders in understanding to what degree the evidence for this measure meets NQF’s evaluation criteria.</w:t>
            </w:r>
          </w:p>
          <w:p w14:paraId="55B8DA3F" w14:textId="77777777" w:rsidR="008659ED" w:rsidRPr="003B1CC5" w:rsidRDefault="008659ED" w:rsidP="008659ED">
            <w:pPr>
              <w:ind w:left="90" w:hanging="90"/>
              <w:rPr>
                <w:sz w:val="20"/>
                <w:szCs w:val="20"/>
              </w:rPr>
            </w:pPr>
            <w:bookmarkStart w:id="1" w:name="Note2"/>
            <w:bookmarkEnd w:id="1"/>
          </w:p>
          <w:p w14:paraId="55B8DA40" w14:textId="77777777"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14:paraId="55B8DA41" w14:textId="77777777"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14:paraId="55B8DA42" w14:textId="6C3402AF" w:rsidR="008659ED" w:rsidRPr="0061327A" w:rsidRDefault="00B35C5F" w:rsidP="00B35C5F">
            <w:pPr>
              <w:numPr>
                <w:ilvl w:val="0"/>
                <w:numId w:val="7"/>
              </w:numPr>
              <w:rPr>
                <w:rFonts w:eastAsia="Calibri" w:cs="Calibri"/>
                <w:sz w:val="20"/>
                <w:szCs w:val="20"/>
              </w:rPr>
            </w:pPr>
            <w:r w:rsidRPr="00B35C5F">
              <w:rPr>
                <w:rFonts w:eastAsia="Calibri" w:cs="Calibri"/>
                <w:sz w:val="20"/>
                <w:szCs w:val="20"/>
                <w:u w:val="single"/>
              </w:rPr>
              <w:t>O</w:t>
            </w:r>
            <w:r w:rsidR="008659ED" w:rsidRPr="00B35C5F">
              <w:rPr>
                <w:rFonts w:eastAsia="Calibri" w:cs="Calibri"/>
                <w:sz w:val="20"/>
                <w:szCs w:val="20"/>
                <w:u w:val="single"/>
              </w:rPr>
              <w:t>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B35C5F">
              <w:rPr>
                <w:rFonts w:eastAsia="Calibri" w:cs="Calibri"/>
                <w:sz w:val="20"/>
                <w:szCs w:val="20"/>
              </w:rPr>
              <w:t xml:space="preserve">Empirical data demonstrate a relationship between the outcome and at least one healthcare structure, process, intervention, or service.  If not available, wide variation in performance can be used as evidence, assuming the data are from a robust number of providers and results are not subject to systematic bias.  </w:t>
            </w:r>
          </w:p>
          <w:p w14:paraId="55B8DA43"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14:paraId="55B8DA44" w14:textId="77777777"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14:paraId="55B8DA45" w14:textId="77777777"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14:paraId="56E2DE06" w14:textId="27691AAB" w:rsidR="00B35C5F" w:rsidRPr="00EE6069" w:rsidRDefault="008659ED"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r w:rsidR="00B35C5F" w:rsidRPr="0039109D">
              <w:rPr>
                <w:rFonts w:ascii="Calibri" w:hAnsi="Calibri" w:cstheme="minorHAnsi"/>
                <w:bCs/>
                <w:iCs/>
                <w:sz w:val="20"/>
                <w:szCs w:val="20"/>
              </w:rPr>
              <w:t xml:space="preserve"> </w:t>
            </w:r>
          </w:p>
          <w:p w14:paraId="586C6545" w14:textId="2A0699B5" w:rsidR="00B35C5F" w:rsidRPr="00EE6069" w:rsidRDefault="00B35C5F" w:rsidP="00B35C5F">
            <w:pPr>
              <w:pStyle w:val="ListParagraph"/>
              <w:numPr>
                <w:ilvl w:val="0"/>
                <w:numId w:val="8"/>
              </w:numPr>
              <w:autoSpaceDE w:val="0"/>
              <w:autoSpaceDN w:val="0"/>
              <w:adjustRightInd w:val="0"/>
              <w:spacing w:after="0" w:line="240" w:lineRule="auto"/>
              <w:rPr>
                <w:rFonts w:ascii="Calibri" w:hAnsi="Calibri" w:cstheme="minorHAnsi"/>
                <w:sz w:val="20"/>
                <w:szCs w:val="20"/>
                <w:u w:val="single"/>
              </w:rPr>
            </w:pPr>
            <w:r w:rsidRPr="00EE6069">
              <w:rPr>
                <w:rFonts w:ascii="Calibri" w:hAnsi="Calibri" w:cstheme="minorHAnsi"/>
                <w:sz w:val="20"/>
                <w:szCs w:val="20"/>
              </w:rPr>
              <w:t xml:space="preserve">For measures derived from </w:t>
            </w:r>
            <w:r w:rsidRPr="00EE6069">
              <w:rPr>
                <w:rFonts w:ascii="Calibri" w:hAnsi="Calibri" w:cstheme="minorHAnsi"/>
                <w:sz w:val="20"/>
                <w:szCs w:val="20"/>
                <w:u w:val="single"/>
              </w:rPr>
              <w:t>patient reports</w:t>
            </w:r>
            <w:r w:rsidRPr="00EE6069">
              <w:rPr>
                <w:rFonts w:ascii="Calibri" w:hAnsi="Calibri" w:cstheme="minorHAnsi"/>
                <w:sz w:val="20"/>
                <w:szCs w:val="20"/>
              </w:rPr>
              <w:t>, evidence should demonstrate that the target population values the measured outcome, process, or st</w:t>
            </w:r>
            <w:r>
              <w:rPr>
                <w:rFonts w:ascii="Calibri" w:hAnsi="Calibri" w:cstheme="minorHAnsi"/>
                <w:sz w:val="20"/>
                <w:szCs w:val="20"/>
              </w:rPr>
              <w:t>ructure and finds it meaningful.</w:t>
            </w:r>
          </w:p>
          <w:p w14:paraId="55B8DA46" w14:textId="429C6E55" w:rsidR="008659ED" w:rsidRPr="003B1CC5" w:rsidRDefault="00B35C5F" w:rsidP="00B35C5F">
            <w:pPr>
              <w:numPr>
                <w:ilvl w:val="0"/>
                <w:numId w:val="8"/>
              </w:numPr>
              <w:autoSpaceDE w:val="0"/>
              <w:autoSpaceDN w:val="0"/>
              <w:adjustRightInd w:val="0"/>
              <w:contextualSpacing/>
              <w:rPr>
                <w:sz w:val="20"/>
                <w:szCs w:val="20"/>
              </w:rPr>
            </w:pPr>
            <w:r>
              <w:rPr>
                <w:rFonts w:ascii="Calibri" w:hAnsi="Calibri" w:cstheme="minorHAnsi"/>
                <w:sz w:val="20"/>
                <w:szCs w:val="20"/>
                <w:u w:val="single"/>
              </w:rPr>
              <w:t>Process m</w:t>
            </w:r>
            <w:r w:rsidRPr="004B26FC">
              <w:rPr>
                <w:rFonts w:ascii="Calibri" w:hAnsi="Calibri" w:cstheme="minorHAnsi"/>
                <w:sz w:val="20"/>
                <w:szCs w:val="20"/>
                <w:u w:val="single"/>
              </w:rPr>
              <w:t>easures incorporating Appropriate Use Criteria:</w:t>
            </w:r>
            <w:r w:rsidRPr="004B26FC">
              <w:rPr>
                <w:sz w:val="20"/>
                <w:szCs w:val="20"/>
              </w:rPr>
              <w:t xml:space="preserve"> </w:t>
            </w:r>
            <w:r>
              <w:rPr>
                <w:sz w:val="20"/>
                <w:szCs w:val="20"/>
              </w:rPr>
              <w:t xml:space="preserve">See </w:t>
            </w:r>
            <w:r w:rsidRPr="004B26FC">
              <w:rPr>
                <w:sz w:val="20"/>
                <w:szCs w:val="20"/>
              </w:rPr>
              <w:t>NQF’s guidance for evidence for measures</w:t>
            </w:r>
            <w:r>
              <w:rPr>
                <w:sz w:val="20"/>
                <w:szCs w:val="20"/>
              </w:rPr>
              <w:t>, in general; guidance for measures</w:t>
            </w:r>
            <w:r w:rsidRPr="004B26FC">
              <w:rPr>
                <w:sz w:val="20"/>
                <w:szCs w:val="20"/>
              </w:rPr>
              <w:t xml:space="preserve"> specifically based on </w:t>
            </w:r>
            <w:r>
              <w:rPr>
                <w:sz w:val="20"/>
                <w:szCs w:val="20"/>
              </w:rPr>
              <w:t>clinical practice guidelines</w:t>
            </w:r>
            <w:r w:rsidRPr="004B26FC">
              <w:rPr>
                <w:sz w:val="20"/>
                <w:szCs w:val="20"/>
              </w:rPr>
              <w:t xml:space="preserve"> apply </w:t>
            </w:r>
            <w:r w:rsidRPr="006D0681">
              <w:rPr>
                <w:sz w:val="20"/>
                <w:szCs w:val="20"/>
              </w:rPr>
              <w:t xml:space="preserve">as well. </w:t>
            </w:r>
          </w:p>
          <w:p w14:paraId="55B8DA47" w14:textId="77777777" w:rsidR="00CB1E41" w:rsidRPr="003B1CC5" w:rsidRDefault="00CB1E41" w:rsidP="008659ED">
            <w:pPr>
              <w:autoSpaceDE w:val="0"/>
              <w:autoSpaceDN w:val="0"/>
              <w:adjustRightInd w:val="0"/>
              <w:rPr>
                <w:rFonts w:eastAsia="Calibri" w:cs="Calibri"/>
                <w:b/>
                <w:bCs/>
                <w:iCs/>
                <w:sz w:val="18"/>
              </w:rPr>
            </w:pPr>
          </w:p>
          <w:p w14:paraId="55B8DA48" w14:textId="77777777"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14:paraId="55B8DA49" w14:textId="77777777" w:rsidR="008659ED" w:rsidRPr="003B1CC5" w:rsidRDefault="008659ED" w:rsidP="00CB1E41">
            <w:pPr>
              <w:ind w:left="0" w:firstLine="0"/>
              <w:rPr>
                <w:rFonts w:eastAsia="Calibri" w:cs="Calibri"/>
                <w:sz w:val="20"/>
                <w:szCs w:val="20"/>
              </w:rPr>
            </w:pPr>
            <w:bookmarkStart w:id="2" w:name="Note3"/>
            <w:bookmarkEnd w:id="2"/>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14:paraId="55B8DA4A" w14:textId="17E98CB2" w:rsidR="008659ED" w:rsidRPr="003B1CC5" w:rsidRDefault="008659ED" w:rsidP="00CB1E41">
            <w:pPr>
              <w:ind w:left="0" w:firstLine="0"/>
              <w:rPr>
                <w:rFonts w:eastAsia="Calibri" w:cs="Calibri"/>
                <w:sz w:val="20"/>
                <w:szCs w:val="20"/>
              </w:rPr>
            </w:pPr>
            <w:bookmarkStart w:id="3" w:name="Note4"/>
            <w:bookmarkEnd w:id="3"/>
            <w:r w:rsidRPr="003B1CC5">
              <w:rPr>
                <w:rFonts w:eastAsia="Calibri" w:cs="Calibri"/>
                <w:b/>
                <w:sz w:val="20"/>
                <w:szCs w:val="20"/>
              </w:rPr>
              <w:t>4.</w:t>
            </w:r>
            <w:r w:rsidRPr="003B1CC5">
              <w:rPr>
                <w:rFonts w:eastAsia="Calibri" w:cs="Calibri"/>
                <w:sz w:val="20"/>
                <w:szCs w:val="20"/>
              </w:rPr>
              <w:t xml:space="preserve"> The preferred systems for grading the evidence are </w:t>
            </w:r>
            <w:r w:rsidR="00B35C5F">
              <w:rPr>
                <w:rFonts w:eastAsia="Calibri" w:cs="Calibri"/>
                <w:sz w:val="20"/>
                <w:szCs w:val="20"/>
              </w:rPr>
              <w:t xml:space="preserve">the </w:t>
            </w:r>
            <w:r w:rsidRPr="003B1CC5">
              <w:rPr>
                <w:rFonts w:eastAsia="Calibri" w:cs="Calibri"/>
                <w:sz w:val="20"/>
                <w:szCs w:val="20"/>
              </w:rPr>
              <w:t xml:space="preserve">Grading of Recommendations, Assessment, Development and Evaluation </w:t>
            </w:r>
            <w:hyperlink r:id="rId12" w:history="1">
              <w:r w:rsidRPr="003B1CC5">
                <w:rPr>
                  <w:rFonts w:eastAsia="Calibri" w:cs="Calibri"/>
                  <w:color w:val="0000FF"/>
                  <w:sz w:val="20"/>
                  <w:szCs w:val="20"/>
                  <w:u w:val="single"/>
                </w:rPr>
                <w:t>(GRADE) guidelines</w:t>
              </w:r>
            </w:hyperlink>
            <w:r w:rsidR="00B35C5F">
              <w:rPr>
                <w:rFonts w:eastAsia="Calibri" w:cs="Calibri"/>
                <w:sz w:val="20"/>
                <w:szCs w:val="20"/>
              </w:rPr>
              <w:t xml:space="preserve"> and/or modified GRADE.</w:t>
            </w:r>
          </w:p>
          <w:p w14:paraId="55B8DA4B" w14:textId="77777777" w:rsidR="008659ED" w:rsidRPr="003B1CC5" w:rsidRDefault="008659ED" w:rsidP="00CB1E41">
            <w:pPr>
              <w:ind w:left="0" w:firstLine="0"/>
              <w:rPr>
                <w:rFonts w:eastAsia="Calibri" w:cs="Calibri"/>
                <w:sz w:val="20"/>
                <w:szCs w:val="20"/>
              </w:rPr>
            </w:pPr>
            <w:bookmarkStart w:id="4" w:name="Note5"/>
            <w:bookmarkEnd w:id="4"/>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w:t>
            </w:r>
            <w:r w:rsidRPr="003B1CC5">
              <w:rPr>
                <w:rFonts w:eastAsia="Calibri" w:cs="Calibri"/>
                <w:sz w:val="20"/>
                <w:szCs w:val="20"/>
              </w:rPr>
              <w:lastRenderedPageBreak/>
              <w:t>step in such a multistep process, the step with the strongest evidence for the link to the desired outcome should be selected as the focus of measurement. Note: A measure focused only on collecting PROM data is not a PRO-PM.</w:t>
            </w:r>
          </w:p>
          <w:p w14:paraId="55B8DA4C" w14:textId="77777777" w:rsidR="008659ED" w:rsidRPr="003B1CC5" w:rsidRDefault="008659ED" w:rsidP="00CB1E41">
            <w:pPr>
              <w:autoSpaceDE w:val="0"/>
              <w:autoSpaceDN w:val="0"/>
              <w:adjustRightInd w:val="0"/>
              <w:ind w:left="0" w:firstLine="0"/>
              <w:contextualSpacing/>
            </w:pPr>
            <w:bookmarkStart w:id="5" w:name="Note6"/>
            <w:bookmarkEnd w:id="5"/>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14:paraId="55B8DA4E" w14:textId="77777777" w:rsidR="00F81FE3" w:rsidRDefault="00F81FE3" w:rsidP="002E2177">
      <w:pPr>
        <w:ind w:left="0" w:firstLine="0"/>
        <w:rPr>
          <w:b/>
          <w:bCs/>
          <w:color w:val="0000FF"/>
        </w:rPr>
      </w:pPr>
    </w:p>
    <w:p w14:paraId="55B8DA4F" w14:textId="77777777"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8F6F51">
        <w:rPr>
          <w:b/>
          <w:bCs/>
        </w:rPr>
        <w:t>This is a measure</w:t>
      </w:r>
      <w:r w:rsidRPr="003B1CC5">
        <w:rPr>
          <w:b/>
          <w:bCs/>
        </w:rPr>
        <w:t xml:space="preserv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14:paraId="55B8DA50" w14:textId="77777777"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14:paraId="55B8DA51" w14:textId="73B32973" w:rsidR="00496AF8" w:rsidRPr="003B1CC5" w:rsidRDefault="00881CEA" w:rsidP="00A9011D">
      <w:pPr>
        <w:ind w:left="432"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A9011D">
            <w:rPr>
              <w:rFonts w:ascii="MS Gothic" w:eastAsia="MS Gothic" w:hAnsi="MS Gothic" w:hint="eastAsia"/>
              <w:bCs/>
              <w:color w:val="0000FF"/>
              <w:u w:val="single"/>
            </w:rPr>
            <w:t>☐</w:t>
          </w:r>
        </w:sdtContent>
      </w:sdt>
      <w:r w:rsidR="0015535B" w:rsidRPr="003B1CC5">
        <w:rPr>
          <w:bCs/>
          <w:color w:val="0000FF"/>
        </w:rPr>
        <w:t xml:space="preserve"> </w:t>
      </w:r>
      <w:r w:rsidR="00CC0F87">
        <w:rPr>
          <w:bCs/>
          <w:color w:val="0000FF"/>
        </w:rPr>
        <w:t>O</w:t>
      </w:r>
      <w:r w:rsidR="00BE6373" w:rsidRPr="003B1CC5">
        <w:rPr>
          <w:bCs/>
        </w:rPr>
        <w:t>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14:paraId="55B8DA52" w14:textId="77777777" w:rsidR="00236F87" w:rsidRPr="003B1CC5" w:rsidRDefault="00881CEA" w:rsidP="00A9011D">
      <w:pPr>
        <w:ind w:left="864" w:hanging="432"/>
        <w:rPr>
          <w:b/>
          <w:bCs/>
        </w:rPr>
      </w:pPr>
      <w:sdt>
        <w:sdtPr>
          <w:rPr>
            <w:bCs/>
            <w:color w:val="0000FF"/>
          </w:rPr>
          <w:id w:val="-1541041819"/>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14:paraId="55B8DA53" w14:textId="77777777" w:rsidR="00B117D0" w:rsidRPr="0061327A"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r w:rsidR="0061327A" w:rsidRPr="0061327A">
        <w:rPr>
          <w:bCs/>
          <w:i/>
        </w:rPr>
        <w:t>.</w:t>
      </w:r>
      <w:r w:rsidR="0061327A" w:rsidRPr="0061327A">
        <w:rPr>
          <w:rFonts w:eastAsia="Calibri" w:cs="Calibri"/>
          <w:sz w:val="20"/>
          <w:szCs w:val="20"/>
        </w:rPr>
        <w:t xml:space="preserve"> </w:t>
      </w:r>
      <w:r w:rsidR="0061327A" w:rsidRPr="0061327A">
        <w:rPr>
          <w:rFonts w:eastAsia="Calibri" w:cs="Calibri"/>
        </w:rPr>
        <w:t>(</w:t>
      </w:r>
      <w:r w:rsidR="0061327A" w:rsidRPr="0061327A">
        <w:rPr>
          <w:rFonts w:eastAsia="Calibri" w:cs="Calibri"/>
          <w:i/>
        </w:rPr>
        <w:t>A PRO</w:t>
      </w:r>
      <w:r w:rsidR="00E42FAA">
        <w:rPr>
          <w:rFonts w:eastAsia="Calibri" w:cs="Calibri"/>
          <w:i/>
        </w:rPr>
        <w:t>-based performance</w:t>
      </w:r>
      <w:r w:rsidR="0061327A" w:rsidRPr="0061327A">
        <w:rPr>
          <w:rFonts w:eastAsia="Calibri" w:cs="Calibri"/>
          <w:i/>
        </w:rPr>
        <w:t xml:space="preserve"> measure is not a survey instrument. Data may be collected using a survey instrument to construct a PRO measure.)</w:t>
      </w:r>
    </w:p>
    <w:p w14:paraId="55B8DA54" w14:textId="77777777" w:rsidR="00496AF8" w:rsidRPr="003B1CC5" w:rsidRDefault="00881CEA" w:rsidP="004E7215">
      <w:pPr>
        <w:rPr>
          <w:bCs/>
        </w:rPr>
      </w:pPr>
      <w:sdt>
        <w:sdtPr>
          <w:rPr>
            <w:bCs/>
            <w:color w:val="0000FF"/>
          </w:rPr>
          <w:id w:val="-720977531"/>
          <w14:checkbox>
            <w14:checked w14:val="0"/>
            <w14:checkedState w14:val="2612" w14:font="MS Gothic"/>
            <w14:uncheckedState w14:val="2610" w14:font="MS Gothic"/>
          </w14:checkbox>
        </w:sdtPr>
        <w:sdtEndPr/>
        <w:sdtContent>
          <w:r w:rsidR="00D73685" w:rsidRPr="00D73685">
            <w:rPr>
              <w:rFonts w:ascii="Segoe UI Symbol" w:hAnsi="Segoe UI Symbol" w:cs="Segoe UI Symbol"/>
              <w:bCs/>
              <w:color w:val="0000FF"/>
            </w:rPr>
            <w:t>☐</w:t>
          </w:r>
        </w:sdtContent>
      </w:sdt>
      <w:r w:rsidR="00D73685" w:rsidRPr="00D73685" w:rsidDel="00D73685">
        <w:rPr>
          <w:bCs/>
          <w:color w:val="0000FF"/>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14:paraId="55B8DA55" w14:textId="7725CAB1" w:rsidR="00D73685" w:rsidRPr="000B2EE9" w:rsidRDefault="00881CEA"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7A7EC5">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rocess:</w:t>
      </w:r>
      <w:r w:rsidR="00D73685">
        <w:rPr>
          <w:bCs/>
        </w:rPr>
        <w:t xml:space="preserve">  </w:t>
      </w:r>
      <w:sdt>
        <w:sdtPr>
          <w:rPr>
            <w:rStyle w:val="Style2"/>
            <w:rFonts w:cstheme="minorHAnsi"/>
          </w:rPr>
          <w:id w:val="-247648753"/>
        </w:sdtPr>
        <w:sdtEndPr>
          <w:rPr>
            <w:rStyle w:val="DefaultParagraphFont"/>
            <w:rFonts w:cstheme="minorBidi"/>
            <w:bCs/>
            <w:color w:val="auto"/>
            <w:u w:val="none"/>
          </w:rPr>
        </w:sdtEndPr>
        <w:sdtContent>
          <w:r w:rsidR="000B2EE9" w:rsidRPr="000B2EE9">
            <w:rPr>
              <w:rStyle w:val="Style2"/>
              <w:rFonts w:cstheme="minorHAnsi"/>
              <w:u w:val="none"/>
            </w:rPr>
            <w:t>This measure assesses the degree to which the organization initiates and engages members identified with a need for alcohol and other drug (AOD) abuse and dependence services and the degree to which members initiate and continue treatment once the need has been identified.</w:t>
          </w:r>
        </w:sdtContent>
      </w:sdt>
    </w:p>
    <w:p w14:paraId="55B8DA56" w14:textId="77777777" w:rsidR="00496AF8" w:rsidRPr="004E7215" w:rsidRDefault="00D73685" w:rsidP="00D73685">
      <w:pPr>
        <w:ind w:left="432" w:hanging="432"/>
        <w:rPr>
          <w:rFonts w:ascii="MS Gothic" w:eastAsia="MS Gothic" w:hAnsi="MS Gothic"/>
          <w:b/>
          <w:bCs/>
          <w:color w:val="0000FF"/>
        </w:rPr>
      </w:pPr>
      <w:r>
        <w:rPr>
          <w:rFonts w:ascii="MS Gothic" w:eastAsia="MS Gothic" w:hAnsi="MS Gothic" w:hint="eastAsia"/>
          <w:bCs/>
          <w:color w:val="0000FF"/>
        </w:rPr>
        <w:t xml:space="preserve">    </w:t>
      </w:r>
      <w:sdt>
        <w:sdtPr>
          <w:rPr>
            <w:rFonts w:ascii="MS Gothic" w:eastAsia="MS Gothic" w:hAnsi="MS Gothic"/>
            <w:bCs/>
            <w:color w:val="0000FF"/>
          </w:rPr>
          <w:id w:val="1303807965"/>
          <w14:checkbox>
            <w14:checked w14:val="0"/>
            <w14:checkedState w14:val="2612" w14:font="MS Gothic"/>
            <w14:uncheckedState w14:val="2610" w14:font="MS Gothic"/>
          </w14:checkbox>
        </w:sdtPr>
        <w:sdtEndPr/>
        <w:sdtContent>
          <w:r w:rsidRPr="00D73685">
            <w:rPr>
              <w:rFonts w:ascii="MS Gothic" w:eastAsia="MS Gothic" w:hAnsi="MS Gothic" w:hint="eastAsia"/>
              <w:bCs/>
              <w:color w:val="0000FF"/>
            </w:rPr>
            <w:t>☐</w:t>
          </w:r>
        </w:sdtContent>
      </w:sdt>
      <w:r>
        <w:rPr>
          <w:rFonts w:ascii="MS Gothic" w:eastAsia="MS Gothic" w:hAnsi="MS Gothic"/>
          <w:bCs/>
          <w:color w:val="0000FF"/>
        </w:rPr>
        <w:t xml:space="preserve"> </w:t>
      </w:r>
      <w:r w:rsidRPr="004E7215">
        <w:rPr>
          <w:rFonts w:eastAsia="MS Gothic"/>
          <w:bCs/>
        </w:rPr>
        <w:t>Appropriate use measure</w:t>
      </w:r>
      <w:r>
        <w:rPr>
          <w:rFonts w:eastAsia="MS Gothic"/>
          <w:bCs/>
        </w:rPr>
        <w:t>:</w:t>
      </w:r>
      <w:r w:rsidR="00496AF8" w:rsidRPr="00D73685">
        <w:rPr>
          <w:bCs/>
        </w:rPr>
        <w:t xml:space="preserve"> </w:t>
      </w:r>
      <w:r w:rsidRPr="00D73685">
        <w:rPr>
          <w:rStyle w:val="Style2"/>
          <w:rFonts w:cstheme="minorHAnsi"/>
        </w:rPr>
        <w:t xml:space="preserve"> </w:t>
      </w:r>
      <w:sdt>
        <w:sdtPr>
          <w:rPr>
            <w:rStyle w:val="Style2"/>
            <w:rFonts w:cstheme="minorHAnsi"/>
          </w:rPr>
          <w:id w:val="-2123911889"/>
          <w:showingPlcHdr/>
        </w:sdtPr>
        <w:sdtEndPr>
          <w:rPr>
            <w:rStyle w:val="DefaultParagraphFont"/>
            <w:rFonts w:cstheme="minorBidi"/>
            <w:bCs/>
            <w:color w:val="auto"/>
            <w:u w:val="none"/>
          </w:rPr>
        </w:sdtEndPr>
        <w:sdtContent>
          <w:r w:rsidRPr="003B1CC5">
            <w:rPr>
              <w:rStyle w:val="PlaceholderText"/>
              <w:rFonts w:cstheme="minorHAnsi"/>
              <w:color w:val="A6A6A6" w:themeColor="background1" w:themeShade="A6"/>
            </w:rPr>
            <w:t>Click here to name what is being measured</w:t>
          </w:r>
        </w:sdtContent>
      </w:sdt>
      <w:r>
        <w:rPr>
          <w:rStyle w:val="Style2"/>
          <w:rFonts w:cstheme="minorHAnsi"/>
        </w:rPr>
        <w:t xml:space="preserve"> </w:t>
      </w:r>
      <w:sdt>
        <w:sdtPr>
          <w:rPr>
            <w:rStyle w:val="Style2"/>
            <w:rFonts w:cstheme="minorHAnsi"/>
          </w:rPr>
          <w:id w:val="-1371599399"/>
          <w:showingPlcHdr/>
        </w:sdtPr>
        <w:sdtEndPr>
          <w:rPr>
            <w:rStyle w:val="DefaultParagraphFont"/>
            <w:rFonts w:cstheme="minorBidi"/>
            <w:bCs/>
            <w:color w:val="auto"/>
            <w:u w:val="none"/>
          </w:rPr>
        </w:sdtEndPr>
        <w:sdtContent>
          <w:r>
            <w:rPr>
              <w:rStyle w:val="Style2"/>
              <w:rFonts w:cstheme="minorHAnsi"/>
            </w:rPr>
            <w:t xml:space="preserve">     </w:t>
          </w:r>
        </w:sdtContent>
      </w:sdt>
    </w:p>
    <w:p w14:paraId="55B8DA57" w14:textId="77777777" w:rsidR="00496AF8" w:rsidRPr="003B1CC5" w:rsidRDefault="00881CEA"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D73685">
            <w:rPr>
              <w:rFonts w:ascii="MS Gothic" w:eastAsia="MS Gothic" w:hAnsi="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14:paraId="55B8DA58" w14:textId="77777777" w:rsidR="00496AF8" w:rsidRPr="003B1CC5" w:rsidRDefault="00881CEA"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D73685">
        <w:rPr>
          <w:bCs/>
        </w:rPr>
        <w:t>Composite</w:t>
      </w:r>
      <w:r w:rsidR="00496AF8" w:rsidRPr="003B1CC5">
        <w:rPr>
          <w:bCs/>
        </w:rPr>
        <w:t xml:space="preserve">: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14:paraId="55B8DA59" w14:textId="77777777" w:rsidR="00496AF8" w:rsidRPr="003B1CC5" w:rsidRDefault="00496AF8" w:rsidP="002E2177">
      <w:pPr>
        <w:ind w:left="0" w:firstLine="0"/>
        <w:rPr>
          <w:bCs/>
        </w:rPr>
      </w:pPr>
    </w:p>
    <w:p w14:paraId="55B8DA5A" w14:textId="6FD1C64B" w:rsidR="002B06BD" w:rsidRPr="00676BD4" w:rsidRDefault="00676BD4" w:rsidP="002B06BD">
      <w:pPr>
        <w:ind w:left="432" w:hanging="432"/>
        <w:rPr>
          <w:iCs/>
        </w:rPr>
      </w:pPr>
      <w:r>
        <w:rPr>
          <w:b/>
          <w:bCs/>
          <w:color w:val="0000FF"/>
        </w:rPr>
        <w:t>1a.</w:t>
      </w:r>
      <w:r w:rsidR="00C41794">
        <w:rPr>
          <w:b/>
          <w:bCs/>
          <w:color w:val="0000FF"/>
        </w:rPr>
        <w:t>2</w:t>
      </w:r>
      <w:r w:rsidR="002B06BD" w:rsidRPr="003B1CC5">
        <w:rPr>
          <w:bCs/>
        </w:rPr>
        <w:t xml:space="preserve"> </w:t>
      </w:r>
      <w:r w:rsidRPr="00676BD4">
        <w:rPr>
          <w:b/>
          <w:bCs/>
        </w:rPr>
        <w:t>LOGIC MODEL</w:t>
      </w:r>
      <w:r>
        <w:rPr>
          <w:bCs/>
        </w:rPr>
        <w:t xml:space="preserve"> </w:t>
      </w:r>
      <w:r w:rsidRPr="00676BD4">
        <w:rPr>
          <w:iCs/>
        </w:rPr>
        <w:t>Diagram or briefly describe</w:t>
      </w:r>
      <w:r w:rsidR="002B06BD" w:rsidRPr="00676BD4">
        <w:rPr>
          <w:iCs/>
        </w:rPr>
        <w:t xml:space="preserve"> the </w:t>
      </w:r>
      <w:r w:rsidRPr="00676BD4">
        <w:rPr>
          <w:iCs/>
        </w:rPr>
        <w:t>steps</w:t>
      </w:r>
      <w:r w:rsidR="00236F87" w:rsidRPr="00676BD4">
        <w:rPr>
          <w:iCs/>
        </w:rPr>
        <w:t xml:space="preserve"> </w:t>
      </w:r>
      <w:r w:rsidR="002B06BD" w:rsidRPr="00676BD4">
        <w:rPr>
          <w:iCs/>
        </w:rPr>
        <w:t xml:space="preserve">between </w:t>
      </w:r>
      <w:r w:rsidR="00CB06C9" w:rsidRPr="00676BD4">
        <w:rPr>
          <w:iCs/>
        </w:rPr>
        <w:t>the</w:t>
      </w:r>
      <w:r w:rsidR="002B06BD" w:rsidRPr="00676BD4">
        <w:rPr>
          <w:iCs/>
        </w:rPr>
        <w:t xml:space="preserve"> healthcare structure</w:t>
      </w:r>
      <w:r w:rsidR="00CB06C9" w:rsidRPr="00676BD4">
        <w:rPr>
          <w:iCs/>
        </w:rPr>
        <w:t>s</w:t>
      </w:r>
      <w:r w:rsidR="00F90F82">
        <w:rPr>
          <w:iCs/>
        </w:rPr>
        <w:t xml:space="preserve"> and</w:t>
      </w:r>
      <w:r w:rsidR="002B06BD" w:rsidRPr="00676BD4">
        <w:rPr>
          <w:iCs/>
        </w:rPr>
        <w:t xml:space="preserve"> process</w:t>
      </w:r>
      <w:r w:rsidR="00CB06C9" w:rsidRPr="00676BD4">
        <w:rPr>
          <w:iCs/>
        </w:rPr>
        <w:t>es</w:t>
      </w:r>
      <w:r>
        <w:rPr>
          <w:iCs/>
        </w:rPr>
        <w:t xml:space="preserve"> (e.g.,</w:t>
      </w:r>
      <w:r w:rsidR="002B06BD" w:rsidRPr="00676BD4">
        <w:rPr>
          <w:iCs/>
        </w:rPr>
        <w:t xml:space="preserve"> intervention</w:t>
      </w:r>
      <w:r w:rsidR="00CB06C9" w:rsidRPr="00676BD4">
        <w:rPr>
          <w:iCs/>
        </w:rPr>
        <w:t>s</w:t>
      </w:r>
      <w:r w:rsidR="002B06BD" w:rsidRPr="00676BD4">
        <w:rPr>
          <w:iCs/>
        </w:rPr>
        <w:t>, or service</w:t>
      </w:r>
      <w:r w:rsidR="00CB06C9" w:rsidRPr="00676BD4">
        <w:rPr>
          <w:iCs/>
        </w:rPr>
        <w:t>s</w:t>
      </w:r>
      <w:r>
        <w:rPr>
          <w:iCs/>
        </w:rPr>
        <w:t>)</w:t>
      </w:r>
      <w:r w:rsidR="00CB06C9" w:rsidRPr="00676BD4">
        <w:rPr>
          <w:iCs/>
        </w:rPr>
        <w:t xml:space="preserve"> </w:t>
      </w:r>
      <w:r w:rsidRPr="00676BD4">
        <w:rPr>
          <w:iCs/>
        </w:rPr>
        <w:t>and the patient</w:t>
      </w:r>
      <w:r>
        <w:rPr>
          <w:iCs/>
        </w:rPr>
        <w:t>’s</w:t>
      </w:r>
      <w:r w:rsidRPr="00676BD4">
        <w:rPr>
          <w:iCs/>
        </w:rPr>
        <w:t xml:space="preserve"> health outcome</w:t>
      </w:r>
      <w:r w:rsidR="00F90F82">
        <w:rPr>
          <w:iCs/>
        </w:rPr>
        <w:t>(s)</w:t>
      </w:r>
      <w:r w:rsidRPr="00676BD4">
        <w:rPr>
          <w:iCs/>
        </w:rPr>
        <w:t>. The relationship</w:t>
      </w:r>
      <w:r>
        <w:rPr>
          <w:iCs/>
        </w:rPr>
        <w:t>s</w:t>
      </w:r>
      <w:r w:rsidRPr="00676BD4">
        <w:rPr>
          <w:iCs/>
        </w:rPr>
        <w:t xml:space="preserve"> in the diagram should be easily understood by general, non-technical audiences.</w:t>
      </w:r>
      <w:r>
        <w:rPr>
          <w:iCs/>
        </w:rPr>
        <w:t xml:space="preserve"> Indicate the </w:t>
      </w:r>
      <w:r w:rsidR="00F90F82">
        <w:rPr>
          <w:iCs/>
        </w:rPr>
        <w:t xml:space="preserve">structure, </w:t>
      </w:r>
      <w:r>
        <w:rPr>
          <w:iCs/>
        </w:rPr>
        <w:t>process o</w:t>
      </w:r>
      <w:r w:rsidRPr="00676BD4">
        <w:rPr>
          <w:iCs/>
        </w:rPr>
        <w:t>r outcome being measured.</w:t>
      </w:r>
    </w:p>
    <w:p w14:paraId="1B320DAF" w14:textId="77777777" w:rsidR="000B6B66" w:rsidRDefault="000B6B66" w:rsidP="00334623">
      <w:pPr>
        <w:rPr>
          <w:color w:val="0000FF"/>
        </w:rPr>
      </w:pPr>
    </w:p>
    <w:p w14:paraId="5267352B" w14:textId="2A8B6F4C" w:rsidR="00B833C9" w:rsidRPr="00FC0129" w:rsidRDefault="001A0A41" w:rsidP="00324699">
      <w:pPr>
        <w:pStyle w:val="BodyText"/>
        <w:spacing w:before="42" w:line="268" w:lineRule="auto"/>
        <w:ind w:left="139" w:right="552"/>
        <w:rPr>
          <w:color w:val="FF0000"/>
          <w:sz w:val="22"/>
          <w:szCs w:val="22"/>
        </w:rPr>
      </w:pPr>
      <w:r w:rsidRPr="00FC0129">
        <w:rPr>
          <w:color w:val="FF0000"/>
          <w:sz w:val="22"/>
          <w:szCs w:val="22"/>
        </w:rPr>
        <w:t xml:space="preserve">The intended result of this </w:t>
      </w:r>
      <w:r w:rsidR="00496953" w:rsidRPr="00FC0129">
        <w:rPr>
          <w:color w:val="FF0000"/>
          <w:sz w:val="22"/>
          <w:szCs w:val="22"/>
        </w:rPr>
        <w:t>process</w:t>
      </w:r>
      <w:r w:rsidRPr="00FC0129">
        <w:rPr>
          <w:color w:val="FF0000"/>
          <w:sz w:val="22"/>
          <w:szCs w:val="22"/>
        </w:rPr>
        <w:t xml:space="preserve"> measure is </w:t>
      </w:r>
      <w:r w:rsidR="00B833C9" w:rsidRPr="00FC0129">
        <w:rPr>
          <w:color w:val="FF0000"/>
          <w:sz w:val="22"/>
          <w:szCs w:val="22"/>
        </w:rPr>
        <w:t xml:space="preserve">to identify members </w:t>
      </w:r>
      <w:r w:rsidR="00246DA4" w:rsidRPr="00FC0129">
        <w:rPr>
          <w:color w:val="FF0000"/>
          <w:sz w:val="22"/>
          <w:szCs w:val="22"/>
        </w:rPr>
        <w:t xml:space="preserve">with </w:t>
      </w:r>
      <w:r w:rsidR="00052ABF">
        <w:rPr>
          <w:color w:val="FF0000"/>
          <w:sz w:val="22"/>
          <w:szCs w:val="22"/>
        </w:rPr>
        <w:t xml:space="preserve">diagnosed </w:t>
      </w:r>
      <w:r w:rsidR="00246DA4" w:rsidRPr="00FC0129">
        <w:rPr>
          <w:color w:val="FF0000"/>
          <w:sz w:val="22"/>
          <w:szCs w:val="22"/>
        </w:rPr>
        <w:t xml:space="preserve">substance </w:t>
      </w:r>
      <w:r w:rsidR="00052ABF">
        <w:rPr>
          <w:color w:val="FF0000"/>
          <w:sz w:val="22"/>
          <w:szCs w:val="22"/>
        </w:rPr>
        <w:t>abuse and dependence</w:t>
      </w:r>
      <w:r w:rsidR="00BE518E" w:rsidRPr="00FC0129">
        <w:rPr>
          <w:color w:val="FF0000"/>
          <w:sz w:val="22"/>
          <w:szCs w:val="22"/>
        </w:rPr>
        <w:t xml:space="preserve"> </w:t>
      </w:r>
      <w:r w:rsidR="00052ABF">
        <w:rPr>
          <w:color w:val="FF0000"/>
          <w:sz w:val="22"/>
          <w:szCs w:val="22"/>
        </w:rPr>
        <w:t xml:space="preserve">and </w:t>
      </w:r>
      <w:r w:rsidR="00A80CB2">
        <w:rPr>
          <w:color w:val="FF0000"/>
          <w:sz w:val="22"/>
          <w:szCs w:val="22"/>
        </w:rPr>
        <w:t xml:space="preserve">assess if they initiate treatment, including </w:t>
      </w:r>
      <w:r w:rsidR="00496953" w:rsidRPr="00FC0129">
        <w:rPr>
          <w:color w:val="FF0000"/>
          <w:sz w:val="22"/>
          <w:szCs w:val="22"/>
        </w:rPr>
        <w:t>Medication Assisted Treatment (MAT)</w:t>
      </w:r>
      <w:r w:rsidR="00324699" w:rsidRPr="00FC0129">
        <w:rPr>
          <w:color w:val="FF0000"/>
          <w:sz w:val="22"/>
          <w:szCs w:val="22"/>
        </w:rPr>
        <w:t>,</w:t>
      </w:r>
      <w:r w:rsidR="00496953" w:rsidRPr="00FC0129">
        <w:rPr>
          <w:color w:val="FF0000"/>
          <w:sz w:val="22"/>
          <w:szCs w:val="22"/>
        </w:rPr>
        <w:t xml:space="preserve"> within 14 days of </w:t>
      </w:r>
      <w:r w:rsidR="00A80CB2">
        <w:rPr>
          <w:color w:val="FF0000"/>
          <w:sz w:val="22"/>
          <w:szCs w:val="22"/>
        </w:rPr>
        <w:t xml:space="preserve">their </w:t>
      </w:r>
      <w:r w:rsidR="00496953" w:rsidRPr="00FC0129">
        <w:rPr>
          <w:color w:val="FF0000"/>
          <w:sz w:val="22"/>
          <w:szCs w:val="22"/>
        </w:rPr>
        <w:t>diagnosis</w:t>
      </w:r>
      <w:r w:rsidR="007E10EB">
        <w:rPr>
          <w:color w:val="FF0000"/>
          <w:sz w:val="22"/>
          <w:szCs w:val="22"/>
        </w:rPr>
        <w:t xml:space="preserve"> and </w:t>
      </w:r>
      <w:r w:rsidR="00A80CB2">
        <w:rPr>
          <w:color w:val="FF0000"/>
          <w:sz w:val="22"/>
          <w:szCs w:val="22"/>
        </w:rPr>
        <w:t>engage in ongoing care within 34 days of initiation</w:t>
      </w:r>
      <w:r w:rsidR="00496953" w:rsidRPr="00FC0129">
        <w:rPr>
          <w:color w:val="FF0000"/>
          <w:sz w:val="22"/>
          <w:szCs w:val="22"/>
        </w:rPr>
        <w:t xml:space="preserve">. </w:t>
      </w:r>
      <w:r w:rsidR="00B833C9" w:rsidRPr="00FC0129">
        <w:rPr>
          <w:color w:val="FF0000"/>
          <w:sz w:val="22"/>
          <w:szCs w:val="22"/>
        </w:rPr>
        <w:t xml:space="preserve"> </w:t>
      </w:r>
    </w:p>
    <w:p w14:paraId="5D64D80A" w14:textId="77777777" w:rsidR="001A0A41" w:rsidRPr="00FC0129" w:rsidRDefault="001A0A41" w:rsidP="001A0A41">
      <w:pPr>
        <w:pStyle w:val="BodyText"/>
        <w:spacing w:before="164"/>
        <w:ind w:left="140"/>
        <w:rPr>
          <w:color w:val="FF0000"/>
          <w:sz w:val="22"/>
          <w:szCs w:val="22"/>
        </w:rPr>
      </w:pPr>
      <w:r w:rsidRPr="00FC0129">
        <w:rPr>
          <w:color w:val="FF0000"/>
          <w:sz w:val="22"/>
          <w:szCs w:val="22"/>
        </w:rPr>
        <w:t>The presumed pathway from process to outcomes is as follows:</w:t>
      </w:r>
    </w:p>
    <w:p w14:paraId="00C0D406" w14:textId="77777777" w:rsidR="001A0A41" w:rsidRPr="00FC0129" w:rsidRDefault="001A0A41" w:rsidP="001A0A41">
      <w:pPr>
        <w:pStyle w:val="BodyText"/>
        <w:spacing w:before="2"/>
        <w:rPr>
          <w:color w:val="FF0000"/>
          <w:sz w:val="22"/>
          <w:szCs w:val="22"/>
        </w:rPr>
      </w:pPr>
    </w:p>
    <w:p w14:paraId="00929C3C" w14:textId="41996FAE" w:rsidR="001A0A41" w:rsidRPr="00FC0129" w:rsidRDefault="001A0A41" w:rsidP="001A0A41">
      <w:pPr>
        <w:pStyle w:val="ListParagraph"/>
        <w:widowControl w:val="0"/>
        <w:numPr>
          <w:ilvl w:val="0"/>
          <w:numId w:val="12"/>
        </w:numPr>
        <w:tabs>
          <w:tab w:val="left" w:pos="342"/>
        </w:tabs>
        <w:autoSpaceDE w:val="0"/>
        <w:autoSpaceDN w:val="0"/>
        <w:spacing w:after="0" w:line="240" w:lineRule="auto"/>
        <w:ind w:hanging="201"/>
        <w:rPr>
          <w:color w:val="FF0000"/>
        </w:rPr>
      </w:pPr>
      <w:r w:rsidRPr="00FC0129">
        <w:rPr>
          <w:color w:val="FF0000"/>
        </w:rPr>
        <w:t>Patient (</w:t>
      </w:r>
      <w:r w:rsidR="00161664" w:rsidRPr="00FC0129">
        <w:rPr>
          <w:color w:val="FF0000"/>
        </w:rPr>
        <w:t>13 years or older</w:t>
      </w:r>
      <w:r w:rsidRPr="00FC0129">
        <w:rPr>
          <w:color w:val="FF0000"/>
          <w:spacing w:val="-3"/>
        </w:rPr>
        <w:t xml:space="preserve">) </w:t>
      </w:r>
      <w:r w:rsidR="006C22DF">
        <w:rPr>
          <w:color w:val="FF0000"/>
        </w:rPr>
        <w:t xml:space="preserve">diagnosed </w:t>
      </w:r>
      <w:r w:rsidR="00414007">
        <w:rPr>
          <w:color w:val="FF0000"/>
        </w:rPr>
        <w:t>with</w:t>
      </w:r>
      <w:r w:rsidR="00414007" w:rsidRPr="00FC0129">
        <w:rPr>
          <w:color w:val="FF0000"/>
        </w:rPr>
        <w:t xml:space="preserve"> </w:t>
      </w:r>
      <w:r w:rsidR="00305D89" w:rsidRPr="00FC0129">
        <w:rPr>
          <w:color w:val="FF0000"/>
        </w:rPr>
        <w:t>substance abuse</w:t>
      </w:r>
      <w:r w:rsidR="006C22DF">
        <w:rPr>
          <w:color w:val="FF0000"/>
        </w:rPr>
        <w:t xml:space="preserve"> or dependence</w:t>
      </w:r>
      <w:r w:rsidR="00305D89" w:rsidRPr="00FC0129">
        <w:rPr>
          <w:color w:val="FF0000"/>
        </w:rPr>
        <w:t xml:space="preserve">. </w:t>
      </w:r>
    </w:p>
    <w:p w14:paraId="13806A2A" w14:textId="77777777" w:rsidR="001A0A41" w:rsidRPr="00FC0129" w:rsidRDefault="001A0A41" w:rsidP="001A0A41">
      <w:pPr>
        <w:pStyle w:val="BodyText"/>
        <w:spacing w:before="2"/>
        <w:rPr>
          <w:color w:val="FF0000"/>
          <w:sz w:val="22"/>
          <w:szCs w:val="22"/>
        </w:rPr>
      </w:pPr>
    </w:p>
    <w:p w14:paraId="7C4BA6B9" w14:textId="2E3D9ED4" w:rsidR="001A0A41" w:rsidRPr="00FC0129" w:rsidRDefault="007B74F5" w:rsidP="00E65362">
      <w:pPr>
        <w:pStyle w:val="ListParagraph"/>
        <w:widowControl w:val="0"/>
        <w:numPr>
          <w:ilvl w:val="0"/>
          <w:numId w:val="12"/>
        </w:numPr>
        <w:tabs>
          <w:tab w:val="left" w:pos="342"/>
        </w:tabs>
        <w:autoSpaceDE w:val="0"/>
        <w:autoSpaceDN w:val="0"/>
        <w:spacing w:after="0" w:line="240" w:lineRule="auto"/>
        <w:rPr>
          <w:color w:val="FF0000"/>
        </w:rPr>
      </w:pPr>
      <w:r w:rsidRPr="00FC0129">
        <w:rPr>
          <w:color w:val="FF0000"/>
        </w:rPr>
        <w:t>P</w:t>
      </w:r>
      <w:r w:rsidR="00E65362" w:rsidRPr="00FC0129">
        <w:rPr>
          <w:color w:val="FF0000"/>
        </w:rPr>
        <w:t>atient initiates treatment through an inpatient AOD admission, outpatient visit, intensive outpatient encounter, partial hospitalization, telehealth or medication assisted treatment (MAT) within 14 days of the diagnosis</w:t>
      </w:r>
    </w:p>
    <w:p w14:paraId="7D47FD37" w14:textId="77777777" w:rsidR="001A0A41" w:rsidRPr="00FC0129" w:rsidRDefault="001A0A41" w:rsidP="001A0A41">
      <w:pPr>
        <w:pStyle w:val="BodyText"/>
        <w:spacing w:before="2"/>
        <w:rPr>
          <w:color w:val="FF0000"/>
          <w:sz w:val="22"/>
          <w:szCs w:val="22"/>
        </w:rPr>
      </w:pPr>
    </w:p>
    <w:p w14:paraId="09096324" w14:textId="372F768F" w:rsidR="006544B8" w:rsidRPr="00FC0129" w:rsidRDefault="006544B8" w:rsidP="006544B8">
      <w:pPr>
        <w:pStyle w:val="ListParagraph"/>
        <w:widowControl w:val="0"/>
        <w:numPr>
          <w:ilvl w:val="0"/>
          <w:numId w:val="12"/>
        </w:numPr>
        <w:tabs>
          <w:tab w:val="left" w:pos="342"/>
        </w:tabs>
        <w:autoSpaceDE w:val="0"/>
        <w:autoSpaceDN w:val="0"/>
        <w:spacing w:after="0" w:line="240" w:lineRule="auto"/>
        <w:rPr>
          <w:color w:val="FF0000"/>
        </w:rPr>
      </w:pPr>
      <w:r w:rsidRPr="00FC0129">
        <w:rPr>
          <w:color w:val="FF0000"/>
        </w:rPr>
        <w:t>Patient completes two or more additional AOD treatment services or MAT within 34 days of the initiation visit.</w:t>
      </w:r>
    </w:p>
    <w:p w14:paraId="482D16E6" w14:textId="77777777" w:rsidR="006544B8" w:rsidRPr="00FC0129" w:rsidRDefault="006544B8" w:rsidP="006544B8">
      <w:pPr>
        <w:pStyle w:val="ListParagraph"/>
        <w:rPr>
          <w:color w:val="FF0000"/>
        </w:rPr>
      </w:pPr>
    </w:p>
    <w:p w14:paraId="247A18DC" w14:textId="2A281390" w:rsidR="001A0A41" w:rsidRPr="00FC0129" w:rsidRDefault="00DB45E3" w:rsidP="00CF7C7A">
      <w:pPr>
        <w:pStyle w:val="ListParagraph"/>
        <w:widowControl w:val="0"/>
        <w:numPr>
          <w:ilvl w:val="0"/>
          <w:numId w:val="12"/>
        </w:numPr>
        <w:tabs>
          <w:tab w:val="left" w:pos="342"/>
        </w:tabs>
        <w:autoSpaceDE w:val="0"/>
        <w:autoSpaceDN w:val="0"/>
        <w:spacing w:after="0" w:line="240" w:lineRule="auto"/>
        <w:rPr>
          <w:color w:val="FF0000"/>
        </w:rPr>
      </w:pPr>
      <w:r w:rsidRPr="00FC0129">
        <w:rPr>
          <w:color w:val="FF0000"/>
        </w:rPr>
        <w:t>Patient successfully engages in treatment</w:t>
      </w:r>
      <w:r w:rsidR="00142C65" w:rsidRPr="00FC0129">
        <w:rPr>
          <w:color w:val="FF0000"/>
        </w:rPr>
        <w:t xml:space="preserve"> (intermediate step), which supports a pathway to treatment completion and </w:t>
      </w:r>
      <w:r w:rsidR="00897348" w:rsidRPr="00FC0129">
        <w:rPr>
          <w:color w:val="FF0000"/>
        </w:rPr>
        <w:t xml:space="preserve">substance </w:t>
      </w:r>
      <w:r w:rsidR="00602172">
        <w:rPr>
          <w:color w:val="FF0000"/>
        </w:rPr>
        <w:t>abuse and dependence</w:t>
      </w:r>
      <w:r w:rsidR="00897348" w:rsidRPr="00FC0129">
        <w:rPr>
          <w:color w:val="FF0000"/>
        </w:rPr>
        <w:t xml:space="preserve"> </w:t>
      </w:r>
      <w:r w:rsidR="00AC1D2F" w:rsidRPr="00FC0129">
        <w:rPr>
          <w:color w:val="FF0000"/>
        </w:rPr>
        <w:t>recovery</w:t>
      </w:r>
      <w:r w:rsidR="00BC38AC" w:rsidRPr="00FC0129">
        <w:rPr>
          <w:color w:val="FF0000"/>
        </w:rPr>
        <w:t xml:space="preserve"> </w:t>
      </w:r>
      <w:r w:rsidR="00602172">
        <w:rPr>
          <w:color w:val="FF0000"/>
        </w:rPr>
        <w:t>or appropriate ongoing management</w:t>
      </w:r>
      <w:r w:rsidR="002D7363">
        <w:rPr>
          <w:color w:val="FF0000"/>
        </w:rPr>
        <w:t xml:space="preserve"> </w:t>
      </w:r>
      <w:r w:rsidR="00897348" w:rsidRPr="00FC0129">
        <w:rPr>
          <w:color w:val="FF0000"/>
        </w:rPr>
        <w:t>(desired outcome)</w:t>
      </w:r>
      <w:r w:rsidR="004A25C8" w:rsidRPr="00FC0129">
        <w:rPr>
          <w:color w:val="FF0000"/>
        </w:rPr>
        <w:t xml:space="preserve">. </w:t>
      </w:r>
    </w:p>
    <w:p w14:paraId="55B8DA5C" w14:textId="47993695" w:rsidR="00676BD4" w:rsidRDefault="00676BD4" w:rsidP="002E2177">
      <w:pPr>
        <w:ind w:left="432" w:hanging="432"/>
        <w:rPr>
          <w:b/>
          <w:color w:val="0000FF"/>
        </w:rPr>
      </w:pPr>
    </w:p>
    <w:p w14:paraId="33C7741B" w14:textId="4993289B" w:rsidR="004922E4" w:rsidRPr="004922E4" w:rsidRDefault="004922E4" w:rsidP="004922E4">
      <w:pPr>
        <w:ind w:right="140"/>
        <w:rPr>
          <w:b/>
          <w:iCs/>
        </w:rPr>
      </w:pPr>
      <w:r>
        <w:rPr>
          <w:b/>
          <w:bCs/>
          <w:color w:val="0000FF"/>
        </w:rPr>
        <w:lastRenderedPageBreak/>
        <w:t>1a.3</w:t>
      </w:r>
      <w:r w:rsidRPr="003B1CC5">
        <w:rPr>
          <w:bCs/>
        </w:rPr>
        <w:t xml:space="preserve"> </w:t>
      </w:r>
      <w:r>
        <w:rPr>
          <w:b/>
          <w:bCs/>
        </w:rPr>
        <w:t xml:space="preserve">Value and Meaningfulness:  </w:t>
      </w:r>
      <w:r>
        <w:rPr>
          <w:bCs/>
        </w:rPr>
        <w:t xml:space="preserve"> </w:t>
      </w:r>
      <w:r w:rsidRPr="004922E4">
        <w:rPr>
          <w:b/>
          <w:iCs/>
        </w:rPr>
        <w:t xml:space="preserve">IF </w:t>
      </w:r>
      <w:r>
        <w:rPr>
          <w:iCs/>
        </w:rPr>
        <w:t xml:space="preserve">this measure is </w:t>
      </w:r>
      <w:r w:rsidRPr="004922E4">
        <w:rPr>
          <w:iCs/>
        </w:rPr>
        <w:t xml:space="preserve">derived from patient report, provide evidence that the target population values the measured </w:t>
      </w:r>
      <w:r w:rsidRPr="004922E4">
        <w:rPr>
          <w:b/>
          <w:i/>
          <w:iCs/>
        </w:rPr>
        <w:t>outcome, process, or structure</w:t>
      </w:r>
      <w:r w:rsidRPr="004922E4">
        <w:rPr>
          <w:iCs/>
        </w:rPr>
        <w:t xml:space="preserve"> and finds it meaningful. (Describe how and from whom their input was obtained.)</w:t>
      </w:r>
    </w:p>
    <w:p w14:paraId="5BCFDB54" w14:textId="77777777" w:rsidR="004922E4" w:rsidRDefault="004922E4" w:rsidP="002E2177">
      <w:pPr>
        <w:ind w:left="432" w:hanging="432"/>
        <w:rPr>
          <w:b/>
          <w:color w:val="0000FF"/>
        </w:rPr>
      </w:pPr>
    </w:p>
    <w:p w14:paraId="55B8DA5E" w14:textId="1E83F634" w:rsidR="00F90F82" w:rsidRPr="000B6B66" w:rsidRDefault="000B6B66" w:rsidP="002E2177">
      <w:pPr>
        <w:ind w:left="432" w:hanging="432"/>
        <w:rPr>
          <w:color w:val="0000FF"/>
        </w:rPr>
      </w:pPr>
      <w:r w:rsidRPr="000B6B66">
        <w:rPr>
          <w:color w:val="0000FF"/>
        </w:rPr>
        <w:t>N/A</w:t>
      </w:r>
    </w:p>
    <w:p w14:paraId="55B8DA5F" w14:textId="77777777" w:rsidR="00676BD4" w:rsidRDefault="00676BD4" w:rsidP="00A9011D">
      <w:pPr>
        <w:ind w:left="0" w:firstLine="0"/>
        <w:rPr>
          <w:b/>
          <w:color w:val="0000FF"/>
        </w:rPr>
      </w:pPr>
    </w:p>
    <w:p w14:paraId="55B8DA60" w14:textId="77777777" w:rsidR="00676BD4" w:rsidRDefault="00676BD4" w:rsidP="002E2177">
      <w:pPr>
        <w:ind w:left="432" w:hanging="432"/>
        <w:rPr>
          <w:b/>
          <w:color w:val="0000FF"/>
        </w:rPr>
      </w:pPr>
    </w:p>
    <w:p w14:paraId="55B8DA61" w14:textId="77777777" w:rsidR="00676BD4" w:rsidRDefault="00C41794" w:rsidP="002E2177">
      <w:pPr>
        <w:ind w:left="432" w:hanging="432"/>
        <w:rPr>
          <w:b/>
          <w:color w:val="0000FF"/>
        </w:rPr>
      </w:pPr>
      <w:r>
        <w:rPr>
          <w:b/>
          <w:color w:val="0000FF"/>
        </w:rPr>
        <w:t xml:space="preserve">**RESPOND TO ONLY ONE SECTION </w:t>
      </w:r>
      <w:r w:rsidR="004E7215">
        <w:rPr>
          <w:b/>
          <w:color w:val="0000FF"/>
        </w:rPr>
        <w:t>BELOW -</w:t>
      </w:r>
      <w:r>
        <w:rPr>
          <w:b/>
          <w:color w:val="0000FF"/>
        </w:rPr>
        <w:t xml:space="preserve">EITHER 1a.2, 1a.3 or 1a.4) </w:t>
      </w:r>
      <w:r w:rsidR="00AB4ECE">
        <w:rPr>
          <w:b/>
          <w:color w:val="0000FF"/>
        </w:rPr>
        <w:t>**</w:t>
      </w:r>
    </w:p>
    <w:p w14:paraId="55B8DA62" w14:textId="77777777" w:rsidR="00676BD4" w:rsidRDefault="00676BD4" w:rsidP="002E2177">
      <w:pPr>
        <w:ind w:left="432" w:hanging="432"/>
        <w:rPr>
          <w:b/>
          <w:color w:val="0000FF"/>
        </w:rPr>
      </w:pPr>
    </w:p>
    <w:p w14:paraId="55B8DA63" w14:textId="26AB307C" w:rsidR="00496AF8" w:rsidRPr="001F729B" w:rsidRDefault="00B058A6" w:rsidP="00C41794">
      <w:pPr>
        <w:ind w:left="432" w:hanging="432"/>
        <w:rPr>
          <w:b/>
          <w:color w:val="808080" w:themeColor="background1" w:themeShade="80"/>
        </w:rPr>
      </w:pPr>
      <w:r w:rsidRPr="001F729B">
        <w:rPr>
          <w:b/>
          <w:color w:val="808080" w:themeColor="background1" w:themeShade="80"/>
        </w:rPr>
        <w:t>1</w:t>
      </w:r>
      <w:r w:rsidR="00773485" w:rsidRPr="001F729B">
        <w:rPr>
          <w:b/>
          <w:color w:val="808080" w:themeColor="background1" w:themeShade="80"/>
        </w:rPr>
        <w:t>a</w:t>
      </w:r>
      <w:r w:rsidRPr="001F729B">
        <w:rPr>
          <w:b/>
          <w:color w:val="808080" w:themeColor="background1" w:themeShade="80"/>
        </w:rPr>
        <w:t>.2</w:t>
      </w:r>
      <w:r w:rsidR="00E41417" w:rsidRPr="001F729B">
        <w:rPr>
          <w:iCs/>
          <w:color w:val="808080" w:themeColor="background1" w:themeShade="80"/>
        </w:rPr>
        <w:t xml:space="preserve"> </w:t>
      </w:r>
      <w:r w:rsidR="00C41794" w:rsidRPr="001F729B">
        <w:rPr>
          <w:b/>
          <w:color w:val="808080" w:themeColor="background1" w:themeShade="80"/>
        </w:rPr>
        <w:t>FOR OUTCOME MEASURES including PATIENT REPORTED OUTCOMES</w:t>
      </w:r>
      <w:r w:rsidR="003D6721" w:rsidRPr="001F729B">
        <w:rPr>
          <w:b/>
          <w:color w:val="808080" w:themeColor="background1" w:themeShade="80"/>
        </w:rPr>
        <w:t xml:space="preserve"> </w:t>
      </w:r>
      <w:r w:rsidR="00C41794" w:rsidRPr="001F729B">
        <w:rPr>
          <w:b/>
          <w:color w:val="808080" w:themeColor="background1" w:themeShade="80"/>
        </w:rPr>
        <w:t>-</w:t>
      </w:r>
      <w:r w:rsidR="00C41794" w:rsidRPr="001F729B">
        <w:rPr>
          <w:b/>
          <w:iCs/>
          <w:color w:val="808080" w:themeColor="background1" w:themeShade="80"/>
        </w:rPr>
        <w:t xml:space="preserve"> </w:t>
      </w:r>
      <w:r w:rsidR="003D6721" w:rsidRPr="001F729B">
        <w:rPr>
          <w:b/>
          <w:iCs/>
          <w:color w:val="808080" w:themeColor="background1" w:themeShade="80"/>
        </w:rPr>
        <w:t xml:space="preserve">Provide empirical data demonstrating </w:t>
      </w:r>
      <w:r w:rsidR="008B51D9" w:rsidRPr="001F729B">
        <w:rPr>
          <w:b/>
          <w:iCs/>
          <w:color w:val="808080" w:themeColor="background1" w:themeShade="80"/>
        </w:rPr>
        <w:t xml:space="preserve">the </w:t>
      </w:r>
      <w:r w:rsidR="005D25E9" w:rsidRPr="001F729B">
        <w:rPr>
          <w:b/>
          <w:iCs/>
          <w:color w:val="808080" w:themeColor="background1" w:themeShade="80"/>
        </w:rPr>
        <w:t xml:space="preserve">relationship </w:t>
      </w:r>
      <w:r w:rsidR="00AC1E53" w:rsidRPr="001F729B">
        <w:rPr>
          <w:b/>
          <w:iCs/>
          <w:color w:val="808080" w:themeColor="background1" w:themeShade="80"/>
        </w:rPr>
        <w:t>between</w:t>
      </w:r>
      <w:r w:rsidR="005D25E9" w:rsidRPr="001F729B">
        <w:rPr>
          <w:b/>
          <w:iCs/>
          <w:color w:val="808080" w:themeColor="background1" w:themeShade="80"/>
        </w:rPr>
        <w:t xml:space="preserve"> the </w:t>
      </w:r>
      <w:r w:rsidR="008B51D9" w:rsidRPr="001F729B">
        <w:rPr>
          <w:b/>
          <w:iCs/>
          <w:color w:val="808080" w:themeColor="background1" w:themeShade="80"/>
        </w:rPr>
        <w:t>outcome</w:t>
      </w:r>
      <w:r w:rsidR="005857F8" w:rsidRPr="001F729B">
        <w:rPr>
          <w:b/>
          <w:iCs/>
          <w:color w:val="808080" w:themeColor="background1" w:themeShade="80"/>
        </w:rPr>
        <w:t xml:space="preserve"> </w:t>
      </w:r>
      <w:r w:rsidR="00AA5587" w:rsidRPr="001F729B">
        <w:rPr>
          <w:b/>
          <w:iCs/>
          <w:color w:val="808080" w:themeColor="background1" w:themeShade="80"/>
        </w:rPr>
        <w:t>(</w:t>
      </w:r>
      <w:r w:rsidR="005857F8" w:rsidRPr="001F729B">
        <w:rPr>
          <w:b/>
          <w:iCs/>
          <w:color w:val="808080" w:themeColor="background1" w:themeShade="80"/>
        </w:rPr>
        <w:t>or PRO</w:t>
      </w:r>
      <w:r w:rsidR="00AA5587" w:rsidRPr="001F729B">
        <w:rPr>
          <w:b/>
          <w:iCs/>
          <w:color w:val="808080" w:themeColor="background1" w:themeShade="80"/>
        </w:rPr>
        <w:t>)</w:t>
      </w:r>
      <w:r w:rsidR="008B51D9" w:rsidRPr="001F729B">
        <w:rPr>
          <w:b/>
          <w:iCs/>
          <w:color w:val="808080" w:themeColor="background1" w:themeShade="80"/>
        </w:rPr>
        <w:t xml:space="preserve"> </w:t>
      </w:r>
      <w:r w:rsidR="005D25E9" w:rsidRPr="001F729B">
        <w:rPr>
          <w:b/>
          <w:iCs/>
          <w:color w:val="808080" w:themeColor="background1" w:themeShade="80"/>
        </w:rPr>
        <w:t>to</w:t>
      </w:r>
      <w:r w:rsidR="00236F87" w:rsidRPr="001F729B">
        <w:rPr>
          <w:b/>
          <w:iCs/>
          <w:color w:val="808080" w:themeColor="background1" w:themeShade="80"/>
        </w:rPr>
        <w:t xml:space="preserve"> </w:t>
      </w:r>
      <w:r w:rsidR="00496AF8" w:rsidRPr="001F729B">
        <w:rPr>
          <w:b/>
          <w:iCs/>
          <w:color w:val="808080" w:themeColor="background1" w:themeShade="80"/>
        </w:rPr>
        <w:t>at least one</w:t>
      </w:r>
      <w:r w:rsidR="009B5BEA" w:rsidRPr="001F729B">
        <w:rPr>
          <w:b/>
          <w:iCs/>
          <w:color w:val="808080" w:themeColor="background1" w:themeShade="80"/>
        </w:rPr>
        <w:t xml:space="preserve"> </w:t>
      </w:r>
      <w:r w:rsidR="003D6721" w:rsidRPr="001F729B">
        <w:rPr>
          <w:b/>
          <w:iCs/>
          <w:color w:val="808080" w:themeColor="background1" w:themeShade="80"/>
        </w:rPr>
        <w:t xml:space="preserve">healthcare structure, process, </w:t>
      </w:r>
      <w:r w:rsidR="00496AF8" w:rsidRPr="001F729B">
        <w:rPr>
          <w:b/>
          <w:iCs/>
          <w:color w:val="808080" w:themeColor="background1" w:themeShade="80"/>
        </w:rPr>
        <w:t>intervention, or service</w:t>
      </w:r>
      <w:r w:rsidR="00676BD4" w:rsidRPr="001F729B">
        <w:rPr>
          <w:b/>
          <w:iCs/>
          <w:color w:val="808080" w:themeColor="background1" w:themeShade="80"/>
        </w:rPr>
        <w:t>.</w:t>
      </w:r>
      <w:r w:rsidR="00AC1E53" w:rsidRPr="001F729B">
        <w:rPr>
          <w:b/>
          <w:iCs/>
          <w:color w:val="808080" w:themeColor="background1" w:themeShade="80"/>
        </w:rPr>
        <w:t xml:space="preserve"> </w:t>
      </w:r>
    </w:p>
    <w:p w14:paraId="55B8DA64" w14:textId="77777777" w:rsidR="00D14F0B" w:rsidRPr="003B1CC5" w:rsidRDefault="00D14F0B" w:rsidP="002E2177">
      <w:pPr>
        <w:ind w:left="0" w:firstLine="0"/>
        <w:rPr>
          <w:iCs/>
        </w:rPr>
      </w:pPr>
    </w:p>
    <w:p w14:paraId="55B8DA65" w14:textId="77777777" w:rsidR="00676BD4" w:rsidRDefault="00676BD4" w:rsidP="002E2177">
      <w:pPr>
        <w:ind w:left="0" w:firstLine="0"/>
        <w:rPr>
          <w:i/>
          <w:iCs/>
          <w:highlight w:val="green"/>
          <w:u w:val="single"/>
        </w:rPr>
      </w:pPr>
    </w:p>
    <w:p w14:paraId="55B8DA66" w14:textId="725FE95F" w:rsidR="00C41794" w:rsidRPr="003B1CC5" w:rsidRDefault="002B06BD" w:rsidP="00C41794">
      <w:pPr>
        <w:ind w:left="0" w:firstLine="0"/>
        <w:rPr>
          <w:b/>
          <w:iCs/>
        </w:rPr>
      </w:pPr>
      <w:bookmarkStart w:id="6" w:name="Section1a3"/>
      <w:bookmarkEnd w:id="6"/>
      <w:r w:rsidRPr="003B1CC5">
        <w:rPr>
          <w:b/>
          <w:iCs/>
          <w:color w:val="0000FF"/>
        </w:rPr>
        <w:t>1a.3.</w:t>
      </w:r>
      <w:r w:rsidRPr="003B1CC5">
        <w:rPr>
          <w:i/>
          <w:iCs/>
          <w:color w:val="0000FF"/>
        </w:rPr>
        <w:t xml:space="preserve"> </w:t>
      </w:r>
      <w:r w:rsidR="00C41794">
        <w:rPr>
          <w:b/>
          <w:iCs/>
          <w:color w:val="0000FF"/>
        </w:rPr>
        <w:t>SYSTEMATIC REVIEW</w:t>
      </w:r>
      <w:r w:rsidR="00AB4ECE">
        <w:rPr>
          <w:b/>
          <w:iCs/>
          <w:color w:val="0000FF"/>
        </w:rPr>
        <w:t>(SR)</w:t>
      </w:r>
      <w:r w:rsidR="00C41794">
        <w:rPr>
          <w:b/>
          <w:iCs/>
          <w:color w:val="0000FF"/>
        </w:rPr>
        <w:t xml:space="preserve"> OF THE EVIDENCE (</w:t>
      </w:r>
      <w:proofErr w:type="gramStart"/>
      <w:r w:rsidR="00C41794" w:rsidRPr="00F90F82">
        <w:rPr>
          <w:b/>
          <w:iCs/>
        </w:rPr>
        <w:t>for</w:t>
      </w:r>
      <w:r w:rsidR="00C41794" w:rsidRPr="00F90F82">
        <w:rPr>
          <w:b/>
          <w:iCs/>
          <w:caps/>
        </w:rPr>
        <w:t xml:space="preserve"> </w:t>
      </w:r>
      <w:r w:rsidR="00C41794">
        <w:rPr>
          <w:b/>
          <w:iCs/>
          <w:caps/>
        </w:rPr>
        <w:t xml:space="preserve"> </w:t>
      </w:r>
      <w:r w:rsidR="00C41794" w:rsidRPr="003B1CC5">
        <w:rPr>
          <w:b/>
          <w:iCs/>
          <w:caps/>
        </w:rPr>
        <w:t>intermediate</w:t>
      </w:r>
      <w:proofErr w:type="gramEnd"/>
      <w:r w:rsidR="00C41794" w:rsidRPr="003B1CC5">
        <w:rPr>
          <w:b/>
          <w:iCs/>
          <w:caps/>
        </w:rPr>
        <w:t xml:space="preserve"> outcome, PROCESS, or STRUCTURE PERFORMANCE measure</w:t>
      </w:r>
      <w:r w:rsidR="00C41794">
        <w:rPr>
          <w:b/>
          <w:iCs/>
          <w:caps/>
        </w:rPr>
        <w:t>s</w:t>
      </w:r>
      <w:r w:rsidR="003D6721">
        <w:rPr>
          <w:b/>
          <w:iCs/>
          <w:caps/>
        </w:rPr>
        <w:t>, including those that are instrument-based</w:t>
      </w:r>
      <w:r w:rsidR="00C41794">
        <w:rPr>
          <w:b/>
          <w:iCs/>
          <w:caps/>
        </w:rPr>
        <w:t>)</w:t>
      </w:r>
      <w:r w:rsidR="00C41794" w:rsidRPr="003B1CC5">
        <w:rPr>
          <w:b/>
          <w:iCs/>
        </w:rPr>
        <w:t xml:space="preserve"> </w:t>
      </w:r>
      <w:r w:rsidR="00C41794">
        <w:rPr>
          <w:b/>
          <w:iCs/>
        </w:rPr>
        <w:t>If the evidence is not based on a system</w:t>
      </w:r>
      <w:r w:rsidR="00AB4ECE">
        <w:rPr>
          <w:b/>
          <w:iCs/>
        </w:rPr>
        <w:t>a</w:t>
      </w:r>
      <w:r w:rsidR="00C41794">
        <w:rPr>
          <w:b/>
          <w:iCs/>
        </w:rPr>
        <w:t>tic review go to section 1a.4)</w:t>
      </w:r>
      <w:r w:rsidR="00AB4ECE">
        <w:rPr>
          <w:b/>
          <w:iCs/>
        </w:rPr>
        <w:t xml:space="preserve"> If you wish to include more than one systematic review, add </w:t>
      </w:r>
      <w:r w:rsidR="000F4A7F">
        <w:rPr>
          <w:b/>
          <w:iCs/>
        </w:rPr>
        <w:t>additional tables.</w:t>
      </w:r>
      <w:r w:rsidR="00AB4ECE">
        <w:rPr>
          <w:b/>
          <w:iCs/>
        </w:rPr>
        <w:t xml:space="preserve"> </w:t>
      </w:r>
    </w:p>
    <w:p w14:paraId="55B8DA67" w14:textId="77777777" w:rsidR="00496AF8" w:rsidRDefault="00496AF8" w:rsidP="002E2177">
      <w:pPr>
        <w:ind w:left="0" w:firstLine="0"/>
        <w:rPr>
          <w:i/>
          <w:iCs/>
        </w:rPr>
      </w:pPr>
    </w:p>
    <w:p w14:paraId="55B8DA68" w14:textId="77777777" w:rsidR="00A9011D" w:rsidRPr="00A9011D" w:rsidRDefault="00A9011D" w:rsidP="00A9011D">
      <w:pPr>
        <w:ind w:left="0" w:firstLine="0"/>
        <w:rPr>
          <w:rFonts w:ascii="Calibri" w:eastAsia="Calibri" w:hAnsi="Calibri" w:cs="Times New Roman"/>
          <w:b/>
        </w:rPr>
      </w:pPr>
      <w:r w:rsidRPr="00A9011D">
        <w:rPr>
          <w:rFonts w:ascii="Calibri" w:eastAsia="Calibri" w:hAnsi="Calibri" w:cs="Times New Roman"/>
          <w:b/>
        </w:rPr>
        <w:t xml:space="preserve">What is the source of the </w:t>
      </w:r>
      <w:r w:rsidRPr="00A9011D">
        <w:rPr>
          <w:rFonts w:ascii="Calibri" w:eastAsia="Calibri" w:hAnsi="Calibri" w:cs="Times New Roman"/>
          <w:b/>
          <w:u w:val="single"/>
        </w:rPr>
        <w:t>systematic review of the body of evidence</w:t>
      </w:r>
      <w:r w:rsidRPr="00A9011D">
        <w:rPr>
          <w:rFonts w:ascii="Calibri" w:eastAsia="Calibri" w:hAnsi="Calibri" w:cs="Times New Roman"/>
          <w:b/>
        </w:rPr>
        <w:t xml:space="preserve"> that supports the performance measure?</w:t>
      </w:r>
      <w:r>
        <w:rPr>
          <w:rFonts w:ascii="Calibri" w:eastAsia="Calibri" w:hAnsi="Calibri" w:cs="Times New Roman"/>
          <w:b/>
        </w:rPr>
        <w:t xml:space="preserve">  A systematic review is a scientific investigation that focuses on a specific question and uses explicit, prespecified scientific methods to identify, select, assess, and summarize the findings of similar but separate studies. It may include a quantitative synthesis (meta-analysis), depending on the available data. (IOM)</w:t>
      </w:r>
    </w:p>
    <w:p w14:paraId="55B8DA69" w14:textId="77777777" w:rsidR="00A9011D" w:rsidRPr="00A9011D" w:rsidRDefault="00EC1225" w:rsidP="00A9011D">
      <w:pPr>
        <w:ind w:left="0" w:firstLine="0"/>
        <w:rPr>
          <w:rFonts w:ascii="Calibri" w:eastAsia="Calibri" w:hAnsi="Calibri" w:cs="Times New Roman"/>
        </w:rPr>
      </w:pPr>
      <w:r w:rsidRPr="00314897">
        <w:rPr>
          <w:rFonts w:ascii="Times New Roman" w:eastAsia="Arial Unicode MS" w:hAnsi="Times New Roman" w:cs="Mangal" w:hint="eastAsia"/>
          <w:color w:val="0000FF"/>
          <w:kern w:val="1"/>
          <w:sz w:val="24"/>
          <w:szCs w:val="24"/>
          <w:highlight w:val="yellow"/>
          <w:lang w:eastAsia="hi-IN" w:bidi="hi-IN"/>
        </w:rPr>
        <w:t>☐</w:t>
      </w:r>
      <w:r w:rsidRPr="00314897">
        <w:rPr>
          <w:rFonts w:ascii="Times New Roman" w:eastAsia="Arial Unicode MS" w:hAnsi="Times New Roman" w:cs="Mangal"/>
          <w:color w:val="0000FF"/>
          <w:kern w:val="1"/>
          <w:sz w:val="24"/>
          <w:szCs w:val="24"/>
          <w:highlight w:val="yellow"/>
          <w:lang w:eastAsia="hi-IN" w:bidi="hi-IN"/>
        </w:rPr>
        <w:t xml:space="preserve"> </w:t>
      </w:r>
      <w:r w:rsidR="00A9011D" w:rsidRPr="00314897">
        <w:rPr>
          <w:rFonts w:ascii="Calibri" w:eastAsia="Calibri" w:hAnsi="Calibri" w:cs="Times New Roman"/>
          <w:highlight w:val="yellow"/>
        </w:rPr>
        <w:t xml:space="preserve">Clinical Practice Guideline recommendation </w:t>
      </w:r>
      <w:r w:rsidRPr="00314897">
        <w:rPr>
          <w:rFonts w:ascii="Calibri" w:eastAsia="Calibri" w:hAnsi="Calibri" w:cs="Times New Roman"/>
          <w:highlight w:val="yellow"/>
        </w:rPr>
        <w:t xml:space="preserve"> (with evidence review)</w:t>
      </w:r>
    </w:p>
    <w:p w14:paraId="55B8DA6A" w14:textId="77777777" w:rsidR="00A9011D" w:rsidRPr="00A9011D" w:rsidRDefault="00A9011D" w:rsidP="00A9011D">
      <w:pPr>
        <w:ind w:left="0" w:firstLine="0"/>
        <w:rPr>
          <w:rFonts w:ascii="Calibri" w:eastAsia="Calibri" w:hAnsi="Calibri" w:cs="Times New Roman"/>
          <w:b/>
          <w:i/>
        </w:rPr>
      </w:pPr>
      <w:r w:rsidRPr="00891E9D">
        <w:rPr>
          <w:rFonts w:ascii="Times New Roman" w:eastAsia="Arial Unicode MS" w:hAnsi="Times New Roman" w:cs="Mangal" w:hint="eastAsia"/>
          <w:color w:val="0000FF"/>
          <w:kern w:val="1"/>
          <w:sz w:val="24"/>
          <w:szCs w:val="24"/>
          <w:lang w:eastAsia="hi-IN" w:bidi="hi-IN"/>
        </w:rPr>
        <w:t>☐</w:t>
      </w:r>
      <w:r w:rsidRPr="00891E9D">
        <w:rPr>
          <w:rFonts w:ascii="Calibri" w:eastAsia="Calibri" w:hAnsi="Calibri" w:cs="Times New Roman"/>
        </w:rPr>
        <w:t xml:space="preserve"> US Preventive Services Task Force Recommendation</w:t>
      </w:r>
    </w:p>
    <w:p w14:paraId="55B8DA6B" w14:textId="77777777" w:rsidR="00A9011D" w:rsidRPr="00A9011D" w:rsidRDefault="00A9011D" w:rsidP="00A9011D">
      <w:pPr>
        <w:ind w:left="0" w:firstLine="0"/>
        <w:rPr>
          <w:rFonts w:ascii="Calibri" w:eastAsia="Calibri" w:hAnsi="Calibri" w:cs="Times New Roman"/>
        </w:rPr>
      </w:pPr>
      <w:r w:rsidRPr="006F46C3">
        <w:rPr>
          <w:rFonts w:ascii="Times New Roman" w:eastAsia="Arial Unicode MS" w:hAnsi="Times New Roman" w:cs="Mangal" w:hint="eastAsia"/>
          <w:color w:val="0000FF"/>
          <w:kern w:val="1"/>
          <w:sz w:val="24"/>
          <w:szCs w:val="24"/>
          <w:lang w:eastAsia="hi-IN" w:bidi="hi-IN"/>
        </w:rPr>
        <w:t>☐</w:t>
      </w:r>
      <w:r w:rsidRPr="006F46C3">
        <w:rPr>
          <w:rFonts w:ascii="Calibri" w:eastAsia="Calibri" w:hAnsi="Calibri" w:cs="Times New Roman"/>
        </w:rPr>
        <w:t xml:space="preserve"> Other systematic review and grading of the body of evidence (</w:t>
      </w:r>
      <w:r w:rsidRPr="006F46C3">
        <w:rPr>
          <w:rFonts w:ascii="Calibri" w:eastAsia="Calibri" w:hAnsi="Calibri" w:cs="Times New Roman"/>
          <w:i/>
        </w:rPr>
        <w:t>e.g., Cochrane Collaboration, AHRQ Evidence Practice Center</w:t>
      </w:r>
      <w:r w:rsidRPr="006F46C3">
        <w:rPr>
          <w:rFonts w:ascii="Calibri" w:eastAsia="Calibri" w:hAnsi="Calibri" w:cs="Times New Roman"/>
        </w:rPr>
        <w:t>)</w:t>
      </w:r>
      <w:r w:rsidRPr="00A9011D">
        <w:rPr>
          <w:rFonts w:ascii="Calibri" w:eastAsia="Calibri" w:hAnsi="Calibri" w:cs="Times New Roman"/>
        </w:rPr>
        <w:t xml:space="preserve"> </w:t>
      </w:r>
    </w:p>
    <w:p w14:paraId="55B8DA6C" w14:textId="77777777" w:rsidR="00A9011D" w:rsidRPr="000F4A7F" w:rsidRDefault="00A9011D" w:rsidP="002E2177">
      <w:pPr>
        <w:ind w:left="0" w:firstLine="0"/>
        <w:rPr>
          <w:rFonts w:ascii="Calibri" w:eastAsia="Calibri" w:hAnsi="Calibri" w:cs="Times New Roman"/>
        </w:rPr>
      </w:pPr>
      <w:r w:rsidRPr="00A9011D">
        <w:rPr>
          <w:rFonts w:ascii="Times New Roman" w:eastAsia="Arial Unicode MS" w:hAnsi="Times New Roman" w:cs="Mangal" w:hint="eastAsia"/>
          <w:color w:val="0000FF"/>
          <w:kern w:val="1"/>
          <w:sz w:val="24"/>
          <w:szCs w:val="24"/>
          <w:lang w:eastAsia="hi-IN" w:bidi="hi-IN"/>
        </w:rPr>
        <w:t>☐</w:t>
      </w:r>
      <w:r w:rsidRPr="00A9011D">
        <w:rPr>
          <w:rFonts w:ascii="Calibri" w:eastAsia="Calibri" w:hAnsi="Calibri" w:cs="Times New Roman"/>
        </w:rPr>
        <w:t xml:space="preserve"> Other </w:t>
      </w:r>
    </w:p>
    <w:p w14:paraId="55B8DA6D" w14:textId="77777777" w:rsidR="00A9011D" w:rsidRPr="00FC0129" w:rsidRDefault="00A9011D" w:rsidP="002E2177">
      <w:pPr>
        <w:ind w:left="0" w:firstLine="0"/>
        <w:rPr>
          <w:i/>
          <w:iCs/>
          <w:color w:val="FF0000"/>
        </w:rPr>
      </w:pPr>
    </w:p>
    <w:p w14:paraId="61145329" w14:textId="29D541C6" w:rsidR="00872459" w:rsidRDefault="00FC0129" w:rsidP="002E2177">
      <w:pPr>
        <w:ind w:left="0" w:firstLine="0"/>
        <w:rPr>
          <w:b/>
          <w:i/>
          <w:color w:val="FF0000"/>
        </w:rPr>
      </w:pPr>
      <w:r w:rsidRPr="00FC0129">
        <w:rPr>
          <w:b/>
          <w:i/>
          <w:color w:val="FF0000"/>
        </w:rPr>
        <w:t xml:space="preserve">Table </w:t>
      </w:r>
      <w:r w:rsidR="009B1D0E">
        <w:rPr>
          <w:b/>
          <w:i/>
          <w:color w:val="FF0000"/>
        </w:rPr>
        <w:t>1</w:t>
      </w:r>
      <w:r w:rsidRPr="00FC0129">
        <w:rPr>
          <w:b/>
          <w:i/>
          <w:color w:val="FF0000"/>
        </w:rPr>
        <w:t xml:space="preserve">: Clinical Practice Guideline </w:t>
      </w:r>
      <w:r w:rsidR="009B1D0E">
        <w:rPr>
          <w:b/>
          <w:i/>
          <w:color w:val="FF0000"/>
        </w:rPr>
        <w:t>1</w:t>
      </w:r>
    </w:p>
    <w:tbl>
      <w:tblPr>
        <w:tblStyle w:val="TableGrid"/>
        <w:tblW w:w="0" w:type="auto"/>
        <w:tblLayout w:type="fixed"/>
        <w:tblLook w:val="04A0" w:firstRow="1" w:lastRow="0" w:firstColumn="1" w:lastColumn="0" w:noHBand="0" w:noVBand="1"/>
      </w:tblPr>
      <w:tblGrid>
        <w:gridCol w:w="3685"/>
        <w:gridCol w:w="5665"/>
      </w:tblGrid>
      <w:tr w:rsidR="00955ACD" w:rsidRPr="00C824C7" w14:paraId="1BD9BD65" w14:textId="77777777" w:rsidTr="001041DD">
        <w:tc>
          <w:tcPr>
            <w:tcW w:w="3685" w:type="dxa"/>
          </w:tcPr>
          <w:p w14:paraId="6F995C28" w14:textId="77777777" w:rsidR="00955ACD" w:rsidRPr="00C824C7" w:rsidRDefault="00955ACD" w:rsidP="001041DD">
            <w:pPr>
              <w:ind w:left="0" w:firstLine="0"/>
              <w:rPr>
                <w:b/>
                <w:color w:val="FF0000"/>
              </w:rPr>
            </w:pPr>
            <w:r w:rsidRPr="00C824C7">
              <w:rPr>
                <w:b/>
                <w:color w:val="FF0000"/>
              </w:rPr>
              <w:t>Source of Systematic Review:</w:t>
            </w:r>
          </w:p>
          <w:p w14:paraId="69715D3F" w14:textId="77777777" w:rsidR="00955ACD" w:rsidRPr="00C824C7" w:rsidRDefault="00955ACD" w:rsidP="001041DD">
            <w:pPr>
              <w:pStyle w:val="ListParagraph"/>
              <w:numPr>
                <w:ilvl w:val="0"/>
                <w:numId w:val="9"/>
              </w:numPr>
              <w:rPr>
                <w:b/>
                <w:color w:val="FF0000"/>
              </w:rPr>
            </w:pPr>
            <w:r w:rsidRPr="00C824C7">
              <w:rPr>
                <w:b/>
                <w:color w:val="FF0000"/>
              </w:rPr>
              <w:t>Title</w:t>
            </w:r>
          </w:p>
          <w:p w14:paraId="3D131753" w14:textId="77777777" w:rsidR="00955ACD" w:rsidRPr="00C824C7" w:rsidRDefault="00955ACD" w:rsidP="001041DD">
            <w:pPr>
              <w:pStyle w:val="ListParagraph"/>
              <w:numPr>
                <w:ilvl w:val="0"/>
                <w:numId w:val="9"/>
              </w:numPr>
              <w:rPr>
                <w:b/>
                <w:color w:val="FF0000"/>
              </w:rPr>
            </w:pPr>
            <w:r w:rsidRPr="00C824C7">
              <w:rPr>
                <w:b/>
                <w:color w:val="FF0000"/>
              </w:rPr>
              <w:t>Author</w:t>
            </w:r>
          </w:p>
          <w:p w14:paraId="20729209" w14:textId="77777777" w:rsidR="00955ACD" w:rsidRPr="00C824C7" w:rsidRDefault="00955ACD" w:rsidP="001041DD">
            <w:pPr>
              <w:pStyle w:val="ListParagraph"/>
              <w:numPr>
                <w:ilvl w:val="0"/>
                <w:numId w:val="9"/>
              </w:numPr>
              <w:rPr>
                <w:b/>
                <w:color w:val="FF0000"/>
              </w:rPr>
            </w:pPr>
            <w:r w:rsidRPr="00C824C7">
              <w:rPr>
                <w:b/>
                <w:color w:val="FF0000"/>
              </w:rPr>
              <w:t>Date</w:t>
            </w:r>
          </w:p>
          <w:p w14:paraId="665936AA" w14:textId="77777777" w:rsidR="00955ACD" w:rsidRPr="00C824C7" w:rsidRDefault="00955ACD" w:rsidP="001041DD">
            <w:pPr>
              <w:pStyle w:val="ListParagraph"/>
              <w:numPr>
                <w:ilvl w:val="0"/>
                <w:numId w:val="9"/>
              </w:numPr>
              <w:rPr>
                <w:b/>
                <w:color w:val="FF0000"/>
              </w:rPr>
            </w:pPr>
            <w:r w:rsidRPr="00C824C7">
              <w:rPr>
                <w:b/>
                <w:color w:val="FF0000"/>
              </w:rPr>
              <w:t>Citation, including page number</w:t>
            </w:r>
          </w:p>
          <w:p w14:paraId="0792F7F8" w14:textId="77777777" w:rsidR="00955ACD" w:rsidRPr="00C824C7" w:rsidRDefault="00955ACD" w:rsidP="001041DD">
            <w:pPr>
              <w:pStyle w:val="ListParagraph"/>
              <w:numPr>
                <w:ilvl w:val="0"/>
                <w:numId w:val="9"/>
              </w:numPr>
              <w:rPr>
                <w:b/>
                <w:color w:val="FF0000"/>
              </w:rPr>
            </w:pPr>
            <w:r w:rsidRPr="00C824C7">
              <w:rPr>
                <w:b/>
                <w:color w:val="FF0000"/>
              </w:rPr>
              <w:t>URL</w:t>
            </w:r>
          </w:p>
        </w:tc>
        <w:tc>
          <w:tcPr>
            <w:tcW w:w="5665" w:type="dxa"/>
          </w:tcPr>
          <w:p w14:paraId="2C3FA143" w14:textId="77777777" w:rsidR="00955ACD" w:rsidRPr="00C824C7" w:rsidRDefault="00955ACD" w:rsidP="001041DD">
            <w:pPr>
              <w:pStyle w:val="ListParagraph"/>
              <w:numPr>
                <w:ilvl w:val="0"/>
                <w:numId w:val="9"/>
              </w:numPr>
              <w:rPr>
                <w:color w:val="FF0000"/>
              </w:rPr>
            </w:pPr>
            <w:r w:rsidRPr="00C824C7">
              <w:rPr>
                <w:color w:val="FF0000"/>
              </w:rPr>
              <w:t>Practice Guideline for the Treatment of Patients with Substance Use Disorders: Second Edition</w:t>
            </w:r>
          </w:p>
          <w:p w14:paraId="201A5BB6" w14:textId="77777777" w:rsidR="00955ACD" w:rsidRPr="00C824C7" w:rsidRDefault="00955ACD" w:rsidP="001041DD">
            <w:pPr>
              <w:pStyle w:val="ListParagraph"/>
              <w:numPr>
                <w:ilvl w:val="0"/>
                <w:numId w:val="9"/>
              </w:numPr>
              <w:rPr>
                <w:color w:val="FF0000"/>
              </w:rPr>
            </w:pPr>
            <w:r w:rsidRPr="00C824C7">
              <w:rPr>
                <w:rFonts w:ascii="Calibri" w:eastAsia="Calibri" w:hAnsi="Calibri" w:cs="Calibri"/>
                <w:color w:val="FF0000"/>
              </w:rPr>
              <w:t>American Psychiatric Association</w:t>
            </w:r>
          </w:p>
          <w:p w14:paraId="2E3D1CD3" w14:textId="77777777" w:rsidR="00955ACD" w:rsidRPr="00C824C7" w:rsidRDefault="00955ACD" w:rsidP="001041DD">
            <w:pPr>
              <w:pStyle w:val="ListParagraph"/>
              <w:numPr>
                <w:ilvl w:val="0"/>
                <w:numId w:val="9"/>
              </w:numPr>
              <w:rPr>
                <w:color w:val="FF0000"/>
              </w:rPr>
            </w:pPr>
            <w:r w:rsidRPr="00C824C7">
              <w:rPr>
                <w:rFonts w:ascii="Calibri" w:eastAsia="Calibri" w:hAnsi="Calibri" w:cs="Calibri"/>
                <w:color w:val="FF0000"/>
              </w:rPr>
              <w:t>2006</w:t>
            </w:r>
          </w:p>
          <w:p w14:paraId="79879DF8" w14:textId="77777777" w:rsidR="00955ACD" w:rsidRPr="00C824C7" w:rsidRDefault="00955ACD" w:rsidP="001041DD">
            <w:pPr>
              <w:pStyle w:val="ListParagraph"/>
              <w:numPr>
                <w:ilvl w:val="0"/>
                <w:numId w:val="9"/>
              </w:numPr>
              <w:rPr>
                <w:color w:val="FF0000"/>
              </w:rPr>
            </w:pPr>
            <w:r w:rsidRPr="00C824C7">
              <w:rPr>
                <w:rFonts w:ascii="Calibri" w:eastAsia="Calibri" w:hAnsi="Calibri" w:cs="Calibri"/>
                <w:color w:val="FF0000"/>
              </w:rPr>
              <w:t xml:space="preserve">Work Group on Substance Use Disorders, Kleber H.D., R.D. Weiss, R.F. Anton, B.J. </w:t>
            </w:r>
            <w:proofErr w:type="spellStart"/>
            <w:r w:rsidRPr="00C824C7">
              <w:rPr>
                <w:rFonts w:ascii="Calibri" w:eastAsia="Calibri" w:hAnsi="Calibri" w:cs="Calibri"/>
                <w:color w:val="FF0000"/>
              </w:rPr>
              <w:t>Rounsaville</w:t>
            </w:r>
            <w:proofErr w:type="spellEnd"/>
            <w:r w:rsidRPr="00C824C7">
              <w:rPr>
                <w:rFonts w:ascii="Calibri" w:eastAsia="Calibri" w:hAnsi="Calibri" w:cs="Calibri"/>
                <w:color w:val="FF0000"/>
              </w:rPr>
              <w:t xml:space="preserve">, T.P. George, E.C. Strain, S.F. Greenfield, D.M. </w:t>
            </w:r>
            <w:proofErr w:type="spellStart"/>
            <w:r w:rsidRPr="00C824C7">
              <w:rPr>
                <w:rFonts w:ascii="Calibri" w:eastAsia="Calibri" w:hAnsi="Calibri" w:cs="Calibri"/>
                <w:color w:val="FF0000"/>
              </w:rPr>
              <w:t>Ziedonis</w:t>
            </w:r>
            <w:proofErr w:type="spellEnd"/>
            <w:r w:rsidRPr="00C824C7">
              <w:rPr>
                <w:rFonts w:ascii="Calibri" w:eastAsia="Calibri" w:hAnsi="Calibri" w:cs="Calibri"/>
                <w:color w:val="FF0000"/>
              </w:rPr>
              <w:t xml:space="preserve">, T.R. </w:t>
            </w:r>
            <w:proofErr w:type="spellStart"/>
            <w:r w:rsidRPr="00C824C7">
              <w:rPr>
                <w:rFonts w:ascii="Calibri" w:eastAsia="Calibri" w:hAnsi="Calibri" w:cs="Calibri"/>
                <w:color w:val="FF0000"/>
              </w:rPr>
              <w:t>Kosten</w:t>
            </w:r>
            <w:proofErr w:type="spellEnd"/>
            <w:r w:rsidRPr="00C824C7">
              <w:rPr>
                <w:rFonts w:ascii="Calibri" w:eastAsia="Calibri" w:hAnsi="Calibri" w:cs="Calibri"/>
                <w:color w:val="FF0000"/>
              </w:rPr>
              <w:t xml:space="preserve">, G. Hennessy, C.P. O'Brien, H.S. Connery HS, American Psychiatric Association Steering Committee on Practice Guidelines, McIntyre J.S., S.C. Charles, D.J. Anzia, J.E. </w:t>
            </w:r>
            <w:proofErr w:type="spellStart"/>
            <w:r w:rsidRPr="00C824C7">
              <w:rPr>
                <w:rFonts w:ascii="Calibri" w:eastAsia="Calibri" w:hAnsi="Calibri" w:cs="Calibri"/>
                <w:color w:val="FF0000"/>
              </w:rPr>
              <w:t>Nininger</w:t>
            </w:r>
            <w:proofErr w:type="spellEnd"/>
            <w:r w:rsidRPr="00C824C7">
              <w:rPr>
                <w:rFonts w:ascii="Calibri" w:eastAsia="Calibri" w:hAnsi="Calibri" w:cs="Calibri"/>
                <w:color w:val="FF0000"/>
              </w:rPr>
              <w:t xml:space="preserve">, I.A. Cook, P. </w:t>
            </w:r>
            <w:proofErr w:type="spellStart"/>
            <w:r w:rsidRPr="00C824C7">
              <w:rPr>
                <w:rFonts w:ascii="Calibri" w:eastAsia="Calibri" w:hAnsi="Calibri" w:cs="Calibri"/>
                <w:color w:val="FF0000"/>
              </w:rPr>
              <w:t>Summergrad</w:t>
            </w:r>
            <w:proofErr w:type="spellEnd"/>
            <w:r w:rsidRPr="00C824C7">
              <w:rPr>
                <w:rFonts w:ascii="Calibri" w:eastAsia="Calibri" w:hAnsi="Calibri" w:cs="Calibri"/>
                <w:color w:val="FF0000"/>
              </w:rPr>
              <w:t xml:space="preserve">, M.T. Finnerty, S.M. Woods, B.R. </w:t>
            </w:r>
            <w:r w:rsidRPr="00C824C7">
              <w:rPr>
                <w:rFonts w:ascii="Calibri" w:eastAsia="Calibri" w:hAnsi="Calibri" w:cs="Calibri"/>
                <w:color w:val="FF0000"/>
              </w:rPr>
              <w:lastRenderedPageBreak/>
              <w:t xml:space="preserve">Johnson, J. </w:t>
            </w:r>
            <w:proofErr w:type="spellStart"/>
            <w:r w:rsidRPr="00C824C7">
              <w:rPr>
                <w:rFonts w:ascii="Calibri" w:eastAsia="Calibri" w:hAnsi="Calibri" w:cs="Calibri"/>
                <w:color w:val="FF0000"/>
              </w:rPr>
              <w:t>Yager</w:t>
            </w:r>
            <w:proofErr w:type="spellEnd"/>
            <w:r w:rsidRPr="00C824C7">
              <w:rPr>
                <w:rFonts w:ascii="Calibri" w:eastAsia="Calibri" w:hAnsi="Calibri" w:cs="Calibri"/>
                <w:color w:val="FF0000"/>
              </w:rPr>
              <w:t xml:space="preserve">, R. </w:t>
            </w:r>
            <w:proofErr w:type="spellStart"/>
            <w:r w:rsidRPr="00C824C7">
              <w:rPr>
                <w:rFonts w:ascii="Calibri" w:eastAsia="Calibri" w:hAnsi="Calibri" w:cs="Calibri"/>
                <w:color w:val="FF0000"/>
              </w:rPr>
              <w:t>Pyles</w:t>
            </w:r>
            <w:proofErr w:type="spellEnd"/>
            <w:r w:rsidRPr="00C824C7">
              <w:rPr>
                <w:rFonts w:ascii="Calibri" w:eastAsia="Calibri" w:hAnsi="Calibri" w:cs="Calibri"/>
                <w:color w:val="FF0000"/>
              </w:rPr>
              <w:t xml:space="preserve">, L. Lurie, C.D. Cross, R.D. Walker, R. Peele, M.A. </w:t>
            </w:r>
            <w:proofErr w:type="spellStart"/>
            <w:r w:rsidRPr="00C824C7">
              <w:rPr>
                <w:rFonts w:ascii="Calibri" w:eastAsia="Calibri" w:hAnsi="Calibri" w:cs="Calibri"/>
                <w:color w:val="FF0000"/>
              </w:rPr>
              <w:t>Barnovitz</w:t>
            </w:r>
            <w:proofErr w:type="spellEnd"/>
            <w:r w:rsidRPr="00C824C7">
              <w:rPr>
                <w:rFonts w:ascii="Calibri" w:eastAsia="Calibri" w:hAnsi="Calibri" w:cs="Calibri"/>
                <w:color w:val="FF0000"/>
              </w:rPr>
              <w:t xml:space="preserve">, S.H. Gray, J.P. </w:t>
            </w:r>
            <w:proofErr w:type="spellStart"/>
            <w:r w:rsidRPr="00C824C7">
              <w:rPr>
                <w:rFonts w:ascii="Calibri" w:eastAsia="Calibri" w:hAnsi="Calibri" w:cs="Calibri"/>
                <w:color w:val="FF0000"/>
              </w:rPr>
              <w:t>Shemo</w:t>
            </w:r>
            <w:proofErr w:type="spellEnd"/>
            <w:r w:rsidRPr="00C824C7">
              <w:rPr>
                <w:rFonts w:ascii="Calibri" w:eastAsia="Calibri" w:hAnsi="Calibri" w:cs="Calibri"/>
                <w:color w:val="FF0000"/>
              </w:rPr>
              <w:t xml:space="preserve">, S. Saxena, T. </w:t>
            </w:r>
            <w:proofErr w:type="spellStart"/>
            <w:r w:rsidRPr="00C824C7">
              <w:rPr>
                <w:rFonts w:ascii="Calibri" w:eastAsia="Calibri" w:hAnsi="Calibri" w:cs="Calibri"/>
                <w:color w:val="FF0000"/>
              </w:rPr>
              <w:t>Tonnu</w:t>
            </w:r>
            <w:proofErr w:type="spellEnd"/>
            <w:r w:rsidRPr="00C824C7">
              <w:rPr>
                <w:rFonts w:ascii="Calibri" w:eastAsia="Calibri" w:hAnsi="Calibri" w:cs="Calibri"/>
                <w:color w:val="FF0000"/>
              </w:rPr>
              <w:t xml:space="preserve">, R. Kunkle, A.B. Albert, L.J. </w:t>
            </w:r>
            <w:proofErr w:type="spellStart"/>
            <w:r w:rsidRPr="00C824C7">
              <w:rPr>
                <w:rFonts w:ascii="Calibri" w:eastAsia="Calibri" w:hAnsi="Calibri" w:cs="Calibri"/>
                <w:color w:val="FF0000"/>
              </w:rPr>
              <w:t>Fochtmann</w:t>
            </w:r>
            <w:proofErr w:type="spellEnd"/>
            <w:r w:rsidRPr="00C824C7">
              <w:rPr>
                <w:rFonts w:ascii="Calibri" w:eastAsia="Calibri" w:hAnsi="Calibri" w:cs="Calibri"/>
                <w:color w:val="FF0000"/>
              </w:rPr>
              <w:t xml:space="preserve">, C. Hart, D. </w:t>
            </w:r>
            <w:proofErr w:type="spellStart"/>
            <w:r w:rsidRPr="00C824C7">
              <w:rPr>
                <w:rFonts w:ascii="Calibri" w:eastAsia="Calibri" w:hAnsi="Calibri" w:cs="Calibri"/>
                <w:color w:val="FF0000"/>
              </w:rPr>
              <w:t>Regier</w:t>
            </w:r>
            <w:proofErr w:type="spellEnd"/>
            <w:r w:rsidRPr="00C824C7">
              <w:rPr>
                <w:rFonts w:ascii="Calibri" w:eastAsia="Calibri" w:hAnsi="Calibri" w:cs="Calibri"/>
                <w:color w:val="FF0000"/>
              </w:rPr>
              <w:t xml:space="preserve">. (2006). </w:t>
            </w:r>
            <w:r w:rsidRPr="00C824C7">
              <w:rPr>
                <w:rFonts w:ascii="Calibri" w:eastAsia="Calibri" w:hAnsi="Calibri" w:cs="Calibri"/>
                <w:i/>
                <w:color w:val="FF0000"/>
              </w:rPr>
              <w:t>Treatment of patients with substance use disorders, second edition.</w:t>
            </w:r>
            <w:r w:rsidRPr="00C824C7">
              <w:rPr>
                <w:rFonts w:ascii="Calibri" w:eastAsia="Calibri" w:hAnsi="Calibri" w:cs="Calibri"/>
                <w:color w:val="FF0000"/>
              </w:rPr>
              <w:t xml:space="preserve"> American Psychiatric Association. Am J Psychiatry 163(8 Suppl):5-82.</w:t>
            </w:r>
          </w:p>
          <w:p w14:paraId="62C432B2" w14:textId="77777777" w:rsidR="00955ACD" w:rsidRPr="00C824C7" w:rsidRDefault="00881CEA" w:rsidP="001041DD">
            <w:pPr>
              <w:pStyle w:val="ListParagraph"/>
              <w:numPr>
                <w:ilvl w:val="0"/>
                <w:numId w:val="9"/>
              </w:numPr>
              <w:rPr>
                <w:color w:val="FF0000"/>
              </w:rPr>
            </w:pPr>
            <w:hyperlink r:id="rId15" w:history="1">
              <w:r w:rsidR="00955ACD" w:rsidRPr="00C824C7">
                <w:rPr>
                  <w:rStyle w:val="Hyperlink"/>
                  <w:color w:val="FF0000"/>
                </w:rPr>
                <w:t>https://psychiatryonline.org/pb/assets/raw/sitewide/practice_guidelines/guidelines/substanceuse.pdf</w:t>
              </w:r>
            </w:hyperlink>
          </w:p>
        </w:tc>
      </w:tr>
      <w:tr w:rsidR="00955ACD" w:rsidRPr="00C824C7" w14:paraId="1C7DF610" w14:textId="77777777" w:rsidTr="001041DD">
        <w:tc>
          <w:tcPr>
            <w:tcW w:w="3685" w:type="dxa"/>
          </w:tcPr>
          <w:p w14:paraId="0B43804B" w14:textId="77777777" w:rsidR="00955ACD" w:rsidRPr="00C824C7" w:rsidRDefault="00955ACD" w:rsidP="001041DD">
            <w:pPr>
              <w:ind w:left="0" w:firstLine="0"/>
              <w:rPr>
                <w:color w:val="FF0000"/>
              </w:rPr>
            </w:pPr>
            <w:r w:rsidRPr="00C824C7">
              <w:rPr>
                <w:color w:val="FF0000"/>
              </w:rPr>
              <w:lastRenderedPageBreak/>
              <w:t>Quote the guideline or recommendation verbatim about the process, structure or intermediate outcome being measured. If not a guideline, summarize the conclusions from the SR.</w:t>
            </w:r>
          </w:p>
        </w:tc>
        <w:tc>
          <w:tcPr>
            <w:tcW w:w="5665" w:type="dxa"/>
          </w:tcPr>
          <w:p w14:paraId="379D845B" w14:textId="77777777" w:rsidR="00955ACD" w:rsidRPr="00C824C7" w:rsidRDefault="00955ACD" w:rsidP="001041DD">
            <w:pPr>
              <w:autoSpaceDE w:val="0"/>
              <w:autoSpaceDN w:val="0"/>
              <w:adjustRightInd w:val="0"/>
              <w:ind w:left="0" w:firstLine="0"/>
              <w:rPr>
                <w:rFonts w:cstheme="minorHAnsi"/>
                <w:b/>
                <w:bCs/>
                <w:color w:val="FF0000"/>
                <w:sz w:val="24"/>
              </w:rPr>
            </w:pPr>
            <w:r w:rsidRPr="00C824C7">
              <w:rPr>
                <w:rFonts w:cstheme="minorHAnsi"/>
                <w:b/>
                <w:bCs/>
                <w:color w:val="FF0000"/>
                <w:sz w:val="24"/>
              </w:rPr>
              <w:t>2. Psychiatric management (</w:t>
            </w:r>
            <w:r w:rsidRPr="00C824C7">
              <w:rPr>
                <w:rFonts w:cstheme="minorHAnsi"/>
                <w:b/>
                <w:color w:val="FF0000"/>
              </w:rPr>
              <w:t>[I]Recommended with substantial clinical confidence)</w:t>
            </w:r>
          </w:p>
          <w:p w14:paraId="30EB58FF" w14:textId="77777777" w:rsidR="00955ACD" w:rsidRPr="00C824C7" w:rsidRDefault="00955ACD" w:rsidP="001041DD">
            <w:pPr>
              <w:autoSpaceDE w:val="0"/>
              <w:autoSpaceDN w:val="0"/>
              <w:adjustRightInd w:val="0"/>
              <w:ind w:left="0" w:firstLine="0"/>
              <w:rPr>
                <w:rFonts w:cstheme="minorHAnsi"/>
                <w:color w:val="FF0000"/>
                <w:szCs w:val="20"/>
              </w:rPr>
            </w:pPr>
            <w:r w:rsidRPr="00C824C7">
              <w:rPr>
                <w:rFonts w:cstheme="minorHAnsi"/>
                <w:color w:val="FF0000"/>
                <w:szCs w:val="20"/>
              </w:rPr>
              <w:t>“Psychiatric management is the foundation of treatment for patients with substance use disorders [I]. Psychiatric management has the following specific objectives: motivating the patient to change, establishing and maintaining a therapeutic alliance with the patient, assessing the patient’s safety and clinical status, managing the patient’s intoxication and withdrawal states, developing and facilitating the patient’s adherence to a treatment plan, preventing the patient’s relapse, educating the patient about substance use disorders, and reducing the morbidity and sequelae of substance use disorders. Psychiatric management is generally combined with specific treatments carried out in a collaborative manner with professionals of various disciplines at a variety of sites, including community-based agencies, clinics, hospitals, detoxification programs,</w:t>
            </w:r>
          </w:p>
          <w:p w14:paraId="4FC2027B" w14:textId="77777777" w:rsidR="00955ACD" w:rsidRPr="00C824C7" w:rsidRDefault="00955ACD" w:rsidP="001041DD">
            <w:pPr>
              <w:autoSpaceDE w:val="0"/>
              <w:autoSpaceDN w:val="0"/>
              <w:adjustRightInd w:val="0"/>
              <w:ind w:left="0" w:firstLine="0"/>
              <w:rPr>
                <w:rFonts w:cstheme="minorHAnsi"/>
                <w:color w:val="FF0000"/>
                <w:szCs w:val="20"/>
              </w:rPr>
            </w:pPr>
            <w:r w:rsidRPr="00C824C7">
              <w:rPr>
                <w:rFonts w:cstheme="minorHAnsi"/>
                <w:color w:val="FF0000"/>
                <w:szCs w:val="20"/>
              </w:rPr>
              <w:t>and residential treatment facilities. Many patients benefit from involvement in self-help group meetings, and such involvement can be encouraged as part of psychiatric management.”</w:t>
            </w:r>
          </w:p>
          <w:p w14:paraId="60E60C56" w14:textId="77777777" w:rsidR="00955ACD" w:rsidRPr="00C824C7" w:rsidRDefault="00955ACD" w:rsidP="001041DD">
            <w:pPr>
              <w:autoSpaceDE w:val="0"/>
              <w:autoSpaceDN w:val="0"/>
              <w:adjustRightInd w:val="0"/>
              <w:ind w:left="0" w:firstLine="0"/>
              <w:rPr>
                <w:rFonts w:cstheme="minorHAnsi"/>
                <w:color w:val="FF0000"/>
                <w:szCs w:val="20"/>
              </w:rPr>
            </w:pPr>
          </w:p>
          <w:p w14:paraId="74742F68" w14:textId="77777777" w:rsidR="00955ACD" w:rsidRPr="00C824C7" w:rsidRDefault="00955ACD" w:rsidP="001041DD">
            <w:pPr>
              <w:autoSpaceDE w:val="0"/>
              <w:autoSpaceDN w:val="0"/>
              <w:adjustRightInd w:val="0"/>
              <w:ind w:left="0" w:firstLine="0"/>
              <w:rPr>
                <w:rFonts w:cstheme="minorHAnsi"/>
                <w:b/>
                <w:bCs/>
                <w:color w:val="FF0000"/>
                <w:sz w:val="24"/>
              </w:rPr>
            </w:pPr>
            <w:r w:rsidRPr="00C824C7">
              <w:rPr>
                <w:rFonts w:cstheme="minorHAnsi"/>
                <w:b/>
                <w:bCs/>
                <w:color w:val="FF0000"/>
                <w:sz w:val="24"/>
              </w:rPr>
              <w:t>3. Specific treatments</w:t>
            </w:r>
          </w:p>
          <w:p w14:paraId="284BA5C3" w14:textId="77777777" w:rsidR="00955ACD" w:rsidRPr="00C824C7" w:rsidRDefault="00955ACD" w:rsidP="001041DD">
            <w:pPr>
              <w:autoSpaceDE w:val="0"/>
              <w:autoSpaceDN w:val="0"/>
              <w:adjustRightInd w:val="0"/>
              <w:ind w:left="0" w:firstLine="0"/>
              <w:rPr>
                <w:rFonts w:cstheme="minorHAnsi"/>
                <w:color w:val="FF0000"/>
                <w:szCs w:val="20"/>
              </w:rPr>
            </w:pPr>
            <w:r w:rsidRPr="00C824C7">
              <w:rPr>
                <w:rFonts w:cstheme="minorHAnsi"/>
                <w:color w:val="FF0000"/>
                <w:szCs w:val="20"/>
              </w:rPr>
              <w:t>“The specific pharmacological and psychosocial treatments reviewed below are generally applied in the context of programs that combine a number of different treatment modalities.”</w:t>
            </w:r>
          </w:p>
          <w:p w14:paraId="792302C7" w14:textId="77777777" w:rsidR="00955ACD" w:rsidRPr="00C824C7" w:rsidRDefault="00955ACD" w:rsidP="001041DD">
            <w:pPr>
              <w:autoSpaceDE w:val="0"/>
              <w:autoSpaceDN w:val="0"/>
              <w:adjustRightInd w:val="0"/>
              <w:ind w:left="0" w:firstLine="0"/>
              <w:rPr>
                <w:rFonts w:cstheme="minorHAnsi"/>
                <w:color w:val="FF0000"/>
                <w:szCs w:val="20"/>
              </w:rPr>
            </w:pPr>
          </w:p>
          <w:p w14:paraId="4F2E7D6F" w14:textId="77777777" w:rsidR="00955ACD" w:rsidRPr="00C824C7" w:rsidRDefault="00955ACD" w:rsidP="001041DD">
            <w:pPr>
              <w:autoSpaceDE w:val="0"/>
              <w:autoSpaceDN w:val="0"/>
              <w:adjustRightInd w:val="0"/>
              <w:ind w:left="0" w:firstLine="0"/>
              <w:rPr>
                <w:rFonts w:cstheme="minorHAnsi"/>
                <w:b/>
                <w:bCs/>
                <w:color w:val="FF0000"/>
                <w:szCs w:val="20"/>
              </w:rPr>
            </w:pPr>
            <w:r w:rsidRPr="00C824C7">
              <w:rPr>
                <w:rFonts w:cstheme="minorHAnsi"/>
                <w:b/>
                <w:bCs/>
                <w:color w:val="FF0000"/>
                <w:szCs w:val="20"/>
              </w:rPr>
              <w:t>a) Pharmacological treatments (</w:t>
            </w:r>
            <w:r w:rsidRPr="00C824C7">
              <w:rPr>
                <w:rFonts w:cstheme="minorHAnsi"/>
                <w:b/>
                <w:color w:val="FF0000"/>
              </w:rPr>
              <w:t>[I]Recommended with substantial clinical confidence)</w:t>
            </w:r>
          </w:p>
          <w:p w14:paraId="458EEFF4" w14:textId="77777777" w:rsidR="00955ACD" w:rsidRPr="00C824C7" w:rsidRDefault="00955ACD" w:rsidP="001041DD">
            <w:pPr>
              <w:autoSpaceDE w:val="0"/>
              <w:autoSpaceDN w:val="0"/>
              <w:adjustRightInd w:val="0"/>
              <w:ind w:left="0" w:firstLine="0"/>
              <w:rPr>
                <w:rFonts w:cstheme="minorHAnsi"/>
                <w:color w:val="FF0000"/>
                <w:szCs w:val="20"/>
              </w:rPr>
            </w:pPr>
            <w:r w:rsidRPr="00C824C7">
              <w:rPr>
                <w:rFonts w:cstheme="minorHAnsi"/>
                <w:color w:val="FF0000"/>
                <w:szCs w:val="20"/>
              </w:rPr>
              <w:t>“Pharmacological treatments are beneficial for selected patients with specific substance use disorders</w:t>
            </w:r>
          </w:p>
          <w:p w14:paraId="17983B4F" w14:textId="77777777" w:rsidR="00955ACD" w:rsidRPr="00C824C7" w:rsidRDefault="00955ACD" w:rsidP="001041DD">
            <w:pPr>
              <w:autoSpaceDE w:val="0"/>
              <w:autoSpaceDN w:val="0"/>
              <w:adjustRightInd w:val="0"/>
              <w:ind w:left="0" w:firstLine="0"/>
              <w:rPr>
                <w:rFonts w:cstheme="minorHAnsi"/>
                <w:color w:val="FF0000"/>
                <w:szCs w:val="20"/>
              </w:rPr>
            </w:pPr>
            <w:r w:rsidRPr="00C824C7">
              <w:rPr>
                <w:rFonts w:cstheme="minorHAnsi"/>
                <w:color w:val="FF0000"/>
                <w:szCs w:val="20"/>
              </w:rPr>
              <w:t>[I]. The categories of pharmacological treatments are 1) medications to treat intoxication and</w:t>
            </w:r>
          </w:p>
          <w:p w14:paraId="46280D1B" w14:textId="77777777" w:rsidR="00955ACD" w:rsidRPr="00C824C7" w:rsidRDefault="00955ACD" w:rsidP="001041DD">
            <w:pPr>
              <w:autoSpaceDE w:val="0"/>
              <w:autoSpaceDN w:val="0"/>
              <w:adjustRightInd w:val="0"/>
              <w:ind w:left="0" w:firstLine="0"/>
              <w:rPr>
                <w:rFonts w:cstheme="minorHAnsi"/>
                <w:color w:val="FF0000"/>
                <w:szCs w:val="20"/>
              </w:rPr>
            </w:pPr>
            <w:r w:rsidRPr="00C824C7">
              <w:rPr>
                <w:rFonts w:cstheme="minorHAnsi"/>
                <w:color w:val="FF0000"/>
                <w:szCs w:val="20"/>
              </w:rPr>
              <w:t>withdrawal states, 2) medications to decrease the reinforcing effects of abused substances, 3) agonist</w:t>
            </w:r>
          </w:p>
          <w:p w14:paraId="098BA29F" w14:textId="77777777" w:rsidR="00955ACD" w:rsidRPr="00C824C7" w:rsidRDefault="00955ACD" w:rsidP="001041DD">
            <w:pPr>
              <w:autoSpaceDE w:val="0"/>
              <w:autoSpaceDN w:val="0"/>
              <w:adjustRightInd w:val="0"/>
              <w:ind w:left="0" w:firstLine="0"/>
              <w:rPr>
                <w:rFonts w:cstheme="minorHAnsi"/>
                <w:color w:val="FF0000"/>
                <w:szCs w:val="20"/>
              </w:rPr>
            </w:pPr>
            <w:r w:rsidRPr="00C824C7">
              <w:rPr>
                <w:rFonts w:cstheme="minorHAnsi"/>
                <w:color w:val="FF0000"/>
                <w:szCs w:val="20"/>
              </w:rPr>
              <w:lastRenderedPageBreak/>
              <w:t>maintenance therapies, 4) antagonist therapies, 5) abstinence-promoting and relapse prevention</w:t>
            </w:r>
          </w:p>
          <w:p w14:paraId="4CEA711F" w14:textId="77777777" w:rsidR="00955ACD" w:rsidRPr="00C824C7" w:rsidRDefault="00955ACD" w:rsidP="001041DD">
            <w:pPr>
              <w:autoSpaceDE w:val="0"/>
              <w:autoSpaceDN w:val="0"/>
              <w:adjustRightInd w:val="0"/>
              <w:ind w:left="0" w:firstLine="0"/>
              <w:rPr>
                <w:rFonts w:cstheme="minorHAnsi"/>
                <w:color w:val="FF0000"/>
                <w:szCs w:val="20"/>
              </w:rPr>
            </w:pPr>
            <w:r w:rsidRPr="00C824C7">
              <w:rPr>
                <w:rFonts w:cstheme="minorHAnsi"/>
                <w:color w:val="FF0000"/>
                <w:szCs w:val="20"/>
              </w:rPr>
              <w:t>therapies, and 6) medications to treat comorbid psychiatric conditions.”</w:t>
            </w:r>
          </w:p>
          <w:p w14:paraId="5902976A" w14:textId="77777777" w:rsidR="00955ACD" w:rsidRPr="00C824C7" w:rsidRDefault="00955ACD" w:rsidP="001041DD">
            <w:pPr>
              <w:autoSpaceDE w:val="0"/>
              <w:autoSpaceDN w:val="0"/>
              <w:adjustRightInd w:val="0"/>
              <w:ind w:left="0" w:firstLine="0"/>
              <w:rPr>
                <w:rFonts w:cstheme="minorHAnsi"/>
                <w:color w:val="FF0000"/>
                <w:szCs w:val="20"/>
              </w:rPr>
            </w:pPr>
          </w:p>
          <w:p w14:paraId="53779F97" w14:textId="77777777" w:rsidR="00955ACD" w:rsidRPr="00C824C7" w:rsidRDefault="00955ACD" w:rsidP="001041DD">
            <w:pPr>
              <w:autoSpaceDE w:val="0"/>
              <w:autoSpaceDN w:val="0"/>
              <w:adjustRightInd w:val="0"/>
              <w:ind w:left="0" w:firstLine="0"/>
              <w:rPr>
                <w:rFonts w:cstheme="minorHAnsi"/>
                <w:b/>
                <w:bCs/>
                <w:color w:val="FF0000"/>
                <w:szCs w:val="20"/>
              </w:rPr>
            </w:pPr>
            <w:r w:rsidRPr="00C824C7">
              <w:rPr>
                <w:rFonts w:cstheme="minorHAnsi"/>
                <w:b/>
                <w:bCs/>
                <w:color w:val="FF0000"/>
                <w:szCs w:val="20"/>
              </w:rPr>
              <w:t>b) Psychosocial treatments (</w:t>
            </w:r>
            <w:r w:rsidRPr="00C824C7">
              <w:rPr>
                <w:rFonts w:cstheme="minorHAnsi"/>
                <w:b/>
                <w:color w:val="FF0000"/>
              </w:rPr>
              <w:t>All [I]Recommended with substantial clinical confidence)</w:t>
            </w:r>
          </w:p>
          <w:p w14:paraId="2F3234C8" w14:textId="77777777" w:rsidR="00955ACD" w:rsidRPr="00C824C7" w:rsidRDefault="00955ACD" w:rsidP="001041DD">
            <w:pPr>
              <w:autoSpaceDE w:val="0"/>
              <w:autoSpaceDN w:val="0"/>
              <w:adjustRightInd w:val="0"/>
              <w:ind w:left="0" w:firstLine="0"/>
              <w:rPr>
                <w:rFonts w:cstheme="minorHAnsi"/>
                <w:color w:val="FF0000"/>
                <w:szCs w:val="20"/>
              </w:rPr>
            </w:pPr>
            <w:r w:rsidRPr="00C824C7">
              <w:rPr>
                <w:rFonts w:cstheme="minorHAnsi"/>
                <w:color w:val="FF0000"/>
                <w:szCs w:val="20"/>
              </w:rPr>
              <w:t>“Psychosocial treatments are essential components of a comprehensive treatment program [I].</w:t>
            </w:r>
          </w:p>
          <w:p w14:paraId="341F96BA" w14:textId="003ADE38" w:rsidR="00955ACD" w:rsidRPr="00C824C7" w:rsidRDefault="00955ACD" w:rsidP="001041DD">
            <w:pPr>
              <w:autoSpaceDE w:val="0"/>
              <w:autoSpaceDN w:val="0"/>
              <w:adjustRightInd w:val="0"/>
              <w:ind w:left="0" w:firstLine="0"/>
              <w:rPr>
                <w:rFonts w:ascii="AGaramond-Regular" w:hAnsi="AGaramond-Regular" w:cs="AGaramond-Regular"/>
                <w:color w:val="FF0000"/>
              </w:rPr>
            </w:pPr>
            <w:r w:rsidRPr="00C824C7">
              <w:rPr>
                <w:rFonts w:cstheme="minorHAnsi"/>
                <w:color w:val="FF0000"/>
                <w:szCs w:val="20"/>
              </w:rPr>
              <w:t xml:space="preserve">Evidence-based psychosocial treatments include cognitive-behavioral therapies (CBTs, e.g., relapse prevention, social skills training), motivational enhancement therapy (MET), behavioral therapies (e.g., community reinforcement, contingency management), 12-step facilitation (TSF), psychodynamic therapy/interpersonal therapy (IPT), self-help manuals, behavioral </w:t>
            </w:r>
            <w:r w:rsidR="00FF1766" w:rsidRPr="00C824C7">
              <w:rPr>
                <w:rFonts w:cstheme="minorHAnsi"/>
                <w:color w:val="FF0000"/>
                <w:szCs w:val="20"/>
              </w:rPr>
              <w:t>self-control</w:t>
            </w:r>
            <w:r w:rsidRPr="00C824C7">
              <w:rPr>
                <w:rFonts w:cstheme="minorHAnsi"/>
                <w:color w:val="FF0000"/>
                <w:szCs w:val="20"/>
              </w:rPr>
              <w:t>, brief interventions, case management, and group, marital, and family therapies. There is evidence to support the efficacy of integrated treatment for patients with a co-occurring substance use and psychiatric disorder; such treatment includes blending psychosocial therapies used to treat specific substance use disorders with psychosocial treatment approaches for other psychiatric diagnoses (e.g., CBT for depression).”</w:t>
            </w:r>
          </w:p>
          <w:p w14:paraId="3AE62EA5" w14:textId="77777777" w:rsidR="00955ACD" w:rsidRPr="00C824C7" w:rsidRDefault="00955ACD" w:rsidP="001041DD">
            <w:pPr>
              <w:autoSpaceDE w:val="0"/>
              <w:autoSpaceDN w:val="0"/>
              <w:adjustRightInd w:val="0"/>
              <w:ind w:left="0" w:firstLine="0"/>
              <w:rPr>
                <w:rFonts w:cstheme="minorHAnsi"/>
                <w:color w:val="FF0000"/>
              </w:rPr>
            </w:pPr>
          </w:p>
          <w:p w14:paraId="2B9837F3" w14:textId="77777777" w:rsidR="00955ACD" w:rsidRPr="00C824C7" w:rsidRDefault="00955ACD" w:rsidP="001041DD">
            <w:pPr>
              <w:autoSpaceDE w:val="0"/>
              <w:autoSpaceDN w:val="0"/>
              <w:adjustRightInd w:val="0"/>
              <w:ind w:left="0" w:firstLine="0"/>
              <w:rPr>
                <w:rFonts w:cstheme="minorHAnsi"/>
                <w:b/>
                <w:color w:val="FF0000"/>
              </w:rPr>
            </w:pPr>
            <w:r w:rsidRPr="00C824C7">
              <w:rPr>
                <w:rFonts w:cstheme="minorHAnsi"/>
                <w:b/>
                <w:color w:val="FF0000"/>
              </w:rPr>
              <w:t>Alcohol Use Disorder</w:t>
            </w:r>
          </w:p>
          <w:p w14:paraId="09A72E1C" w14:textId="6F620B6F" w:rsidR="00955ACD" w:rsidRPr="00C824C7" w:rsidRDefault="00955ACD" w:rsidP="001041DD">
            <w:pPr>
              <w:autoSpaceDE w:val="0"/>
              <w:autoSpaceDN w:val="0"/>
              <w:adjustRightInd w:val="0"/>
              <w:ind w:left="0" w:firstLine="0"/>
              <w:rPr>
                <w:rFonts w:cstheme="minorHAnsi"/>
                <w:color w:val="FF0000"/>
              </w:rPr>
            </w:pPr>
            <w:r w:rsidRPr="00C824C7">
              <w:rPr>
                <w:rFonts w:cstheme="minorHAnsi"/>
                <w:b/>
                <w:color w:val="FF0000"/>
              </w:rPr>
              <w:t xml:space="preserve">Pharmacological Treatments (All [I]Recommended with substantial clinical confidence or </w:t>
            </w:r>
            <w:r w:rsidRPr="00C824C7">
              <w:rPr>
                <w:b/>
                <w:color w:val="FF0000"/>
              </w:rPr>
              <w:t>II] Recommended with moderate clinical confidence</w:t>
            </w:r>
            <w:r w:rsidRPr="00C824C7">
              <w:rPr>
                <w:rFonts w:cstheme="minorHAnsi"/>
                <w:b/>
                <w:color w:val="FF0000"/>
              </w:rPr>
              <w:t>):</w:t>
            </w:r>
            <w:r w:rsidRPr="00C824C7">
              <w:rPr>
                <w:rFonts w:cstheme="minorHAnsi"/>
                <w:color w:val="FF0000"/>
              </w:rPr>
              <w:t xml:space="preserve"> “</w:t>
            </w:r>
            <w:r w:rsidRPr="00C824C7">
              <w:rPr>
                <w:color w:val="FF0000"/>
              </w:rPr>
              <w:t>Specific pharmacotherapies for alcohol-dependent patients have well-established efficacy and moderate effectiveness. Naltrexone may attenuate some of the reinforcing effects of alcohol [I], although data on its long-term efficacy are limited. The use of long-acting, injectable naltrexone may promote adherence, but published research is limited and FDA approval is pending. Acamprosate, a γ-aminobutyric acid (GABA) analog that may decrease alcohol craving in abstinent individuals, may also be an effective adjunctive medication in motivated patients who are concomitantly receiving psychosocial treatment [I]. Disulfiram is an effective adjunct to a comprehensive treatment program for reliable, motivated patients whose drinking may be triggered by events that suddenly increase alcohol craving [II].”</w:t>
            </w:r>
            <w:r w:rsidR="00B76BAC">
              <w:rPr>
                <w:color w:val="FF0000"/>
              </w:rPr>
              <w:t xml:space="preserve"> </w:t>
            </w:r>
            <w:r w:rsidR="00B76BAC" w:rsidRPr="001220E5">
              <w:rPr>
                <w:b/>
                <w:color w:val="FF0000"/>
              </w:rPr>
              <w:t>NOTE:</w:t>
            </w:r>
            <w:r w:rsidR="00B76BAC">
              <w:rPr>
                <w:b/>
                <w:color w:val="FF0000"/>
              </w:rPr>
              <w:t xml:space="preserve"> Please see below for APA 2017 clinical practice guideline on pharmacological treatment</w:t>
            </w:r>
            <w:r w:rsidR="001220E5">
              <w:rPr>
                <w:b/>
                <w:color w:val="FF0000"/>
              </w:rPr>
              <w:t xml:space="preserve"> for alcohol use disorder</w:t>
            </w:r>
            <w:r w:rsidR="00B76BAC">
              <w:rPr>
                <w:b/>
                <w:color w:val="FF0000"/>
              </w:rPr>
              <w:t xml:space="preserve">. </w:t>
            </w:r>
          </w:p>
          <w:p w14:paraId="6DA0B0ED" w14:textId="77777777" w:rsidR="00955ACD" w:rsidRPr="00C824C7" w:rsidRDefault="00955ACD" w:rsidP="001041DD">
            <w:pPr>
              <w:autoSpaceDE w:val="0"/>
              <w:autoSpaceDN w:val="0"/>
              <w:adjustRightInd w:val="0"/>
              <w:ind w:left="0" w:firstLine="0"/>
              <w:rPr>
                <w:color w:val="FF0000"/>
              </w:rPr>
            </w:pPr>
            <w:r w:rsidRPr="00C824C7">
              <w:rPr>
                <w:rFonts w:cstheme="minorHAnsi"/>
                <w:b/>
                <w:color w:val="FF0000"/>
              </w:rPr>
              <w:t>Psychosocial Treatments:</w:t>
            </w:r>
            <w:r w:rsidRPr="00C824C7">
              <w:rPr>
                <w:rFonts w:cstheme="minorHAnsi"/>
                <w:color w:val="FF0000"/>
              </w:rPr>
              <w:t xml:space="preserve"> “</w:t>
            </w:r>
            <w:r w:rsidRPr="00C824C7">
              <w:rPr>
                <w:color w:val="FF0000"/>
              </w:rPr>
              <w:t xml:space="preserve">Psychosocial treatments found effective for some patients with an alcohol use disorder include MET [I], CBT [I], behavioral therapies [I], TSF [I], </w:t>
            </w:r>
            <w:r w:rsidRPr="00C824C7">
              <w:rPr>
                <w:color w:val="FF0000"/>
              </w:rPr>
              <w:lastRenderedPageBreak/>
              <w:t>marital and family therapies [I], group therapies [II], and psychodynamic therapy/IPT [III]. Recommending that patients participate in self-help groups, such as Alcoholics Anonymous (AA), is often helpful [I].”</w:t>
            </w:r>
          </w:p>
          <w:p w14:paraId="48B05C3F" w14:textId="77777777" w:rsidR="00955ACD" w:rsidRPr="00C824C7" w:rsidRDefault="00955ACD" w:rsidP="001041DD">
            <w:pPr>
              <w:autoSpaceDE w:val="0"/>
              <w:autoSpaceDN w:val="0"/>
              <w:adjustRightInd w:val="0"/>
              <w:ind w:left="0" w:firstLine="0"/>
              <w:rPr>
                <w:rFonts w:cstheme="minorHAnsi"/>
                <w:color w:val="FF0000"/>
              </w:rPr>
            </w:pPr>
          </w:p>
          <w:p w14:paraId="30CFC94F" w14:textId="77777777" w:rsidR="00955ACD" w:rsidRPr="00C824C7" w:rsidRDefault="00955ACD" w:rsidP="001041DD">
            <w:pPr>
              <w:autoSpaceDE w:val="0"/>
              <w:autoSpaceDN w:val="0"/>
              <w:adjustRightInd w:val="0"/>
              <w:ind w:left="0" w:firstLine="0"/>
              <w:rPr>
                <w:rFonts w:cstheme="minorHAnsi"/>
                <w:b/>
                <w:color w:val="FF0000"/>
              </w:rPr>
            </w:pPr>
            <w:r w:rsidRPr="00C824C7">
              <w:rPr>
                <w:rFonts w:cstheme="minorHAnsi"/>
                <w:b/>
                <w:color w:val="FF0000"/>
              </w:rPr>
              <w:t>Opioid Use Disorder</w:t>
            </w:r>
          </w:p>
          <w:p w14:paraId="2E6AAF2C" w14:textId="77777777" w:rsidR="00955ACD" w:rsidRPr="00C824C7" w:rsidRDefault="00955ACD" w:rsidP="001041DD">
            <w:pPr>
              <w:autoSpaceDE w:val="0"/>
              <w:autoSpaceDN w:val="0"/>
              <w:adjustRightInd w:val="0"/>
              <w:ind w:left="0" w:firstLine="0"/>
              <w:rPr>
                <w:color w:val="FF0000"/>
              </w:rPr>
            </w:pPr>
            <w:r w:rsidRPr="00C824C7">
              <w:rPr>
                <w:rFonts w:cstheme="minorHAnsi"/>
                <w:b/>
                <w:color w:val="FF0000"/>
              </w:rPr>
              <w:t>Pharmacological Treatments (All [I]Recommended with substantial clinical confidence):</w:t>
            </w:r>
            <w:r w:rsidRPr="00C824C7">
              <w:rPr>
                <w:rFonts w:cstheme="minorHAnsi"/>
                <w:color w:val="FF0000"/>
              </w:rPr>
              <w:t xml:space="preserve"> “</w:t>
            </w:r>
            <w:r w:rsidRPr="00C824C7">
              <w:rPr>
                <w:color w:val="FF0000"/>
              </w:rPr>
              <w:t>Maintenance treatment with methadone or buprenorphine is appropriate for patients with a prolonged history (&gt;1 year) of opioid dependence [I]. The goals of treatment are to achieve a stable maintenance dose of opioid agonist and facilitate engagement in a comprehensive program of rehabilitation [I]. Maintenance treatment with naltrexone is an alternative strategy [I], although the utility of this strategy is often limited by lack of patient adherence and low treatment retention.”</w:t>
            </w:r>
          </w:p>
          <w:p w14:paraId="4DCEEBCC" w14:textId="77777777" w:rsidR="00955ACD" w:rsidRPr="00C824C7" w:rsidRDefault="00955ACD" w:rsidP="001041DD">
            <w:pPr>
              <w:autoSpaceDE w:val="0"/>
              <w:autoSpaceDN w:val="0"/>
              <w:adjustRightInd w:val="0"/>
              <w:ind w:left="0" w:firstLine="0"/>
              <w:rPr>
                <w:rFonts w:cstheme="minorHAnsi"/>
                <w:color w:val="FF0000"/>
              </w:rPr>
            </w:pPr>
            <w:r w:rsidRPr="00C824C7">
              <w:rPr>
                <w:rFonts w:cstheme="minorHAnsi"/>
                <w:b/>
                <w:color w:val="FF0000"/>
              </w:rPr>
              <w:t>Psychosocial Treatments:</w:t>
            </w:r>
            <w:r w:rsidRPr="00C824C7">
              <w:rPr>
                <w:rFonts w:cstheme="minorHAnsi"/>
                <w:color w:val="FF0000"/>
              </w:rPr>
              <w:t xml:space="preserve"> “</w:t>
            </w:r>
            <w:r w:rsidRPr="00C824C7">
              <w:rPr>
                <w:color w:val="FF0000"/>
              </w:rPr>
              <w:t>Psychosocial treatments are effective components of a comprehensive treatment plan for patients with an opioid use disorder [II]. Behavioral therapies (e.g., contingency management) [II], CBTs [II], psychodynamic psychotherapy [III], and group and family therapies [III] have been found to be effective for some patients with an opioid use disorder. Recommending regular participation in self-help groups may also be useful [III].”</w:t>
            </w:r>
          </w:p>
          <w:p w14:paraId="1638CF86" w14:textId="77777777" w:rsidR="00955ACD" w:rsidRPr="00C824C7" w:rsidRDefault="00955ACD" w:rsidP="001041DD">
            <w:pPr>
              <w:autoSpaceDE w:val="0"/>
              <w:autoSpaceDN w:val="0"/>
              <w:adjustRightInd w:val="0"/>
              <w:ind w:left="0" w:firstLine="0"/>
              <w:rPr>
                <w:rFonts w:cstheme="minorHAnsi"/>
                <w:color w:val="FF0000"/>
              </w:rPr>
            </w:pPr>
          </w:p>
        </w:tc>
      </w:tr>
      <w:tr w:rsidR="00955ACD" w:rsidRPr="00C824C7" w14:paraId="7C650E73" w14:textId="77777777" w:rsidTr="001041DD">
        <w:tc>
          <w:tcPr>
            <w:tcW w:w="3685" w:type="dxa"/>
          </w:tcPr>
          <w:p w14:paraId="27558800" w14:textId="77777777" w:rsidR="00955ACD" w:rsidRPr="00C824C7" w:rsidRDefault="00955ACD" w:rsidP="001041DD">
            <w:pPr>
              <w:ind w:left="0" w:firstLine="0"/>
              <w:rPr>
                <w:color w:val="FF0000"/>
              </w:rPr>
            </w:pPr>
            <w:r w:rsidRPr="00C824C7">
              <w:rPr>
                <w:color w:val="FF0000"/>
              </w:rPr>
              <w:lastRenderedPageBreak/>
              <w:t xml:space="preserve">Grade assigned to the </w:t>
            </w:r>
            <w:r w:rsidRPr="00C824C7">
              <w:rPr>
                <w:b/>
                <w:color w:val="FF0000"/>
              </w:rPr>
              <w:t>evidence</w:t>
            </w:r>
            <w:r w:rsidRPr="00C824C7">
              <w:rPr>
                <w:color w:val="FF0000"/>
              </w:rPr>
              <w:t xml:space="preserve"> associated with the recommendation with the definition of the grade</w:t>
            </w:r>
          </w:p>
        </w:tc>
        <w:tc>
          <w:tcPr>
            <w:tcW w:w="5665" w:type="dxa"/>
          </w:tcPr>
          <w:p w14:paraId="174F26B8" w14:textId="29FCA659" w:rsidR="00955ACD" w:rsidRPr="00C824C7" w:rsidRDefault="00955ACD" w:rsidP="001041DD">
            <w:pPr>
              <w:pStyle w:val="BodyText"/>
              <w:spacing w:before="0" w:after="120"/>
              <w:rPr>
                <w:rFonts w:asciiTheme="minorHAnsi" w:hAnsiTheme="minorHAnsi" w:cstheme="minorHAnsi"/>
                <w:color w:val="FF0000"/>
                <w:sz w:val="22"/>
                <w:szCs w:val="22"/>
              </w:rPr>
            </w:pPr>
            <w:r w:rsidRPr="00C824C7">
              <w:rPr>
                <w:rFonts w:asciiTheme="minorHAnsi" w:hAnsiTheme="minorHAnsi" w:cstheme="minorHAnsi"/>
                <w:color w:val="FF0000"/>
                <w:sz w:val="22"/>
                <w:szCs w:val="22"/>
              </w:rPr>
              <w:t>Authors did not specifically grade the evidence</w:t>
            </w:r>
            <w:r w:rsidR="00BA16ED">
              <w:rPr>
                <w:rFonts w:asciiTheme="minorHAnsi" w:hAnsiTheme="minorHAnsi" w:cstheme="minorHAnsi"/>
                <w:color w:val="FF0000"/>
                <w:sz w:val="22"/>
                <w:szCs w:val="22"/>
              </w:rPr>
              <w:t xml:space="preserve"> used</w:t>
            </w:r>
            <w:r w:rsidR="00C009E7">
              <w:rPr>
                <w:rFonts w:asciiTheme="minorHAnsi" w:hAnsiTheme="minorHAnsi" w:cstheme="minorHAnsi"/>
                <w:color w:val="FF0000"/>
                <w:sz w:val="22"/>
                <w:szCs w:val="22"/>
              </w:rPr>
              <w:t xml:space="preserve"> to inform</w:t>
            </w:r>
            <w:r w:rsidRPr="00C824C7">
              <w:rPr>
                <w:rFonts w:asciiTheme="minorHAnsi" w:hAnsiTheme="minorHAnsi" w:cstheme="minorHAnsi"/>
                <w:color w:val="FF0000"/>
                <w:sz w:val="22"/>
                <w:szCs w:val="22"/>
              </w:rPr>
              <w:t xml:space="preserve"> each recommendation statement. However, they provided a grading system for each individual reference cited throughout their guideline (below) based on the type of clinical study included as a supporting document. </w:t>
            </w:r>
          </w:p>
          <w:p w14:paraId="09823D44" w14:textId="0B1D229A" w:rsidR="00955ACD" w:rsidRPr="00C824C7" w:rsidRDefault="00955ACD" w:rsidP="001041DD">
            <w:pPr>
              <w:pStyle w:val="BodyText"/>
              <w:spacing w:after="120"/>
              <w:rPr>
                <w:rFonts w:asciiTheme="minorHAnsi" w:hAnsiTheme="minorHAnsi" w:cstheme="minorHAnsi"/>
                <w:color w:val="FF0000"/>
                <w:sz w:val="22"/>
                <w:szCs w:val="22"/>
              </w:rPr>
            </w:pPr>
            <w:r w:rsidRPr="00C824C7">
              <w:rPr>
                <w:rFonts w:asciiTheme="minorHAnsi" w:hAnsiTheme="minorHAnsi" w:cstheme="minorHAnsi"/>
                <w:color w:val="FF0000"/>
                <w:sz w:val="22"/>
                <w:szCs w:val="22"/>
              </w:rPr>
              <w:t>“The following coding system is used to indicate the nature of the supporting evidence in the</w:t>
            </w:r>
            <w:r w:rsidR="00BD75DA">
              <w:rPr>
                <w:rFonts w:asciiTheme="minorHAnsi" w:hAnsiTheme="minorHAnsi" w:cstheme="minorHAnsi"/>
                <w:color w:val="FF0000"/>
                <w:sz w:val="22"/>
                <w:szCs w:val="22"/>
              </w:rPr>
              <w:t xml:space="preserve"> </w:t>
            </w:r>
            <w:r w:rsidRPr="00C824C7">
              <w:rPr>
                <w:rFonts w:asciiTheme="minorHAnsi" w:hAnsiTheme="minorHAnsi" w:cstheme="minorHAnsi"/>
                <w:color w:val="FF0000"/>
                <w:sz w:val="22"/>
                <w:szCs w:val="22"/>
              </w:rPr>
              <w:t xml:space="preserve">summary </w:t>
            </w:r>
            <w:r w:rsidR="00BD75DA">
              <w:rPr>
                <w:rFonts w:asciiTheme="minorHAnsi" w:hAnsiTheme="minorHAnsi" w:cstheme="minorHAnsi"/>
                <w:color w:val="FF0000"/>
                <w:sz w:val="22"/>
                <w:szCs w:val="22"/>
              </w:rPr>
              <w:t>r</w:t>
            </w:r>
            <w:r w:rsidRPr="00C824C7">
              <w:rPr>
                <w:rFonts w:asciiTheme="minorHAnsi" w:hAnsiTheme="minorHAnsi" w:cstheme="minorHAnsi"/>
                <w:color w:val="FF0000"/>
                <w:sz w:val="22"/>
                <w:szCs w:val="22"/>
              </w:rPr>
              <w:t>ecommendations and references:</w:t>
            </w:r>
          </w:p>
          <w:p w14:paraId="556A6E54" w14:textId="35F3441D" w:rsidR="00955ACD" w:rsidRPr="00C824C7" w:rsidRDefault="00955ACD" w:rsidP="001041DD">
            <w:pPr>
              <w:pStyle w:val="BodyText"/>
              <w:spacing w:after="120"/>
              <w:rPr>
                <w:rFonts w:asciiTheme="minorHAnsi" w:hAnsiTheme="minorHAnsi" w:cstheme="minorHAnsi"/>
                <w:color w:val="FF0000"/>
                <w:sz w:val="22"/>
                <w:szCs w:val="22"/>
              </w:rPr>
            </w:pPr>
            <w:r w:rsidRPr="00C824C7">
              <w:rPr>
                <w:rFonts w:asciiTheme="minorHAnsi" w:hAnsiTheme="minorHAnsi" w:cstheme="minorHAnsi"/>
                <w:color w:val="FF0000"/>
                <w:sz w:val="22"/>
                <w:szCs w:val="22"/>
              </w:rPr>
              <w:t>[A] Double-blind, randomized clinical trial. A study of an intervention in which subjects are</w:t>
            </w:r>
            <w:r w:rsidR="00BD75DA">
              <w:rPr>
                <w:rFonts w:asciiTheme="minorHAnsi" w:hAnsiTheme="minorHAnsi" w:cstheme="minorHAnsi"/>
                <w:color w:val="FF0000"/>
                <w:sz w:val="22"/>
                <w:szCs w:val="22"/>
              </w:rPr>
              <w:t xml:space="preserve"> </w:t>
            </w:r>
            <w:r w:rsidRPr="00C824C7">
              <w:rPr>
                <w:rFonts w:asciiTheme="minorHAnsi" w:hAnsiTheme="minorHAnsi" w:cstheme="minorHAnsi"/>
                <w:color w:val="FF0000"/>
                <w:sz w:val="22"/>
                <w:szCs w:val="22"/>
              </w:rPr>
              <w:t>prospectively followed over time; there are treatment and control groups; subjects are</w:t>
            </w:r>
            <w:r w:rsidR="00BD75DA">
              <w:rPr>
                <w:rFonts w:asciiTheme="minorHAnsi" w:hAnsiTheme="minorHAnsi" w:cstheme="minorHAnsi"/>
                <w:color w:val="FF0000"/>
                <w:sz w:val="22"/>
                <w:szCs w:val="22"/>
              </w:rPr>
              <w:t xml:space="preserve"> </w:t>
            </w:r>
            <w:r w:rsidRPr="00C824C7">
              <w:rPr>
                <w:rFonts w:asciiTheme="minorHAnsi" w:hAnsiTheme="minorHAnsi" w:cstheme="minorHAnsi"/>
                <w:color w:val="FF0000"/>
                <w:sz w:val="22"/>
                <w:szCs w:val="22"/>
              </w:rPr>
              <w:t>randomly assigned to the two groups; both the subjects and the investigators are blind</w:t>
            </w:r>
            <w:r w:rsidR="00BD75DA">
              <w:rPr>
                <w:rFonts w:asciiTheme="minorHAnsi" w:hAnsiTheme="minorHAnsi" w:cstheme="minorHAnsi"/>
                <w:color w:val="FF0000"/>
                <w:sz w:val="22"/>
                <w:szCs w:val="22"/>
              </w:rPr>
              <w:t xml:space="preserve"> </w:t>
            </w:r>
            <w:r w:rsidRPr="00C824C7">
              <w:rPr>
                <w:rFonts w:asciiTheme="minorHAnsi" w:hAnsiTheme="minorHAnsi" w:cstheme="minorHAnsi"/>
                <w:color w:val="FF0000"/>
                <w:sz w:val="22"/>
                <w:szCs w:val="22"/>
              </w:rPr>
              <w:t>to the assignments.</w:t>
            </w:r>
          </w:p>
          <w:p w14:paraId="6F1766E0" w14:textId="77777777" w:rsidR="00955ACD" w:rsidRPr="00C824C7" w:rsidRDefault="00955ACD" w:rsidP="001041DD">
            <w:pPr>
              <w:pStyle w:val="BodyText"/>
              <w:spacing w:after="120"/>
              <w:rPr>
                <w:rFonts w:asciiTheme="minorHAnsi" w:hAnsiTheme="minorHAnsi" w:cstheme="minorHAnsi"/>
                <w:color w:val="FF0000"/>
                <w:sz w:val="22"/>
                <w:szCs w:val="22"/>
              </w:rPr>
            </w:pPr>
            <w:r w:rsidRPr="00C824C7">
              <w:rPr>
                <w:rFonts w:asciiTheme="minorHAnsi" w:hAnsiTheme="minorHAnsi" w:cstheme="minorHAnsi"/>
                <w:color w:val="FF0000"/>
                <w:sz w:val="22"/>
                <w:szCs w:val="22"/>
              </w:rPr>
              <w:t>[A] Randomized clinical trial. Same as above but not double-blind.</w:t>
            </w:r>
          </w:p>
          <w:p w14:paraId="01B364BF" w14:textId="2CB8E054" w:rsidR="00955ACD" w:rsidRPr="00C824C7" w:rsidRDefault="00955ACD" w:rsidP="001041DD">
            <w:pPr>
              <w:pStyle w:val="BodyText"/>
              <w:spacing w:after="120"/>
              <w:rPr>
                <w:rFonts w:asciiTheme="minorHAnsi" w:hAnsiTheme="minorHAnsi" w:cstheme="minorHAnsi"/>
                <w:color w:val="FF0000"/>
                <w:sz w:val="22"/>
                <w:szCs w:val="22"/>
              </w:rPr>
            </w:pPr>
            <w:r w:rsidRPr="00C824C7">
              <w:rPr>
                <w:rFonts w:asciiTheme="minorHAnsi" w:hAnsiTheme="minorHAnsi" w:cstheme="minorHAnsi"/>
                <w:color w:val="FF0000"/>
                <w:sz w:val="22"/>
                <w:szCs w:val="22"/>
              </w:rPr>
              <w:t xml:space="preserve">[B] Clinical trial. A prospective study in which an intervention is </w:t>
            </w:r>
            <w:proofErr w:type="gramStart"/>
            <w:r w:rsidRPr="00C824C7">
              <w:rPr>
                <w:rFonts w:asciiTheme="minorHAnsi" w:hAnsiTheme="minorHAnsi" w:cstheme="minorHAnsi"/>
                <w:color w:val="FF0000"/>
                <w:sz w:val="22"/>
                <w:szCs w:val="22"/>
              </w:rPr>
              <w:t>made</w:t>
            </w:r>
            <w:proofErr w:type="gramEnd"/>
            <w:r w:rsidRPr="00C824C7">
              <w:rPr>
                <w:rFonts w:asciiTheme="minorHAnsi" w:hAnsiTheme="minorHAnsi" w:cstheme="minorHAnsi"/>
                <w:color w:val="FF0000"/>
                <w:sz w:val="22"/>
                <w:szCs w:val="22"/>
              </w:rPr>
              <w:t xml:space="preserve"> and the results of that</w:t>
            </w:r>
            <w:r w:rsidR="00BD75DA">
              <w:rPr>
                <w:rFonts w:asciiTheme="minorHAnsi" w:hAnsiTheme="minorHAnsi" w:cstheme="minorHAnsi"/>
                <w:color w:val="FF0000"/>
                <w:sz w:val="22"/>
                <w:szCs w:val="22"/>
              </w:rPr>
              <w:t xml:space="preserve"> </w:t>
            </w:r>
            <w:r w:rsidRPr="00C824C7">
              <w:rPr>
                <w:rFonts w:asciiTheme="minorHAnsi" w:hAnsiTheme="minorHAnsi" w:cstheme="minorHAnsi"/>
                <w:color w:val="FF0000"/>
                <w:sz w:val="22"/>
                <w:szCs w:val="22"/>
              </w:rPr>
              <w:t>intervention are tracked longitudinally; study does not meet standards for a randomized</w:t>
            </w:r>
            <w:r w:rsidR="00BD75DA">
              <w:rPr>
                <w:rFonts w:asciiTheme="minorHAnsi" w:hAnsiTheme="minorHAnsi" w:cstheme="minorHAnsi"/>
                <w:color w:val="FF0000"/>
                <w:sz w:val="22"/>
                <w:szCs w:val="22"/>
              </w:rPr>
              <w:t xml:space="preserve"> </w:t>
            </w:r>
            <w:r w:rsidRPr="00C824C7">
              <w:rPr>
                <w:rFonts w:asciiTheme="minorHAnsi" w:hAnsiTheme="minorHAnsi" w:cstheme="minorHAnsi"/>
                <w:color w:val="FF0000"/>
                <w:sz w:val="22"/>
                <w:szCs w:val="22"/>
              </w:rPr>
              <w:t>clinical trial.</w:t>
            </w:r>
          </w:p>
          <w:p w14:paraId="7E6BF98F" w14:textId="6FE2489A" w:rsidR="00955ACD" w:rsidRPr="00C824C7" w:rsidRDefault="00955ACD" w:rsidP="001041DD">
            <w:pPr>
              <w:pStyle w:val="BodyText"/>
              <w:spacing w:after="120"/>
              <w:rPr>
                <w:rFonts w:asciiTheme="minorHAnsi" w:hAnsiTheme="minorHAnsi" w:cstheme="minorHAnsi"/>
                <w:color w:val="FF0000"/>
                <w:sz w:val="22"/>
                <w:szCs w:val="22"/>
              </w:rPr>
            </w:pPr>
            <w:r w:rsidRPr="00C824C7">
              <w:rPr>
                <w:rFonts w:asciiTheme="minorHAnsi" w:hAnsiTheme="minorHAnsi" w:cstheme="minorHAnsi"/>
                <w:color w:val="FF0000"/>
                <w:sz w:val="22"/>
                <w:szCs w:val="22"/>
              </w:rPr>
              <w:lastRenderedPageBreak/>
              <w:t>[C] Cohort or longitudinal study. A study in which subjects are prospectively followed over</w:t>
            </w:r>
            <w:r w:rsidR="00BD75DA">
              <w:rPr>
                <w:rFonts w:asciiTheme="minorHAnsi" w:hAnsiTheme="minorHAnsi" w:cstheme="minorHAnsi"/>
                <w:color w:val="FF0000"/>
                <w:sz w:val="22"/>
                <w:szCs w:val="22"/>
              </w:rPr>
              <w:t xml:space="preserve"> </w:t>
            </w:r>
            <w:r w:rsidRPr="00C824C7">
              <w:rPr>
                <w:rFonts w:asciiTheme="minorHAnsi" w:hAnsiTheme="minorHAnsi" w:cstheme="minorHAnsi"/>
                <w:color w:val="FF0000"/>
                <w:sz w:val="22"/>
                <w:szCs w:val="22"/>
              </w:rPr>
              <w:t>time without any specific intervention.</w:t>
            </w:r>
          </w:p>
          <w:p w14:paraId="53254542" w14:textId="06BA1766" w:rsidR="00955ACD" w:rsidRPr="00C824C7" w:rsidRDefault="00955ACD" w:rsidP="001041DD">
            <w:pPr>
              <w:pStyle w:val="BodyText"/>
              <w:spacing w:after="120"/>
              <w:rPr>
                <w:rFonts w:asciiTheme="minorHAnsi" w:hAnsiTheme="minorHAnsi" w:cstheme="minorHAnsi"/>
                <w:color w:val="FF0000"/>
                <w:sz w:val="22"/>
                <w:szCs w:val="22"/>
              </w:rPr>
            </w:pPr>
            <w:r w:rsidRPr="00C824C7">
              <w:rPr>
                <w:rFonts w:asciiTheme="minorHAnsi" w:hAnsiTheme="minorHAnsi" w:cstheme="minorHAnsi"/>
                <w:color w:val="FF0000"/>
                <w:sz w:val="22"/>
                <w:szCs w:val="22"/>
              </w:rPr>
              <w:t>[D] Case-control study. A study in which a group of patients is identified in the present and</w:t>
            </w:r>
            <w:r w:rsidR="00BD75DA">
              <w:rPr>
                <w:rFonts w:asciiTheme="minorHAnsi" w:hAnsiTheme="minorHAnsi" w:cstheme="minorHAnsi"/>
                <w:color w:val="FF0000"/>
                <w:sz w:val="22"/>
                <w:szCs w:val="22"/>
              </w:rPr>
              <w:t xml:space="preserve"> </w:t>
            </w:r>
            <w:r w:rsidRPr="00C824C7">
              <w:rPr>
                <w:rFonts w:asciiTheme="minorHAnsi" w:hAnsiTheme="minorHAnsi" w:cstheme="minorHAnsi"/>
                <w:color w:val="FF0000"/>
                <w:sz w:val="22"/>
                <w:szCs w:val="22"/>
              </w:rPr>
              <w:t>information about them is pursued retrospectively or backward in time.</w:t>
            </w:r>
          </w:p>
          <w:p w14:paraId="1918A074" w14:textId="160C3EAC" w:rsidR="00955ACD" w:rsidRPr="00C824C7" w:rsidRDefault="00955ACD" w:rsidP="001041DD">
            <w:pPr>
              <w:pStyle w:val="BodyText"/>
              <w:spacing w:after="120"/>
              <w:rPr>
                <w:rFonts w:asciiTheme="minorHAnsi" w:hAnsiTheme="minorHAnsi" w:cstheme="minorHAnsi"/>
                <w:color w:val="FF0000"/>
                <w:sz w:val="22"/>
                <w:szCs w:val="22"/>
              </w:rPr>
            </w:pPr>
            <w:r w:rsidRPr="00C824C7">
              <w:rPr>
                <w:rFonts w:asciiTheme="minorHAnsi" w:hAnsiTheme="minorHAnsi" w:cstheme="minorHAnsi"/>
                <w:color w:val="FF0000"/>
                <w:sz w:val="22"/>
                <w:szCs w:val="22"/>
              </w:rPr>
              <w:t>[E] Review with secondary data analysis. A structured analytic review of existing data, e.g., a</w:t>
            </w:r>
            <w:r w:rsidR="00BD75DA">
              <w:rPr>
                <w:rFonts w:asciiTheme="minorHAnsi" w:hAnsiTheme="minorHAnsi" w:cstheme="minorHAnsi"/>
                <w:color w:val="FF0000"/>
                <w:sz w:val="22"/>
                <w:szCs w:val="22"/>
              </w:rPr>
              <w:t xml:space="preserve"> </w:t>
            </w:r>
            <w:r w:rsidRPr="00C824C7">
              <w:rPr>
                <w:rFonts w:asciiTheme="minorHAnsi" w:hAnsiTheme="minorHAnsi" w:cstheme="minorHAnsi"/>
                <w:color w:val="FF0000"/>
                <w:sz w:val="22"/>
                <w:szCs w:val="22"/>
              </w:rPr>
              <w:t>meta-analysis or a decision analysis.</w:t>
            </w:r>
          </w:p>
          <w:p w14:paraId="3290F2F0" w14:textId="365A1C08" w:rsidR="00955ACD" w:rsidRPr="00C824C7" w:rsidRDefault="00955ACD" w:rsidP="001041DD">
            <w:pPr>
              <w:pStyle w:val="BodyText"/>
              <w:spacing w:after="120"/>
              <w:rPr>
                <w:rFonts w:asciiTheme="minorHAnsi" w:hAnsiTheme="minorHAnsi" w:cstheme="minorHAnsi"/>
                <w:color w:val="FF0000"/>
                <w:sz w:val="22"/>
                <w:szCs w:val="22"/>
              </w:rPr>
            </w:pPr>
            <w:r w:rsidRPr="00C824C7">
              <w:rPr>
                <w:rFonts w:asciiTheme="minorHAnsi" w:hAnsiTheme="minorHAnsi" w:cstheme="minorHAnsi"/>
                <w:color w:val="FF0000"/>
                <w:sz w:val="22"/>
                <w:szCs w:val="22"/>
              </w:rPr>
              <w:t>[F] Review. A qualitative review and discussion of previously published literature without a</w:t>
            </w:r>
            <w:r w:rsidR="00BD75DA">
              <w:rPr>
                <w:rFonts w:asciiTheme="minorHAnsi" w:hAnsiTheme="minorHAnsi" w:cstheme="minorHAnsi"/>
                <w:color w:val="FF0000"/>
                <w:sz w:val="22"/>
                <w:szCs w:val="22"/>
              </w:rPr>
              <w:t xml:space="preserve"> </w:t>
            </w:r>
            <w:r w:rsidRPr="00C824C7">
              <w:rPr>
                <w:rFonts w:asciiTheme="minorHAnsi" w:hAnsiTheme="minorHAnsi" w:cstheme="minorHAnsi"/>
                <w:color w:val="FF0000"/>
                <w:sz w:val="22"/>
                <w:szCs w:val="22"/>
              </w:rPr>
              <w:t>quantitative synthesis of the data.</w:t>
            </w:r>
          </w:p>
          <w:p w14:paraId="7DC4A7C4" w14:textId="77777777" w:rsidR="00955ACD" w:rsidRPr="00C824C7" w:rsidRDefault="00955ACD" w:rsidP="001041DD">
            <w:pPr>
              <w:pStyle w:val="BodyText"/>
              <w:spacing w:before="0" w:after="120"/>
              <w:rPr>
                <w:rFonts w:asciiTheme="minorHAnsi" w:hAnsiTheme="minorHAnsi" w:cstheme="minorHAnsi"/>
                <w:color w:val="FF0000"/>
                <w:sz w:val="22"/>
                <w:szCs w:val="22"/>
              </w:rPr>
            </w:pPr>
            <w:r w:rsidRPr="00C824C7">
              <w:rPr>
                <w:rFonts w:asciiTheme="minorHAnsi" w:hAnsiTheme="minorHAnsi" w:cstheme="minorHAnsi"/>
                <w:color w:val="FF0000"/>
                <w:sz w:val="22"/>
                <w:szCs w:val="22"/>
              </w:rPr>
              <w:t>[G] Other. Textbooks, expert opinion, case reports, and other reports not included above.”</w:t>
            </w:r>
          </w:p>
        </w:tc>
      </w:tr>
      <w:tr w:rsidR="00955ACD" w:rsidRPr="00C824C7" w14:paraId="4861E458" w14:textId="77777777" w:rsidTr="001041DD">
        <w:tc>
          <w:tcPr>
            <w:tcW w:w="3685" w:type="dxa"/>
          </w:tcPr>
          <w:p w14:paraId="4BE8428B" w14:textId="77777777" w:rsidR="00955ACD" w:rsidRPr="00C824C7" w:rsidRDefault="00955ACD" w:rsidP="001041DD">
            <w:pPr>
              <w:ind w:left="0" w:firstLine="0"/>
              <w:rPr>
                <w:color w:val="FF0000"/>
              </w:rPr>
            </w:pPr>
            <w:r w:rsidRPr="00C824C7">
              <w:rPr>
                <w:color w:val="FF0000"/>
              </w:rPr>
              <w:lastRenderedPageBreak/>
              <w:t>Provide all other grades and definitions from the evidence grading system</w:t>
            </w:r>
          </w:p>
        </w:tc>
        <w:tc>
          <w:tcPr>
            <w:tcW w:w="5665" w:type="dxa"/>
          </w:tcPr>
          <w:p w14:paraId="284DB693" w14:textId="77777777" w:rsidR="00955ACD" w:rsidRPr="00C824C7" w:rsidRDefault="00955ACD" w:rsidP="001041DD">
            <w:pPr>
              <w:pStyle w:val="BodyText"/>
              <w:spacing w:before="0" w:after="120"/>
              <w:rPr>
                <w:rFonts w:asciiTheme="minorHAnsi" w:hAnsiTheme="minorHAnsi" w:cstheme="minorHAnsi"/>
                <w:color w:val="FF0000"/>
                <w:sz w:val="22"/>
                <w:szCs w:val="22"/>
              </w:rPr>
            </w:pPr>
            <w:r w:rsidRPr="00C824C7">
              <w:rPr>
                <w:rFonts w:asciiTheme="minorHAnsi" w:hAnsiTheme="minorHAnsi" w:cstheme="minorHAnsi"/>
                <w:color w:val="FF0000"/>
                <w:sz w:val="22"/>
                <w:szCs w:val="22"/>
              </w:rPr>
              <w:t xml:space="preserve">See “grade assigned to the evidence associated with the recommendation with the definition of the grade” for information about each article reviewed that met inclusion criteria for this guideline. </w:t>
            </w:r>
          </w:p>
        </w:tc>
      </w:tr>
      <w:tr w:rsidR="00955ACD" w:rsidRPr="00C824C7" w14:paraId="4C823DFF" w14:textId="77777777" w:rsidTr="001041DD">
        <w:tc>
          <w:tcPr>
            <w:tcW w:w="3685" w:type="dxa"/>
          </w:tcPr>
          <w:p w14:paraId="6E81CD9F" w14:textId="77777777" w:rsidR="00955ACD" w:rsidRPr="00C824C7" w:rsidRDefault="00955ACD" w:rsidP="001041DD">
            <w:pPr>
              <w:ind w:left="0" w:firstLine="0"/>
              <w:rPr>
                <w:color w:val="FF0000"/>
              </w:rPr>
            </w:pPr>
            <w:r w:rsidRPr="00C824C7">
              <w:rPr>
                <w:color w:val="FF0000"/>
              </w:rPr>
              <w:t xml:space="preserve">Grade assigned to the </w:t>
            </w:r>
            <w:r w:rsidRPr="00C824C7">
              <w:rPr>
                <w:b/>
                <w:color w:val="FF0000"/>
              </w:rPr>
              <w:t>recommendation</w:t>
            </w:r>
            <w:r w:rsidRPr="00C824C7">
              <w:rPr>
                <w:color w:val="FF0000"/>
              </w:rPr>
              <w:t xml:space="preserve"> with definition of the grade</w:t>
            </w:r>
          </w:p>
        </w:tc>
        <w:tc>
          <w:tcPr>
            <w:tcW w:w="5665" w:type="dxa"/>
          </w:tcPr>
          <w:p w14:paraId="78E6B1D0" w14:textId="77777777" w:rsidR="00F13E4A" w:rsidRPr="00C824C7" w:rsidRDefault="00F13E4A" w:rsidP="00F13E4A">
            <w:pPr>
              <w:ind w:left="0" w:firstLine="0"/>
              <w:rPr>
                <w:color w:val="FF0000"/>
              </w:rPr>
            </w:pPr>
            <w:r w:rsidRPr="00C824C7">
              <w:rPr>
                <w:color w:val="FF0000"/>
              </w:rPr>
              <w:t>“Each recommendation is identified as meriting one of three categories of endorsement, based</w:t>
            </w:r>
          </w:p>
          <w:p w14:paraId="454072C5" w14:textId="77777777" w:rsidR="00F13E4A" w:rsidRPr="00C824C7" w:rsidRDefault="00F13E4A" w:rsidP="00F13E4A">
            <w:pPr>
              <w:ind w:left="0" w:firstLine="0"/>
              <w:rPr>
                <w:color w:val="FF0000"/>
              </w:rPr>
            </w:pPr>
            <w:r w:rsidRPr="00C824C7">
              <w:rPr>
                <w:color w:val="FF0000"/>
              </w:rPr>
              <w:t>on the level of clinical confidence regarding the recommendation, as indicated by a bracketed</w:t>
            </w:r>
          </w:p>
          <w:p w14:paraId="7714ED76" w14:textId="129FA151" w:rsidR="00F13E4A" w:rsidRDefault="00F13E4A" w:rsidP="00F13E4A">
            <w:pPr>
              <w:ind w:left="0" w:firstLine="0"/>
              <w:rPr>
                <w:color w:val="FF0000"/>
              </w:rPr>
            </w:pPr>
            <w:r w:rsidRPr="00C824C7">
              <w:rPr>
                <w:color w:val="FF0000"/>
              </w:rPr>
              <w:t>Roman numeral after the statement.</w:t>
            </w:r>
            <w:r>
              <w:rPr>
                <w:color w:val="FF0000"/>
              </w:rPr>
              <w:t>”</w:t>
            </w:r>
          </w:p>
          <w:p w14:paraId="10FC49F0" w14:textId="77777777" w:rsidR="00F13E4A" w:rsidRDefault="00F13E4A" w:rsidP="00F13E4A">
            <w:pPr>
              <w:ind w:left="0" w:firstLine="0"/>
              <w:rPr>
                <w:b/>
                <w:color w:val="FF0000"/>
              </w:rPr>
            </w:pPr>
          </w:p>
          <w:p w14:paraId="313F5C97" w14:textId="597EF8A0" w:rsidR="00955ACD" w:rsidRDefault="00F50E55" w:rsidP="001041DD">
            <w:pPr>
              <w:ind w:left="0" w:firstLine="0"/>
              <w:rPr>
                <w:color w:val="FF0000"/>
              </w:rPr>
            </w:pPr>
            <w:r w:rsidRPr="00FD4330">
              <w:rPr>
                <w:b/>
                <w:color w:val="FF0000"/>
              </w:rPr>
              <w:t>Recommendation 2:</w:t>
            </w:r>
            <w:r>
              <w:rPr>
                <w:color w:val="FF0000"/>
              </w:rPr>
              <w:t xml:space="preserve"> </w:t>
            </w:r>
            <w:r w:rsidR="00955ACD" w:rsidRPr="00C824C7">
              <w:rPr>
                <w:color w:val="FF0000"/>
              </w:rPr>
              <w:t>[I]Recommended with substantial clinical confidence.</w:t>
            </w:r>
          </w:p>
          <w:p w14:paraId="6FEA1511" w14:textId="259E2878" w:rsidR="00F50E55" w:rsidRDefault="00F50E55" w:rsidP="00F50E55">
            <w:pPr>
              <w:ind w:left="0" w:firstLine="0"/>
              <w:rPr>
                <w:color w:val="FF0000"/>
              </w:rPr>
            </w:pPr>
            <w:r w:rsidRPr="00FD4330">
              <w:rPr>
                <w:b/>
                <w:color w:val="FF0000"/>
              </w:rPr>
              <w:t>Recommendation 3a</w:t>
            </w:r>
            <w:r w:rsidR="00F65417" w:rsidRPr="00FD4330">
              <w:rPr>
                <w:b/>
                <w:color w:val="FF0000"/>
              </w:rPr>
              <w:t xml:space="preserve"> (Pharmacologic Treatments)</w:t>
            </w:r>
            <w:r w:rsidRPr="00FD4330">
              <w:rPr>
                <w:b/>
                <w:color w:val="FF0000"/>
              </w:rPr>
              <w:t xml:space="preserve">: </w:t>
            </w:r>
            <w:r w:rsidRPr="00C824C7">
              <w:rPr>
                <w:color w:val="FF0000"/>
              </w:rPr>
              <w:t>[I]Recommended with substantial clinical confidence.</w:t>
            </w:r>
          </w:p>
          <w:p w14:paraId="64C45177" w14:textId="1C001A8B" w:rsidR="00F50E55" w:rsidRDefault="00F50E55" w:rsidP="00F50E55">
            <w:pPr>
              <w:ind w:left="0" w:firstLine="0"/>
              <w:rPr>
                <w:color w:val="FF0000"/>
              </w:rPr>
            </w:pPr>
            <w:r w:rsidRPr="00FD4330">
              <w:rPr>
                <w:b/>
                <w:color w:val="FF0000"/>
              </w:rPr>
              <w:t>Recommendation 3b</w:t>
            </w:r>
            <w:r w:rsidR="00F65417" w:rsidRPr="00FD4330">
              <w:rPr>
                <w:b/>
                <w:color w:val="FF0000"/>
              </w:rPr>
              <w:t xml:space="preserve"> (Psychosocial Treatments)</w:t>
            </w:r>
            <w:r w:rsidRPr="00FD4330">
              <w:rPr>
                <w:b/>
                <w:color w:val="FF0000"/>
              </w:rPr>
              <w:t>:</w:t>
            </w:r>
            <w:r>
              <w:rPr>
                <w:color w:val="FF0000"/>
              </w:rPr>
              <w:t xml:space="preserve"> </w:t>
            </w:r>
            <w:r w:rsidRPr="00C824C7">
              <w:rPr>
                <w:color w:val="FF0000"/>
              </w:rPr>
              <w:t>[I]Recommended with substantial clinical confidence.</w:t>
            </w:r>
          </w:p>
          <w:p w14:paraId="2FF1A7EF" w14:textId="16623933" w:rsidR="00F50E55" w:rsidRDefault="00F50E55" w:rsidP="00F50E55">
            <w:pPr>
              <w:ind w:left="0" w:firstLine="0"/>
              <w:rPr>
                <w:color w:val="FF0000"/>
              </w:rPr>
            </w:pPr>
          </w:p>
          <w:p w14:paraId="51392893" w14:textId="4493E8D6" w:rsidR="00FD4330" w:rsidRDefault="00FD4330" w:rsidP="00F50E55">
            <w:pPr>
              <w:ind w:left="0" w:firstLine="0"/>
              <w:rPr>
                <w:color w:val="FF0000"/>
              </w:rPr>
            </w:pPr>
            <w:r>
              <w:rPr>
                <w:color w:val="FF0000"/>
              </w:rPr>
              <w:t>Further broken down by diagnosis:</w:t>
            </w:r>
          </w:p>
          <w:p w14:paraId="79583F91" w14:textId="14207212" w:rsidR="00FD4330" w:rsidRPr="00FD4330" w:rsidRDefault="00FD4330" w:rsidP="00FD4330">
            <w:pPr>
              <w:ind w:left="0" w:firstLine="0"/>
              <w:rPr>
                <w:rFonts w:cstheme="minorHAnsi"/>
                <w:color w:val="FF0000"/>
              </w:rPr>
            </w:pPr>
            <w:r w:rsidRPr="00FD4330">
              <w:rPr>
                <w:rFonts w:cstheme="minorHAnsi"/>
                <w:b/>
                <w:color w:val="FF0000"/>
              </w:rPr>
              <w:t>Alcohol Use Disorder: Pharmacological Treatments</w:t>
            </w:r>
            <w:r w:rsidRPr="00FD4330">
              <w:rPr>
                <w:rFonts w:cstheme="minorHAnsi"/>
                <w:color w:val="FF0000"/>
              </w:rPr>
              <w:t xml:space="preserve"> (All [I]Recommended with substantial clinical confidence or </w:t>
            </w:r>
            <w:r w:rsidRPr="00FD4330">
              <w:rPr>
                <w:color w:val="FF0000"/>
              </w:rPr>
              <w:t>II] Recommended with moderate clinical confidence</w:t>
            </w:r>
            <w:r w:rsidRPr="00FD4330">
              <w:rPr>
                <w:rFonts w:cstheme="minorHAnsi"/>
                <w:color w:val="FF0000"/>
              </w:rPr>
              <w:t>)</w:t>
            </w:r>
          </w:p>
          <w:p w14:paraId="282FFD24" w14:textId="7FA86318" w:rsidR="00FD4330" w:rsidRPr="00FD4330" w:rsidRDefault="00FD4330" w:rsidP="00FD4330">
            <w:pPr>
              <w:autoSpaceDE w:val="0"/>
              <w:autoSpaceDN w:val="0"/>
              <w:adjustRightInd w:val="0"/>
              <w:ind w:left="0" w:firstLine="0"/>
              <w:rPr>
                <w:color w:val="FF0000"/>
              </w:rPr>
            </w:pPr>
            <w:r w:rsidRPr="00C824C7">
              <w:rPr>
                <w:rFonts w:cstheme="minorHAnsi"/>
                <w:b/>
                <w:color w:val="FF0000"/>
              </w:rPr>
              <w:t>Alcohol Use Disorder</w:t>
            </w:r>
            <w:r w:rsidRPr="00FD4330">
              <w:rPr>
                <w:rFonts w:cstheme="minorHAnsi"/>
                <w:b/>
                <w:color w:val="FF0000"/>
              </w:rPr>
              <w:t>: Psychosocial Treatments:</w:t>
            </w:r>
            <w:r w:rsidRPr="00FD4330">
              <w:rPr>
                <w:rFonts w:cstheme="minorHAnsi"/>
                <w:color w:val="FF0000"/>
              </w:rPr>
              <w:t xml:space="preserve"> [I]Recommended with substantial clinical confidence or</w:t>
            </w:r>
            <w:r w:rsidRPr="00FD4330">
              <w:rPr>
                <w:color w:val="FF0000"/>
              </w:rPr>
              <w:t xml:space="preserve"> [III] May be recommended </w:t>
            </w:r>
            <w:proofErr w:type="gramStart"/>
            <w:r w:rsidRPr="00FD4330">
              <w:rPr>
                <w:color w:val="FF0000"/>
              </w:rPr>
              <w:t>on the basis of</w:t>
            </w:r>
            <w:proofErr w:type="gramEnd"/>
            <w:r w:rsidRPr="00FD4330">
              <w:rPr>
                <w:color w:val="FF0000"/>
              </w:rPr>
              <w:t xml:space="preserve"> individual circumstances.</w:t>
            </w:r>
          </w:p>
          <w:p w14:paraId="305963B2" w14:textId="31848A29" w:rsidR="00FD4330" w:rsidRDefault="00FD4330" w:rsidP="00FD4330">
            <w:pPr>
              <w:ind w:left="0" w:firstLine="0"/>
              <w:rPr>
                <w:color w:val="FF0000"/>
              </w:rPr>
            </w:pPr>
          </w:p>
          <w:p w14:paraId="44B508FB" w14:textId="33330DF9" w:rsidR="00FD4330" w:rsidRDefault="00FD4330" w:rsidP="00FD4330">
            <w:pPr>
              <w:autoSpaceDE w:val="0"/>
              <w:autoSpaceDN w:val="0"/>
              <w:adjustRightInd w:val="0"/>
              <w:ind w:left="0" w:firstLine="0"/>
              <w:rPr>
                <w:rFonts w:cstheme="minorHAnsi"/>
                <w:color w:val="FF0000"/>
              </w:rPr>
            </w:pPr>
            <w:r w:rsidRPr="00C824C7">
              <w:rPr>
                <w:rFonts w:cstheme="minorHAnsi"/>
                <w:b/>
                <w:color w:val="FF0000"/>
              </w:rPr>
              <w:t>Opioid Use Disorder</w:t>
            </w:r>
            <w:r>
              <w:rPr>
                <w:rFonts w:cstheme="minorHAnsi"/>
                <w:b/>
                <w:color w:val="FF0000"/>
              </w:rPr>
              <w:t xml:space="preserve">: </w:t>
            </w:r>
            <w:r w:rsidRPr="00C824C7">
              <w:rPr>
                <w:rFonts w:cstheme="minorHAnsi"/>
                <w:b/>
                <w:color w:val="FF0000"/>
              </w:rPr>
              <w:t xml:space="preserve">Pharmacological Treatments </w:t>
            </w:r>
            <w:r w:rsidRPr="00FD4330">
              <w:rPr>
                <w:rFonts w:cstheme="minorHAnsi"/>
                <w:color w:val="FF0000"/>
              </w:rPr>
              <w:t>(All [I]Recommended with substantial clinical confidence)</w:t>
            </w:r>
          </w:p>
          <w:p w14:paraId="66CFC9EC" w14:textId="2EE0897E" w:rsidR="00955ACD" w:rsidRPr="00C824C7" w:rsidRDefault="00FD4330" w:rsidP="00FD4330">
            <w:pPr>
              <w:autoSpaceDE w:val="0"/>
              <w:autoSpaceDN w:val="0"/>
              <w:adjustRightInd w:val="0"/>
              <w:ind w:left="0" w:firstLine="0"/>
              <w:rPr>
                <w:color w:val="FF0000"/>
              </w:rPr>
            </w:pPr>
            <w:r w:rsidRPr="00C824C7">
              <w:rPr>
                <w:rFonts w:cstheme="minorHAnsi"/>
                <w:b/>
                <w:color w:val="FF0000"/>
              </w:rPr>
              <w:t>Opioid Use Disorder</w:t>
            </w:r>
            <w:r>
              <w:rPr>
                <w:rFonts w:cstheme="minorHAnsi"/>
                <w:b/>
                <w:color w:val="FF0000"/>
              </w:rPr>
              <w:t>: Psychosocial</w:t>
            </w:r>
            <w:r w:rsidRPr="00C824C7">
              <w:rPr>
                <w:rFonts w:cstheme="minorHAnsi"/>
                <w:b/>
                <w:color w:val="FF0000"/>
              </w:rPr>
              <w:t xml:space="preserve"> Treatments</w:t>
            </w:r>
            <w:r>
              <w:rPr>
                <w:rFonts w:cstheme="minorHAnsi"/>
                <w:b/>
                <w:color w:val="FF0000"/>
              </w:rPr>
              <w:t xml:space="preserve">: </w:t>
            </w:r>
            <w:r w:rsidRPr="00FD4330">
              <w:rPr>
                <w:rFonts w:cstheme="minorHAnsi"/>
                <w:color w:val="FF0000"/>
              </w:rPr>
              <w:t>[I]Recommended with substantial clinical confidence)</w:t>
            </w:r>
            <w:r>
              <w:rPr>
                <w:rFonts w:cstheme="minorHAnsi"/>
                <w:color w:val="FF0000"/>
              </w:rPr>
              <w:t xml:space="preserve">, </w:t>
            </w:r>
            <w:r w:rsidR="00955ACD" w:rsidRPr="00C824C7">
              <w:rPr>
                <w:color w:val="FF0000"/>
              </w:rPr>
              <w:t>[II] Recommended with moderate clinical confidence</w:t>
            </w:r>
            <w:r>
              <w:rPr>
                <w:color w:val="FF0000"/>
              </w:rPr>
              <w:t xml:space="preserve">, or </w:t>
            </w:r>
            <w:r w:rsidRPr="00FD4330">
              <w:rPr>
                <w:color w:val="FF0000"/>
              </w:rPr>
              <w:t xml:space="preserve">[III] </w:t>
            </w:r>
            <w:r w:rsidRPr="00FD4330">
              <w:rPr>
                <w:color w:val="FF0000"/>
              </w:rPr>
              <w:lastRenderedPageBreak/>
              <w:t xml:space="preserve">May be recommended </w:t>
            </w:r>
            <w:proofErr w:type="gramStart"/>
            <w:r w:rsidRPr="00FD4330">
              <w:rPr>
                <w:color w:val="FF0000"/>
              </w:rPr>
              <w:t>on the basis of</w:t>
            </w:r>
            <w:proofErr w:type="gramEnd"/>
            <w:r w:rsidRPr="00FD4330">
              <w:rPr>
                <w:color w:val="FF0000"/>
              </w:rPr>
              <w:t xml:space="preserve"> individual circumstances.</w:t>
            </w:r>
          </w:p>
        </w:tc>
      </w:tr>
      <w:tr w:rsidR="00955ACD" w:rsidRPr="00C824C7" w14:paraId="52A5473F" w14:textId="77777777" w:rsidTr="001041DD">
        <w:tc>
          <w:tcPr>
            <w:tcW w:w="3685" w:type="dxa"/>
          </w:tcPr>
          <w:p w14:paraId="3B91429E" w14:textId="77777777" w:rsidR="00955ACD" w:rsidRPr="00C824C7" w:rsidRDefault="00955ACD" w:rsidP="001041DD">
            <w:pPr>
              <w:ind w:left="0" w:firstLine="0"/>
              <w:rPr>
                <w:color w:val="FF0000"/>
              </w:rPr>
            </w:pPr>
            <w:r w:rsidRPr="00C824C7">
              <w:rPr>
                <w:color w:val="FF0000"/>
              </w:rPr>
              <w:lastRenderedPageBreak/>
              <w:t>Provide all other grades and definitions from the recommendation grading system</w:t>
            </w:r>
          </w:p>
        </w:tc>
        <w:tc>
          <w:tcPr>
            <w:tcW w:w="5665" w:type="dxa"/>
          </w:tcPr>
          <w:p w14:paraId="4A8E5D7C" w14:textId="000660AC" w:rsidR="00955ACD" w:rsidRPr="00C824C7" w:rsidRDefault="000D0B3E" w:rsidP="001041DD">
            <w:pPr>
              <w:ind w:left="0" w:firstLine="0"/>
              <w:rPr>
                <w:color w:val="FF0000"/>
              </w:rPr>
            </w:pPr>
            <w:r>
              <w:rPr>
                <w:color w:val="FF0000"/>
              </w:rPr>
              <w:t xml:space="preserve">None. </w:t>
            </w:r>
          </w:p>
        </w:tc>
      </w:tr>
      <w:tr w:rsidR="00955ACD" w:rsidRPr="00C824C7" w14:paraId="77EACD13" w14:textId="77777777" w:rsidTr="00FF1766">
        <w:trPr>
          <w:trHeight w:val="4040"/>
        </w:trPr>
        <w:tc>
          <w:tcPr>
            <w:tcW w:w="3685" w:type="dxa"/>
            <w:shd w:val="clear" w:color="auto" w:fill="auto"/>
          </w:tcPr>
          <w:p w14:paraId="29AB16A0" w14:textId="77777777" w:rsidR="00955ACD" w:rsidRPr="00C824C7" w:rsidRDefault="00955ACD" w:rsidP="001041DD">
            <w:pPr>
              <w:ind w:left="0" w:firstLine="0"/>
              <w:rPr>
                <w:color w:val="FF0000"/>
              </w:rPr>
            </w:pPr>
            <w:r w:rsidRPr="00C824C7">
              <w:rPr>
                <w:color w:val="FF0000"/>
              </w:rPr>
              <w:t>Body of evidence:</w:t>
            </w:r>
          </w:p>
          <w:p w14:paraId="238FD0B1" w14:textId="77777777" w:rsidR="00955ACD" w:rsidRPr="00C824C7" w:rsidRDefault="00955ACD" w:rsidP="001041DD">
            <w:pPr>
              <w:pStyle w:val="ListParagraph"/>
              <w:numPr>
                <w:ilvl w:val="0"/>
                <w:numId w:val="10"/>
              </w:numPr>
              <w:rPr>
                <w:color w:val="FF0000"/>
              </w:rPr>
            </w:pPr>
            <w:r w:rsidRPr="00C824C7">
              <w:rPr>
                <w:color w:val="FF0000"/>
              </w:rPr>
              <w:t>Quantity – how many studies?</w:t>
            </w:r>
          </w:p>
          <w:p w14:paraId="5F45E499" w14:textId="77777777" w:rsidR="00955ACD" w:rsidRPr="00C824C7" w:rsidRDefault="00955ACD" w:rsidP="001041DD">
            <w:pPr>
              <w:pStyle w:val="ListParagraph"/>
              <w:numPr>
                <w:ilvl w:val="0"/>
                <w:numId w:val="10"/>
              </w:numPr>
              <w:rPr>
                <w:color w:val="FF0000"/>
              </w:rPr>
            </w:pPr>
            <w:r w:rsidRPr="00C824C7">
              <w:rPr>
                <w:color w:val="FF0000"/>
              </w:rPr>
              <w:t>Quality – what type of studies?</w:t>
            </w:r>
          </w:p>
        </w:tc>
        <w:tc>
          <w:tcPr>
            <w:tcW w:w="5665" w:type="dxa"/>
          </w:tcPr>
          <w:p w14:paraId="175FBAAB" w14:textId="77777777" w:rsidR="00955ACD" w:rsidRPr="00C824C7" w:rsidRDefault="00955ACD" w:rsidP="001041DD">
            <w:pPr>
              <w:pStyle w:val="ListParagraph"/>
              <w:numPr>
                <w:ilvl w:val="0"/>
                <w:numId w:val="10"/>
              </w:numPr>
              <w:rPr>
                <w:color w:val="FF0000"/>
              </w:rPr>
            </w:pPr>
            <w:r w:rsidRPr="00C824C7">
              <w:rPr>
                <w:color w:val="FF0000"/>
              </w:rPr>
              <w:t xml:space="preserve">Authors included 1,063 studies that met inclusion criteria for this guideline after reviewing 89,231 references populated using a structured literature search in PubMed. </w:t>
            </w:r>
          </w:p>
          <w:p w14:paraId="4E88F9FA" w14:textId="5A13F9BE" w:rsidR="00955ACD" w:rsidRPr="00C824C7" w:rsidRDefault="00955ACD" w:rsidP="001041DD">
            <w:pPr>
              <w:pStyle w:val="ListParagraph"/>
              <w:numPr>
                <w:ilvl w:val="0"/>
                <w:numId w:val="10"/>
              </w:numPr>
              <w:rPr>
                <w:color w:val="FF0000"/>
              </w:rPr>
            </w:pPr>
            <w:r w:rsidRPr="00C824C7">
              <w:rPr>
                <w:color w:val="FF0000"/>
              </w:rPr>
              <w:t>“[Authors completed] A comprehensive literature review to identify all relevant randomized clinical trials as well as less rigorously designed clinical trials and case series when evidence from randomized trials was unavailable.</w:t>
            </w:r>
            <w:r w:rsidR="006A4340">
              <w:rPr>
                <w:color w:val="FF0000"/>
              </w:rPr>
              <w:t>”</w:t>
            </w:r>
            <w:r w:rsidRPr="00C824C7">
              <w:rPr>
                <w:color w:val="FF0000"/>
              </w:rPr>
              <w:t xml:space="preserve"> For additional details about the types of studies included as citations for this guideline, see “grade assigned to the evidence associated with the recommendation with the definition of the grade.”</w:t>
            </w:r>
          </w:p>
        </w:tc>
      </w:tr>
      <w:tr w:rsidR="00955ACD" w:rsidRPr="00C824C7" w14:paraId="350003D9" w14:textId="77777777" w:rsidTr="001041DD">
        <w:tc>
          <w:tcPr>
            <w:tcW w:w="3685" w:type="dxa"/>
          </w:tcPr>
          <w:p w14:paraId="05CA4944" w14:textId="77777777" w:rsidR="00955ACD" w:rsidRPr="00C824C7" w:rsidRDefault="00955ACD" w:rsidP="001041DD">
            <w:pPr>
              <w:ind w:left="0" w:firstLine="0"/>
              <w:rPr>
                <w:color w:val="FF0000"/>
                <w:highlight w:val="yellow"/>
              </w:rPr>
            </w:pPr>
            <w:r w:rsidRPr="00A605C0">
              <w:rPr>
                <w:color w:val="FF0000"/>
              </w:rPr>
              <w:t xml:space="preserve">Estimates of benefit and consistency across studies </w:t>
            </w:r>
          </w:p>
        </w:tc>
        <w:tc>
          <w:tcPr>
            <w:tcW w:w="5665" w:type="dxa"/>
          </w:tcPr>
          <w:p w14:paraId="3C6976D1" w14:textId="22EDE377" w:rsidR="00955ACD" w:rsidRPr="00C824C7" w:rsidRDefault="00E252D0" w:rsidP="001041DD">
            <w:pPr>
              <w:ind w:left="0" w:firstLine="0"/>
              <w:rPr>
                <w:color w:val="FF0000"/>
              </w:rPr>
            </w:pPr>
            <w:r w:rsidRPr="00A605C0">
              <w:rPr>
                <w:color w:val="FF0000"/>
              </w:rPr>
              <w:t>Across included studies, guidelines for the treatment of those with substance use disorders agree that psychosocial</w:t>
            </w:r>
            <w:r w:rsidR="00B84555" w:rsidRPr="00A605C0">
              <w:rPr>
                <w:color w:val="FF0000"/>
              </w:rPr>
              <w:t xml:space="preserve"> care, and in many cases, also</w:t>
            </w:r>
            <w:r w:rsidRPr="00A605C0">
              <w:rPr>
                <w:color w:val="FF0000"/>
              </w:rPr>
              <w:t xml:space="preserve"> pharmacological treatments</w:t>
            </w:r>
            <w:r w:rsidR="00A605C0" w:rsidRPr="00A605C0">
              <w:rPr>
                <w:color w:val="FF0000"/>
              </w:rPr>
              <w:t>,</w:t>
            </w:r>
            <w:r w:rsidRPr="00A605C0">
              <w:rPr>
                <w:color w:val="FF0000"/>
              </w:rPr>
              <w:t xml:space="preserve"> are an effective way </w:t>
            </w:r>
            <w:r w:rsidR="00A605C0" w:rsidRPr="00A605C0">
              <w:rPr>
                <w:color w:val="FF0000"/>
              </w:rPr>
              <w:t>to reduce morbidity and mortality.</w:t>
            </w:r>
          </w:p>
        </w:tc>
      </w:tr>
      <w:tr w:rsidR="00955ACD" w:rsidRPr="00C824C7" w14:paraId="1ECDCC69" w14:textId="77777777" w:rsidTr="001041DD">
        <w:tc>
          <w:tcPr>
            <w:tcW w:w="3685" w:type="dxa"/>
          </w:tcPr>
          <w:p w14:paraId="5CA06017" w14:textId="77777777" w:rsidR="00955ACD" w:rsidRPr="00C824C7" w:rsidRDefault="00955ACD" w:rsidP="001041DD">
            <w:pPr>
              <w:ind w:left="0" w:firstLine="0"/>
              <w:rPr>
                <w:color w:val="FF0000"/>
                <w:highlight w:val="yellow"/>
              </w:rPr>
            </w:pPr>
            <w:r w:rsidRPr="00D979F2">
              <w:rPr>
                <w:color w:val="FF0000"/>
              </w:rPr>
              <w:t>What harms were identified?</w:t>
            </w:r>
          </w:p>
        </w:tc>
        <w:tc>
          <w:tcPr>
            <w:tcW w:w="5665" w:type="dxa"/>
          </w:tcPr>
          <w:p w14:paraId="0F933E68" w14:textId="41782ABD" w:rsidR="00955ACD" w:rsidRPr="00C824C7" w:rsidRDefault="00D979F2" w:rsidP="001041DD">
            <w:pPr>
              <w:ind w:left="0" w:firstLine="0"/>
              <w:rPr>
                <w:color w:val="FF0000"/>
              </w:rPr>
            </w:pPr>
            <w:r>
              <w:rPr>
                <w:color w:val="FF0000"/>
              </w:rPr>
              <w:t>N/A</w:t>
            </w:r>
          </w:p>
        </w:tc>
      </w:tr>
      <w:tr w:rsidR="00955ACD" w:rsidRPr="00C824C7" w14:paraId="282FF030" w14:textId="77777777" w:rsidTr="001041DD">
        <w:tc>
          <w:tcPr>
            <w:tcW w:w="3685" w:type="dxa"/>
          </w:tcPr>
          <w:p w14:paraId="5827AD90" w14:textId="77777777" w:rsidR="00955ACD" w:rsidRPr="00C824C7" w:rsidRDefault="00955ACD" w:rsidP="001041DD">
            <w:pPr>
              <w:ind w:left="0" w:firstLine="0"/>
              <w:rPr>
                <w:color w:val="FF0000"/>
              </w:rPr>
            </w:pPr>
            <w:r w:rsidRPr="00C824C7">
              <w:rPr>
                <w:color w:val="FF0000"/>
              </w:rPr>
              <w:t>Identify any new studies conducted since the SR. Do the new studies change the conclusions from the SR?</w:t>
            </w:r>
          </w:p>
        </w:tc>
        <w:tc>
          <w:tcPr>
            <w:tcW w:w="5665" w:type="dxa"/>
          </w:tcPr>
          <w:p w14:paraId="053A49DA" w14:textId="3636BC91" w:rsidR="00955ACD" w:rsidRPr="00C824C7" w:rsidRDefault="0038370B" w:rsidP="001041DD">
            <w:pPr>
              <w:ind w:left="0" w:firstLine="0"/>
              <w:rPr>
                <w:color w:val="FF0000"/>
              </w:rPr>
            </w:pPr>
            <w:r>
              <w:rPr>
                <w:color w:val="FF0000"/>
              </w:rPr>
              <w:t xml:space="preserve">No. The conclusions drawn from this systematic review </w:t>
            </w:r>
            <w:r w:rsidR="00BA1780">
              <w:rPr>
                <w:color w:val="FF0000"/>
              </w:rPr>
              <w:t>remain relevant and current</w:t>
            </w:r>
            <w:r w:rsidR="00B76BAC">
              <w:rPr>
                <w:color w:val="FF0000"/>
              </w:rPr>
              <w:t>, except as superseded by more recent guidance below</w:t>
            </w:r>
            <w:r w:rsidR="00261A07">
              <w:rPr>
                <w:color w:val="FF0000"/>
              </w:rPr>
              <w:t xml:space="preserve"> specific to alcohol use disorder</w:t>
            </w:r>
            <w:r w:rsidR="00BA1780">
              <w:rPr>
                <w:color w:val="FF0000"/>
              </w:rPr>
              <w:t>.</w:t>
            </w:r>
          </w:p>
        </w:tc>
      </w:tr>
    </w:tbl>
    <w:p w14:paraId="4F555618" w14:textId="5190EAAD" w:rsidR="007266EB" w:rsidRPr="00FC0129" w:rsidRDefault="007266EB" w:rsidP="002E2177">
      <w:pPr>
        <w:ind w:left="0" w:firstLine="0"/>
        <w:rPr>
          <w:color w:val="FF0000"/>
        </w:rPr>
      </w:pPr>
    </w:p>
    <w:p w14:paraId="3F87D041" w14:textId="331415F1" w:rsidR="00DF356A" w:rsidRPr="00C824C7" w:rsidRDefault="00FC0129" w:rsidP="002E2177">
      <w:pPr>
        <w:ind w:left="0" w:firstLine="0"/>
        <w:rPr>
          <w:b/>
          <w:i/>
          <w:color w:val="FF0000"/>
        </w:rPr>
      </w:pPr>
      <w:r w:rsidRPr="00C824C7">
        <w:rPr>
          <w:b/>
          <w:i/>
          <w:color w:val="FF0000"/>
        </w:rPr>
        <w:t xml:space="preserve">Table </w:t>
      </w:r>
      <w:r w:rsidR="00091F1B" w:rsidRPr="00C824C7">
        <w:rPr>
          <w:b/>
          <w:i/>
          <w:color w:val="FF0000"/>
        </w:rPr>
        <w:t>2</w:t>
      </w:r>
      <w:r w:rsidRPr="00C824C7">
        <w:rPr>
          <w:b/>
          <w:i/>
          <w:color w:val="FF0000"/>
        </w:rPr>
        <w:t xml:space="preserve">: Clinical Practice Guideline </w:t>
      </w:r>
      <w:r w:rsidR="008E2784" w:rsidRPr="00C824C7">
        <w:rPr>
          <w:b/>
          <w:i/>
          <w:color w:val="FF0000"/>
        </w:rPr>
        <w:t>2</w:t>
      </w:r>
    </w:p>
    <w:tbl>
      <w:tblPr>
        <w:tblStyle w:val="TableGrid"/>
        <w:tblW w:w="0" w:type="auto"/>
        <w:tblLayout w:type="fixed"/>
        <w:tblLook w:val="04A0" w:firstRow="1" w:lastRow="0" w:firstColumn="1" w:lastColumn="0" w:noHBand="0" w:noVBand="1"/>
      </w:tblPr>
      <w:tblGrid>
        <w:gridCol w:w="3685"/>
        <w:gridCol w:w="5665"/>
      </w:tblGrid>
      <w:tr w:rsidR="00955ACD" w:rsidRPr="00FC0129" w14:paraId="7F94E397" w14:textId="77777777" w:rsidTr="001041DD">
        <w:tc>
          <w:tcPr>
            <w:tcW w:w="3685" w:type="dxa"/>
          </w:tcPr>
          <w:p w14:paraId="6C023A34" w14:textId="77777777" w:rsidR="00955ACD" w:rsidRPr="00FC0129" w:rsidRDefault="00955ACD" w:rsidP="001041DD">
            <w:pPr>
              <w:ind w:left="0" w:firstLine="0"/>
              <w:rPr>
                <w:b/>
                <w:color w:val="FF0000"/>
              </w:rPr>
            </w:pPr>
            <w:r w:rsidRPr="00FC0129">
              <w:rPr>
                <w:b/>
                <w:color w:val="FF0000"/>
              </w:rPr>
              <w:t>Source of Systematic Review:</w:t>
            </w:r>
          </w:p>
          <w:p w14:paraId="2C7FD12E" w14:textId="77777777" w:rsidR="00955ACD" w:rsidRPr="00FC0129" w:rsidRDefault="00955ACD" w:rsidP="001041DD">
            <w:pPr>
              <w:pStyle w:val="ListParagraph"/>
              <w:numPr>
                <w:ilvl w:val="0"/>
                <w:numId w:val="9"/>
              </w:numPr>
              <w:rPr>
                <w:b/>
                <w:color w:val="FF0000"/>
              </w:rPr>
            </w:pPr>
            <w:r w:rsidRPr="00FC0129">
              <w:rPr>
                <w:b/>
                <w:color w:val="FF0000"/>
              </w:rPr>
              <w:t>Title</w:t>
            </w:r>
          </w:p>
          <w:p w14:paraId="3E88A7F4" w14:textId="77777777" w:rsidR="00955ACD" w:rsidRPr="00FC0129" w:rsidRDefault="00955ACD" w:rsidP="001041DD">
            <w:pPr>
              <w:pStyle w:val="ListParagraph"/>
              <w:numPr>
                <w:ilvl w:val="0"/>
                <w:numId w:val="9"/>
              </w:numPr>
              <w:rPr>
                <w:b/>
                <w:color w:val="FF0000"/>
              </w:rPr>
            </w:pPr>
            <w:r w:rsidRPr="00FC0129">
              <w:rPr>
                <w:b/>
                <w:color w:val="FF0000"/>
              </w:rPr>
              <w:t>Author</w:t>
            </w:r>
          </w:p>
          <w:p w14:paraId="1BA0181B" w14:textId="77777777" w:rsidR="00955ACD" w:rsidRPr="00FC0129" w:rsidRDefault="00955ACD" w:rsidP="001041DD">
            <w:pPr>
              <w:pStyle w:val="ListParagraph"/>
              <w:numPr>
                <w:ilvl w:val="0"/>
                <w:numId w:val="9"/>
              </w:numPr>
              <w:rPr>
                <w:b/>
                <w:color w:val="FF0000"/>
              </w:rPr>
            </w:pPr>
            <w:r w:rsidRPr="00FC0129">
              <w:rPr>
                <w:b/>
                <w:color w:val="FF0000"/>
              </w:rPr>
              <w:t>Date</w:t>
            </w:r>
          </w:p>
          <w:p w14:paraId="67C97CD4" w14:textId="77777777" w:rsidR="00955ACD" w:rsidRPr="00FC0129" w:rsidRDefault="00955ACD" w:rsidP="001041DD">
            <w:pPr>
              <w:pStyle w:val="ListParagraph"/>
              <w:numPr>
                <w:ilvl w:val="0"/>
                <w:numId w:val="9"/>
              </w:numPr>
              <w:rPr>
                <w:b/>
                <w:color w:val="FF0000"/>
              </w:rPr>
            </w:pPr>
            <w:r w:rsidRPr="00FC0129">
              <w:rPr>
                <w:b/>
                <w:color w:val="FF0000"/>
              </w:rPr>
              <w:t>Citation, including page number</w:t>
            </w:r>
          </w:p>
          <w:p w14:paraId="37C6B39F" w14:textId="77777777" w:rsidR="00955ACD" w:rsidRPr="00FC0129" w:rsidRDefault="00955ACD" w:rsidP="001041DD">
            <w:pPr>
              <w:pStyle w:val="ListParagraph"/>
              <w:numPr>
                <w:ilvl w:val="0"/>
                <w:numId w:val="9"/>
              </w:numPr>
              <w:rPr>
                <w:b/>
                <w:color w:val="FF0000"/>
              </w:rPr>
            </w:pPr>
            <w:r w:rsidRPr="00FC0129">
              <w:rPr>
                <w:b/>
                <w:color w:val="FF0000"/>
              </w:rPr>
              <w:t>URL</w:t>
            </w:r>
          </w:p>
        </w:tc>
        <w:tc>
          <w:tcPr>
            <w:tcW w:w="5665" w:type="dxa"/>
          </w:tcPr>
          <w:p w14:paraId="5CE5B619" w14:textId="77777777" w:rsidR="00955ACD" w:rsidRPr="00FC0129" w:rsidRDefault="00955ACD" w:rsidP="001041DD">
            <w:pPr>
              <w:pStyle w:val="ListParagraph"/>
              <w:numPr>
                <w:ilvl w:val="0"/>
                <w:numId w:val="9"/>
              </w:numPr>
              <w:rPr>
                <w:color w:val="FF0000"/>
              </w:rPr>
            </w:pPr>
            <w:r w:rsidRPr="00FC0129">
              <w:rPr>
                <w:color w:val="FF0000"/>
              </w:rPr>
              <w:t>Practice Guideline for the Pharmacological Treatment of Patients with Alcohol Use Disorder</w:t>
            </w:r>
          </w:p>
          <w:p w14:paraId="7387C707" w14:textId="77777777" w:rsidR="00955ACD" w:rsidRPr="00FC0129" w:rsidRDefault="00955ACD" w:rsidP="001041DD">
            <w:pPr>
              <w:pStyle w:val="ListParagraph"/>
              <w:numPr>
                <w:ilvl w:val="0"/>
                <w:numId w:val="9"/>
              </w:numPr>
              <w:rPr>
                <w:color w:val="FF0000"/>
              </w:rPr>
            </w:pPr>
            <w:r w:rsidRPr="00FC0129">
              <w:rPr>
                <w:color w:val="FF0000"/>
              </w:rPr>
              <w:t>American Psychiatric Association</w:t>
            </w:r>
          </w:p>
          <w:p w14:paraId="3AEB519A" w14:textId="6A409831" w:rsidR="00955ACD" w:rsidRPr="00FC0129" w:rsidRDefault="00955ACD" w:rsidP="001041DD">
            <w:pPr>
              <w:pStyle w:val="ListParagraph"/>
              <w:numPr>
                <w:ilvl w:val="0"/>
                <w:numId w:val="9"/>
              </w:numPr>
              <w:rPr>
                <w:color w:val="FF0000"/>
              </w:rPr>
            </w:pPr>
            <w:r w:rsidRPr="00FC0129">
              <w:rPr>
                <w:color w:val="FF0000"/>
              </w:rPr>
              <w:t>201</w:t>
            </w:r>
            <w:r w:rsidR="000F372A">
              <w:rPr>
                <w:color w:val="FF0000"/>
              </w:rPr>
              <w:t>8</w:t>
            </w:r>
          </w:p>
          <w:p w14:paraId="70A656BC" w14:textId="3E77A220" w:rsidR="00955ACD" w:rsidRPr="00FC0129" w:rsidRDefault="00BB1102" w:rsidP="001041DD">
            <w:pPr>
              <w:pStyle w:val="ListParagraph"/>
              <w:numPr>
                <w:ilvl w:val="0"/>
                <w:numId w:val="9"/>
              </w:numPr>
              <w:rPr>
                <w:color w:val="FF0000"/>
              </w:rPr>
            </w:pPr>
            <w:r>
              <w:rPr>
                <w:color w:val="FF0000"/>
              </w:rPr>
              <w:t>Reus, V. et al. (</w:t>
            </w:r>
            <w:r w:rsidR="00581E63">
              <w:rPr>
                <w:color w:val="FF0000"/>
              </w:rPr>
              <w:t xml:space="preserve">2018). </w:t>
            </w:r>
            <w:r w:rsidR="00955ACD" w:rsidRPr="00581E63">
              <w:rPr>
                <w:color w:val="FF0000"/>
              </w:rPr>
              <w:t>Practice Guideline for the Pharmacological Treatment of Patients with Alcohol Use Disorder</w:t>
            </w:r>
            <w:r w:rsidR="00955ACD" w:rsidRPr="00FC0129">
              <w:rPr>
                <w:i/>
                <w:color w:val="FF0000"/>
              </w:rPr>
              <w:t xml:space="preserve">. </w:t>
            </w:r>
            <w:r w:rsidR="00581E63">
              <w:rPr>
                <w:i/>
                <w:color w:val="FF0000"/>
              </w:rPr>
              <w:t>American Journal of Psychiatry</w:t>
            </w:r>
            <w:r w:rsidR="006771C8">
              <w:rPr>
                <w:i/>
                <w:color w:val="FF0000"/>
              </w:rPr>
              <w:t>,</w:t>
            </w:r>
            <w:r w:rsidR="00581E63">
              <w:rPr>
                <w:i/>
                <w:color w:val="FF0000"/>
              </w:rPr>
              <w:t xml:space="preserve"> </w:t>
            </w:r>
            <w:r w:rsidR="00995D24">
              <w:rPr>
                <w:i/>
                <w:color w:val="FF0000"/>
              </w:rPr>
              <w:t>175(1)</w:t>
            </w:r>
            <w:r w:rsidR="00E02F34">
              <w:rPr>
                <w:i/>
                <w:color w:val="FF0000"/>
              </w:rPr>
              <w:t>,</w:t>
            </w:r>
            <w:r w:rsidR="00A461BA">
              <w:rPr>
                <w:i/>
                <w:color w:val="FF0000"/>
              </w:rPr>
              <w:t xml:space="preserve"> 86-90</w:t>
            </w:r>
            <w:r w:rsidR="00E02F34">
              <w:rPr>
                <w:i/>
                <w:color w:val="FF0000"/>
              </w:rPr>
              <w:t xml:space="preserve">. </w:t>
            </w:r>
            <w:proofErr w:type="gramStart"/>
            <w:r w:rsidR="00215C2A">
              <w:rPr>
                <w:i/>
                <w:color w:val="FF0000"/>
              </w:rPr>
              <w:t>d</w:t>
            </w:r>
            <w:r w:rsidR="00E02F34">
              <w:rPr>
                <w:i/>
                <w:color w:val="FF0000"/>
              </w:rPr>
              <w:t>oi:</w:t>
            </w:r>
            <w:r w:rsidR="00A25A68">
              <w:rPr>
                <w:color w:val="000000"/>
                <w:shd w:val="clear" w:color="auto" w:fill="FFFFFF"/>
              </w:rPr>
              <w:t>10.1176/appi.ajp</w:t>
            </w:r>
            <w:proofErr w:type="gramEnd"/>
            <w:r w:rsidR="00A25A68">
              <w:rPr>
                <w:color w:val="000000"/>
                <w:shd w:val="clear" w:color="auto" w:fill="FFFFFF"/>
              </w:rPr>
              <w:t>.2017.1750101</w:t>
            </w:r>
          </w:p>
          <w:p w14:paraId="385A69AD" w14:textId="77777777" w:rsidR="00955ACD" w:rsidRPr="00FC0129" w:rsidRDefault="00955ACD" w:rsidP="001041DD">
            <w:pPr>
              <w:pStyle w:val="ListParagraph"/>
              <w:numPr>
                <w:ilvl w:val="0"/>
                <w:numId w:val="9"/>
              </w:numPr>
              <w:rPr>
                <w:color w:val="FF0000"/>
              </w:rPr>
            </w:pPr>
            <w:r w:rsidRPr="00FC0129">
              <w:rPr>
                <w:color w:val="FF0000"/>
              </w:rPr>
              <w:t xml:space="preserve">https://psychiatryonline.org/doi/pdf/10.1176/appi.books.9781615371969 </w:t>
            </w:r>
          </w:p>
        </w:tc>
      </w:tr>
      <w:tr w:rsidR="00955ACD" w:rsidRPr="00FC0129" w14:paraId="624AA017" w14:textId="77777777" w:rsidTr="001041DD">
        <w:tc>
          <w:tcPr>
            <w:tcW w:w="3685" w:type="dxa"/>
          </w:tcPr>
          <w:p w14:paraId="0DEC1E94" w14:textId="77777777" w:rsidR="00955ACD" w:rsidRPr="00FC0129" w:rsidRDefault="00955ACD" w:rsidP="001041DD">
            <w:pPr>
              <w:ind w:left="0" w:firstLine="0"/>
              <w:rPr>
                <w:color w:val="FF0000"/>
              </w:rPr>
            </w:pPr>
            <w:r w:rsidRPr="00FC0129">
              <w:rPr>
                <w:color w:val="FF0000"/>
              </w:rPr>
              <w:t xml:space="preserve">Quote the guideline or recommendation verbatim about the process, structure or intermediate outcome being measured. If not a </w:t>
            </w:r>
            <w:r w:rsidRPr="00FC0129">
              <w:rPr>
                <w:color w:val="FF0000"/>
              </w:rPr>
              <w:lastRenderedPageBreak/>
              <w:t>guideline, summarize the conclusions from the SR.</w:t>
            </w:r>
          </w:p>
        </w:tc>
        <w:tc>
          <w:tcPr>
            <w:tcW w:w="5665" w:type="dxa"/>
          </w:tcPr>
          <w:p w14:paraId="365DDE05" w14:textId="77777777" w:rsidR="00955ACD" w:rsidRPr="00FC0129" w:rsidRDefault="00955ACD" w:rsidP="001041DD">
            <w:pPr>
              <w:ind w:left="0" w:firstLine="0"/>
              <w:rPr>
                <w:color w:val="FF0000"/>
              </w:rPr>
            </w:pPr>
            <w:r w:rsidRPr="00FC0129">
              <w:rPr>
                <w:color w:val="FF0000"/>
              </w:rPr>
              <w:lastRenderedPageBreak/>
              <w:t>“Statement 8. APA recommends (1C) that patients with alcohol use disorder have a documented comprehensive</w:t>
            </w:r>
          </w:p>
          <w:p w14:paraId="4A1B3FE1" w14:textId="77777777" w:rsidR="00955ACD" w:rsidRPr="00FC0129" w:rsidRDefault="00955ACD" w:rsidP="001041DD">
            <w:pPr>
              <w:ind w:left="0" w:firstLine="0"/>
              <w:rPr>
                <w:color w:val="FF0000"/>
              </w:rPr>
            </w:pPr>
            <w:r w:rsidRPr="00FC0129">
              <w:rPr>
                <w:color w:val="FF0000"/>
              </w:rPr>
              <w:t>and person-centered treatment plan that includes evidence-based nonpharmacological and pharmacological</w:t>
            </w:r>
          </w:p>
          <w:p w14:paraId="126E8151" w14:textId="77777777" w:rsidR="00955ACD" w:rsidRPr="00FC0129" w:rsidRDefault="00955ACD" w:rsidP="001041DD">
            <w:pPr>
              <w:ind w:left="0" w:firstLine="0"/>
              <w:rPr>
                <w:color w:val="FF0000"/>
              </w:rPr>
            </w:pPr>
            <w:r w:rsidRPr="00FC0129">
              <w:rPr>
                <w:color w:val="FF0000"/>
              </w:rPr>
              <w:lastRenderedPageBreak/>
              <w:t>treatments.”</w:t>
            </w:r>
          </w:p>
          <w:p w14:paraId="3463CD74" w14:textId="77777777" w:rsidR="00955ACD" w:rsidRPr="00FC0129" w:rsidRDefault="00955ACD" w:rsidP="001041DD">
            <w:pPr>
              <w:ind w:left="0" w:firstLine="0"/>
              <w:rPr>
                <w:color w:val="FF0000"/>
              </w:rPr>
            </w:pPr>
          </w:p>
          <w:p w14:paraId="73CDAA7D" w14:textId="77777777" w:rsidR="00955ACD" w:rsidRPr="00FC0129" w:rsidRDefault="00955ACD" w:rsidP="001041DD">
            <w:pPr>
              <w:ind w:left="0" w:firstLine="0"/>
              <w:rPr>
                <w:color w:val="FF0000"/>
              </w:rPr>
            </w:pPr>
            <w:r w:rsidRPr="00FC0129">
              <w:rPr>
                <w:color w:val="FF0000"/>
              </w:rPr>
              <w:t>“Statement 9. APA recommends (1B) that naltrexone or acamprosate be offered to patients with moderate to severe</w:t>
            </w:r>
          </w:p>
          <w:p w14:paraId="341264F6" w14:textId="77777777" w:rsidR="00955ACD" w:rsidRPr="00FC0129" w:rsidRDefault="00955ACD" w:rsidP="001041DD">
            <w:pPr>
              <w:ind w:left="0" w:firstLine="0"/>
              <w:rPr>
                <w:color w:val="FF0000"/>
              </w:rPr>
            </w:pPr>
            <w:r w:rsidRPr="00FC0129">
              <w:rPr>
                <w:color w:val="FF0000"/>
              </w:rPr>
              <w:t>alcohol use disorder who</w:t>
            </w:r>
          </w:p>
          <w:p w14:paraId="40B80C68" w14:textId="77777777" w:rsidR="00955ACD" w:rsidRPr="00FC0129" w:rsidRDefault="00955ACD" w:rsidP="001041DD">
            <w:pPr>
              <w:ind w:left="0" w:firstLine="0"/>
              <w:rPr>
                <w:color w:val="FF0000"/>
              </w:rPr>
            </w:pPr>
            <w:r w:rsidRPr="00FC0129">
              <w:rPr>
                <w:color w:val="FF0000"/>
              </w:rPr>
              <w:t>• have a goal of reducing alcohol consumption or achieving abstinence,</w:t>
            </w:r>
          </w:p>
          <w:p w14:paraId="6FC0BFDB" w14:textId="77777777" w:rsidR="00955ACD" w:rsidRPr="00FC0129" w:rsidRDefault="00955ACD" w:rsidP="001041DD">
            <w:pPr>
              <w:ind w:left="0" w:firstLine="0"/>
              <w:rPr>
                <w:color w:val="FF0000"/>
              </w:rPr>
            </w:pPr>
            <w:r w:rsidRPr="00FC0129">
              <w:rPr>
                <w:color w:val="FF0000"/>
              </w:rPr>
              <w:t>• prefer pharmacotherapy or have not responded to nonpharmacological treatments alone, and</w:t>
            </w:r>
          </w:p>
          <w:p w14:paraId="508D18BD" w14:textId="77777777" w:rsidR="00955ACD" w:rsidRPr="00FC0129" w:rsidRDefault="00955ACD" w:rsidP="001041DD">
            <w:pPr>
              <w:ind w:left="0" w:firstLine="0"/>
              <w:rPr>
                <w:color w:val="FF0000"/>
              </w:rPr>
            </w:pPr>
            <w:r w:rsidRPr="00FC0129">
              <w:rPr>
                <w:color w:val="FF0000"/>
              </w:rPr>
              <w:t>• have no contraindications to the use of these medications.”</w:t>
            </w:r>
          </w:p>
          <w:p w14:paraId="4FFADEF4" w14:textId="77777777" w:rsidR="00955ACD" w:rsidRPr="00FC0129" w:rsidRDefault="00955ACD" w:rsidP="001041DD">
            <w:pPr>
              <w:ind w:left="0" w:firstLine="0"/>
              <w:rPr>
                <w:color w:val="FF0000"/>
              </w:rPr>
            </w:pPr>
          </w:p>
          <w:p w14:paraId="66481DBD" w14:textId="77777777" w:rsidR="00955ACD" w:rsidRPr="00FC0129" w:rsidRDefault="00955ACD" w:rsidP="001041DD">
            <w:pPr>
              <w:ind w:left="0" w:firstLine="0"/>
              <w:rPr>
                <w:color w:val="FF0000"/>
              </w:rPr>
            </w:pPr>
            <w:r w:rsidRPr="00FC0129">
              <w:rPr>
                <w:color w:val="FF0000"/>
              </w:rPr>
              <w:t>“Statement 10. APA suggests (2C) that disulfiram be offered to patients with moderate to severe alcohol use disorder</w:t>
            </w:r>
          </w:p>
          <w:p w14:paraId="77A9D976" w14:textId="77777777" w:rsidR="00955ACD" w:rsidRPr="00FC0129" w:rsidRDefault="00955ACD" w:rsidP="001041DD">
            <w:pPr>
              <w:ind w:left="0" w:firstLine="0"/>
              <w:rPr>
                <w:color w:val="FF0000"/>
              </w:rPr>
            </w:pPr>
            <w:r w:rsidRPr="00FC0129">
              <w:rPr>
                <w:color w:val="FF0000"/>
              </w:rPr>
              <w:t>who</w:t>
            </w:r>
          </w:p>
          <w:p w14:paraId="4A088318" w14:textId="77777777" w:rsidR="00955ACD" w:rsidRPr="00FC0129" w:rsidRDefault="00955ACD" w:rsidP="001041DD">
            <w:pPr>
              <w:ind w:left="0" w:firstLine="0"/>
              <w:rPr>
                <w:color w:val="FF0000"/>
              </w:rPr>
            </w:pPr>
            <w:r w:rsidRPr="00FC0129">
              <w:rPr>
                <w:color w:val="FF0000"/>
              </w:rPr>
              <w:t>• have a goal of achieving abstinence,</w:t>
            </w:r>
          </w:p>
          <w:p w14:paraId="439A1A0B" w14:textId="77777777" w:rsidR="00955ACD" w:rsidRPr="00FC0129" w:rsidRDefault="00955ACD" w:rsidP="001041DD">
            <w:pPr>
              <w:ind w:left="0" w:firstLine="0"/>
              <w:rPr>
                <w:color w:val="FF0000"/>
              </w:rPr>
            </w:pPr>
            <w:r w:rsidRPr="00FC0129">
              <w:rPr>
                <w:color w:val="FF0000"/>
              </w:rPr>
              <w:t>• prefer disulfiram or are intolerant to or have not responded to naltrexone and acamprosate,</w:t>
            </w:r>
          </w:p>
          <w:p w14:paraId="09E5E82C" w14:textId="77777777" w:rsidR="00955ACD" w:rsidRPr="00FC0129" w:rsidRDefault="00955ACD" w:rsidP="001041DD">
            <w:pPr>
              <w:ind w:left="0" w:firstLine="0"/>
              <w:rPr>
                <w:color w:val="FF0000"/>
              </w:rPr>
            </w:pPr>
            <w:r w:rsidRPr="00FC0129">
              <w:rPr>
                <w:color w:val="FF0000"/>
              </w:rPr>
              <w:t xml:space="preserve">• </w:t>
            </w:r>
            <w:proofErr w:type="gramStart"/>
            <w:r w:rsidRPr="00FC0129">
              <w:rPr>
                <w:color w:val="FF0000"/>
              </w:rPr>
              <w:t>are capable of understanding</w:t>
            </w:r>
            <w:proofErr w:type="gramEnd"/>
            <w:r w:rsidRPr="00FC0129">
              <w:rPr>
                <w:color w:val="FF0000"/>
              </w:rPr>
              <w:t xml:space="preserve"> the risks of alcohol consumption while taking disulfiram, and</w:t>
            </w:r>
          </w:p>
          <w:p w14:paraId="5408A119" w14:textId="77777777" w:rsidR="00955ACD" w:rsidRPr="00FC0129" w:rsidRDefault="00955ACD" w:rsidP="001041DD">
            <w:pPr>
              <w:ind w:left="0" w:firstLine="0"/>
              <w:rPr>
                <w:color w:val="FF0000"/>
              </w:rPr>
            </w:pPr>
            <w:r w:rsidRPr="00FC0129">
              <w:rPr>
                <w:color w:val="FF0000"/>
              </w:rPr>
              <w:t>• have no contraindications to the use of this medication.”</w:t>
            </w:r>
          </w:p>
          <w:p w14:paraId="6A191000" w14:textId="77777777" w:rsidR="00955ACD" w:rsidRPr="00FC0129" w:rsidRDefault="00955ACD" w:rsidP="001041DD">
            <w:pPr>
              <w:ind w:left="0" w:firstLine="0"/>
              <w:rPr>
                <w:color w:val="FF0000"/>
              </w:rPr>
            </w:pPr>
          </w:p>
          <w:p w14:paraId="5E87BA9F" w14:textId="77777777" w:rsidR="00955ACD" w:rsidRPr="00FC0129" w:rsidRDefault="00955ACD" w:rsidP="001041DD">
            <w:pPr>
              <w:ind w:left="0" w:firstLine="0"/>
              <w:rPr>
                <w:color w:val="FF0000"/>
              </w:rPr>
            </w:pPr>
            <w:r w:rsidRPr="00FC0129">
              <w:rPr>
                <w:color w:val="FF0000"/>
              </w:rPr>
              <w:t>“Statement 11. APA suggests (2C) that topiramate or gabapentin be offered to patients with moderate to severe alcohol</w:t>
            </w:r>
            <w:r>
              <w:rPr>
                <w:color w:val="FF0000"/>
              </w:rPr>
              <w:t xml:space="preserve"> </w:t>
            </w:r>
            <w:r w:rsidRPr="00FC0129">
              <w:rPr>
                <w:color w:val="FF0000"/>
              </w:rPr>
              <w:t>use disorder who</w:t>
            </w:r>
          </w:p>
          <w:p w14:paraId="180F51D0" w14:textId="77777777" w:rsidR="00955ACD" w:rsidRPr="00FC0129" w:rsidRDefault="00955ACD" w:rsidP="001041DD">
            <w:pPr>
              <w:ind w:left="0" w:firstLine="0"/>
              <w:rPr>
                <w:color w:val="FF0000"/>
              </w:rPr>
            </w:pPr>
            <w:r w:rsidRPr="00FC0129">
              <w:rPr>
                <w:color w:val="FF0000"/>
              </w:rPr>
              <w:t>• have a goal of reducing alcohol consumption or achieving abstinence,</w:t>
            </w:r>
          </w:p>
          <w:p w14:paraId="1EC24931" w14:textId="77777777" w:rsidR="00955ACD" w:rsidRPr="00FC0129" w:rsidRDefault="00955ACD" w:rsidP="001041DD">
            <w:pPr>
              <w:ind w:left="0" w:firstLine="0"/>
              <w:rPr>
                <w:color w:val="FF0000"/>
              </w:rPr>
            </w:pPr>
            <w:r w:rsidRPr="00FC0129">
              <w:rPr>
                <w:color w:val="FF0000"/>
              </w:rPr>
              <w:t>• prefer topiramate or gabapentin or are intolerant to or have not responded to naltrexone and acamprosate,</w:t>
            </w:r>
          </w:p>
          <w:p w14:paraId="1E7EB239" w14:textId="77777777" w:rsidR="00955ACD" w:rsidRPr="00FC0129" w:rsidRDefault="00955ACD" w:rsidP="001041DD">
            <w:pPr>
              <w:ind w:left="0" w:firstLine="0"/>
              <w:rPr>
                <w:color w:val="FF0000"/>
              </w:rPr>
            </w:pPr>
            <w:r w:rsidRPr="00FC0129">
              <w:rPr>
                <w:color w:val="FF0000"/>
              </w:rPr>
              <w:t>and</w:t>
            </w:r>
          </w:p>
          <w:p w14:paraId="7D87EAE0" w14:textId="77777777" w:rsidR="00955ACD" w:rsidRPr="00FC0129" w:rsidRDefault="00955ACD" w:rsidP="001041DD">
            <w:pPr>
              <w:ind w:left="0" w:firstLine="0"/>
              <w:rPr>
                <w:color w:val="FF0000"/>
              </w:rPr>
            </w:pPr>
            <w:r w:rsidRPr="00FC0129">
              <w:rPr>
                <w:color w:val="FF0000"/>
              </w:rPr>
              <w:t>• have no contraindications to the use of these medications.”</w:t>
            </w:r>
          </w:p>
        </w:tc>
      </w:tr>
      <w:tr w:rsidR="00955ACD" w:rsidRPr="00FC0129" w14:paraId="1B3EE323" w14:textId="77777777" w:rsidTr="001041DD">
        <w:tc>
          <w:tcPr>
            <w:tcW w:w="3685" w:type="dxa"/>
          </w:tcPr>
          <w:p w14:paraId="63EC70FD" w14:textId="77777777" w:rsidR="00955ACD" w:rsidRPr="00FC0129" w:rsidRDefault="00955ACD" w:rsidP="001041DD">
            <w:pPr>
              <w:ind w:left="0" w:firstLine="0"/>
              <w:rPr>
                <w:color w:val="FF0000"/>
              </w:rPr>
            </w:pPr>
            <w:r w:rsidRPr="00FC0129">
              <w:rPr>
                <w:color w:val="FF0000"/>
              </w:rPr>
              <w:lastRenderedPageBreak/>
              <w:t xml:space="preserve">Grade assigned to the </w:t>
            </w:r>
            <w:r w:rsidRPr="00FC0129">
              <w:rPr>
                <w:b/>
                <w:color w:val="FF0000"/>
              </w:rPr>
              <w:t>evidence</w:t>
            </w:r>
            <w:r w:rsidRPr="00FC0129">
              <w:rPr>
                <w:color w:val="FF0000"/>
              </w:rPr>
              <w:t xml:space="preserve"> associated with the recommendation with the definition of the grade</w:t>
            </w:r>
          </w:p>
        </w:tc>
        <w:tc>
          <w:tcPr>
            <w:tcW w:w="5665" w:type="dxa"/>
          </w:tcPr>
          <w:p w14:paraId="4C465002" w14:textId="0DF53374" w:rsidR="00B31436" w:rsidRPr="00DC6310" w:rsidRDefault="00B31436" w:rsidP="00B31436">
            <w:pPr>
              <w:pStyle w:val="BodyText"/>
              <w:spacing w:after="120"/>
              <w:rPr>
                <w:rFonts w:asciiTheme="minorHAnsi" w:hAnsiTheme="minorHAnsi" w:cstheme="minorHAnsi"/>
                <w:color w:val="FF0000"/>
                <w:sz w:val="22"/>
                <w:szCs w:val="22"/>
              </w:rPr>
            </w:pPr>
            <w:r>
              <w:rPr>
                <w:rFonts w:asciiTheme="minorHAnsi" w:hAnsiTheme="minorHAnsi" w:cstheme="minorHAnsi"/>
                <w:color w:val="FF0000"/>
                <w:sz w:val="22"/>
                <w:szCs w:val="22"/>
              </w:rPr>
              <w:t xml:space="preserve">Statement 8: “A” rating for evidence: </w:t>
            </w:r>
            <w:r w:rsidRPr="00DC6310">
              <w:rPr>
                <w:rFonts w:asciiTheme="minorHAnsi" w:hAnsiTheme="minorHAnsi" w:cstheme="minorHAnsi"/>
                <w:color w:val="FF0000"/>
                <w:sz w:val="22"/>
                <w:szCs w:val="22"/>
              </w:rPr>
              <w:t>High confidence that the evidence reflects the true effect.</w:t>
            </w:r>
            <w:r>
              <w:rPr>
                <w:rFonts w:asciiTheme="minorHAnsi" w:hAnsiTheme="minorHAnsi" w:cstheme="minorHAnsi"/>
                <w:color w:val="FF0000"/>
                <w:sz w:val="22"/>
                <w:szCs w:val="22"/>
              </w:rPr>
              <w:t xml:space="preserve"> </w:t>
            </w:r>
            <w:r w:rsidRPr="00DC6310">
              <w:rPr>
                <w:rFonts w:asciiTheme="minorHAnsi" w:hAnsiTheme="minorHAnsi" w:cstheme="minorHAnsi"/>
                <w:color w:val="FF0000"/>
                <w:sz w:val="22"/>
                <w:szCs w:val="22"/>
              </w:rPr>
              <w:t>Further research is very unlikely to change our confidence in the estimate of effect.</w:t>
            </w:r>
          </w:p>
          <w:p w14:paraId="45F30FCB" w14:textId="73499D01" w:rsidR="00B31436" w:rsidRDefault="00B31436" w:rsidP="00B31436">
            <w:pPr>
              <w:pStyle w:val="BodyText"/>
              <w:spacing w:after="120"/>
              <w:rPr>
                <w:rFonts w:asciiTheme="minorHAnsi" w:hAnsiTheme="minorHAnsi" w:cstheme="minorHAnsi"/>
                <w:color w:val="FF0000"/>
                <w:sz w:val="22"/>
                <w:szCs w:val="22"/>
              </w:rPr>
            </w:pPr>
            <w:r>
              <w:rPr>
                <w:rFonts w:asciiTheme="minorHAnsi" w:hAnsiTheme="minorHAnsi" w:cstheme="minorHAnsi"/>
                <w:color w:val="FF0000"/>
                <w:sz w:val="22"/>
                <w:szCs w:val="22"/>
              </w:rPr>
              <w:t xml:space="preserve">Statement 9: “B” rating for evidence: </w:t>
            </w:r>
            <w:r w:rsidRPr="00DC6310">
              <w:rPr>
                <w:rFonts w:asciiTheme="minorHAnsi" w:hAnsiTheme="minorHAnsi" w:cstheme="minorHAnsi"/>
                <w:color w:val="FF0000"/>
                <w:sz w:val="22"/>
                <w:szCs w:val="22"/>
              </w:rPr>
              <w:t>Moderate confidence that the evidence reflects the true</w:t>
            </w:r>
            <w:r>
              <w:rPr>
                <w:rFonts w:asciiTheme="minorHAnsi" w:hAnsiTheme="minorHAnsi" w:cstheme="minorHAnsi"/>
                <w:color w:val="FF0000"/>
                <w:sz w:val="22"/>
                <w:szCs w:val="22"/>
              </w:rPr>
              <w:t xml:space="preserve"> </w:t>
            </w:r>
            <w:r w:rsidRPr="00DC6310">
              <w:rPr>
                <w:rFonts w:asciiTheme="minorHAnsi" w:hAnsiTheme="minorHAnsi" w:cstheme="minorHAnsi"/>
                <w:color w:val="FF0000"/>
                <w:sz w:val="22"/>
                <w:szCs w:val="22"/>
              </w:rPr>
              <w:t>effect. Further research may change our confidence in the estimate of effect and may</w:t>
            </w:r>
            <w:r>
              <w:rPr>
                <w:rFonts w:asciiTheme="minorHAnsi" w:hAnsiTheme="minorHAnsi" w:cstheme="minorHAnsi"/>
                <w:color w:val="FF0000"/>
                <w:sz w:val="22"/>
                <w:szCs w:val="22"/>
              </w:rPr>
              <w:t xml:space="preserve"> </w:t>
            </w:r>
            <w:r w:rsidRPr="00DC6310">
              <w:rPr>
                <w:rFonts w:asciiTheme="minorHAnsi" w:hAnsiTheme="minorHAnsi" w:cstheme="minorHAnsi"/>
                <w:color w:val="FF0000"/>
                <w:sz w:val="22"/>
                <w:szCs w:val="22"/>
              </w:rPr>
              <w:t>change the estimate.</w:t>
            </w:r>
          </w:p>
          <w:p w14:paraId="779286AD" w14:textId="29E8D42B" w:rsidR="00B31436" w:rsidRDefault="00B31436" w:rsidP="00B31436">
            <w:pPr>
              <w:pStyle w:val="BodyText"/>
              <w:spacing w:after="120"/>
              <w:rPr>
                <w:rFonts w:asciiTheme="minorHAnsi" w:hAnsiTheme="minorHAnsi" w:cstheme="minorHAnsi"/>
                <w:color w:val="FF0000"/>
                <w:sz w:val="22"/>
                <w:szCs w:val="22"/>
              </w:rPr>
            </w:pPr>
            <w:r>
              <w:rPr>
                <w:rFonts w:asciiTheme="minorHAnsi" w:hAnsiTheme="minorHAnsi" w:cstheme="minorHAnsi"/>
                <w:color w:val="FF0000"/>
                <w:sz w:val="22"/>
                <w:szCs w:val="22"/>
              </w:rPr>
              <w:t xml:space="preserve">Statement 10: “C” rating for evidence: </w:t>
            </w:r>
            <w:r w:rsidRPr="00DC6310">
              <w:rPr>
                <w:rFonts w:asciiTheme="minorHAnsi" w:hAnsiTheme="minorHAnsi" w:cstheme="minorHAnsi"/>
                <w:color w:val="FF0000"/>
                <w:sz w:val="22"/>
                <w:szCs w:val="22"/>
              </w:rPr>
              <w:t>Low confidence that the evidence reflects the true effect.</w:t>
            </w:r>
            <w:r>
              <w:rPr>
                <w:rFonts w:asciiTheme="minorHAnsi" w:hAnsiTheme="minorHAnsi" w:cstheme="minorHAnsi"/>
                <w:color w:val="FF0000"/>
                <w:sz w:val="22"/>
                <w:szCs w:val="22"/>
              </w:rPr>
              <w:t xml:space="preserve"> </w:t>
            </w:r>
            <w:r w:rsidRPr="00DC6310">
              <w:rPr>
                <w:rFonts w:asciiTheme="minorHAnsi" w:hAnsiTheme="minorHAnsi" w:cstheme="minorHAnsi"/>
                <w:color w:val="FF0000"/>
                <w:sz w:val="22"/>
                <w:szCs w:val="22"/>
              </w:rPr>
              <w:t>Further research is likely to change our confidence in the estimate of effect and is likely to</w:t>
            </w:r>
            <w:r>
              <w:rPr>
                <w:rFonts w:asciiTheme="minorHAnsi" w:hAnsiTheme="minorHAnsi" w:cstheme="minorHAnsi"/>
                <w:color w:val="FF0000"/>
                <w:sz w:val="22"/>
                <w:szCs w:val="22"/>
              </w:rPr>
              <w:t xml:space="preserve"> </w:t>
            </w:r>
            <w:r w:rsidRPr="00DC6310">
              <w:rPr>
                <w:rFonts w:asciiTheme="minorHAnsi" w:hAnsiTheme="minorHAnsi" w:cstheme="minorHAnsi"/>
                <w:color w:val="FF0000"/>
                <w:sz w:val="22"/>
                <w:szCs w:val="22"/>
              </w:rPr>
              <w:t>change the estimate.</w:t>
            </w:r>
          </w:p>
          <w:p w14:paraId="00B78390" w14:textId="29737616" w:rsidR="009F402C" w:rsidRPr="00FC0129" w:rsidRDefault="00B31436" w:rsidP="00B31436">
            <w:pPr>
              <w:pStyle w:val="BodyText"/>
              <w:spacing w:after="120"/>
              <w:rPr>
                <w:rFonts w:asciiTheme="minorHAnsi" w:hAnsiTheme="minorHAnsi" w:cstheme="minorHAnsi"/>
                <w:color w:val="FF0000"/>
                <w:sz w:val="22"/>
                <w:szCs w:val="22"/>
              </w:rPr>
            </w:pPr>
            <w:r>
              <w:rPr>
                <w:rFonts w:asciiTheme="minorHAnsi" w:hAnsiTheme="minorHAnsi" w:cstheme="minorHAnsi"/>
                <w:color w:val="FF0000"/>
                <w:sz w:val="22"/>
                <w:szCs w:val="22"/>
              </w:rPr>
              <w:t xml:space="preserve">Statement 11: “C” rating for evidence: </w:t>
            </w:r>
            <w:r w:rsidRPr="00DC6310">
              <w:rPr>
                <w:rFonts w:asciiTheme="minorHAnsi" w:hAnsiTheme="minorHAnsi" w:cstheme="minorHAnsi"/>
                <w:color w:val="FF0000"/>
                <w:sz w:val="22"/>
                <w:szCs w:val="22"/>
              </w:rPr>
              <w:t>Low confidence that the evidence reflects the true effect.</w:t>
            </w:r>
            <w:r>
              <w:rPr>
                <w:rFonts w:asciiTheme="minorHAnsi" w:hAnsiTheme="minorHAnsi" w:cstheme="minorHAnsi"/>
                <w:color w:val="FF0000"/>
                <w:sz w:val="22"/>
                <w:szCs w:val="22"/>
              </w:rPr>
              <w:t xml:space="preserve"> </w:t>
            </w:r>
            <w:r w:rsidRPr="00DC6310">
              <w:rPr>
                <w:rFonts w:asciiTheme="minorHAnsi" w:hAnsiTheme="minorHAnsi" w:cstheme="minorHAnsi"/>
                <w:color w:val="FF0000"/>
                <w:sz w:val="22"/>
                <w:szCs w:val="22"/>
              </w:rPr>
              <w:t xml:space="preserve">Further research is likely to change our confidence in the estimate of effect and </w:t>
            </w:r>
            <w:r w:rsidRPr="00DC6310">
              <w:rPr>
                <w:rFonts w:asciiTheme="minorHAnsi" w:hAnsiTheme="minorHAnsi" w:cstheme="minorHAnsi"/>
                <w:color w:val="FF0000"/>
                <w:sz w:val="22"/>
                <w:szCs w:val="22"/>
              </w:rPr>
              <w:lastRenderedPageBreak/>
              <w:t>is likely to</w:t>
            </w:r>
            <w:r>
              <w:rPr>
                <w:rFonts w:asciiTheme="minorHAnsi" w:hAnsiTheme="minorHAnsi" w:cstheme="minorHAnsi"/>
                <w:color w:val="FF0000"/>
                <w:sz w:val="22"/>
                <w:szCs w:val="22"/>
              </w:rPr>
              <w:t xml:space="preserve"> </w:t>
            </w:r>
            <w:r w:rsidRPr="00DC6310">
              <w:rPr>
                <w:rFonts w:asciiTheme="minorHAnsi" w:hAnsiTheme="minorHAnsi" w:cstheme="minorHAnsi"/>
                <w:color w:val="FF0000"/>
                <w:sz w:val="22"/>
                <w:szCs w:val="22"/>
              </w:rPr>
              <w:t>change the estimate.</w:t>
            </w:r>
          </w:p>
        </w:tc>
      </w:tr>
      <w:tr w:rsidR="00955ACD" w:rsidRPr="00FC0129" w14:paraId="55F6CD7E" w14:textId="77777777" w:rsidTr="001041DD">
        <w:tc>
          <w:tcPr>
            <w:tcW w:w="3685" w:type="dxa"/>
          </w:tcPr>
          <w:p w14:paraId="569C758E" w14:textId="77777777" w:rsidR="00955ACD" w:rsidRPr="00FC0129" w:rsidRDefault="00955ACD" w:rsidP="001041DD">
            <w:pPr>
              <w:ind w:left="0" w:firstLine="0"/>
              <w:rPr>
                <w:color w:val="FF0000"/>
              </w:rPr>
            </w:pPr>
            <w:r w:rsidRPr="00FC0129">
              <w:rPr>
                <w:color w:val="FF0000"/>
              </w:rPr>
              <w:lastRenderedPageBreak/>
              <w:t>Provide all other grades and definitions from the evidence grading system</w:t>
            </w:r>
          </w:p>
        </w:tc>
        <w:tc>
          <w:tcPr>
            <w:tcW w:w="5665" w:type="dxa"/>
          </w:tcPr>
          <w:p w14:paraId="4B56A4A3" w14:textId="663C5D53" w:rsidR="00955ACD" w:rsidRPr="00FC0129" w:rsidRDefault="00F13E4A" w:rsidP="001041DD">
            <w:pPr>
              <w:ind w:left="0" w:firstLine="0"/>
              <w:rPr>
                <w:color w:val="FF0000"/>
              </w:rPr>
            </w:pPr>
            <w:r>
              <w:rPr>
                <w:color w:val="FF0000"/>
              </w:rPr>
              <w:t>N/A</w:t>
            </w:r>
          </w:p>
        </w:tc>
      </w:tr>
      <w:tr w:rsidR="00955ACD" w:rsidRPr="00FC0129" w14:paraId="1383F0A9" w14:textId="77777777" w:rsidTr="001041DD">
        <w:tc>
          <w:tcPr>
            <w:tcW w:w="3685" w:type="dxa"/>
          </w:tcPr>
          <w:p w14:paraId="7836312A" w14:textId="77777777" w:rsidR="00955ACD" w:rsidRPr="00FC0129" w:rsidRDefault="00955ACD" w:rsidP="001041DD">
            <w:pPr>
              <w:ind w:left="0" w:firstLine="0"/>
              <w:rPr>
                <w:color w:val="FF0000"/>
              </w:rPr>
            </w:pPr>
            <w:r w:rsidRPr="00FC0129">
              <w:rPr>
                <w:color w:val="FF0000"/>
              </w:rPr>
              <w:t xml:space="preserve">Grade assigned to the </w:t>
            </w:r>
            <w:r w:rsidRPr="00FC0129">
              <w:rPr>
                <w:b/>
                <w:color w:val="FF0000"/>
              </w:rPr>
              <w:t>recommendation</w:t>
            </w:r>
            <w:r w:rsidRPr="00FC0129">
              <w:rPr>
                <w:color w:val="FF0000"/>
              </w:rPr>
              <w:t xml:space="preserve"> with definition of the grade</w:t>
            </w:r>
          </w:p>
        </w:tc>
        <w:tc>
          <w:tcPr>
            <w:tcW w:w="5665" w:type="dxa"/>
          </w:tcPr>
          <w:p w14:paraId="520902A8" w14:textId="7F6EEF91" w:rsidR="00955ACD" w:rsidRDefault="00955ACD" w:rsidP="00B31436">
            <w:pPr>
              <w:ind w:left="0" w:firstLine="0"/>
              <w:rPr>
                <w:color w:val="FF0000"/>
              </w:rPr>
            </w:pPr>
            <w:r w:rsidRPr="00B31436">
              <w:rPr>
                <w:color w:val="FF0000"/>
              </w:rPr>
              <w:t>Statement 8</w:t>
            </w:r>
            <w:r w:rsidR="009A6086">
              <w:rPr>
                <w:color w:val="FF0000"/>
              </w:rPr>
              <w:t xml:space="preserve"> and Statement 9</w:t>
            </w:r>
            <w:r w:rsidR="00B31436">
              <w:rPr>
                <w:color w:val="FF0000"/>
              </w:rPr>
              <w:t>: “</w:t>
            </w:r>
            <w:r w:rsidR="0030384D">
              <w:rPr>
                <w:color w:val="FF0000"/>
              </w:rPr>
              <w:t>1</w:t>
            </w:r>
            <w:r w:rsidR="00B31436">
              <w:rPr>
                <w:color w:val="FF0000"/>
              </w:rPr>
              <w:t>” Recommendation:</w:t>
            </w:r>
            <w:r w:rsidRPr="00B31436">
              <w:rPr>
                <w:color w:val="FF0000"/>
              </w:rPr>
              <w:t xml:space="preserve"> </w:t>
            </w:r>
            <w:r w:rsidR="000C743B">
              <w:rPr>
                <w:color w:val="FF0000"/>
              </w:rPr>
              <w:t>APA r</w:t>
            </w:r>
            <w:r w:rsidR="005E4CBD" w:rsidRPr="00B31436">
              <w:rPr>
                <w:color w:val="FF0000"/>
              </w:rPr>
              <w:t>ecommends with confidence that the benefits of the intervention clearly outweigh harms</w:t>
            </w:r>
            <w:r w:rsidR="009A6086">
              <w:rPr>
                <w:color w:val="FF0000"/>
              </w:rPr>
              <w:t>.</w:t>
            </w:r>
          </w:p>
          <w:p w14:paraId="5DE99A8A" w14:textId="77777777" w:rsidR="009A6086" w:rsidRPr="00B31436" w:rsidRDefault="009A6086" w:rsidP="00B31436">
            <w:pPr>
              <w:ind w:left="0" w:firstLine="0"/>
              <w:rPr>
                <w:color w:val="FF0000"/>
              </w:rPr>
            </w:pPr>
          </w:p>
          <w:p w14:paraId="177B8BEA" w14:textId="65DA8C8D" w:rsidR="009A6086" w:rsidRDefault="00955ACD" w:rsidP="000C743B">
            <w:pPr>
              <w:ind w:left="0" w:firstLine="0"/>
              <w:rPr>
                <w:color w:val="FF0000"/>
              </w:rPr>
            </w:pPr>
            <w:r w:rsidRPr="00B31436">
              <w:rPr>
                <w:color w:val="FF0000"/>
              </w:rPr>
              <w:t xml:space="preserve">Statement 10 </w:t>
            </w:r>
            <w:r w:rsidR="009A6086">
              <w:rPr>
                <w:color w:val="FF0000"/>
              </w:rPr>
              <w:t xml:space="preserve">and Statement 11: </w:t>
            </w:r>
            <w:r w:rsidR="000C743B">
              <w:rPr>
                <w:color w:val="FF0000"/>
              </w:rPr>
              <w:t xml:space="preserve">“2” Suggestion: APA suggests the </w:t>
            </w:r>
            <w:r w:rsidR="009A6086">
              <w:rPr>
                <w:color w:val="FF0000"/>
              </w:rPr>
              <w:t xml:space="preserve">that </w:t>
            </w:r>
            <w:r w:rsidR="009A6086" w:rsidRPr="00FC0129">
              <w:rPr>
                <w:color w:val="FF0000"/>
              </w:rPr>
              <w:t>although</w:t>
            </w:r>
            <w:r w:rsidR="000C743B" w:rsidRPr="00FC0129">
              <w:rPr>
                <w:color w:val="FF0000"/>
              </w:rPr>
              <w:t xml:space="preserve"> the benefits of the statement are still viewed as outweighing the harms, the balance of benefits and harms is more difficult to judge, or either the benefits or the harms may be less clear. With a suggestion, patient values and preferences may be</w:t>
            </w:r>
            <w:r w:rsidR="009A6086">
              <w:rPr>
                <w:color w:val="FF0000"/>
              </w:rPr>
              <w:t xml:space="preserve"> </w:t>
            </w:r>
            <w:r w:rsidR="000C743B" w:rsidRPr="00FC0129">
              <w:rPr>
                <w:color w:val="FF0000"/>
              </w:rPr>
              <w:t>more variable, and this can influence the clinical decision that is ultimately made</w:t>
            </w:r>
            <w:r w:rsidR="009A6086">
              <w:rPr>
                <w:color w:val="FF0000"/>
              </w:rPr>
              <w:t>.</w:t>
            </w:r>
          </w:p>
          <w:p w14:paraId="7CF9BAE5" w14:textId="3F07C7C6" w:rsidR="00955ACD" w:rsidRPr="00B31436" w:rsidRDefault="00955ACD" w:rsidP="00B31436">
            <w:pPr>
              <w:ind w:left="0" w:firstLine="0"/>
              <w:rPr>
                <w:color w:val="FF0000"/>
              </w:rPr>
            </w:pPr>
          </w:p>
        </w:tc>
      </w:tr>
      <w:tr w:rsidR="00955ACD" w:rsidRPr="00FC0129" w14:paraId="4BD37F77" w14:textId="77777777" w:rsidTr="001041DD">
        <w:tc>
          <w:tcPr>
            <w:tcW w:w="3685" w:type="dxa"/>
          </w:tcPr>
          <w:p w14:paraId="47B43479" w14:textId="77777777" w:rsidR="00955ACD" w:rsidRPr="00FC0129" w:rsidRDefault="00955ACD" w:rsidP="001041DD">
            <w:pPr>
              <w:ind w:left="0" w:firstLine="0"/>
              <w:rPr>
                <w:color w:val="FF0000"/>
              </w:rPr>
            </w:pPr>
            <w:r w:rsidRPr="00FC0129">
              <w:rPr>
                <w:color w:val="FF0000"/>
              </w:rPr>
              <w:t>Provide all other grades and definitions from the recommendation grading system</w:t>
            </w:r>
          </w:p>
        </w:tc>
        <w:tc>
          <w:tcPr>
            <w:tcW w:w="5665" w:type="dxa"/>
          </w:tcPr>
          <w:p w14:paraId="316A0877" w14:textId="1B5E7C6B" w:rsidR="00955ACD" w:rsidRPr="00FC0129" w:rsidRDefault="009A6086" w:rsidP="009A6086">
            <w:pPr>
              <w:ind w:left="0" w:firstLine="0"/>
              <w:rPr>
                <w:color w:val="FF0000"/>
              </w:rPr>
            </w:pPr>
            <w:r>
              <w:rPr>
                <w:color w:val="FF0000"/>
              </w:rPr>
              <w:t>N/A</w:t>
            </w:r>
          </w:p>
        </w:tc>
      </w:tr>
      <w:tr w:rsidR="00955ACD" w:rsidRPr="00FC0129" w14:paraId="1D9A9517" w14:textId="77777777" w:rsidTr="001041DD">
        <w:tc>
          <w:tcPr>
            <w:tcW w:w="3685" w:type="dxa"/>
          </w:tcPr>
          <w:p w14:paraId="0BCDE7F4" w14:textId="77777777" w:rsidR="00955ACD" w:rsidRPr="00FC0129" w:rsidRDefault="00955ACD" w:rsidP="001041DD">
            <w:pPr>
              <w:ind w:left="0" w:firstLine="0"/>
              <w:rPr>
                <w:color w:val="FF0000"/>
              </w:rPr>
            </w:pPr>
            <w:r w:rsidRPr="00B15974">
              <w:rPr>
                <w:color w:val="FF0000"/>
              </w:rPr>
              <w:t>Body of evidence:</w:t>
            </w:r>
          </w:p>
          <w:p w14:paraId="75482872" w14:textId="77777777" w:rsidR="00955ACD" w:rsidRPr="00FC0129" w:rsidRDefault="00955ACD" w:rsidP="001041DD">
            <w:pPr>
              <w:pStyle w:val="ListParagraph"/>
              <w:numPr>
                <w:ilvl w:val="0"/>
                <w:numId w:val="10"/>
              </w:numPr>
              <w:rPr>
                <w:color w:val="FF0000"/>
              </w:rPr>
            </w:pPr>
            <w:r w:rsidRPr="00FC0129">
              <w:rPr>
                <w:color w:val="FF0000"/>
              </w:rPr>
              <w:t>Quantity – how many studies?</w:t>
            </w:r>
          </w:p>
          <w:p w14:paraId="6C448F14" w14:textId="77777777" w:rsidR="00955ACD" w:rsidRPr="00FC0129" w:rsidRDefault="00955ACD" w:rsidP="001041DD">
            <w:pPr>
              <w:pStyle w:val="ListParagraph"/>
              <w:numPr>
                <w:ilvl w:val="0"/>
                <w:numId w:val="10"/>
              </w:numPr>
              <w:rPr>
                <w:color w:val="FF0000"/>
              </w:rPr>
            </w:pPr>
            <w:r w:rsidRPr="00FC0129">
              <w:rPr>
                <w:color w:val="FF0000"/>
              </w:rPr>
              <w:t>Quality – what type of studies?</w:t>
            </w:r>
          </w:p>
        </w:tc>
        <w:tc>
          <w:tcPr>
            <w:tcW w:w="5665" w:type="dxa"/>
          </w:tcPr>
          <w:p w14:paraId="44F0E1D3" w14:textId="336C8A13" w:rsidR="0076188B" w:rsidRDefault="00F64B05" w:rsidP="00F64B05">
            <w:pPr>
              <w:ind w:left="0" w:firstLine="0"/>
              <w:rPr>
                <w:color w:val="FF0000"/>
              </w:rPr>
            </w:pPr>
            <w:r>
              <w:rPr>
                <w:color w:val="FF0000"/>
              </w:rPr>
              <w:t>The Agency for Healthcare Research and Quality (AHRQ) systematic review “</w:t>
            </w:r>
            <w:r w:rsidRPr="00F64B05">
              <w:rPr>
                <w:color w:val="FF0000"/>
              </w:rPr>
              <w:t xml:space="preserve">Pharmacotherapy for Adults </w:t>
            </w:r>
            <w:proofErr w:type="gramStart"/>
            <w:r w:rsidRPr="00F64B05">
              <w:rPr>
                <w:color w:val="FF0000"/>
              </w:rPr>
              <w:t>With</w:t>
            </w:r>
            <w:proofErr w:type="gramEnd"/>
            <w:r w:rsidRPr="00F64B05">
              <w:rPr>
                <w:color w:val="FF0000"/>
              </w:rPr>
              <w:t xml:space="preserve"> Alcohol-Use Disorders in Outpatient</w:t>
            </w:r>
            <w:r>
              <w:rPr>
                <w:color w:val="FF0000"/>
              </w:rPr>
              <w:t xml:space="preserve"> </w:t>
            </w:r>
            <w:r w:rsidRPr="00F64B05">
              <w:rPr>
                <w:color w:val="FF0000"/>
              </w:rPr>
              <w:t>Settings</w:t>
            </w:r>
            <w:r>
              <w:rPr>
                <w:color w:val="FF0000"/>
              </w:rPr>
              <w:t>” is the</w:t>
            </w:r>
            <w:r w:rsidR="00BB3D75">
              <w:rPr>
                <w:color w:val="FF0000"/>
              </w:rPr>
              <w:t xml:space="preserve"> source of evidence used for the development of this guideline. This systematic review </w:t>
            </w:r>
            <w:r w:rsidR="0076188B">
              <w:rPr>
                <w:color w:val="FF0000"/>
              </w:rPr>
              <w:t xml:space="preserve">included 95 </w:t>
            </w:r>
            <w:r w:rsidR="008D231D">
              <w:rPr>
                <w:color w:val="FF0000"/>
              </w:rPr>
              <w:t>randomized c</w:t>
            </w:r>
            <w:r w:rsidR="003952B3">
              <w:rPr>
                <w:color w:val="FF0000"/>
              </w:rPr>
              <w:t>linical trials, accounting for 22</w:t>
            </w:r>
            <w:r w:rsidR="00987436">
              <w:rPr>
                <w:color w:val="FF0000"/>
              </w:rPr>
              <w:t>,803 patients.</w:t>
            </w:r>
          </w:p>
          <w:p w14:paraId="14F31B84" w14:textId="77777777" w:rsidR="00363CED" w:rsidRDefault="00363CED" w:rsidP="00F64B05">
            <w:pPr>
              <w:ind w:left="0" w:firstLine="0"/>
              <w:rPr>
                <w:color w:val="FF0000"/>
              </w:rPr>
            </w:pPr>
          </w:p>
          <w:p w14:paraId="580C1542" w14:textId="4C7DE172" w:rsidR="00363CED" w:rsidRDefault="00363CED" w:rsidP="00F64B05">
            <w:pPr>
              <w:ind w:left="0" w:firstLine="0"/>
              <w:rPr>
                <w:color w:val="FF0000"/>
              </w:rPr>
            </w:pPr>
            <w:r w:rsidRPr="00363CED">
              <w:rPr>
                <w:color w:val="FF0000"/>
              </w:rPr>
              <w:t>Jonas</w:t>
            </w:r>
            <w:r>
              <w:rPr>
                <w:color w:val="FF0000"/>
              </w:rPr>
              <w:t>,</w:t>
            </w:r>
            <w:r w:rsidRPr="00363CED">
              <w:rPr>
                <w:color w:val="FF0000"/>
              </w:rPr>
              <w:t xml:space="preserve"> D</w:t>
            </w:r>
            <w:r>
              <w:rPr>
                <w:color w:val="FF0000"/>
              </w:rPr>
              <w:t>.</w:t>
            </w:r>
            <w:r w:rsidRPr="00363CED">
              <w:rPr>
                <w:color w:val="FF0000"/>
              </w:rPr>
              <w:t>E</w:t>
            </w:r>
            <w:r>
              <w:rPr>
                <w:color w:val="FF0000"/>
              </w:rPr>
              <w:t>.</w:t>
            </w:r>
            <w:r w:rsidRPr="00363CED">
              <w:rPr>
                <w:color w:val="FF0000"/>
              </w:rPr>
              <w:t>, Amick</w:t>
            </w:r>
            <w:r>
              <w:rPr>
                <w:color w:val="FF0000"/>
              </w:rPr>
              <w:t>,</w:t>
            </w:r>
            <w:r w:rsidRPr="00363CED">
              <w:rPr>
                <w:color w:val="FF0000"/>
              </w:rPr>
              <w:t xml:space="preserve"> H</w:t>
            </w:r>
            <w:r>
              <w:rPr>
                <w:color w:val="FF0000"/>
              </w:rPr>
              <w:t>.</w:t>
            </w:r>
            <w:r w:rsidRPr="00363CED">
              <w:rPr>
                <w:color w:val="FF0000"/>
              </w:rPr>
              <w:t>R</w:t>
            </w:r>
            <w:r>
              <w:rPr>
                <w:color w:val="FF0000"/>
              </w:rPr>
              <w:t>.</w:t>
            </w:r>
            <w:r w:rsidRPr="00363CED">
              <w:rPr>
                <w:color w:val="FF0000"/>
              </w:rPr>
              <w:t>, Feltner</w:t>
            </w:r>
            <w:r>
              <w:rPr>
                <w:color w:val="FF0000"/>
              </w:rPr>
              <w:t>,</w:t>
            </w:r>
            <w:r w:rsidRPr="00363CED">
              <w:rPr>
                <w:color w:val="FF0000"/>
              </w:rPr>
              <w:t xml:space="preserve"> C</w:t>
            </w:r>
            <w:r>
              <w:rPr>
                <w:color w:val="FF0000"/>
              </w:rPr>
              <w:t>.</w:t>
            </w:r>
            <w:r w:rsidRPr="00363CED">
              <w:rPr>
                <w:color w:val="FF0000"/>
              </w:rPr>
              <w:t xml:space="preserve">, et al. </w:t>
            </w:r>
            <w:r>
              <w:rPr>
                <w:color w:val="FF0000"/>
              </w:rPr>
              <w:t xml:space="preserve">(2014). </w:t>
            </w:r>
            <w:r w:rsidRPr="00363CED">
              <w:rPr>
                <w:color w:val="FF0000"/>
              </w:rPr>
              <w:t xml:space="preserve">Pharmacotherapy for Adults </w:t>
            </w:r>
            <w:proofErr w:type="gramStart"/>
            <w:r w:rsidRPr="00363CED">
              <w:rPr>
                <w:color w:val="FF0000"/>
              </w:rPr>
              <w:t>With</w:t>
            </w:r>
            <w:proofErr w:type="gramEnd"/>
            <w:r w:rsidRPr="00363CED">
              <w:rPr>
                <w:color w:val="FF0000"/>
              </w:rPr>
              <w:t xml:space="preserve"> Alcohol Use Disorders in Outpatient Settings</w:t>
            </w:r>
            <w:r>
              <w:rPr>
                <w:color w:val="FF0000"/>
              </w:rPr>
              <w:t xml:space="preserve"> </w:t>
            </w:r>
            <w:r w:rsidRPr="00363CED">
              <w:rPr>
                <w:color w:val="FF0000"/>
              </w:rPr>
              <w:t>A Systematic Review and Meta-analysis. JAMA</w:t>
            </w:r>
            <w:r>
              <w:rPr>
                <w:color w:val="FF0000"/>
              </w:rPr>
              <w:t xml:space="preserve">, </w:t>
            </w:r>
            <w:r w:rsidRPr="00363CED">
              <w:rPr>
                <w:color w:val="FF0000"/>
              </w:rPr>
              <w:t>311(18)</w:t>
            </w:r>
            <w:r>
              <w:rPr>
                <w:color w:val="FF0000"/>
              </w:rPr>
              <w:t xml:space="preserve">, </w:t>
            </w:r>
            <w:r w:rsidRPr="00363CED">
              <w:rPr>
                <w:color w:val="FF0000"/>
              </w:rPr>
              <w:t>1889–1900. doi:10.1001/jama.2014.3628</w:t>
            </w:r>
          </w:p>
          <w:p w14:paraId="1D31E13D" w14:textId="0E11B2FC" w:rsidR="00363CED" w:rsidRPr="00FC0129" w:rsidRDefault="00363CED" w:rsidP="00F64B05">
            <w:pPr>
              <w:ind w:left="0" w:firstLine="0"/>
              <w:rPr>
                <w:color w:val="FF0000"/>
              </w:rPr>
            </w:pPr>
          </w:p>
        </w:tc>
      </w:tr>
      <w:tr w:rsidR="00955ACD" w:rsidRPr="00FC0129" w14:paraId="361DF243" w14:textId="77777777" w:rsidTr="001041DD">
        <w:tc>
          <w:tcPr>
            <w:tcW w:w="3685" w:type="dxa"/>
          </w:tcPr>
          <w:p w14:paraId="4E56421C" w14:textId="77777777" w:rsidR="00955ACD" w:rsidRPr="00FC0129" w:rsidRDefault="00955ACD" w:rsidP="001041DD">
            <w:pPr>
              <w:ind w:left="0" w:firstLine="0"/>
              <w:rPr>
                <w:color w:val="FF0000"/>
              </w:rPr>
            </w:pPr>
            <w:r w:rsidRPr="00FC0129">
              <w:rPr>
                <w:color w:val="FF0000"/>
              </w:rPr>
              <w:t xml:space="preserve">Estimates of benefit and consistency across studies </w:t>
            </w:r>
          </w:p>
        </w:tc>
        <w:tc>
          <w:tcPr>
            <w:tcW w:w="5665" w:type="dxa"/>
          </w:tcPr>
          <w:p w14:paraId="5E331332" w14:textId="77777777" w:rsidR="00955ACD" w:rsidRPr="00FC0129" w:rsidRDefault="00955ACD" w:rsidP="001041DD">
            <w:pPr>
              <w:ind w:left="0" w:firstLine="0"/>
              <w:rPr>
                <w:color w:val="FF0000"/>
              </w:rPr>
            </w:pPr>
            <w:r w:rsidRPr="00FC0129">
              <w:rPr>
                <w:color w:val="FF0000"/>
              </w:rPr>
              <w:t>The following texts are directly quoted from the APA guideline and summarize the benefits of each recommendation statement as determined by clinical evidence review:</w:t>
            </w:r>
          </w:p>
          <w:p w14:paraId="68745C00" w14:textId="77777777" w:rsidR="00955ACD" w:rsidRPr="00FC0129" w:rsidRDefault="00955ACD" w:rsidP="001041DD">
            <w:pPr>
              <w:ind w:left="0" w:firstLine="0"/>
              <w:rPr>
                <w:color w:val="FF0000"/>
              </w:rPr>
            </w:pPr>
          </w:p>
          <w:p w14:paraId="52FA48FC" w14:textId="77777777" w:rsidR="00955ACD" w:rsidRPr="00FC0129" w:rsidRDefault="00955ACD" w:rsidP="001041DD">
            <w:pPr>
              <w:ind w:left="0" w:firstLine="0"/>
              <w:rPr>
                <w:b/>
                <w:color w:val="FF0000"/>
              </w:rPr>
            </w:pPr>
            <w:r w:rsidRPr="00FC0129">
              <w:rPr>
                <w:b/>
                <w:color w:val="FF0000"/>
              </w:rPr>
              <w:t>Statement 8. Evidence-Based Treatment Planning</w:t>
            </w:r>
          </w:p>
          <w:p w14:paraId="66CED558" w14:textId="77777777" w:rsidR="00955ACD" w:rsidRPr="00FC0129" w:rsidRDefault="00955ACD" w:rsidP="001041DD">
            <w:pPr>
              <w:ind w:left="0" w:firstLine="0"/>
              <w:rPr>
                <w:color w:val="FF0000"/>
              </w:rPr>
            </w:pPr>
            <w:r w:rsidRPr="00FC0129">
              <w:rPr>
                <w:color w:val="FF0000"/>
              </w:rPr>
              <w:t xml:space="preserve">“Development and documentation of a comprehensive treatment plan assures that the clinician has considered the available nonpharmacological and pharmacological options for treatment and has identified those treatments that are best suited to the needs of the individual patient, with a goal of improving overall outcome. It may also assist in forming a therapeutic relationship, eliciting patient preferences, permitting education about possible treatments, setting expectations for treatment, and establishing a framework </w:t>
            </w:r>
            <w:r w:rsidRPr="00FC0129">
              <w:rPr>
                <w:color w:val="FF0000"/>
              </w:rPr>
              <w:lastRenderedPageBreak/>
              <w:t>for shared decision-making. Documentation of a treatment plan promotes accurate communication among all those caring for the patient and can serve as a reminder</w:t>
            </w:r>
          </w:p>
          <w:p w14:paraId="27DB7D18" w14:textId="77777777" w:rsidR="00955ACD" w:rsidRPr="00FC0129" w:rsidRDefault="00955ACD" w:rsidP="001041DD">
            <w:pPr>
              <w:ind w:left="0" w:firstLine="0"/>
              <w:rPr>
                <w:color w:val="FF0000"/>
              </w:rPr>
            </w:pPr>
            <w:r w:rsidRPr="00FC0129">
              <w:rPr>
                <w:color w:val="FF0000"/>
              </w:rPr>
              <w:t>of prior discussions about treatment.”</w:t>
            </w:r>
          </w:p>
          <w:p w14:paraId="2A5AB951" w14:textId="77777777" w:rsidR="00955ACD" w:rsidRPr="00FC0129" w:rsidRDefault="00955ACD" w:rsidP="001041DD">
            <w:pPr>
              <w:ind w:left="0" w:firstLine="0"/>
              <w:rPr>
                <w:color w:val="FF0000"/>
              </w:rPr>
            </w:pPr>
          </w:p>
          <w:p w14:paraId="758429B8" w14:textId="77777777" w:rsidR="00955ACD" w:rsidRPr="00FC0129" w:rsidRDefault="00955ACD" w:rsidP="001041DD">
            <w:pPr>
              <w:ind w:left="0" w:firstLine="0"/>
              <w:rPr>
                <w:color w:val="FF0000"/>
              </w:rPr>
            </w:pPr>
            <w:r w:rsidRPr="00FC0129">
              <w:rPr>
                <w:color w:val="FF0000"/>
              </w:rPr>
              <w:t xml:space="preserve">“The potential benefits of this recommendation were viewed as far outweighing the potential harms. The level of research evidence is rated as low because no information is available on the harms of such an approach. There is also minimal research on whether developing and documenting a specific treatment plan improves outcomes as compared with assessment and documentation as usual. However, </w:t>
            </w:r>
            <w:proofErr w:type="gramStart"/>
            <w:r w:rsidRPr="00FC0129">
              <w:rPr>
                <w:color w:val="FF0000"/>
              </w:rPr>
              <w:t>the majority of</w:t>
            </w:r>
            <w:proofErr w:type="gramEnd"/>
            <w:r w:rsidRPr="00FC0129">
              <w:rPr>
                <w:color w:val="FF0000"/>
              </w:rPr>
              <w:t xml:space="preserve"> studies of pharmacotherapy for AUD included nonpharmacological treatments aimed at providing supportive counseling, enhancing coping strategies, and promoting adherence. This indirect evidence supports the benefits of comprehensive treatment planning.”</w:t>
            </w:r>
          </w:p>
          <w:p w14:paraId="6A417B1E" w14:textId="77777777" w:rsidR="00955ACD" w:rsidRPr="00FC0129" w:rsidRDefault="00955ACD" w:rsidP="001041DD">
            <w:pPr>
              <w:ind w:left="0" w:firstLine="0"/>
              <w:rPr>
                <w:color w:val="FF0000"/>
              </w:rPr>
            </w:pPr>
          </w:p>
          <w:p w14:paraId="6D1D10BA" w14:textId="77777777" w:rsidR="00955ACD" w:rsidRPr="00FC0129" w:rsidRDefault="00955ACD" w:rsidP="001041DD">
            <w:pPr>
              <w:ind w:left="0" w:firstLine="0"/>
              <w:rPr>
                <w:b/>
                <w:color w:val="FF0000"/>
              </w:rPr>
            </w:pPr>
            <w:r w:rsidRPr="00FC0129">
              <w:rPr>
                <w:b/>
                <w:color w:val="FF0000"/>
              </w:rPr>
              <w:t>Statement 9. Naltrexone or Acamprosate</w:t>
            </w:r>
          </w:p>
          <w:p w14:paraId="0F179FD1" w14:textId="77777777" w:rsidR="00955ACD" w:rsidRPr="00FC0129" w:rsidRDefault="00955ACD" w:rsidP="001041DD">
            <w:pPr>
              <w:ind w:left="0" w:firstLine="0"/>
              <w:rPr>
                <w:color w:val="FF0000"/>
              </w:rPr>
            </w:pPr>
            <w:r w:rsidRPr="00FC0129">
              <w:rPr>
                <w:color w:val="FF0000"/>
              </w:rPr>
              <w:t>“Acamprosate is associated with a small benefit on the outcomes of returning to any drinking and on the number of drinking days (moderate strength of research evidence). Naltrexone is associated with a small benefit on the outcomes of returning to any drinking, returning to heavy drinking, frequency of drinking days, and frequency of heavy drinking days (moderate strength of research evidence).</w:t>
            </w:r>
          </w:p>
          <w:p w14:paraId="185ACC4D" w14:textId="77777777" w:rsidR="00955ACD" w:rsidRPr="00FC0129" w:rsidRDefault="00955ACD" w:rsidP="001041DD">
            <w:pPr>
              <w:ind w:left="0" w:firstLine="0"/>
              <w:rPr>
                <w:color w:val="FF0000"/>
              </w:rPr>
            </w:pPr>
            <w:r w:rsidRPr="00FC0129">
              <w:rPr>
                <w:color w:val="FF0000"/>
              </w:rPr>
              <w:t>Evidence is limited, but the use of long-acting injectable naltrexone may have benefits for adherence as compared with oral formulations of naltrexone. In the AHRQ meta-analysis of head to- head comparisons, neither acamprosate nor naltrexone showed superiority to the other medication</w:t>
            </w:r>
          </w:p>
          <w:p w14:paraId="6E5C625D" w14:textId="77777777" w:rsidR="00955ACD" w:rsidRPr="00FC0129" w:rsidRDefault="00955ACD" w:rsidP="001041DD">
            <w:pPr>
              <w:ind w:left="0" w:firstLine="0"/>
              <w:rPr>
                <w:color w:val="FF0000"/>
              </w:rPr>
            </w:pPr>
            <w:r w:rsidRPr="00FC0129">
              <w:rPr>
                <w:color w:val="FF0000"/>
              </w:rPr>
              <w:t>in terms of return to heavy drinking (moderate strength of research evidence), return to any drinking (moderate strength of research evidence), or percentage of drinking days (low strength of research evidence). However, in the U.S. COMBINE study (but not the German PREDICT study),</w:t>
            </w:r>
          </w:p>
          <w:p w14:paraId="6936730F" w14:textId="77777777" w:rsidR="00955ACD" w:rsidRPr="00FC0129" w:rsidRDefault="00955ACD" w:rsidP="001041DD">
            <w:pPr>
              <w:ind w:left="0" w:firstLine="0"/>
              <w:rPr>
                <w:color w:val="FF0000"/>
              </w:rPr>
            </w:pPr>
            <w:r w:rsidRPr="00FC0129">
              <w:rPr>
                <w:color w:val="FF0000"/>
              </w:rPr>
              <w:t>naltrexone was associated with better outcomes than acamprosate.”</w:t>
            </w:r>
          </w:p>
          <w:p w14:paraId="68E8E83A" w14:textId="77777777" w:rsidR="00955ACD" w:rsidRPr="00FC0129" w:rsidRDefault="00955ACD" w:rsidP="001041DD">
            <w:pPr>
              <w:ind w:left="0" w:firstLine="0"/>
              <w:rPr>
                <w:color w:val="FF0000"/>
              </w:rPr>
            </w:pPr>
          </w:p>
          <w:p w14:paraId="4A21FAD9" w14:textId="77777777" w:rsidR="00955ACD" w:rsidRPr="00FC0129" w:rsidRDefault="00955ACD" w:rsidP="001041DD">
            <w:pPr>
              <w:ind w:left="0" w:firstLine="0"/>
              <w:rPr>
                <w:color w:val="FF0000"/>
              </w:rPr>
            </w:pPr>
            <w:r w:rsidRPr="00FC0129">
              <w:rPr>
                <w:color w:val="FF0000"/>
              </w:rPr>
              <w:t xml:space="preserve">“The potential benefits of this recommendation were viewed as far outweighing the potential harms. For both acamprosate and naltrexone, the harms of treatment were considered minimal, particularly compared with the harms of continued alcohol use, </w:t>
            </w:r>
            <w:proofErr w:type="gramStart"/>
            <w:r w:rsidRPr="00FC0129">
              <w:rPr>
                <w:color w:val="FF0000"/>
              </w:rPr>
              <w:t>as long as</w:t>
            </w:r>
            <w:proofErr w:type="gramEnd"/>
            <w:r w:rsidRPr="00FC0129">
              <w:rPr>
                <w:color w:val="FF0000"/>
              </w:rPr>
              <w:t xml:space="preserve"> there was no contraindication to the use of the medication. The positive effects of acamprosate and naltrexone were small overall, and not all studies showed a statistically significant benefit from these medications. In addition, European studies </w:t>
            </w:r>
            <w:r w:rsidRPr="00FC0129">
              <w:rPr>
                <w:color w:val="FF0000"/>
              </w:rPr>
              <w:lastRenderedPageBreak/>
              <w:t xml:space="preserve">showed greater benefit of acamprosate than did U.S. studies, and naltrexone exhibited greater effect than acamprosate in the COMBINE trial. Nevertheless, the potential benefit of each medication was viewed as far outweighing the harms of continued alcohol use, particularly when nonpharmacological approaches have not produced an effect or when patients prefer to use one of these medications as an initial treatment option. In addition, it was noted that even small effect sizes may be clinically meaningful because of the significant morbidity associated with AUD. Patients with mild AUD rarely participated in clinical trials of naltrexone and acamprosate pharmacotherapy. Therefore, although they might respond to these medications, patients with mild AUD are not included in this recommendation because of the limited amount of research evidence.” </w:t>
            </w:r>
          </w:p>
          <w:p w14:paraId="14A12163" w14:textId="77777777" w:rsidR="00955ACD" w:rsidRPr="00FC0129" w:rsidRDefault="00955ACD" w:rsidP="001041DD">
            <w:pPr>
              <w:ind w:left="0" w:firstLine="0"/>
              <w:rPr>
                <w:color w:val="FF0000"/>
              </w:rPr>
            </w:pPr>
          </w:p>
          <w:p w14:paraId="048AA28B" w14:textId="77777777" w:rsidR="00955ACD" w:rsidRPr="00FC0129" w:rsidRDefault="00955ACD" w:rsidP="001041DD">
            <w:pPr>
              <w:ind w:left="0" w:firstLine="0"/>
              <w:rPr>
                <w:b/>
                <w:color w:val="FF0000"/>
              </w:rPr>
            </w:pPr>
            <w:r w:rsidRPr="00FC0129">
              <w:rPr>
                <w:b/>
                <w:color w:val="FF0000"/>
              </w:rPr>
              <w:t>Statement 10. Disulfiram</w:t>
            </w:r>
          </w:p>
          <w:p w14:paraId="558A5E39" w14:textId="77777777" w:rsidR="00955ACD" w:rsidRPr="00FC0129" w:rsidRDefault="00955ACD" w:rsidP="001041DD">
            <w:pPr>
              <w:ind w:left="0" w:firstLine="0"/>
              <w:rPr>
                <w:color w:val="FF0000"/>
              </w:rPr>
            </w:pPr>
            <w:r w:rsidRPr="00FC0129">
              <w:rPr>
                <w:color w:val="FF0000"/>
              </w:rPr>
              <w:t>“Benefits of disulfiram on alcohol-related outcomes were not reported in the AHRQ review. However,</w:t>
            </w:r>
          </w:p>
          <w:p w14:paraId="384DA599" w14:textId="77777777" w:rsidR="00955ACD" w:rsidRPr="00FC0129" w:rsidRDefault="00955ACD" w:rsidP="001041DD">
            <w:pPr>
              <w:ind w:left="0" w:firstLine="0"/>
              <w:rPr>
                <w:color w:val="FF0000"/>
              </w:rPr>
            </w:pPr>
            <w:r w:rsidRPr="00FC0129">
              <w:rPr>
                <w:color w:val="FF0000"/>
              </w:rPr>
              <w:t>a subsequent meta-analysis (Skinner et al. 2014) that included randomized open-label studies</w:t>
            </w:r>
          </w:p>
          <w:p w14:paraId="15D69FD9" w14:textId="77777777" w:rsidR="00955ACD" w:rsidRPr="00FC0129" w:rsidRDefault="00955ACD" w:rsidP="001041DD">
            <w:pPr>
              <w:ind w:left="0" w:firstLine="0"/>
              <w:rPr>
                <w:color w:val="FF0000"/>
              </w:rPr>
            </w:pPr>
            <w:r w:rsidRPr="00FC0129">
              <w:rPr>
                <w:color w:val="FF0000"/>
              </w:rPr>
              <w:t>(low strength of research evidence) showed a moderate effect of disulfiram as compared with no</w:t>
            </w:r>
          </w:p>
          <w:p w14:paraId="65BF0353" w14:textId="77777777" w:rsidR="00955ACD" w:rsidRPr="00FC0129" w:rsidRDefault="00955ACD" w:rsidP="001041DD">
            <w:pPr>
              <w:ind w:left="0" w:firstLine="0"/>
              <w:rPr>
                <w:color w:val="FF0000"/>
              </w:rPr>
            </w:pPr>
            <w:r w:rsidRPr="00FC0129">
              <w:rPr>
                <w:color w:val="FF0000"/>
              </w:rPr>
              <w:t>disulfiram as well as compared with acamprosate, naltrexone, and topiramate. In studies where</w:t>
            </w:r>
          </w:p>
          <w:p w14:paraId="6BEF6988" w14:textId="77777777" w:rsidR="00955ACD" w:rsidRPr="00FC0129" w:rsidRDefault="00955ACD" w:rsidP="001041DD">
            <w:pPr>
              <w:ind w:left="0" w:firstLine="0"/>
              <w:rPr>
                <w:color w:val="FF0000"/>
              </w:rPr>
            </w:pPr>
            <w:r w:rsidRPr="00FC0129">
              <w:rPr>
                <w:color w:val="FF0000"/>
              </w:rPr>
              <w:t>medication adherence was assured through supervised administration, the effect of disulfiram was</w:t>
            </w:r>
          </w:p>
          <w:p w14:paraId="5AB07333" w14:textId="77777777" w:rsidR="00955ACD" w:rsidRPr="00FC0129" w:rsidRDefault="00955ACD" w:rsidP="001041DD">
            <w:pPr>
              <w:ind w:left="0" w:firstLine="0"/>
              <w:rPr>
                <w:color w:val="FF0000"/>
              </w:rPr>
            </w:pPr>
            <w:r w:rsidRPr="00FC0129">
              <w:rPr>
                <w:color w:val="FF0000"/>
              </w:rPr>
              <w:t>large (Skinner et al. 2014).”</w:t>
            </w:r>
          </w:p>
          <w:p w14:paraId="3E4061D7" w14:textId="77777777" w:rsidR="00955ACD" w:rsidRPr="00FC0129" w:rsidRDefault="00955ACD" w:rsidP="001041DD">
            <w:pPr>
              <w:ind w:left="0" w:firstLine="0"/>
              <w:rPr>
                <w:color w:val="FF0000"/>
              </w:rPr>
            </w:pPr>
          </w:p>
          <w:p w14:paraId="46F647AD" w14:textId="77777777" w:rsidR="00955ACD" w:rsidRPr="00FC0129" w:rsidRDefault="00955ACD" w:rsidP="001041DD">
            <w:pPr>
              <w:ind w:left="0" w:firstLine="0"/>
              <w:rPr>
                <w:color w:val="FF0000"/>
              </w:rPr>
            </w:pPr>
            <w:r w:rsidRPr="00FC0129">
              <w:rPr>
                <w:color w:val="FF0000"/>
              </w:rPr>
              <w:t xml:space="preserve">“The potential benefits of this statement were viewed as likely to outweigh the harms. The strength of research evidence is rated as low because there were insufficient data from double-blind randomized controlled trials (RCTs), and the bulk of the research evidence for benefits and harms was from randomized open-label studies. With carefully selected patients in clinical trials, adverse events were somewhat greater with disulfiram. However, serious adverse events were few and comparable in numbers to serious adverse events in comparison groups consistent with the long history of safe use of disulfiram in clinical practice. Consequently, the potential benefits of disulfiram were viewed as likely to outweigh the harms for most patients given the medium to large effect size for the benefit of disulfiram when open-label studies are considered and particularly compared with the harms of continued alcohol use. In addition, it was noted that even small effect sizes may be clinically meaningful because of the significant </w:t>
            </w:r>
            <w:r w:rsidRPr="00FC0129">
              <w:rPr>
                <w:color w:val="FF0000"/>
              </w:rPr>
              <w:lastRenderedPageBreak/>
              <w:t>morbidity associated with AUD. The strength of the guideline statement (suggestion) was influenced both by the strength of research evidence and by patient preferences related to disulfiram as compared with other interventions.”</w:t>
            </w:r>
          </w:p>
          <w:p w14:paraId="78E2F6AB" w14:textId="519EB526" w:rsidR="00955ACD" w:rsidRPr="00FC0129" w:rsidRDefault="00955ACD" w:rsidP="001041DD">
            <w:pPr>
              <w:ind w:left="0" w:firstLine="0"/>
              <w:rPr>
                <w:color w:val="FF0000"/>
              </w:rPr>
            </w:pPr>
          </w:p>
        </w:tc>
      </w:tr>
      <w:tr w:rsidR="00955ACD" w:rsidRPr="00FC0129" w14:paraId="05858773" w14:textId="77777777" w:rsidTr="001041DD">
        <w:tc>
          <w:tcPr>
            <w:tcW w:w="3685" w:type="dxa"/>
          </w:tcPr>
          <w:p w14:paraId="35E3BCCC" w14:textId="77777777" w:rsidR="00955ACD" w:rsidRPr="00FC0129" w:rsidRDefault="00955ACD" w:rsidP="001041DD">
            <w:pPr>
              <w:ind w:left="0" w:firstLine="0"/>
              <w:rPr>
                <w:color w:val="FF0000"/>
              </w:rPr>
            </w:pPr>
            <w:r w:rsidRPr="00FC0129">
              <w:rPr>
                <w:color w:val="FF0000"/>
              </w:rPr>
              <w:lastRenderedPageBreak/>
              <w:t>What harms were identified?</w:t>
            </w:r>
          </w:p>
        </w:tc>
        <w:tc>
          <w:tcPr>
            <w:tcW w:w="5665" w:type="dxa"/>
          </w:tcPr>
          <w:p w14:paraId="7CCEAA62" w14:textId="77777777" w:rsidR="00955ACD" w:rsidRPr="00FC0129" w:rsidRDefault="00955ACD" w:rsidP="001041DD">
            <w:pPr>
              <w:ind w:left="0" w:firstLine="0"/>
              <w:rPr>
                <w:color w:val="FF0000"/>
              </w:rPr>
            </w:pPr>
            <w:r w:rsidRPr="00FC0129">
              <w:rPr>
                <w:color w:val="FF0000"/>
              </w:rPr>
              <w:t>The following texts are directly quoted from the APA guideline and summarize the harms of each recommendation statement as determined by clinical evidence review:</w:t>
            </w:r>
          </w:p>
          <w:p w14:paraId="1F6B6E5C" w14:textId="77777777" w:rsidR="00955ACD" w:rsidRPr="00FC0129" w:rsidRDefault="00955ACD" w:rsidP="001041DD">
            <w:pPr>
              <w:ind w:left="0" w:firstLine="0"/>
              <w:rPr>
                <w:color w:val="FF0000"/>
              </w:rPr>
            </w:pPr>
          </w:p>
          <w:p w14:paraId="77758387" w14:textId="77777777" w:rsidR="00955ACD" w:rsidRPr="00FC0129" w:rsidRDefault="00955ACD" w:rsidP="001041DD">
            <w:pPr>
              <w:ind w:left="0" w:firstLine="0"/>
              <w:rPr>
                <w:b/>
                <w:color w:val="FF0000"/>
              </w:rPr>
            </w:pPr>
            <w:r w:rsidRPr="00FC0129">
              <w:rPr>
                <w:b/>
                <w:color w:val="FF0000"/>
              </w:rPr>
              <w:t xml:space="preserve">Statement 8. Evidence Based Treatment Planning </w:t>
            </w:r>
          </w:p>
          <w:p w14:paraId="2F896530" w14:textId="7F8BE2F1" w:rsidR="00955ACD" w:rsidRPr="00FC0129" w:rsidRDefault="00955ACD" w:rsidP="001041DD">
            <w:pPr>
              <w:ind w:left="0" w:firstLine="0"/>
              <w:rPr>
                <w:color w:val="FF0000"/>
              </w:rPr>
            </w:pPr>
            <w:r w:rsidRPr="00FC0129">
              <w:rPr>
                <w:color w:val="FF0000"/>
              </w:rPr>
              <w:t>“The only identifiable harm from this recommendation relates to the time spent in discussion and</w:t>
            </w:r>
            <w:r w:rsidR="002E3713">
              <w:rPr>
                <w:color w:val="FF0000"/>
              </w:rPr>
              <w:t xml:space="preserve"> </w:t>
            </w:r>
            <w:r w:rsidRPr="00FC0129">
              <w:rPr>
                <w:color w:val="FF0000"/>
              </w:rPr>
              <w:t>documentation that may reduce the opportunity to focus on other aspects of the evaluation.”</w:t>
            </w:r>
          </w:p>
          <w:p w14:paraId="44FBB72E" w14:textId="77777777" w:rsidR="00955ACD" w:rsidRPr="00FC0129" w:rsidRDefault="00955ACD" w:rsidP="001041DD">
            <w:pPr>
              <w:ind w:left="0" w:firstLine="0"/>
              <w:rPr>
                <w:color w:val="FF0000"/>
              </w:rPr>
            </w:pPr>
          </w:p>
          <w:p w14:paraId="07AF4A43" w14:textId="77777777" w:rsidR="00955ACD" w:rsidRPr="00FC0129" w:rsidRDefault="00955ACD" w:rsidP="001041DD">
            <w:pPr>
              <w:ind w:left="0" w:firstLine="0"/>
              <w:rPr>
                <w:b/>
                <w:color w:val="FF0000"/>
              </w:rPr>
            </w:pPr>
            <w:r w:rsidRPr="00FC0129">
              <w:rPr>
                <w:b/>
                <w:color w:val="FF0000"/>
              </w:rPr>
              <w:t xml:space="preserve">Statement 9. Naltrexone or Acamprosate </w:t>
            </w:r>
          </w:p>
          <w:p w14:paraId="6AC0AB0D" w14:textId="77777777" w:rsidR="00955ACD" w:rsidRPr="00FC0129" w:rsidRDefault="00955ACD" w:rsidP="001041DD">
            <w:pPr>
              <w:ind w:left="0" w:firstLine="0"/>
              <w:rPr>
                <w:color w:val="FF0000"/>
              </w:rPr>
            </w:pPr>
            <w:r w:rsidRPr="00FC0129">
              <w:rPr>
                <w:color w:val="FF0000"/>
              </w:rPr>
              <w:t>“The harms of acamprosate are small in magnitude, with slight overall increases in diarrhea and vomiting as compared with placebo (moderate strength of research evidence). The harms of naltrexone are small in magnitude, with slight overall increases in dizziness, nausea, and vomiting relative to placebo (moderate strength of research evidence). Alterations in hepatic function are also possible with naltrexone, but changes in liver chemistries were not assessed in the AHRQ review. Individuals taking naltrexone would not be able to take opioids for pain, and other treatments for acute pain would be needed. For individuals treated with long-acting injectable naltrexone, pain or induration can occur at the injection site, and access to the medication can be an issue because of geographic- or payment-related issues. With long durations of naltrexone use, individuals lose tolerance to opioids. This can result in overdose and death if large but previously tolerated opioid doses are taken after naltrexone is discontinued. For many other potential harms, including mortality, evidence was not available or was rated by the AHRQ review as insufficient. However, withdrawals from the studies due to adverse events did not differ from placebo for acamprosate (low strength of research evidence) and were only slightly greater than placebo for naltrexone although statistically significant (moderate strength of research evidence).”</w:t>
            </w:r>
          </w:p>
          <w:p w14:paraId="7C6F1332" w14:textId="77777777" w:rsidR="00955ACD" w:rsidRPr="00FC0129" w:rsidRDefault="00955ACD" w:rsidP="001041DD">
            <w:pPr>
              <w:ind w:left="0" w:firstLine="0"/>
              <w:rPr>
                <w:color w:val="FF0000"/>
              </w:rPr>
            </w:pPr>
          </w:p>
          <w:p w14:paraId="4C406092" w14:textId="77777777" w:rsidR="00955ACD" w:rsidRPr="00FC0129" w:rsidRDefault="00955ACD" w:rsidP="001041DD">
            <w:pPr>
              <w:ind w:left="0" w:firstLine="0"/>
              <w:rPr>
                <w:b/>
                <w:color w:val="FF0000"/>
              </w:rPr>
            </w:pPr>
            <w:r w:rsidRPr="00FC0129">
              <w:rPr>
                <w:b/>
                <w:color w:val="FF0000"/>
              </w:rPr>
              <w:t>Statement 10. Disulfiram</w:t>
            </w:r>
          </w:p>
          <w:p w14:paraId="5CC5A12C" w14:textId="77777777" w:rsidR="00955ACD" w:rsidRPr="00FC0129" w:rsidRDefault="00955ACD" w:rsidP="001041DD">
            <w:pPr>
              <w:ind w:left="0" w:firstLine="0"/>
              <w:rPr>
                <w:color w:val="FF0000"/>
              </w:rPr>
            </w:pPr>
            <w:r w:rsidRPr="00FC0129">
              <w:rPr>
                <w:color w:val="FF0000"/>
              </w:rPr>
              <w:t>“There were insufficient data on harms of disulfiram to conduct a meta-analysis in the AHRQ report.</w:t>
            </w:r>
          </w:p>
          <w:p w14:paraId="705EF262" w14:textId="50E954A5" w:rsidR="00955ACD" w:rsidRPr="00FC0129" w:rsidRDefault="00955ACD" w:rsidP="001041DD">
            <w:pPr>
              <w:ind w:left="0" w:firstLine="0"/>
              <w:rPr>
                <w:color w:val="FF0000"/>
              </w:rPr>
            </w:pPr>
            <w:r w:rsidRPr="00FC0129">
              <w:rPr>
                <w:color w:val="FF0000"/>
              </w:rPr>
              <w:t xml:space="preserve">When randomized open-label studies were included (low strength of research evidence; Skinner et al. 2014), there </w:t>
            </w:r>
            <w:r w:rsidRPr="00FC0129">
              <w:rPr>
                <w:color w:val="FF0000"/>
              </w:rPr>
              <w:lastRenderedPageBreak/>
              <w:t>was a significantly greater number of adverse events with disulfiram than with control conditions. Significant harms have been reported if alcohol-containing products are ingested concomitantly with disulfiram use.”</w:t>
            </w:r>
          </w:p>
        </w:tc>
      </w:tr>
      <w:tr w:rsidR="00955ACD" w:rsidRPr="00FC0129" w14:paraId="73403EE0" w14:textId="77777777" w:rsidTr="001041DD">
        <w:tc>
          <w:tcPr>
            <w:tcW w:w="3685" w:type="dxa"/>
          </w:tcPr>
          <w:p w14:paraId="6EAA0557" w14:textId="77777777" w:rsidR="00955ACD" w:rsidRPr="00FC0129" w:rsidRDefault="00955ACD" w:rsidP="001041DD">
            <w:pPr>
              <w:ind w:left="0" w:firstLine="0"/>
              <w:rPr>
                <w:color w:val="FF0000"/>
              </w:rPr>
            </w:pPr>
            <w:r w:rsidRPr="00FC0129">
              <w:rPr>
                <w:color w:val="FF0000"/>
              </w:rPr>
              <w:lastRenderedPageBreak/>
              <w:t>Identify any new studies conducted since the SR. Do the new studies change the conclusions from the SR?</w:t>
            </w:r>
          </w:p>
        </w:tc>
        <w:tc>
          <w:tcPr>
            <w:tcW w:w="5665" w:type="dxa"/>
          </w:tcPr>
          <w:p w14:paraId="0B9BCE26" w14:textId="4E54D907" w:rsidR="00955ACD" w:rsidRPr="00FC0129" w:rsidRDefault="000B61D5" w:rsidP="001041DD">
            <w:pPr>
              <w:ind w:left="0" w:firstLine="0"/>
              <w:rPr>
                <w:color w:val="FF0000"/>
              </w:rPr>
            </w:pPr>
            <w:r>
              <w:rPr>
                <w:color w:val="FF0000"/>
              </w:rPr>
              <w:t>N/A</w:t>
            </w:r>
          </w:p>
        </w:tc>
      </w:tr>
    </w:tbl>
    <w:p w14:paraId="4CBC5C65" w14:textId="4D616101" w:rsidR="004312F7" w:rsidRDefault="004312F7"/>
    <w:p w14:paraId="2BD347C5" w14:textId="77777777" w:rsidR="00955ACD" w:rsidRDefault="00955ACD"/>
    <w:p w14:paraId="1F79584D" w14:textId="55E28DB5" w:rsidR="00643661" w:rsidRPr="00FC0129" w:rsidRDefault="00FC0129">
      <w:pPr>
        <w:rPr>
          <w:b/>
          <w:i/>
          <w:color w:val="FF0000"/>
        </w:rPr>
      </w:pPr>
      <w:r w:rsidRPr="00FC0129">
        <w:rPr>
          <w:b/>
          <w:i/>
          <w:color w:val="FF0000"/>
        </w:rPr>
        <w:t xml:space="preserve">Table </w:t>
      </w:r>
      <w:r w:rsidR="001B05A2">
        <w:rPr>
          <w:b/>
          <w:i/>
          <w:color w:val="FF0000"/>
        </w:rPr>
        <w:t>3</w:t>
      </w:r>
      <w:r w:rsidRPr="00FC0129">
        <w:rPr>
          <w:b/>
          <w:i/>
          <w:color w:val="FF0000"/>
        </w:rPr>
        <w:t xml:space="preserve">: Clinical Practice Guideline </w:t>
      </w:r>
      <w:r w:rsidR="001B05A2">
        <w:rPr>
          <w:b/>
          <w:i/>
          <w:color w:val="FF0000"/>
        </w:rPr>
        <w:t>3</w:t>
      </w:r>
    </w:p>
    <w:tbl>
      <w:tblPr>
        <w:tblStyle w:val="TableGrid"/>
        <w:tblW w:w="0" w:type="auto"/>
        <w:tblLayout w:type="fixed"/>
        <w:tblLook w:val="04A0" w:firstRow="1" w:lastRow="0" w:firstColumn="1" w:lastColumn="0" w:noHBand="0" w:noVBand="1"/>
      </w:tblPr>
      <w:tblGrid>
        <w:gridCol w:w="3685"/>
        <w:gridCol w:w="5665"/>
      </w:tblGrid>
      <w:tr w:rsidR="00FC0129" w:rsidRPr="00FC0129" w14:paraId="443615C8" w14:textId="77777777" w:rsidTr="003869CE">
        <w:tc>
          <w:tcPr>
            <w:tcW w:w="3685" w:type="dxa"/>
          </w:tcPr>
          <w:p w14:paraId="03B6D4D9" w14:textId="77777777" w:rsidR="003869CE" w:rsidRPr="00FC0129" w:rsidRDefault="003869CE" w:rsidP="000B6B66">
            <w:pPr>
              <w:ind w:left="0" w:firstLine="0"/>
              <w:rPr>
                <w:b/>
                <w:color w:val="FF0000"/>
              </w:rPr>
            </w:pPr>
            <w:r w:rsidRPr="00FC0129">
              <w:rPr>
                <w:b/>
                <w:color w:val="FF0000"/>
              </w:rPr>
              <w:t>Source of Systematic Review:</w:t>
            </w:r>
          </w:p>
          <w:p w14:paraId="18103950" w14:textId="77777777" w:rsidR="003869CE" w:rsidRPr="00FC0129" w:rsidRDefault="003869CE" w:rsidP="000B6B66">
            <w:pPr>
              <w:pStyle w:val="ListParagraph"/>
              <w:numPr>
                <w:ilvl w:val="0"/>
                <w:numId w:val="9"/>
              </w:numPr>
              <w:rPr>
                <w:b/>
                <w:color w:val="FF0000"/>
              </w:rPr>
            </w:pPr>
            <w:r w:rsidRPr="00FC0129">
              <w:rPr>
                <w:b/>
                <w:color w:val="FF0000"/>
              </w:rPr>
              <w:t>Title</w:t>
            </w:r>
          </w:p>
          <w:p w14:paraId="4173798B" w14:textId="77777777" w:rsidR="003869CE" w:rsidRPr="00FC0129" w:rsidRDefault="003869CE" w:rsidP="000B6B66">
            <w:pPr>
              <w:pStyle w:val="ListParagraph"/>
              <w:numPr>
                <w:ilvl w:val="0"/>
                <w:numId w:val="9"/>
              </w:numPr>
              <w:rPr>
                <w:b/>
                <w:color w:val="FF0000"/>
              </w:rPr>
            </w:pPr>
            <w:r w:rsidRPr="00FC0129">
              <w:rPr>
                <w:b/>
                <w:color w:val="FF0000"/>
              </w:rPr>
              <w:t>Author</w:t>
            </w:r>
          </w:p>
          <w:p w14:paraId="060AAE47" w14:textId="77777777" w:rsidR="003869CE" w:rsidRPr="00FC0129" w:rsidRDefault="003869CE" w:rsidP="000B6B66">
            <w:pPr>
              <w:pStyle w:val="ListParagraph"/>
              <w:numPr>
                <w:ilvl w:val="0"/>
                <w:numId w:val="9"/>
              </w:numPr>
              <w:rPr>
                <w:b/>
                <w:color w:val="FF0000"/>
              </w:rPr>
            </w:pPr>
            <w:r w:rsidRPr="00FC0129">
              <w:rPr>
                <w:b/>
                <w:color w:val="FF0000"/>
              </w:rPr>
              <w:t>Date</w:t>
            </w:r>
          </w:p>
          <w:p w14:paraId="62CC9908" w14:textId="77777777" w:rsidR="003869CE" w:rsidRPr="00FC0129" w:rsidRDefault="003869CE" w:rsidP="000B6B66">
            <w:pPr>
              <w:pStyle w:val="ListParagraph"/>
              <w:numPr>
                <w:ilvl w:val="0"/>
                <w:numId w:val="9"/>
              </w:numPr>
              <w:rPr>
                <w:b/>
                <w:color w:val="FF0000"/>
              </w:rPr>
            </w:pPr>
            <w:r w:rsidRPr="00FC0129">
              <w:rPr>
                <w:b/>
                <w:color w:val="FF0000"/>
              </w:rPr>
              <w:t>Citation, including page number</w:t>
            </w:r>
          </w:p>
          <w:p w14:paraId="5E17AD6F" w14:textId="77777777" w:rsidR="003869CE" w:rsidRPr="00FC0129" w:rsidRDefault="003869CE" w:rsidP="000B6B66">
            <w:pPr>
              <w:pStyle w:val="ListParagraph"/>
              <w:numPr>
                <w:ilvl w:val="0"/>
                <w:numId w:val="9"/>
              </w:numPr>
              <w:rPr>
                <w:b/>
                <w:color w:val="FF0000"/>
              </w:rPr>
            </w:pPr>
            <w:r w:rsidRPr="00FC0129">
              <w:rPr>
                <w:b/>
                <w:color w:val="FF0000"/>
              </w:rPr>
              <w:t>URL</w:t>
            </w:r>
          </w:p>
        </w:tc>
        <w:tc>
          <w:tcPr>
            <w:tcW w:w="5665" w:type="dxa"/>
          </w:tcPr>
          <w:p w14:paraId="65B5A246" w14:textId="77777777" w:rsidR="003869CE" w:rsidRPr="00FC0129" w:rsidRDefault="0009098D" w:rsidP="004312F7">
            <w:pPr>
              <w:pStyle w:val="ListParagraph"/>
              <w:numPr>
                <w:ilvl w:val="0"/>
                <w:numId w:val="9"/>
              </w:numPr>
              <w:rPr>
                <w:color w:val="FF0000"/>
              </w:rPr>
            </w:pPr>
            <w:r w:rsidRPr="00FC0129">
              <w:rPr>
                <w:color w:val="FF0000"/>
              </w:rPr>
              <w:t xml:space="preserve">The ASAM National Practice Guideline for the Use of Medications in the Treatment of Addiction Involving Opioid Use </w:t>
            </w:r>
          </w:p>
          <w:p w14:paraId="7A55A227" w14:textId="548FF664" w:rsidR="00FD3B3E" w:rsidRPr="00FC0129" w:rsidRDefault="00C25C04" w:rsidP="004312F7">
            <w:pPr>
              <w:pStyle w:val="ListParagraph"/>
              <w:numPr>
                <w:ilvl w:val="0"/>
                <w:numId w:val="9"/>
              </w:numPr>
              <w:rPr>
                <w:color w:val="FF0000"/>
              </w:rPr>
            </w:pPr>
            <w:r w:rsidRPr="00FC0129">
              <w:rPr>
                <w:color w:val="FF0000"/>
              </w:rPr>
              <w:t>American Society of Addiction Medicine (ASAM).</w:t>
            </w:r>
          </w:p>
          <w:p w14:paraId="31EC3EBC" w14:textId="1E64E39C" w:rsidR="00C25C04" w:rsidRPr="00FC0129" w:rsidRDefault="00C25C04" w:rsidP="004312F7">
            <w:pPr>
              <w:pStyle w:val="ListParagraph"/>
              <w:numPr>
                <w:ilvl w:val="0"/>
                <w:numId w:val="9"/>
              </w:numPr>
              <w:rPr>
                <w:color w:val="FF0000"/>
              </w:rPr>
            </w:pPr>
            <w:r w:rsidRPr="00FC0129">
              <w:rPr>
                <w:color w:val="FF0000"/>
              </w:rPr>
              <w:t>June 1, 2015</w:t>
            </w:r>
          </w:p>
          <w:p w14:paraId="3C4863D2" w14:textId="2C4BFDD5" w:rsidR="0009098D" w:rsidRPr="00FC0129" w:rsidRDefault="0009098D" w:rsidP="004312F7">
            <w:pPr>
              <w:pStyle w:val="ListParagraph"/>
              <w:numPr>
                <w:ilvl w:val="0"/>
                <w:numId w:val="9"/>
              </w:numPr>
              <w:rPr>
                <w:color w:val="FF0000"/>
              </w:rPr>
            </w:pPr>
            <w:r w:rsidRPr="00FC0129">
              <w:rPr>
                <w:color w:val="FF0000"/>
              </w:rPr>
              <w:t>American Society of Addiction Medicine (ASAM</w:t>
            </w:r>
            <w:r w:rsidR="00685EAB" w:rsidRPr="00FC0129">
              <w:rPr>
                <w:color w:val="FF0000"/>
              </w:rPr>
              <w:t>)</w:t>
            </w:r>
            <w:r w:rsidR="002146D5" w:rsidRPr="00FC0129">
              <w:rPr>
                <w:color w:val="FF0000"/>
              </w:rPr>
              <w:t xml:space="preserve">. </w:t>
            </w:r>
            <w:r w:rsidR="004E1C8D" w:rsidRPr="00FC0129">
              <w:rPr>
                <w:color w:val="FF0000"/>
              </w:rPr>
              <w:t xml:space="preserve">(2015). </w:t>
            </w:r>
            <w:r w:rsidR="002146D5" w:rsidRPr="00FC0129">
              <w:rPr>
                <w:i/>
                <w:color w:val="FF0000"/>
              </w:rPr>
              <w:t>The ASAM National Practice Guideline for the Use of Medications in the Treatment of Addiction Involving Opioid Use.</w:t>
            </w:r>
            <w:r w:rsidR="002146D5" w:rsidRPr="00FC0129">
              <w:rPr>
                <w:color w:val="FF0000"/>
              </w:rPr>
              <w:t xml:space="preserve"> </w:t>
            </w:r>
            <w:r w:rsidR="00FD3B3E" w:rsidRPr="00FC0129">
              <w:rPr>
                <w:color w:val="FF0000"/>
              </w:rPr>
              <w:t xml:space="preserve">Retrieved from: </w:t>
            </w:r>
            <w:r w:rsidR="002146D5" w:rsidRPr="00FC0129">
              <w:rPr>
                <w:color w:val="FF0000"/>
              </w:rPr>
              <w:t xml:space="preserve"> </w:t>
            </w:r>
            <w:r w:rsidR="00FD3B3E" w:rsidRPr="00FC0129">
              <w:rPr>
                <w:color w:val="FF0000"/>
              </w:rPr>
              <w:t>https://www.asam.org/docs/default-source/practice-support/guidelines-and-consensus-docs/asam-national-practice-guideline-supplement.pdf?sfvrsn=24</w:t>
            </w:r>
          </w:p>
          <w:p w14:paraId="4D6559E2" w14:textId="14EC5FE4" w:rsidR="00685EAB" w:rsidRPr="00FC0129" w:rsidRDefault="00ED59E7" w:rsidP="00ED59E7">
            <w:pPr>
              <w:pStyle w:val="ListParagraph"/>
              <w:numPr>
                <w:ilvl w:val="0"/>
                <w:numId w:val="9"/>
              </w:numPr>
              <w:rPr>
                <w:color w:val="FF0000"/>
              </w:rPr>
            </w:pPr>
            <w:r w:rsidRPr="00FC0129">
              <w:rPr>
                <w:color w:val="FF0000"/>
              </w:rPr>
              <w:t>https://www.asam.org/docs/default-source/practice-support/guidelines-and-consensus-docs/asam-national-practice-guideline-supplement.pdf?sfvrsn=24</w:t>
            </w:r>
          </w:p>
        </w:tc>
      </w:tr>
      <w:tr w:rsidR="00FC0129" w:rsidRPr="00FC0129" w14:paraId="6127BC3B" w14:textId="77777777" w:rsidTr="003869CE">
        <w:tc>
          <w:tcPr>
            <w:tcW w:w="3685" w:type="dxa"/>
          </w:tcPr>
          <w:p w14:paraId="69EE7BF6" w14:textId="77777777" w:rsidR="003869CE" w:rsidRPr="00FC0129" w:rsidRDefault="003869CE" w:rsidP="000B6B66">
            <w:pPr>
              <w:ind w:left="0" w:firstLine="0"/>
              <w:rPr>
                <w:color w:val="FF0000"/>
              </w:rPr>
            </w:pPr>
            <w:r w:rsidRPr="00FC0129">
              <w:rPr>
                <w:color w:val="FF0000"/>
              </w:rPr>
              <w:t>Quote the guideline or recommendation verbatim about the process, structure or intermediate outcome being measured. If not a guideline, summarize the conclusions from the SR.</w:t>
            </w:r>
          </w:p>
        </w:tc>
        <w:tc>
          <w:tcPr>
            <w:tcW w:w="5665" w:type="dxa"/>
          </w:tcPr>
          <w:p w14:paraId="7742729E" w14:textId="2DD9183F" w:rsidR="003869CE" w:rsidRDefault="00092BEF" w:rsidP="000B6B66">
            <w:pPr>
              <w:ind w:left="0" w:firstLine="0"/>
              <w:rPr>
                <w:i/>
                <w:color w:val="FF0000"/>
              </w:rPr>
            </w:pPr>
            <w:r w:rsidRPr="00FC0129">
              <w:rPr>
                <w:i/>
                <w:color w:val="FF0000"/>
              </w:rPr>
              <w:t xml:space="preserve">Part 7: Psychosocial Treatment in Conjunction </w:t>
            </w:r>
            <w:r w:rsidR="00CE57A3" w:rsidRPr="00FC0129">
              <w:rPr>
                <w:i/>
                <w:color w:val="FF0000"/>
              </w:rPr>
              <w:t>with</w:t>
            </w:r>
            <w:r w:rsidRPr="00FC0129">
              <w:rPr>
                <w:i/>
                <w:color w:val="FF0000"/>
              </w:rPr>
              <w:t xml:space="preserve"> Medications for the Treatment of Opioid Use Disorder</w:t>
            </w:r>
          </w:p>
          <w:p w14:paraId="7C84045F" w14:textId="77777777" w:rsidR="001B5F35" w:rsidRPr="00FC0129" w:rsidRDefault="001B5F35" w:rsidP="000B6B66">
            <w:pPr>
              <w:ind w:left="0" w:firstLine="0"/>
              <w:rPr>
                <w:i/>
                <w:color w:val="FF0000"/>
              </w:rPr>
            </w:pPr>
          </w:p>
          <w:p w14:paraId="3E190632" w14:textId="7FA86C42" w:rsidR="00F07CCD" w:rsidRDefault="00F07CCD" w:rsidP="000B6B66">
            <w:pPr>
              <w:ind w:left="0" w:firstLine="0"/>
              <w:rPr>
                <w:color w:val="FF0000"/>
              </w:rPr>
            </w:pPr>
            <w:r w:rsidRPr="00FC0129">
              <w:rPr>
                <w:color w:val="FF0000"/>
              </w:rPr>
              <w:t xml:space="preserve">(1) </w:t>
            </w:r>
            <w:r w:rsidR="001B5F35">
              <w:rPr>
                <w:color w:val="FF0000"/>
              </w:rPr>
              <w:t>“</w:t>
            </w:r>
            <w:r w:rsidRPr="00FC0129">
              <w:rPr>
                <w:color w:val="FF0000"/>
              </w:rPr>
              <w:t>Psychosocial treatment is recommended in conjunction with any pharmacological treatment of opioid use disorder. At a minimum, psychosocial treatment should include the following: psychosocial needs assessment, supportive counseling, links to existing family supports, and referrals to community services.</w:t>
            </w:r>
            <w:r w:rsidR="001B5F35">
              <w:rPr>
                <w:color w:val="FF0000"/>
              </w:rPr>
              <w:t>”</w:t>
            </w:r>
          </w:p>
          <w:p w14:paraId="510F3D08" w14:textId="77777777" w:rsidR="001B5F35" w:rsidRPr="00FC0129" w:rsidRDefault="001B5F35" w:rsidP="000B6B66">
            <w:pPr>
              <w:ind w:left="0" w:firstLine="0"/>
              <w:rPr>
                <w:color w:val="FF0000"/>
              </w:rPr>
            </w:pPr>
          </w:p>
          <w:p w14:paraId="2A7DD295" w14:textId="0CBF321B" w:rsidR="00F07CCD" w:rsidRDefault="00F07CCD" w:rsidP="000B6B66">
            <w:pPr>
              <w:ind w:left="0" w:firstLine="0"/>
              <w:rPr>
                <w:color w:val="FF0000"/>
              </w:rPr>
            </w:pPr>
            <w:r w:rsidRPr="00FC0129">
              <w:rPr>
                <w:color w:val="FF0000"/>
              </w:rPr>
              <w:t xml:space="preserve">(2) </w:t>
            </w:r>
            <w:r w:rsidR="001B14E6">
              <w:rPr>
                <w:color w:val="FF0000"/>
              </w:rPr>
              <w:t>“</w:t>
            </w:r>
            <w:r w:rsidRPr="00FC0129">
              <w:rPr>
                <w:color w:val="FF0000"/>
              </w:rPr>
              <w:t xml:space="preserve">Treatment planning should include collaboration with qualified behavioral healthcare providers to determine the optimal type and intensity of psychosocial treatment and for renegotiation of the treatment plan for </w:t>
            </w:r>
            <w:r w:rsidR="00A9220E" w:rsidRPr="00FC0129">
              <w:rPr>
                <w:color w:val="FF0000"/>
              </w:rPr>
              <w:t>circumstances</w:t>
            </w:r>
            <w:r w:rsidRPr="00FC0129">
              <w:rPr>
                <w:color w:val="FF0000"/>
              </w:rPr>
              <w:t xml:space="preserve"> in which patients do not adhere to recommended plans for, or referrals to, psychosocial treatment.</w:t>
            </w:r>
            <w:r w:rsidR="00802038">
              <w:rPr>
                <w:color w:val="FF0000"/>
              </w:rPr>
              <w:t>”</w:t>
            </w:r>
          </w:p>
          <w:p w14:paraId="4EB62C5E" w14:textId="77777777" w:rsidR="001B14E6" w:rsidRPr="00FC0129" w:rsidRDefault="001B14E6" w:rsidP="000B6B66">
            <w:pPr>
              <w:ind w:left="0" w:firstLine="0"/>
              <w:rPr>
                <w:color w:val="FF0000"/>
              </w:rPr>
            </w:pPr>
          </w:p>
          <w:p w14:paraId="1B143DF4" w14:textId="75D6D4CA" w:rsidR="00F07CCD" w:rsidRDefault="00F07CCD" w:rsidP="000B6B66">
            <w:pPr>
              <w:ind w:left="0" w:firstLine="0"/>
              <w:rPr>
                <w:color w:val="FF0000"/>
              </w:rPr>
            </w:pPr>
            <w:r w:rsidRPr="00FC0129">
              <w:rPr>
                <w:color w:val="FF0000"/>
              </w:rPr>
              <w:lastRenderedPageBreak/>
              <w:t xml:space="preserve">(3) </w:t>
            </w:r>
            <w:r w:rsidR="00802038">
              <w:rPr>
                <w:color w:val="FF0000"/>
              </w:rPr>
              <w:t>“</w:t>
            </w:r>
            <w:r w:rsidRPr="00FC0129">
              <w:rPr>
                <w:color w:val="FF0000"/>
              </w:rPr>
              <w:t>Psychosocial treatment is generally recommended for patients who are receiving opioid agonist treatment (methadone or buprenorphine).</w:t>
            </w:r>
            <w:r w:rsidR="00802038">
              <w:rPr>
                <w:color w:val="FF0000"/>
              </w:rPr>
              <w:t>”</w:t>
            </w:r>
          </w:p>
          <w:p w14:paraId="4DAE2E29" w14:textId="77777777" w:rsidR="00802038" w:rsidRPr="00FC0129" w:rsidRDefault="00802038" w:rsidP="000B6B66">
            <w:pPr>
              <w:ind w:left="0" w:firstLine="0"/>
              <w:rPr>
                <w:color w:val="FF0000"/>
              </w:rPr>
            </w:pPr>
          </w:p>
          <w:p w14:paraId="7D167231" w14:textId="69DF9B35" w:rsidR="00F07CCD" w:rsidRPr="00FC0129" w:rsidRDefault="00F07CCD" w:rsidP="000B6B66">
            <w:pPr>
              <w:ind w:left="0" w:firstLine="0"/>
              <w:rPr>
                <w:color w:val="FF0000"/>
              </w:rPr>
            </w:pPr>
            <w:r w:rsidRPr="00FC0129">
              <w:rPr>
                <w:color w:val="FF0000"/>
              </w:rPr>
              <w:t xml:space="preserve">(4) </w:t>
            </w:r>
            <w:r w:rsidR="00802038">
              <w:rPr>
                <w:color w:val="FF0000"/>
              </w:rPr>
              <w:t>“</w:t>
            </w:r>
            <w:r w:rsidRPr="00FC0129">
              <w:rPr>
                <w:color w:val="FF0000"/>
              </w:rPr>
              <w:t>Psychosocial treatment should be offered with oral and extended-release injectable naltrexone. The efficacy of extended-release injectable naltrexone to treat opioid use</w:t>
            </w:r>
            <w:r w:rsidR="00A051F8" w:rsidRPr="00FC0129">
              <w:rPr>
                <w:color w:val="FF0000"/>
              </w:rPr>
              <w:t xml:space="preserve"> disorder has not been confirmed when it has been used as pharmacotherapy without accompanying psychosocial treatment</w:t>
            </w:r>
            <w:r w:rsidR="00CE57A3" w:rsidRPr="00FC0129">
              <w:rPr>
                <w:color w:val="FF0000"/>
              </w:rPr>
              <w:t>.</w:t>
            </w:r>
            <w:r w:rsidR="001B05A2">
              <w:rPr>
                <w:color w:val="FF0000"/>
              </w:rPr>
              <w:t>”</w:t>
            </w:r>
          </w:p>
        </w:tc>
      </w:tr>
      <w:tr w:rsidR="00FC0129" w:rsidRPr="00FC0129" w14:paraId="1CF081CA" w14:textId="77777777" w:rsidTr="003869CE">
        <w:tc>
          <w:tcPr>
            <w:tcW w:w="3685" w:type="dxa"/>
          </w:tcPr>
          <w:p w14:paraId="4C6D1C25" w14:textId="77777777" w:rsidR="003869CE" w:rsidRPr="00FC0129" w:rsidRDefault="003869CE" w:rsidP="000B6B66">
            <w:pPr>
              <w:ind w:left="0" w:firstLine="0"/>
              <w:rPr>
                <w:color w:val="FF0000"/>
              </w:rPr>
            </w:pPr>
            <w:r w:rsidRPr="00FC0129">
              <w:rPr>
                <w:color w:val="FF0000"/>
              </w:rPr>
              <w:lastRenderedPageBreak/>
              <w:t xml:space="preserve">Grade assigned to the </w:t>
            </w:r>
            <w:r w:rsidRPr="00FC0129">
              <w:rPr>
                <w:b/>
                <w:color w:val="FF0000"/>
              </w:rPr>
              <w:t>evidence</w:t>
            </w:r>
            <w:r w:rsidRPr="00FC0129">
              <w:rPr>
                <w:color w:val="FF0000"/>
              </w:rPr>
              <w:t xml:space="preserve"> associated with the recommendation with the definition of the grade</w:t>
            </w:r>
          </w:p>
        </w:tc>
        <w:tc>
          <w:tcPr>
            <w:tcW w:w="5665" w:type="dxa"/>
          </w:tcPr>
          <w:p w14:paraId="10DD82D3" w14:textId="2C0E4941" w:rsidR="00A55865" w:rsidRPr="00FC0129" w:rsidRDefault="0044749F" w:rsidP="00E06B74">
            <w:pPr>
              <w:pStyle w:val="BodyText"/>
              <w:spacing w:before="0" w:after="120"/>
              <w:rPr>
                <w:rFonts w:asciiTheme="minorHAnsi" w:hAnsiTheme="minorHAnsi" w:cstheme="minorHAnsi"/>
                <w:color w:val="FF0000"/>
                <w:sz w:val="22"/>
                <w:szCs w:val="22"/>
              </w:rPr>
            </w:pPr>
            <w:r w:rsidRPr="00FC0129">
              <w:rPr>
                <w:rFonts w:asciiTheme="minorHAnsi" w:hAnsiTheme="minorHAnsi" w:cstheme="minorHAnsi"/>
                <w:color w:val="FF0000"/>
                <w:sz w:val="22"/>
                <w:szCs w:val="22"/>
              </w:rPr>
              <w:t>ASAM does not provide a rating for their evidence.</w:t>
            </w:r>
            <w:r w:rsidR="00A06315" w:rsidRPr="00FC0129">
              <w:rPr>
                <w:rFonts w:asciiTheme="minorHAnsi" w:hAnsiTheme="minorHAnsi" w:cstheme="minorHAnsi"/>
                <w:color w:val="FF0000"/>
                <w:sz w:val="22"/>
                <w:szCs w:val="22"/>
              </w:rPr>
              <w:t xml:space="preserve"> “</w:t>
            </w:r>
            <w:r w:rsidR="001F2713" w:rsidRPr="00FC0129">
              <w:rPr>
                <w:rFonts w:asciiTheme="minorHAnsi" w:hAnsiTheme="minorHAnsi" w:cstheme="minorHAnsi"/>
                <w:color w:val="FF0000"/>
                <w:sz w:val="22"/>
                <w:szCs w:val="22"/>
              </w:rPr>
              <w:t xml:space="preserve">These guidelines were developed using the RAND/UCLA Appropriateness Method (RAM) - </w:t>
            </w:r>
            <w:r w:rsidR="00A06315" w:rsidRPr="00FC0129">
              <w:rPr>
                <w:rFonts w:asciiTheme="minorHAnsi" w:hAnsiTheme="minorHAnsi" w:cstheme="minorHAnsi"/>
                <w:color w:val="FF0000"/>
                <w:sz w:val="22"/>
                <w:szCs w:val="22"/>
              </w:rPr>
              <w:t xml:space="preserve">a process that combines scientific evidence and </w:t>
            </w:r>
            <w:r w:rsidR="00547321" w:rsidRPr="00FC0129">
              <w:rPr>
                <w:rFonts w:asciiTheme="minorHAnsi" w:hAnsiTheme="minorHAnsi" w:cstheme="minorHAnsi"/>
                <w:color w:val="FF0000"/>
                <w:sz w:val="22"/>
                <w:szCs w:val="22"/>
              </w:rPr>
              <w:t>clinical</w:t>
            </w:r>
            <w:r w:rsidR="00A06315" w:rsidRPr="00FC0129">
              <w:rPr>
                <w:rFonts w:asciiTheme="minorHAnsi" w:hAnsiTheme="minorHAnsi" w:cstheme="minorHAnsi"/>
                <w:color w:val="FF0000"/>
                <w:sz w:val="22"/>
                <w:szCs w:val="22"/>
              </w:rPr>
              <w:t xml:space="preserve"> knowledge to determine the appropriateness </w:t>
            </w:r>
            <w:r w:rsidR="00547321" w:rsidRPr="00FC0129">
              <w:rPr>
                <w:rFonts w:asciiTheme="minorHAnsi" w:hAnsiTheme="minorHAnsi" w:cstheme="minorHAnsi"/>
                <w:color w:val="FF0000"/>
                <w:sz w:val="22"/>
                <w:szCs w:val="22"/>
              </w:rPr>
              <w:t xml:space="preserve">of a set of clinical procedures.” </w:t>
            </w:r>
          </w:p>
        </w:tc>
      </w:tr>
      <w:tr w:rsidR="00FC0129" w:rsidRPr="00FC0129" w14:paraId="18698444" w14:textId="77777777" w:rsidTr="003869CE">
        <w:tc>
          <w:tcPr>
            <w:tcW w:w="3685" w:type="dxa"/>
          </w:tcPr>
          <w:p w14:paraId="51AFF182" w14:textId="77777777" w:rsidR="003869CE" w:rsidRPr="00FC0129" w:rsidRDefault="003869CE" w:rsidP="000B6B66">
            <w:pPr>
              <w:ind w:left="0" w:firstLine="0"/>
              <w:rPr>
                <w:color w:val="FF0000"/>
              </w:rPr>
            </w:pPr>
            <w:r w:rsidRPr="00FC0129">
              <w:rPr>
                <w:color w:val="FF0000"/>
              </w:rPr>
              <w:t>Provide all other grades and definitions from the evidence grading system</w:t>
            </w:r>
          </w:p>
        </w:tc>
        <w:tc>
          <w:tcPr>
            <w:tcW w:w="5665" w:type="dxa"/>
          </w:tcPr>
          <w:p w14:paraId="65D0DADF" w14:textId="7D9D0701" w:rsidR="003869CE" w:rsidRPr="00FC0129" w:rsidRDefault="00802038" w:rsidP="000B6B66">
            <w:pPr>
              <w:ind w:left="0" w:firstLine="0"/>
              <w:rPr>
                <w:color w:val="FF0000"/>
              </w:rPr>
            </w:pPr>
            <w:r>
              <w:rPr>
                <w:color w:val="FF0000"/>
              </w:rPr>
              <w:t>N/A</w:t>
            </w:r>
          </w:p>
        </w:tc>
      </w:tr>
      <w:tr w:rsidR="00FC0129" w:rsidRPr="00FC0129" w14:paraId="3120F228" w14:textId="77777777" w:rsidTr="003869CE">
        <w:tc>
          <w:tcPr>
            <w:tcW w:w="3685" w:type="dxa"/>
          </w:tcPr>
          <w:p w14:paraId="2303E3B8" w14:textId="77777777" w:rsidR="003869CE" w:rsidRPr="00FC0129" w:rsidRDefault="003869CE" w:rsidP="000B6B66">
            <w:pPr>
              <w:ind w:left="0" w:firstLine="0"/>
              <w:rPr>
                <w:color w:val="FF0000"/>
              </w:rPr>
            </w:pPr>
            <w:r w:rsidRPr="00FC0129">
              <w:rPr>
                <w:color w:val="FF0000"/>
              </w:rPr>
              <w:t xml:space="preserve">Grade assigned to the </w:t>
            </w:r>
            <w:r w:rsidRPr="00FC0129">
              <w:rPr>
                <w:b/>
                <w:color w:val="FF0000"/>
              </w:rPr>
              <w:t>recommendation</w:t>
            </w:r>
            <w:r w:rsidRPr="00FC0129">
              <w:rPr>
                <w:color w:val="FF0000"/>
              </w:rPr>
              <w:t xml:space="preserve"> with definition of the grade</w:t>
            </w:r>
          </w:p>
        </w:tc>
        <w:tc>
          <w:tcPr>
            <w:tcW w:w="5665" w:type="dxa"/>
          </w:tcPr>
          <w:p w14:paraId="6743DA77" w14:textId="65B40E85" w:rsidR="003869CE" w:rsidRPr="00FC0129" w:rsidRDefault="00244FD1" w:rsidP="000B6B66">
            <w:pPr>
              <w:ind w:left="0" w:firstLine="0"/>
              <w:rPr>
                <w:color w:val="FF0000"/>
              </w:rPr>
            </w:pPr>
            <w:r w:rsidRPr="00FC0129">
              <w:rPr>
                <w:color w:val="FF0000"/>
              </w:rPr>
              <w:t xml:space="preserve">ASAM does not provide a rating for recommendation statements. </w:t>
            </w:r>
          </w:p>
        </w:tc>
      </w:tr>
      <w:tr w:rsidR="00FC0129" w:rsidRPr="00FC0129" w14:paraId="45751F2F" w14:textId="77777777" w:rsidTr="003869CE">
        <w:tc>
          <w:tcPr>
            <w:tcW w:w="3685" w:type="dxa"/>
          </w:tcPr>
          <w:p w14:paraId="57F6A3B9" w14:textId="77777777" w:rsidR="003869CE" w:rsidRPr="00FC0129" w:rsidRDefault="003869CE" w:rsidP="000B6B66">
            <w:pPr>
              <w:ind w:left="0" w:firstLine="0"/>
              <w:rPr>
                <w:color w:val="FF0000"/>
              </w:rPr>
            </w:pPr>
            <w:r w:rsidRPr="00FC0129">
              <w:rPr>
                <w:color w:val="FF0000"/>
              </w:rPr>
              <w:t>Provide all other grades and definitions from the recommendation grading system</w:t>
            </w:r>
          </w:p>
        </w:tc>
        <w:tc>
          <w:tcPr>
            <w:tcW w:w="5665" w:type="dxa"/>
          </w:tcPr>
          <w:p w14:paraId="2BF3DD14" w14:textId="6716B7AB" w:rsidR="003869CE" w:rsidRPr="00FC0129" w:rsidRDefault="0005667C" w:rsidP="000B6B66">
            <w:pPr>
              <w:ind w:left="0" w:firstLine="0"/>
              <w:rPr>
                <w:color w:val="FF0000"/>
              </w:rPr>
            </w:pPr>
            <w:r>
              <w:rPr>
                <w:color w:val="FF0000"/>
              </w:rPr>
              <w:t>N/A</w:t>
            </w:r>
          </w:p>
        </w:tc>
      </w:tr>
      <w:tr w:rsidR="00FC0129" w:rsidRPr="00FC0129" w14:paraId="319E2AA7" w14:textId="77777777" w:rsidTr="003869CE">
        <w:tc>
          <w:tcPr>
            <w:tcW w:w="3685" w:type="dxa"/>
          </w:tcPr>
          <w:p w14:paraId="393A1C86" w14:textId="77777777" w:rsidR="003869CE" w:rsidRPr="00FC0129" w:rsidRDefault="003869CE" w:rsidP="000B6B66">
            <w:pPr>
              <w:ind w:left="0" w:firstLine="0"/>
              <w:rPr>
                <w:color w:val="FF0000"/>
              </w:rPr>
            </w:pPr>
            <w:r w:rsidRPr="00FC0129">
              <w:rPr>
                <w:color w:val="FF0000"/>
              </w:rPr>
              <w:t>Body of evidence:</w:t>
            </w:r>
          </w:p>
          <w:p w14:paraId="05652157" w14:textId="77777777" w:rsidR="003869CE" w:rsidRPr="00FC0129" w:rsidRDefault="003869CE" w:rsidP="000B6B66">
            <w:pPr>
              <w:pStyle w:val="ListParagraph"/>
              <w:numPr>
                <w:ilvl w:val="0"/>
                <w:numId w:val="10"/>
              </w:numPr>
              <w:rPr>
                <w:color w:val="FF0000"/>
              </w:rPr>
            </w:pPr>
            <w:r w:rsidRPr="00FC0129">
              <w:rPr>
                <w:color w:val="FF0000"/>
              </w:rPr>
              <w:t>Quantity – how many studies?</w:t>
            </w:r>
          </w:p>
          <w:p w14:paraId="13BCC639" w14:textId="77777777" w:rsidR="003869CE" w:rsidRPr="00FC0129" w:rsidRDefault="003869CE" w:rsidP="000B6B66">
            <w:pPr>
              <w:pStyle w:val="ListParagraph"/>
              <w:numPr>
                <w:ilvl w:val="0"/>
                <w:numId w:val="10"/>
              </w:numPr>
              <w:rPr>
                <w:color w:val="FF0000"/>
              </w:rPr>
            </w:pPr>
            <w:r w:rsidRPr="00FC0129">
              <w:rPr>
                <w:color w:val="FF0000"/>
              </w:rPr>
              <w:t>Quality – what type of studies?</w:t>
            </w:r>
          </w:p>
        </w:tc>
        <w:tc>
          <w:tcPr>
            <w:tcW w:w="5665" w:type="dxa"/>
          </w:tcPr>
          <w:p w14:paraId="4C9AA555" w14:textId="2DF6CBE3" w:rsidR="003869CE" w:rsidRPr="00FC0129" w:rsidRDefault="00B07D5E" w:rsidP="000B6B66">
            <w:pPr>
              <w:ind w:left="0" w:firstLine="0"/>
              <w:rPr>
                <w:color w:val="FF0000"/>
              </w:rPr>
            </w:pPr>
            <w:r w:rsidRPr="00FC0129">
              <w:rPr>
                <w:color w:val="FF0000"/>
              </w:rPr>
              <w:t>“In total, 49 guidelines were identified and 34 were ultimately included in the analysis</w:t>
            </w:r>
            <w:r w:rsidR="009876E0" w:rsidRPr="00FC0129">
              <w:rPr>
                <w:color w:val="FF0000"/>
              </w:rPr>
              <w:t>.</w:t>
            </w:r>
            <w:r w:rsidR="000B2153">
              <w:rPr>
                <w:color w:val="FF0000"/>
              </w:rPr>
              <w:t>”</w:t>
            </w:r>
          </w:p>
          <w:p w14:paraId="2E78528C" w14:textId="77777777" w:rsidR="00484C71" w:rsidRPr="00FC0129" w:rsidRDefault="00484C71" w:rsidP="000B6B66">
            <w:pPr>
              <w:ind w:left="0" w:firstLine="0"/>
              <w:rPr>
                <w:color w:val="FF0000"/>
              </w:rPr>
            </w:pPr>
          </w:p>
          <w:p w14:paraId="4C0D3459" w14:textId="6FF89941" w:rsidR="00484C71" w:rsidRPr="00FC0129" w:rsidRDefault="00484C71" w:rsidP="000B6B66">
            <w:pPr>
              <w:ind w:left="0" w:firstLine="0"/>
              <w:rPr>
                <w:color w:val="FF0000"/>
              </w:rPr>
            </w:pPr>
            <w:r w:rsidRPr="00FC0129">
              <w:rPr>
                <w:color w:val="FF0000"/>
              </w:rPr>
              <w:t>“The majority of existing clinical guidelines are based on systematic reviews of the literature including appropriateness</w:t>
            </w:r>
            <w:r w:rsidR="009876E0" w:rsidRPr="00FC0129">
              <w:rPr>
                <w:color w:val="FF0000"/>
              </w:rPr>
              <w:t xml:space="preserve"> criteria used in the RAM. Therefore, the aim of this exercise was not to re-review </w:t>
            </w:r>
            <w:proofErr w:type="gramStart"/>
            <w:r w:rsidR="009876E0" w:rsidRPr="00FC0129">
              <w:rPr>
                <w:color w:val="FF0000"/>
              </w:rPr>
              <w:t>all of</w:t>
            </w:r>
            <w:proofErr w:type="gramEnd"/>
            <w:r w:rsidR="009876E0" w:rsidRPr="00FC0129">
              <w:rPr>
                <w:color w:val="FF0000"/>
              </w:rPr>
              <w:t xml:space="preserve"> the research literature, but to identify within the existing clinical guidelines how they addressed common questions or considerations that clinicians are likely to raise in the course of deciding whether and how to use medications as part of the treatment of individuals with opioid use disorder</w:t>
            </w:r>
            <w:r w:rsidR="000B2153">
              <w:rPr>
                <w:color w:val="FF0000"/>
              </w:rPr>
              <w:t>.”</w:t>
            </w:r>
          </w:p>
        </w:tc>
      </w:tr>
      <w:tr w:rsidR="00FC0129" w:rsidRPr="00FC0129" w14:paraId="5BB7FD4A" w14:textId="77777777" w:rsidTr="003869CE">
        <w:tc>
          <w:tcPr>
            <w:tcW w:w="3685" w:type="dxa"/>
          </w:tcPr>
          <w:p w14:paraId="1BD706DC" w14:textId="77777777" w:rsidR="003869CE" w:rsidRPr="00FC0129" w:rsidRDefault="003869CE" w:rsidP="000B6B66">
            <w:pPr>
              <w:ind w:left="0" w:firstLine="0"/>
              <w:rPr>
                <w:color w:val="FF0000"/>
              </w:rPr>
            </w:pPr>
            <w:r w:rsidRPr="00FC0129">
              <w:rPr>
                <w:color w:val="FF0000"/>
              </w:rPr>
              <w:t xml:space="preserve">Estimates of benefit and consistency across studies </w:t>
            </w:r>
          </w:p>
        </w:tc>
        <w:tc>
          <w:tcPr>
            <w:tcW w:w="5665" w:type="dxa"/>
          </w:tcPr>
          <w:p w14:paraId="232EF69F" w14:textId="58565266" w:rsidR="00C74B8C" w:rsidRPr="00FC0129" w:rsidRDefault="00C74B8C" w:rsidP="00C74B8C">
            <w:pPr>
              <w:ind w:left="0" w:firstLine="0"/>
              <w:rPr>
                <w:color w:val="FF0000"/>
              </w:rPr>
            </w:pPr>
            <w:r>
              <w:rPr>
                <w:color w:val="FF0000"/>
              </w:rPr>
              <w:t>“</w:t>
            </w:r>
            <w:r w:rsidR="002212FC">
              <w:rPr>
                <w:color w:val="FF0000"/>
              </w:rPr>
              <w:t>[Across studies included in the recommendations</w:t>
            </w:r>
            <w:r>
              <w:rPr>
                <w:color w:val="FF0000"/>
              </w:rPr>
              <w:t>]</w:t>
            </w:r>
            <w:r w:rsidR="002212FC">
              <w:rPr>
                <w:color w:val="FF0000"/>
              </w:rPr>
              <w:t xml:space="preserve">, </w:t>
            </w:r>
            <w:r w:rsidR="002212FC" w:rsidRPr="002212FC">
              <w:rPr>
                <w:color w:val="FF0000"/>
              </w:rPr>
              <w:t>patients experience improved</w:t>
            </w:r>
            <w:r w:rsidR="002212FC">
              <w:rPr>
                <w:color w:val="FF0000"/>
              </w:rPr>
              <w:t xml:space="preserve"> </w:t>
            </w:r>
            <w:r w:rsidR="002212FC" w:rsidRPr="002212FC">
              <w:rPr>
                <w:color w:val="FF0000"/>
              </w:rPr>
              <w:t>outcomes after receiving psychosocial treatment, in both</w:t>
            </w:r>
            <w:r w:rsidR="002212FC">
              <w:rPr>
                <w:color w:val="FF0000"/>
              </w:rPr>
              <w:t xml:space="preserve"> </w:t>
            </w:r>
            <w:r w:rsidR="002212FC" w:rsidRPr="002212FC">
              <w:rPr>
                <w:color w:val="FF0000"/>
              </w:rPr>
              <w:t>individual and group formats, from a variety of approaches.</w:t>
            </w:r>
            <w:r>
              <w:rPr>
                <w:color w:val="FF0000"/>
              </w:rPr>
              <w:t xml:space="preserve"> </w:t>
            </w:r>
            <w:r w:rsidR="002212FC" w:rsidRPr="002212FC">
              <w:rPr>
                <w:color w:val="FF0000"/>
              </w:rPr>
              <w:t>Ancillary drug addiction counseling and mutual-help programs</w:t>
            </w:r>
            <w:r>
              <w:rPr>
                <w:color w:val="FF0000"/>
              </w:rPr>
              <w:t xml:space="preserve"> </w:t>
            </w:r>
            <w:r w:rsidR="002212FC" w:rsidRPr="002212FC">
              <w:rPr>
                <w:color w:val="FF0000"/>
              </w:rPr>
              <w:t>are generally considered beneficial.</w:t>
            </w:r>
            <w:r>
              <w:rPr>
                <w:color w:val="FF0000"/>
              </w:rPr>
              <w:t>”</w:t>
            </w:r>
          </w:p>
        </w:tc>
      </w:tr>
      <w:tr w:rsidR="00FC0129" w:rsidRPr="00FC0129" w14:paraId="3BD3EEE1" w14:textId="77777777" w:rsidTr="003869CE">
        <w:tc>
          <w:tcPr>
            <w:tcW w:w="3685" w:type="dxa"/>
          </w:tcPr>
          <w:p w14:paraId="3C7CDD52" w14:textId="77777777" w:rsidR="003869CE" w:rsidRPr="00FC0129" w:rsidRDefault="003869CE" w:rsidP="000B6B66">
            <w:pPr>
              <w:ind w:left="0" w:firstLine="0"/>
              <w:rPr>
                <w:color w:val="FF0000"/>
              </w:rPr>
            </w:pPr>
            <w:r w:rsidRPr="00FC0129">
              <w:rPr>
                <w:color w:val="FF0000"/>
              </w:rPr>
              <w:t>What harms were identified?</w:t>
            </w:r>
          </w:p>
        </w:tc>
        <w:tc>
          <w:tcPr>
            <w:tcW w:w="5665" w:type="dxa"/>
          </w:tcPr>
          <w:p w14:paraId="00DDB606" w14:textId="77777777" w:rsidR="00B53593" w:rsidRPr="00B53593" w:rsidRDefault="00B53593" w:rsidP="00B53593">
            <w:pPr>
              <w:ind w:left="0" w:firstLine="0"/>
              <w:rPr>
                <w:color w:val="FF0000"/>
              </w:rPr>
            </w:pPr>
            <w:r>
              <w:rPr>
                <w:color w:val="FF0000"/>
              </w:rPr>
              <w:t>“</w:t>
            </w:r>
            <w:r w:rsidRPr="00B53593">
              <w:rPr>
                <w:color w:val="FF0000"/>
              </w:rPr>
              <w:t>Because lack of patient understanding and adherence</w:t>
            </w:r>
          </w:p>
          <w:p w14:paraId="549CBCAD" w14:textId="77777777" w:rsidR="00B53593" w:rsidRPr="00B53593" w:rsidRDefault="00B53593" w:rsidP="00B53593">
            <w:pPr>
              <w:ind w:left="0" w:firstLine="0"/>
              <w:rPr>
                <w:color w:val="FF0000"/>
              </w:rPr>
            </w:pPr>
            <w:r w:rsidRPr="00B53593">
              <w:rPr>
                <w:color w:val="FF0000"/>
              </w:rPr>
              <w:t>may adversely affect outcomes, clinicians should make every</w:t>
            </w:r>
          </w:p>
          <w:p w14:paraId="1D4359AC" w14:textId="0BD489EF" w:rsidR="003869CE" w:rsidRPr="00FC0129" w:rsidRDefault="00B53593" w:rsidP="00B53593">
            <w:pPr>
              <w:ind w:left="0" w:firstLine="0"/>
              <w:rPr>
                <w:color w:val="FF0000"/>
              </w:rPr>
            </w:pPr>
            <w:r w:rsidRPr="00B53593">
              <w:rPr>
                <w:color w:val="FF0000"/>
              </w:rPr>
              <w:t>effort to promote the patient’s understanding of, and adherence</w:t>
            </w:r>
            <w:r>
              <w:rPr>
                <w:color w:val="FF0000"/>
              </w:rPr>
              <w:t xml:space="preserve"> </w:t>
            </w:r>
            <w:r w:rsidRPr="00B53593">
              <w:rPr>
                <w:color w:val="FF0000"/>
              </w:rPr>
              <w:t xml:space="preserve">to, prescribed and recommended </w:t>
            </w:r>
            <w:r>
              <w:rPr>
                <w:color w:val="FF0000"/>
              </w:rPr>
              <w:t>p</w:t>
            </w:r>
            <w:r w:rsidRPr="00B53593">
              <w:rPr>
                <w:color w:val="FF0000"/>
              </w:rPr>
              <w:t>harmacological and psychosocial</w:t>
            </w:r>
            <w:r>
              <w:rPr>
                <w:color w:val="FF0000"/>
              </w:rPr>
              <w:t xml:space="preserve"> </w:t>
            </w:r>
            <w:r w:rsidRPr="00B53593">
              <w:rPr>
                <w:color w:val="FF0000"/>
              </w:rPr>
              <w:t xml:space="preserve">treatments. Patients </w:t>
            </w:r>
            <w:r w:rsidRPr="00B53593">
              <w:rPr>
                <w:color w:val="FF0000"/>
              </w:rPr>
              <w:lastRenderedPageBreak/>
              <w:t>should be informed of the risks,</w:t>
            </w:r>
            <w:r>
              <w:rPr>
                <w:color w:val="FF0000"/>
              </w:rPr>
              <w:t xml:space="preserve"> </w:t>
            </w:r>
            <w:r w:rsidRPr="00B53593">
              <w:rPr>
                <w:color w:val="FF0000"/>
              </w:rPr>
              <w:t>benefits, and alternatives to a particular treatment, and should</w:t>
            </w:r>
            <w:r>
              <w:rPr>
                <w:color w:val="FF0000"/>
              </w:rPr>
              <w:t xml:space="preserve"> </w:t>
            </w:r>
            <w:r w:rsidRPr="00B53593">
              <w:rPr>
                <w:color w:val="FF0000"/>
              </w:rPr>
              <w:t>be an active party to shared decision-making whenever feasible.</w:t>
            </w:r>
            <w:r>
              <w:rPr>
                <w:color w:val="FF0000"/>
              </w:rPr>
              <w:t>”</w:t>
            </w:r>
          </w:p>
        </w:tc>
      </w:tr>
      <w:tr w:rsidR="003869CE" w:rsidRPr="00FC0129" w14:paraId="14BFECC9" w14:textId="77777777" w:rsidTr="003869CE">
        <w:tc>
          <w:tcPr>
            <w:tcW w:w="3685" w:type="dxa"/>
          </w:tcPr>
          <w:p w14:paraId="4C800DF2" w14:textId="77777777" w:rsidR="003869CE" w:rsidRPr="00FC0129" w:rsidRDefault="003869CE" w:rsidP="000B6B66">
            <w:pPr>
              <w:ind w:left="0" w:firstLine="0"/>
              <w:rPr>
                <w:color w:val="FF0000"/>
              </w:rPr>
            </w:pPr>
            <w:r w:rsidRPr="00FC0129">
              <w:rPr>
                <w:color w:val="FF0000"/>
              </w:rPr>
              <w:lastRenderedPageBreak/>
              <w:t>Identify any new studies conducted since the SR. Do the new studies change the conclusions from the SR?</w:t>
            </w:r>
          </w:p>
        </w:tc>
        <w:tc>
          <w:tcPr>
            <w:tcW w:w="5665" w:type="dxa"/>
          </w:tcPr>
          <w:p w14:paraId="67A3DF71" w14:textId="77777777" w:rsidR="003869CE" w:rsidRPr="00FC0129" w:rsidRDefault="003869CE" w:rsidP="000B6B66">
            <w:pPr>
              <w:ind w:left="0" w:firstLine="0"/>
              <w:rPr>
                <w:color w:val="FF0000"/>
              </w:rPr>
            </w:pPr>
            <w:r w:rsidRPr="00FC0129">
              <w:rPr>
                <w:color w:val="FF0000"/>
              </w:rPr>
              <w:t>n/a</w:t>
            </w:r>
          </w:p>
        </w:tc>
      </w:tr>
    </w:tbl>
    <w:p w14:paraId="461FF2E0" w14:textId="0AAC74DF" w:rsidR="003869CE" w:rsidRDefault="003869CE" w:rsidP="002E2177">
      <w:pPr>
        <w:ind w:left="0" w:firstLine="0"/>
        <w:rPr>
          <w:color w:val="FF0000"/>
        </w:rPr>
      </w:pPr>
    </w:p>
    <w:p w14:paraId="1062BDFA" w14:textId="3A228524" w:rsidR="00775537" w:rsidRPr="00FC0129" w:rsidRDefault="00775537" w:rsidP="00775537">
      <w:pPr>
        <w:rPr>
          <w:b/>
          <w:i/>
          <w:color w:val="FF0000"/>
        </w:rPr>
      </w:pPr>
      <w:r w:rsidRPr="00FC0129">
        <w:rPr>
          <w:b/>
          <w:i/>
          <w:color w:val="FF0000"/>
        </w:rPr>
        <w:t xml:space="preserve">Table </w:t>
      </w:r>
      <w:r>
        <w:rPr>
          <w:b/>
          <w:i/>
          <w:color w:val="FF0000"/>
        </w:rPr>
        <w:t>4</w:t>
      </w:r>
      <w:r w:rsidRPr="00FC0129">
        <w:rPr>
          <w:b/>
          <w:i/>
          <w:color w:val="FF0000"/>
        </w:rPr>
        <w:t xml:space="preserve">: Clinical Practice Guideline </w:t>
      </w:r>
      <w:r>
        <w:rPr>
          <w:b/>
          <w:i/>
          <w:color w:val="FF0000"/>
        </w:rPr>
        <w:t>4</w:t>
      </w:r>
    </w:p>
    <w:tbl>
      <w:tblPr>
        <w:tblStyle w:val="TableGrid"/>
        <w:tblW w:w="0" w:type="auto"/>
        <w:tblLayout w:type="fixed"/>
        <w:tblLook w:val="04A0" w:firstRow="1" w:lastRow="0" w:firstColumn="1" w:lastColumn="0" w:noHBand="0" w:noVBand="1"/>
      </w:tblPr>
      <w:tblGrid>
        <w:gridCol w:w="3685"/>
        <w:gridCol w:w="5665"/>
      </w:tblGrid>
      <w:tr w:rsidR="00C215B6" w:rsidRPr="00FC0129" w14:paraId="64ACE958" w14:textId="77777777" w:rsidTr="4F3183EC">
        <w:tc>
          <w:tcPr>
            <w:tcW w:w="3685" w:type="dxa"/>
          </w:tcPr>
          <w:p w14:paraId="1595D4A6" w14:textId="77777777" w:rsidR="00C215B6" w:rsidRPr="00FC0129" w:rsidRDefault="00C215B6" w:rsidP="001041DD">
            <w:pPr>
              <w:ind w:left="0" w:firstLine="0"/>
              <w:rPr>
                <w:b/>
              </w:rPr>
            </w:pPr>
            <w:r w:rsidRPr="00FC0129">
              <w:rPr>
                <w:b/>
              </w:rPr>
              <w:t>Source of Systematic Review:</w:t>
            </w:r>
          </w:p>
          <w:p w14:paraId="300B9D07" w14:textId="77777777" w:rsidR="00C215B6" w:rsidRPr="00FC0129" w:rsidRDefault="00C215B6" w:rsidP="00C215B6">
            <w:pPr>
              <w:pStyle w:val="ListParagraph"/>
              <w:numPr>
                <w:ilvl w:val="0"/>
                <w:numId w:val="9"/>
              </w:numPr>
              <w:rPr>
                <w:b/>
              </w:rPr>
            </w:pPr>
            <w:r w:rsidRPr="00FC0129">
              <w:rPr>
                <w:b/>
              </w:rPr>
              <w:t>Title</w:t>
            </w:r>
          </w:p>
          <w:p w14:paraId="4893DC46" w14:textId="77777777" w:rsidR="00C215B6" w:rsidRPr="00FC0129" w:rsidRDefault="00C215B6" w:rsidP="00C215B6">
            <w:pPr>
              <w:pStyle w:val="ListParagraph"/>
              <w:numPr>
                <w:ilvl w:val="0"/>
                <w:numId w:val="9"/>
              </w:numPr>
              <w:rPr>
                <w:b/>
              </w:rPr>
            </w:pPr>
            <w:r w:rsidRPr="00FC0129">
              <w:rPr>
                <w:b/>
              </w:rPr>
              <w:t>Author</w:t>
            </w:r>
          </w:p>
          <w:p w14:paraId="6B765540" w14:textId="77777777" w:rsidR="00C215B6" w:rsidRPr="00FC0129" w:rsidRDefault="00C215B6" w:rsidP="00C215B6">
            <w:pPr>
              <w:pStyle w:val="ListParagraph"/>
              <w:numPr>
                <w:ilvl w:val="0"/>
                <w:numId w:val="9"/>
              </w:numPr>
              <w:rPr>
                <w:b/>
              </w:rPr>
            </w:pPr>
            <w:r w:rsidRPr="00FC0129">
              <w:rPr>
                <w:b/>
              </w:rPr>
              <w:t>Date</w:t>
            </w:r>
          </w:p>
          <w:p w14:paraId="35B160B3" w14:textId="77777777" w:rsidR="00C215B6" w:rsidRPr="00FC0129" w:rsidRDefault="00C215B6" w:rsidP="00C215B6">
            <w:pPr>
              <w:pStyle w:val="ListParagraph"/>
              <w:numPr>
                <w:ilvl w:val="0"/>
                <w:numId w:val="9"/>
              </w:numPr>
              <w:rPr>
                <w:b/>
              </w:rPr>
            </w:pPr>
            <w:r w:rsidRPr="00FC0129">
              <w:rPr>
                <w:b/>
              </w:rPr>
              <w:t>Citation, including page number</w:t>
            </w:r>
          </w:p>
          <w:p w14:paraId="70D794F5" w14:textId="77777777" w:rsidR="00C215B6" w:rsidRPr="00FC0129" w:rsidRDefault="00C215B6" w:rsidP="00C215B6">
            <w:pPr>
              <w:pStyle w:val="ListParagraph"/>
              <w:numPr>
                <w:ilvl w:val="0"/>
                <w:numId w:val="9"/>
              </w:numPr>
              <w:rPr>
                <w:b/>
              </w:rPr>
            </w:pPr>
            <w:r w:rsidRPr="00FC0129">
              <w:rPr>
                <w:b/>
              </w:rPr>
              <w:t>URL</w:t>
            </w:r>
          </w:p>
        </w:tc>
        <w:tc>
          <w:tcPr>
            <w:tcW w:w="5665" w:type="dxa"/>
          </w:tcPr>
          <w:p w14:paraId="197A645B" w14:textId="77777777" w:rsidR="00C215B6" w:rsidRPr="00C215B6" w:rsidRDefault="00C215B6" w:rsidP="00C215B6">
            <w:pPr>
              <w:pStyle w:val="ListParagraph"/>
              <w:numPr>
                <w:ilvl w:val="0"/>
                <w:numId w:val="9"/>
              </w:numPr>
              <w:rPr>
                <w:color w:val="4F81BD" w:themeColor="accent1"/>
              </w:rPr>
            </w:pPr>
            <w:r w:rsidRPr="00C215B6">
              <w:rPr>
                <w:color w:val="4F81BD" w:themeColor="accent1"/>
              </w:rPr>
              <w:t>VA/DoD Clinical Practice Guideline for the Management of Substance Use Disorders</w:t>
            </w:r>
          </w:p>
          <w:p w14:paraId="0768B986" w14:textId="77777777" w:rsidR="00C215B6" w:rsidRPr="00C215B6" w:rsidRDefault="00C215B6" w:rsidP="00C215B6">
            <w:pPr>
              <w:pStyle w:val="ListParagraph"/>
              <w:numPr>
                <w:ilvl w:val="0"/>
                <w:numId w:val="9"/>
              </w:numPr>
              <w:rPr>
                <w:color w:val="4F81BD" w:themeColor="accent1"/>
              </w:rPr>
            </w:pPr>
            <w:r w:rsidRPr="00C215B6">
              <w:rPr>
                <w:color w:val="4F81BD" w:themeColor="accent1"/>
              </w:rPr>
              <w:t>Department of Veterans Affairs and Department of Defense</w:t>
            </w:r>
          </w:p>
          <w:p w14:paraId="460360ED" w14:textId="77777777" w:rsidR="00DF5683" w:rsidRPr="00DF5683" w:rsidRDefault="00E818E0" w:rsidP="00C215B6">
            <w:pPr>
              <w:pStyle w:val="ListParagraph"/>
              <w:numPr>
                <w:ilvl w:val="0"/>
                <w:numId w:val="9"/>
              </w:numPr>
              <w:rPr>
                <w:color w:val="4F81BD" w:themeColor="accent1"/>
              </w:rPr>
            </w:pPr>
            <w:r>
              <w:rPr>
                <w:color w:val="FF0000"/>
              </w:rPr>
              <w:t xml:space="preserve">2015 </w:t>
            </w:r>
          </w:p>
          <w:p w14:paraId="57A20193" w14:textId="690027CA" w:rsidR="00C215B6" w:rsidRPr="00C215B6" w:rsidRDefault="00C215B6" w:rsidP="00C215B6">
            <w:pPr>
              <w:pStyle w:val="ListParagraph"/>
              <w:numPr>
                <w:ilvl w:val="0"/>
                <w:numId w:val="9"/>
              </w:numPr>
              <w:rPr>
                <w:color w:val="4F81BD" w:themeColor="accent1"/>
              </w:rPr>
            </w:pPr>
            <w:r w:rsidRPr="00C215B6">
              <w:rPr>
                <w:color w:val="4F81BD" w:themeColor="accent1"/>
              </w:rPr>
              <w:t>2009</w:t>
            </w:r>
          </w:p>
          <w:p w14:paraId="3EE027F0" w14:textId="0737212B" w:rsidR="001F23B8" w:rsidRPr="001F23B8" w:rsidRDefault="001F23B8" w:rsidP="00C215B6">
            <w:pPr>
              <w:pStyle w:val="ListParagraph"/>
              <w:numPr>
                <w:ilvl w:val="0"/>
                <w:numId w:val="9"/>
              </w:numPr>
              <w:rPr>
                <w:color w:val="FF0000"/>
              </w:rPr>
            </w:pPr>
            <w:r>
              <w:rPr>
                <w:color w:val="FF0000"/>
              </w:rPr>
              <w:t xml:space="preserve">Department of </w:t>
            </w:r>
            <w:r w:rsidRPr="001F23B8">
              <w:rPr>
                <w:color w:val="FF0000"/>
              </w:rPr>
              <w:t>Veteran Affairs, Department of Defense</w:t>
            </w:r>
            <w:r>
              <w:rPr>
                <w:color w:val="FF0000"/>
              </w:rPr>
              <w:t xml:space="preserve">. (2015). </w:t>
            </w:r>
            <w:r w:rsidRPr="001F23B8">
              <w:rPr>
                <w:i/>
                <w:color w:val="FF0000"/>
              </w:rPr>
              <w:t>VA/DoD Clinical Practice Guideline for the Management of Substance Use Disorders</w:t>
            </w:r>
            <w:r>
              <w:rPr>
                <w:i/>
                <w:color w:val="FF0000"/>
              </w:rPr>
              <w:t xml:space="preserve">. </w:t>
            </w:r>
            <w:r w:rsidR="00DF5683">
              <w:rPr>
                <w:color w:val="FF0000"/>
              </w:rPr>
              <w:t>Washington DC: Department of Veterans Affairs, Department of Defense.</w:t>
            </w:r>
          </w:p>
          <w:p w14:paraId="7D235192" w14:textId="1A07F8CA" w:rsidR="00C215B6" w:rsidRPr="00C215B6" w:rsidRDefault="00C215B6" w:rsidP="00C215B6">
            <w:pPr>
              <w:pStyle w:val="ListParagraph"/>
              <w:numPr>
                <w:ilvl w:val="0"/>
                <w:numId w:val="9"/>
              </w:numPr>
              <w:rPr>
                <w:color w:val="4F81BD" w:themeColor="accent1"/>
              </w:rPr>
            </w:pPr>
            <w:r w:rsidRPr="00C215B6">
              <w:rPr>
                <w:color w:val="4F81BD" w:themeColor="accent1"/>
              </w:rPr>
              <w:t xml:space="preserve">Department of Veteran Affairs, Department of Defense. (2009). </w:t>
            </w:r>
            <w:r w:rsidRPr="00C215B6">
              <w:rPr>
                <w:i/>
                <w:color w:val="4F81BD" w:themeColor="accent1"/>
              </w:rPr>
              <w:t>VA/DoD clinical practice guideline for management of substance use disorders (SUD).</w:t>
            </w:r>
            <w:r w:rsidRPr="00C215B6">
              <w:rPr>
                <w:color w:val="4F81BD" w:themeColor="accent1"/>
              </w:rPr>
              <w:t xml:space="preserve"> Washington (DC): Department of Veteran Affairs, Department of Defense.</w:t>
            </w:r>
          </w:p>
          <w:p w14:paraId="4EFD40D4" w14:textId="77777777" w:rsidR="00C215B6" w:rsidRPr="00FC0129" w:rsidRDefault="00C215B6" w:rsidP="00C215B6">
            <w:pPr>
              <w:pStyle w:val="ListParagraph"/>
              <w:numPr>
                <w:ilvl w:val="0"/>
                <w:numId w:val="9"/>
              </w:numPr>
            </w:pPr>
            <w:r w:rsidRPr="00C215B6">
              <w:rPr>
                <w:color w:val="4F81BD" w:themeColor="accent1"/>
              </w:rPr>
              <w:t>https://www.healthquality.va.gov/guidelines/MH/sud/VADoDSUDCPGRevised22216.pdf</w:t>
            </w:r>
          </w:p>
        </w:tc>
      </w:tr>
      <w:tr w:rsidR="00C215B6" w:rsidRPr="00FC0129" w14:paraId="70A4A5C0" w14:textId="77777777" w:rsidTr="4F3183EC">
        <w:tc>
          <w:tcPr>
            <w:tcW w:w="3685" w:type="dxa"/>
          </w:tcPr>
          <w:p w14:paraId="5880B720" w14:textId="77777777" w:rsidR="00C215B6" w:rsidRPr="00FC0129" w:rsidRDefault="00C215B6" w:rsidP="001041DD">
            <w:pPr>
              <w:ind w:left="0" w:firstLine="0"/>
            </w:pPr>
            <w:r w:rsidRPr="00FC0129">
              <w:t>Quote the guideline or recommendation verbatim about the process, structure or intermediate outcome being measured. If not a guideline, summarize the conclusions from the SR.</w:t>
            </w:r>
          </w:p>
        </w:tc>
        <w:tc>
          <w:tcPr>
            <w:tcW w:w="5665" w:type="dxa"/>
          </w:tcPr>
          <w:p w14:paraId="58314573" w14:textId="06E3C2A7" w:rsidR="008D61AE" w:rsidRDefault="00544B7F" w:rsidP="001041DD">
            <w:pPr>
              <w:ind w:left="0" w:firstLine="0"/>
            </w:pPr>
            <w:r>
              <w:rPr>
                <w:color w:val="FF0000"/>
              </w:rPr>
              <w:t xml:space="preserve">Recommendation 3: </w:t>
            </w:r>
            <w:r w:rsidR="008D61AE">
              <w:rPr>
                <w:color w:val="FF0000"/>
              </w:rPr>
              <w:t>“</w:t>
            </w:r>
            <w:r w:rsidR="008D61AE" w:rsidRPr="008D61AE">
              <w:rPr>
                <w:color w:val="FF0000"/>
              </w:rPr>
              <w:t>For patients with a diagnosis of a substance use disorder, we suggest offering referral for specialty substance use disorder care based on willingness to engage in specialty treatment”</w:t>
            </w:r>
          </w:p>
          <w:p w14:paraId="40E1F5FB" w14:textId="79E4FD66" w:rsidR="008D61AE" w:rsidRDefault="008D61AE" w:rsidP="001041DD">
            <w:pPr>
              <w:ind w:left="0" w:firstLine="0"/>
              <w:rPr>
                <w:color w:val="FF0000"/>
              </w:rPr>
            </w:pPr>
          </w:p>
          <w:p w14:paraId="519AD3EE" w14:textId="5CD72601" w:rsidR="00E2680D" w:rsidRDefault="00544B7F" w:rsidP="001041DD">
            <w:pPr>
              <w:ind w:left="0" w:firstLine="0"/>
              <w:rPr>
                <w:color w:val="FF0000"/>
              </w:rPr>
            </w:pPr>
            <w:r>
              <w:rPr>
                <w:color w:val="FF0000"/>
              </w:rPr>
              <w:t xml:space="preserve">Recommendation 5: </w:t>
            </w:r>
            <w:r w:rsidR="00E2680D">
              <w:rPr>
                <w:color w:val="FF0000"/>
              </w:rPr>
              <w:t>“</w:t>
            </w:r>
            <w:r w:rsidR="00E2680D" w:rsidRPr="00E2680D">
              <w:rPr>
                <w:color w:val="FF0000"/>
              </w:rPr>
              <w:t xml:space="preserve">For patients with moderate-severe alcohol use disorder, we recommend offering one of the following medications: </w:t>
            </w:r>
          </w:p>
          <w:p w14:paraId="1A457DAF" w14:textId="77777777" w:rsidR="00E2680D" w:rsidRPr="00E2680D" w:rsidRDefault="00E2680D" w:rsidP="00E2680D">
            <w:pPr>
              <w:pStyle w:val="ListParagraph"/>
              <w:numPr>
                <w:ilvl w:val="0"/>
                <w:numId w:val="17"/>
              </w:numPr>
              <w:rPr>
                <w:color w:val="FF0000"/>
              </w:rPr>
            </w:pPr>
            <w:r w:rsidRPr="00E2680D">
              <w:rPr>
                <w:color w:val="FF0000"/>
              </w:rPr>
              <w:t xml:space="preserve">Acamprosate </w:t>
            </w:r>
          </w:p>
          <w:p w14:paraId="52AF21A2" w14:textId="77777777" w:rsidR="00E2680D" w:rsidRPr="00E2680D" w:rsidRDefault="00E2680D" w:rsidP="00E2680D">
            <w:pPr>
              <w:pStyle w:val="ListParagraph"/>
              <w:numPr>
                <w:ilvl w:val="0"/>
                <w:numId w:val="17"/>
              </w:numPr>
              <w:rPr>
                <w:color w:val="FF0000"/>
              </w:rPr>
            </w:pPr>
            <w:r w:rsidRPr="00E2680D">
              <w:rPr>
                <w:color w:val="FF0000"/>
              </w:rPr>
              <w:t xml:space="preserve">Disulfiram </w:t>
            </w:r>
          </w:p>
          <w:p w14:paraId="29E4B6E1" w14:textId="77777777" w:rsidR="00E2680D" w:rsidRPr="00E2680D" w:rsidRDefault="00E2680D" w:rsidP="00E2680D">
            <w:pPr>
              <w:pStyle w:val="ListParagraph"/>
              <w:numPr>
                <w:ilvl w:val="0"/>
                <w:numId w:val="17"/>
              </w:numPr>
              <w:rPr>
                <w:color w:val="FF0000"/>
              </w:rPr>
            </w:pPr>
            <w:r w:rsidRPr="00E2680D">
              <w:rPr>
                <w:color w:val="FF0000"/>
              </w:rPr>
              <w:t xml:space="preserve">Naltrexone- oral or extended release </w:t>
            </w:r>
          </w:p>
          <w:p w14:paraId="60DA1A0E" w14:textId="69661233" w:rsidR="00E2680D" w:rsidRDefault="00E2680D" w:rsidP="00E2680D">
            <w:pPr>
              <w:pStyle w:val="ListParagraph"/>
              <w:numPr>
                <w:ilvl w:val="0"/>
                <w:numId w:val="17"/>
              </w:numPr>
              <w:rPr>
                <w:color w:val="FF0000"/>
              </w:rPr>
            </w:pPr>
            <w:r w:rsidRPr="00E2680D">
              <w:rPr>
                <w:color w:val="FF0000"/>
              </w:rPr>
              <w:t>Topiramate”</w:t>
            </w:r>
          </w:p>
          <w:p w14:paraId="7FF90F14" w14:textId="11490F8C" w:rsidR="00981494" w:rsidRPr="00981494" w:rsidRDefault="00544B7F" w:rsidP="00981494">
            <w:pPr>
              <w:rPr>
                <w:color w:val="FF0000"/>
              </w:rPr>
            </w:pPr>
            <w:r>
              <w:rPr>
                <w:color w:val="FF0000"/>
              </w:rPr>
              <w:t xml:space="preserve">Recommendation 7: </w:t>
            </w:r>
            <w:r w:rsidR="00981494">
              <w:rPr>
                <w:color w:val="FF0000"/>
              </w:rPr>
              <w:t>“</w:t>
            </w:r>
            <w:r w:rsidR="00981494" w:rsidRPr="00981494">
              <w:rPr>
                <w:color w:val="FF0000"/>
              </w:rPr>
              <w:t>For patients with alcohol use disorder we recommend offering one or</w:t>
            </w:r>
            <w:r w:rsidR="00981494">
              <w:rPr>
                <w:color w:val="FF0000"/>
              </w:rPr>
              <w:t xml:space="preserve"> </w:t>
            </w:r>
            <w:r w:rsidR="00981494" w:rsidRPr="00981494">
              <w:rPr>
                <w:color w:val="FF0000"/>
              </w:rPr>
              <w:t>more of the following interventions considering patient preference and</w:t>
            </w:r>
            <w:r w:rsidR="00981494">
              <w:rPr>
                <w:color w:val="FF0000"/>
              </w:rPr>
              <w:t xml:space="preserve"> </w:t>
            </w:r>
            <w:r w:rsidR="00981494" w:rsidRPr="00981494">
              <w:rPr>
                <w:color w:val="FF0000"/>
              </w:rPr>
              <w:t>provider training/competence:</w:t>
            </w:r>
          </w:p>
          <w:p w14:paraId="10C4655C" w14:textId="1B5F5777" w:rsidR="00981494" w:rsidRPr="00981494" w:rsidRDefault="00981494" w:rsidP="00981494">
            <w:pPr>
              <w:pStyle w:val="ListParagraph"/>
              <w:numPr>
                <w:ilvl w:val="0"/>
                <w:numId w:val="17"/>
              </w:numPr>
              <w:rPr>
                <w:color w:val="FF0000"/>
              </w:rPr>
            </w:pPr>
            <w:r w:rsidRPr="00981494">
              <w:rPr>
                <w:color w:val="FF0000"/>
              </w:rPr>
              <w:lastRenderedPageBreak/>
              <w:t>Behavioral Couples Therapy for alcohol use disorder</w:t>
            </w:r>
          </w:p>
          <w:p w14:paraId="59712DE5" w14:textId="489F5BC0" w:rsidR="00981494" w:rsidRPr="00981494" w:rsidRDefault="00981494" w:rsidP="00981494">
            <w:pPr>
              <w:pStyle w:val="ListParagraph"/>
              <w:numPr>
                <w:ilvl w:val="0"/>
                <w:numId w:val="17"/>
              </w:numPr>
              <w:rPr>
                <w:color w:val="FF0000"/>
              </w:rPr>
            </w:pPr>
            <w:r w:rsidRPr="00981494">
              <w:rPr>
                <w:color w:val="FF0000"/>
              </w:rPr>
              <w:t>Cognitive Behavioral Therapy for substance use disorders</w:t>
            </w:r>
          </w:p>
          <w:p w14:paraId="65FAA239" w14:textId="39D00A02" w:rsidR="00981494" w:rsidRPr="00981494" w:rsidRDefault="00981494" w:rsidP="00981494">
            <w:pPr>
              <w:pStyle w:val="ListParagraph"/>
              <w:numPr>
                <w:ilvl w:val="0"/>
                <w:numId w:val="17"/>
              </w:numPr>
              <w:rPr>
                <w:color w:val="FF0000"/>
              </w:rPr>
            </w:pPr>
            <w:r w:rsidRPr="00981494">
              <w:rPr>
                <w:color w:val="FF0000"/>
              </w:rPr>
              <w:t>Community Reinforcement Approach</w:t>
            </w:r>
          </w:p>
          <w:p w14:paraId="5B2E6475" w14:textId="52308C67" w:rsidR="00981494" w:rsidRPr="00981494" w:rsidRDefault="00981494" w:rsidP="00981494">
            <w:pPr>
              <w:pStyle w:val="ListParagraph"/>
              <w:numPr>
                <w:ilvl w:val="0"/>
                <w:numId w:val="17"/>
              </w:numPr>
              <w:rPr>
                <w:color w:val="FF0000"/>
              </w:rPr>
            </w:pPr>
            <w:r w:rsidRPr="00981494">
              <w:rPr>
                <w:color w:val="FF0000"/>
              </w:rPr>
              <w:t>Motivational Enhancement Therapy</w:t>
            </w:r>
          </w:p>
          <w:p w14:paraId="3591FFF8" w14:textId="18DCB1A0" w:rsidR="008E6495" w:rsidRPr="008E6495" w:rsidRDefault="00981494" w:rsidP="00981494">
            <w:pPr>
              <w:pStyle w:val="ListParagraph"/>
              <w:numPr>
                <w:ilvl w:val="0"/>
                <w:numId w:val="17"/>
              </w:numPr>
              <w:rPr>
                <w:color w:val="FF0000"/>
              </w:rPr>
            </w:pPr>
            <w:r w:rsidRPr="00981494">
              <w:rPr>
                <w:color w:val="FF0000"/>
              </w:rPr>
              <w:t>12-Step Facilitation</w:t>
            </w:r>
            <w:r>
              <w:rPr>
                <w:color w:val="FF0000"/>
              </w:rPr>
              <w:t>”</w:t>
            </w:r>
          </w:p>
          <w:p w14:paraId="27B80291" w14:textId="68CE44FE" w:rsidR="002041DA" w:rsidRPr="002041DA" w:rsidRDefault="002041DA" w:rsidP="002041DA">
            <w:pPr>
              <w:ind w:left="0" w:firstLine="0"/>
              <w:rPr>
                <w:color w:val="FF0000"/>
              </w:rPr>
            </w:pPr>
            <w:r>
              <w:rPr>
                <w:color w:val="FF0000"/>
              </w:rPr>
              <w:t>Recommendation 8: “</w:t>
            </w:r>
            <w:r w:rsidRPr="002041DA">
              <w:rPr>
                <w:color w:val="FF0000"/>
              </w:rPr>
              <w:t>For patients with opioid use disorder, we recommend offering one of</w:t>
            </w:r>
            <w:r>
              <w:rPr>
                <w:color w:val="FF0000"/>
              </w:rPr>
              <w:t xml:space="preserve"> </w:t>
            </w:r>
            <w:r w:rsidRPr="002041DA">
              <w:rPr>
                <w:color w:val="FF0000"/>
              </w:rPr>
              <w:t>the following medications considering patient preferences:</w:t>
            </w:r>
          </w:p>
          <w:p w14:paraId="59472B72" w14:textId="2774CFB1" w:rsidR="002041DA" w:rsidRPr="002041DA" w:rsidRDefault="002041DA" w:rsidP="002041DA">
            <w:pPr>
              <w:pStyle w:val="ListParagraph"/>
              <w:numPr>
                <w:ilvl w:val="0"/>
                <w:numId w:val="17"/>
              </w:numPr>
              <w:rPr>
                <w:color w:val="FF0000"/>
              </w:rPr>
            </w:pPr>
            <w:r w:rsidRPr="002041DA">
              <w:rPr>
                <w:color w:val="FF0000"/>
              </w:rPr>
              <w:t>Buprenorphine/naloxone</w:t>
            </w:r>
          </w:p>
          <w:p w14:paraId="53B060C1" w14:textId="09D9901D" w:rsidR="002041DA" w:rsidRDefault="002041DA" w:rsidP="002041DA">
            <w:pPr>
              <w:pStyle w:val="ListParagraph"/>
              <w:numPr>
                <w:ilvl w:val="0"/>
                <w:numId w:val="17"/>
              </w:numPr>
              <w:rPr>
                <w:color w:val="FF0000"/>
              </w:rPr>
            </w:pPr>
            <w:r w:rsidRPr="002041DA">
              <w:rPr>
                <w:color w:val="FF0000"/>
              </w:rPr>
              <w:t>Methadone in an Opioid Treatment Program</w:t>
            </w:r>
            <w:r>
              <w:rPr>
                <w:color w:val="FF0000"/>
              </w:rPr>
              <w:t>”</w:t>
            </w:r>
          </w:p>
          <w:p w14:paraId="31C530ED" w14:textId="4293F996" w:rsidR="00A96F7B" w:rsidRPr="00A96F7B" w:rsidRDefault="00A96F7B" w:rsidP="00A96F7B">
            <w:pPr>
              <w:rPr>
                <w:color w:val="FF0000"/>
              </w:rPr>
            </w:pPr>
            <w:r>
              <w:rPr>
                <w:color w:val="FF0000"/>
              </w:rPr>
              <w:t>Recommendation 11: “</w:t>
            </w:r>
            <w:r w:rsidRPr="00A96F7B">
              <w:rPr>
                <w:color w:val="FF0000"/>
              </w:rPr>
              <w:t>For patients with opioid use disorder</w:t>
            </w:r>
            <w:r>
              <w:rPr>
                <w:color w:val="FF0000"/>
              </w:rPr>
              <w:t xml:space="preserve"> </w:t>
            </w:r>
            <w:r w:rsidRPr="00A96F7B">
              <w:rPr>
                <w:color w:val="FF0000"/>
              </w:rPr>
              <w:t>for whom opioid agonist treatment</w:t>
            </w:r>
            <w:r>
              <w:rPr>
                <w:color w:val="FF0000"/>
              </w:rPr>
              <w:t xml:space="preserve"> </w:t>
            </w:r>
            <w:r w:rsidRPr="00A96F7B">
              <w:rPr>
                <w:color w:val="FF0000"/>
              </w:rPr>
              <w:t>is contraindicated, unacceptable, unavailable, or discontinued and who</w:t>
            </w:r>
          </w:p>
          <w:p w14:paraId="1F1BA129" w14:textId="38817D09" w:rsidR="00A96F7B" w:rsidRPr="00A96F7B" w:rsidRDefault="00A96F7B" w:rsidP="00A96F7B">
            <w:pPr>
              <w:rPr>
                <w:color w:val="FF0000"/>
              </w:rPr>
            </w:pPr>
            <w:r w:rsidRPr="00A96F7B">
              <w:rPr>
                <w:color w:val="FF0000"/>
              </w:rPr>
              <w:t xml:space="preserve">have established abstinence for a sufficient </w:t>
            </w:r>
            <w:proofErr w:type="gramStart"/>
            <w:r w:rsidRPr="00A96F7B">
              <w:rPr>
                <w:color w:val="FF0000"/>
              </w:rPr>
              <w:t>period of time</w:t>
            </w:r>
            <w:proofErr w:type="gramEnd"/>
            <w:r>
              <w:rPr>
                <w:color w:val="FF0000"/>
              </w:rPr>
              <w:t xml:space="preserve"> </w:t>
            </w:r>
            <w:r w:rsidRPr="00A96F7B">
              <w:rPr>
                <w:color w:val="FF0000"/>
              </w:rPr>
              <w:t>(see</w:t>
            </w:r>
            <w:r>
              <w:rPr>
                <w:color w:val="FF0000"/>
              </w:rPr>
              <w:t xml:space="preserve"> </w:t>
            </w:r>
            <w:r w:rsidRPr="00A96F7B">
              <w:rPr>
                <w:color w:val="FF0000"/>
              </w:rPr>
              <w:t>narrative), we recommend offering:</w:t>
            </w:r>
          </w:p>
          <w:p w14:paraId="7A7A5F28" w14:textId="143C07D5" w:rsidR="00A96F7B" w:rsidRDefault="00A96F7B" w:rsidP="00A96F7B">
            <w:pPr>
              <w:pStyle w:val="ListParagraph"/>
              <w:numPr>
                <w:ilvl w:val="0"/>
                <w:numId w:val="17"/>
              </w:numPr>
              <w:rPr>
                <w:color w:val="FF0000"/>
              </w:rPr>
            </w:pPr>
            <w:r w:rsidRPr="00A96F7B">
              <w:rPr>
                <w:color w:val="FF0000"/>
              </w:rPr>
              <w:t>Extended-release injectable naltrexone</w:t>
            </w:r>
            <w:r>
              <w:rPr>
                <w:color w:val="FF0000"/>
              </w:rPr>
              <w:t>”</w:t>
            </w:r>
          </w:p>
          <w:p w14:paraId="5E0534A5" w14:textId="675CE2A3" w:rsidR="005067A9" w:rsidRPr="005067A9" w:rsidRDefault="005067A9" w:rsidP="005067A9">
            <w:pPr>
              <w:rPr>
                <w:color w:val="FF0000"/>
              </w:rPr>
            </w:pPr>
            <w:r>
              <w:rPr>
                <w:color w:val="FF0000"/>
              </w:rPr>
              <w:t>Recommendation 24: “</w:t>
            </w:r>
            <w:r w:rsidRPr="005067A9">
              <w:rPr>
                <w:color w:val="FF0000"/>
              </w:rPr>
              <w:t>For patients who have initiated an intensive phase of outpatient or</w:t>
            </w:r>
            <w:r>
              <w:rPr>
                <w:color w:val="FF0000"/>
              </w:rPr>
              <w:t xml:space="preserve"> </w:t>
            </w:r>
            <w:r w:rsidRPr="005067A9">
              <w:rPr>
                <w:color w:val="FF0000"/>
              </w:rPr>
              <w:t>residential treatment, we recommend offering and encouraging ongoing</w:t>
            </w:r>
            <w:r>
              <w:rPr>
                <w:color w:val="FF0000"/>
              </w:rPr>
              <w:t xml:space="preserve"> </w:t>
            </w:r>
            <w:r w:rsidRPr="005067A9">
              <w:rPr>
                <w:color w:val="FF0000"/>
              </w:rPr>
              <w:t xml:space="preserve">systematic relapse prevention efforts or recovery </w:t>
            </w:r>
            <w:r>
              <w:rPr>
                <w:color w:val="FF0000"/>
              </w:rPr>
              <w:t>s</w:t>
            </w:r>
            <w:r w:rsidRPr="005067A9">
              <w:rPr>
                <w:color w:val="FF0000"/>
              </w:rPr>
              <w:t>upport individualized</w:t>
            </w:r>
            <w:r>
              <w:rPr>
                <w:color w:val="FF0000"/>
              </w:rPr>
              <w:t xml:space="preserve"> </w:t>
            </w:r>
            <w:r w:rsidRPr="005067A9">
              <w:rPr>
                <w:color w:val="FF0000"/>
              </w:rPr>
              <w:t>on the basis of treatment response.</w:t>
            </w:r>
            <w:r>
              <w:rPr>
                <w:color w:val="FF0000"/>
              </w:rPr>
              <w:t>”</w:t>
            </w:r>
          </w:p>
          <w:p w14:paraId="01F69B9C" w14:textId="77777777" w:rsidR="00C215B6" w:rsidRDefault="00C215B6" w:rsidP="001041DD">
            <w:pPr>
              <w:ind w:left="0" w:firstLine="0"/>
            </w:pPr>
          </w:p>
          <w:p w14:paraId="6CBC5FD9" w14:textId="77777777" w:rsidR="00C215B6" w:rsidRPr="000F42D6" w:rsidRDefault="00C215B6" w:rsidP="000F42D6">
            <w:pPr>
              <w:pStyle w:val="BodyText"/>
              <w:spacing w:before="0" w:after="120"/>
              <w:rPr>
                <w:rFonts w:asciiTheme="minorHAnsi" w:hAnsiTheme="minorHAnsi" w:cstheme="minorHAnsi"/>
                <w:color w:val="548DD4" w:themeColor="text2" w:themeTint="99"/>
                <w:sz w:val="22"/>
                <w:szCs w:val="22"/>
              </w:rPr>
            </w:pPr>
            <w:r w:rsidRPr="000F42D6">
              <w:rPr>
                <w:rFonts w:asciiTheme="minorHAnsi" w:hAnsiTheme="minorHAnsi" w:cstheme="minorHAnsi"/>
                <w:color w:val="548DD4" w:themeColor="text2" w:themeTint="99"/>
                <w:sz w:val="22"/>
                <w:szCs w:val="22"/>
              </w:rPr>
              <w:t xml:space="preserve">VA/DoD 2009: Offer referral to specialty SUD care for addiction treatment if the patient: </w:t>
            </w:r>
          </w:p>
          <w:p w14:paraId="11B6002C" w14:textId="147F0DF2" w:rsidR="00C215B6" w:rsidRPr="000F42D6" w:rsidRDefault="00C215B6" w:rsidP="000F42D6">
            <w:pPr>
              <w:pStyle w:val="BodyText"/>
              <w:spacing w:before="0" w:after="120"/>
              <w:rPr>
                <w:rFonts w:asciiTheme="minorHAnsi" w:hAnsiTheme="minorHAnsi" w:cstheme="minorHAnsi"/>
                <w:color w:val="548DD4" w:themeColor="text2" w:themeTint="99"/>
                <w:sz w:val="22"/>
                <w:szCs w:val="22"/>
              </w:rPr>
            </w:pPr>
            <w:r w:rsidRPr="000F42D6">
              <w:rPr>
                <w:rFonts w:asciiTheme="minorHAnsi" w:hAnsiTheme="minorHAnsi" w:cstheme="minorHAnsi"/>
                <w:color w:val="548DD4" w:themeColor="text2" w:themeTint="99"/>
                <w:sz w:val="22"/>
                <w:szCs w:val="22"/>
              </w:rPr>
              <w:t>•</w:t>
            </w:r>
            <w:r w:rsidR="00B67092" w:rsidRPr="000F42D6">
              <w:rPr>
                <w:rFonts w:asciiTheme="minorHAnsi" w:hAnsiTheme="minorHAnsi" w:cstheme="minorHAnsi"/>
                <w:color w:val="548DD4" w:themeColor="text2" w:themeTint="99"/>
                <w:sz w:val="22"/>
                <w:szCs w:val="22"/>
              </w:rPr>
              <w:t xml:space="preserve"> </w:t>
            </w:r>
            <w:r w:rsidRPr="000F42D6">
              <w:rPr>
                <w:rFonts w:asciiTheme="minorHAnsi" w:hAnsiTheme="minorHAnsi" w:cstheme="minorHAnsi"/>
                <w:color w:val="548DD4" w:themeColor="text2" w:themeTint="99"/>
                <w:sz w:val="22"/>
                <w:szCs w:val="22"/>
              </w:rPr>
              <w:t xml:space="preserve">May benefit from additional evaluation or motivational interviewing regarding his/her substance use and related problems </w:t>
            </w:r>
          </w:p>
          <w:p w14:paraId="0E31579A" w14:textId="5B8D1419" w:rsidR="00C215B6" w:rsidRPr="000F42D6" w:rsidRDefault="00C215B6" w:rsidP="000F42D6">
            <w:pPr>
              <w:pStyle w:val="BodyText"/>
              <w:spacing w:before="0" w:after="120"/>
              <w:rPr>
                <w:rFonts w:asciiTheme="minorHAnsi" w:hAnsiTheme="minorHAnsi" w:cstheme="minorHAnsi"/>
                <w:color w:val="548DD4" w:themeColor="text2" w:themeTint="99"/>
                <w:sz w:val="22"/>
                <w:szCs w:val="22"/>
              </w:rPr>
            </w:pPr>
            <w:r w:rsidRPr="000F42D6">
              <w:rPr>
                <w:rFonts w:asciiTheme="minorHAnsi" w:hAnsiTheme="minorHAnsi" w:cstheme="minorHAnsi"/>
                <w:color w:val="548DD4" w:themeColor="text2" w:themeTint="99"/>
                <w:sz w:val="22"/>
                <w:szCs w:val="22"/>
              </w:rPr>
              <w:t>•</w:t>
            </w:r>
            <w:r w:rsidR="00B67092" w:rsidRPr="000F42D6">
              <w:rPr>
                <w:rFonts w:asciiTheme="minorHAnsi" w:hAnsiTheme="minorHAnsi" w:cstheme="minorHAnsi"/>
                <w:color w:val="548DD4" w:themeColor="text2" w:themeTint="99"/>
                <w:sz w:val="22"/>
                <w:szCs w:val="22"/>
              </w:rPr>
              <w:t xml:space="preserve"> </w:t>
            </w:r>
            <w:r w:rsidRPr="000F42D6">
              <w:rPr>
                <w:rFonts w:asciiTheme="minorHAnsi" w:hAnsiTheme="minorHAnsi" w:cstheme="minorHAnsi"/>
                <w:color w:val="548DD4" w:themeColor="text2" w:themeTint="99"/>
                <w:sz w:val="22"/>
                <w:szCs w:val="22"/>
              </w:rPr>
              <w:t xml:space="preserve">Has tried and been unable to change substance use on his/her own or does not respond to repeated brief intervention </w:t>
            </w:r>
          </w:p>
          <w:p w14:paraId="15FA6A97" w14:textId="5D5E4F40" w:rsidR="00C215B6" w:rsidRPr="000F42D6" w:rsidRDefault="00C215B6" w:rsidP="000F42D6">
            <w:pPr>
              <w:pStyle w:val="BodyText"/>
              <w:spacing w:before="0" w:after="120"/>
              <w:rPr>
                <w:rFonts w:asciiTheme="minorHAnsi" w:hAnsiTheme="minorHAnsi" w:cstheme="minorHAnsi"/>
                <w:color w:val="548DD4" w:themeColor="text2" w:themeTint="99"/>
                <w:sz w:val="22"/>
                <w:szCs w:val="22"/>
              </w:rPr>
            </w:pPr>
            <w:r w:rsidRPr="000F42D6">
              <w:rPr>
                <w:rFonts w:asciiTheme="minorHAnsi" w:hAnsiTheme="minorHAnsi" w:cstheme="minorHAnsi"/>
                <w:color w:val="548DD4" w:themeColor="text2" w:themeTint="99"/>
                <w:sz w:val="22"/>
                <w:szCs w:val="22"/>
              </w:rPr>
              <w:t>•</w:t>
            </w:r>
            <w:r w:rsidR="00B67092" w:rsidRPr="000F42D6">
              <w:rPr>
                <w:rFonts w:asciiTheme="minorHAnsi" w:hAnsiTheme="minorHAnsi" w:cstheme="minorHAnsi"/>
                <w:color w:val="548DD4" w:themeColor="text2" w:themeTint="99"/>
                <w:sz w:val="22"/>
                <w:szCs w:val="22"/>
              </w:rPr>
              <w:t xml:space="preserve"> </w:t>
            </w:r>
            <w:r w:rsidRPr="000F42D6">
              <w:rPr>
                <w:rFonts w:asciiTheme="minorHAnsi" w:hAnsiTheme="minorHAnsi" w:cstheme="minorHAnsi"/>
                <w:color w:val="548DD4" w:themeColor="text2" w:themeTint="99"/>
                <w:sz w:val="22"/>
                <w:szCs w:val="22"/>
              </w:rPr>
              <w:t xml:space="preserve">Has been diagnosed with substance dependence </w:t>
            </w:r>
          </w:p>
          <w:p w14:paraId="42D7ECCF" w14:textId="26BB5F45" w:rsidR="00C215B6" w:rsidRPr="00FC0129" w:rsidRDefault="00C215B6" w:rsidP="000F42D6">
            <w:pPr>
              <w:pStyle w:val="BodyText"/>
              <w:spacing w:before="0" w:after="120"/>
            </w:pPr>
            <w:r w:rsidRPr="000F42D6">
              <w:rPr>
                <w:rFonts w:asciiTheme="minorHAnsi" w:hAnsiTheme="minorHAnsi" w:cstheme="minorHAnsi"/>
                <w:color w:val="548DD4" w:themeColor="text2" w:themeTint="99"/>
                <w:sz w:val="22"/>
                <w:szCs w:val="22"/>
              </w:rPr>
              <w:t>•</w:t>
            </w:r>
            <w:r w:rsidR="00B67092" w:rsidRPr="000F42D6">
              <w:rPr>
                <w:rFonts w:asciiTheme="minorHAnsi" w:hAnsiTheme="minorHAnsi" w:cstheme="minorHAnsi"/>
                <w:color w:val="548DD4" w:themeColor="text2" w:themeTint="99"/>
                <w:sz w:val="22"/>
                <w:szCs w:val="22"/>
              </w:rPr>
              <w:t xml:space="preserve"> </w:t>
            </w:r>
            <w:r w:rsidRPr="000F42D6">
              <w:rPr>
                <w:rFonts w:asciiTheme="minorHAnsi" w:hAnsiTheme="minorHAnsi" w:cstheme="minorHAnsi"/>
                <w:color w:val="548DD4" w:themeColor="text2" w:themeTint="99"/>
                <w:sz w:val="22"/>
                <w:szCs w:val="22"/>
              </w:rPr>
              <w:t>Has previously been treated for an alcohol or other substance use disorder</w:t>
            </w:r>
          </w:p>
        </w:tc>
      </w:tr>
      <w:tr w:rsidR="00C215B6" w:rsidRPr="00FC0129" w14:paraId="3B65BFBD" w14:textId="77777777" w:rsidTr="4F3183EC">
        <w:tc>
          <w:tcPr>
            <w:tcW w:w="3685" w:type="dxa"/>
          </w:tcPr>
          <w:p w14:paraId="7777ADCF" w14:textId="77777777" w:rsidR="00C215B6" w:rsidRPr="00FC0129" w:rsidRDefault="00C215B6" w:rsidP="001041DD">
            <w:pPr>
              <w:ind w:left="0" w:firstLine="0"/>
            </w:pPr>
            <w:r w:rsidRPr="00FC0129">
              <w:lastRenderedPageBreak/>
              <w:t xml:space="preserve">Grade assigned to the </w:t>
            </w:r>
            <w:r w:rsidRPr="00FC0129">
              <w:rPr>
                <w:b/>
              </w:rPr>
              <w:t>evidence</w:t>
            </w:r>
            <w:r w:rsidRPr="00FC0129">
              <w:t xml:space="preserve"> associated with the recommendation with the definition of the grade</w:t>
            </w:r>
          </w:p>
        </w:tc>
        <w:tc>
          <w:tcPr>
            <w:tcW w:w="5665" w:type="dxa"/>
          </w:tcPr>
          <w:p w14:paraId="4553D02A" w14:textId="51E0B059" w:rsidR="006F70CE" w:rsidRPr="0083456A" w:rsidRDefault="00C215B6" w:rsidP="001041DD">
            <w:pPr>
              <w:pStyle w:val="BodyText"/>
              <w:spacing w:before="0" w:after="120"/>
              <w:rPr>
                <w:rFonts w:asciiTheme="minorHAnsi" w:hAnsiTheme="minorHAnsi" w:cstheme="minorHAnsi"/>
                <w:color w:val="548DD4" w:themeColor="text2" w:themeTint="99"/>
                <w:sz w:val="22"/>
                <w:szCs w:val="22"/>
              </w:rPr>
            </w:pPr>
            <w:r w:rsidRPr="0083456A">
              <w:rPr>
                <w:rFonts w:asciiTheme="minorHAnsi" w:hAnsiTheme="minorHAnsi" w:cstheme="minorHAnsi"/>
                <w:color w:val="548DD4" w:themeColor="text2" w:themeTint="99"/>
                <w:sz w:val="22"/>
                <w:szCs w:val="22"/>
              </w:rPr>
              <w:t>The VA/DoD did not grade the evidence using a separate system from the overall grading of the recommendation. For the recommendation grade, see “Grade assigned to the recommendation with definition of the grade” below.</w:t>
            </w:r>
          </w:p>
        </w:tc>
      </w:tr>
      <w:tr w:rsidR="00C215B6" w:rsidRPr="00FC0129" w14:paraId="3894C9E2" w14:textId="77777777" w:rsidTr="4F3183EC">
        <w:tc>
          <w:tcPr>
            <w:tcW w:w="3685" w:type="dxa"/>
          </w:tcPr>
          <w:p w14:paraId="49797F64" w14:textId="77777777" w:rsidR="00C215B6" w:rsidRPr="00FC0129" w:rsidRDefault="00C215B6" w:rsidP="001041DD">
            <w:pPr>
              <w:ind w:left="0" w:firstLine="0"/>
            </w:pPr>
            <w:r w:rsidRPr="00FC0129">
              <w:lastRenderedPageBreak/>
              <w:t>Provide all other grades and definitions from the evidence grading system</w:t>
            </w:r>
          </w:p>
        </w:tc>
        <w:tc>
          <w:tcPr>
            <w:tcW w:w="5665" w:type="dxa"/>
          </w:tcPr>
          <w:p w14:paraId="5518EEFA" w14:textId="3E9EDE86" w:rsidR="00C215B6" w:rsidRPr="0083456A" w:rsidRDefault="00364503" w:rsidP="001041DD">
            <w:pPr>
              <w:ind w:left="0" w:firstLine="0"/>
              <w:rPr>
                <w:color w:val="548DD4" w:themeColor="text2" w:themeTint="99"/>
              </w:rPr>
            </w:pPr>
            <w:r>
              <w:rPr>
                <w:color w:val="548DD4" w:themeColor="text2" w:themeTint="99"/>
              </w:rPr>
              <w:t>N/A</w:t>
            </w:r>
          </w:p>
        </w:tc>
      </w:tr>
      <w:tr w:rsidR="00C215B6" w:rsidRPr="00FC0129" w14:paraId="6894ABF6" w14:textId="77777777" w:rsidTr="4F3183EC">
        <w:tc>
          <w:tcPr>
            <w:tcW w:w="3685" w:type="dxa"/>
          </w:tcPr>
          <w:p w14:paraId="3F11AD81" w14:textId="77777777" w:rsidR="00C215B6" w:rsidRPr="00FC0129" w:rsidRDefault="00C215B6" w:rsidP="001041DD">
            <w:pPr>
              <w:ind w:left="0" w:firstLine="0"/>
            </w:pPr>
            <w:r w:rsidRPr="00FC0129">
              <w:t xml:space="preserve">Grade assigned to the </w:t>
            </w:r>
            <w:r w:rsidRPr="00FC0129">
              <w:rPr>
                <w:b/>
              </w:rPr>
              <w:t>recommendation</w:t>
            </w:r>
            <w:r w:rsidRPr="00FC0129">
              <w:t xml:space="preserve"> with definition of the grade</w:t>
            </w:r>
          </w:p>
        </w:tc>
        <w:tc>
          <w:tcPr>
            <w:tcW w:w="5665" w:type="dxa"/>
          </w:tcPr>
          <w:p w14:paraId="304E8C49" w14:textId="77777777" w:rsidR="001041DD" w:rsidRDefault="001041DD" w:rsidP="001041DD">
            <w:pPr>
              <w:pStyle w:val="BodyText"/>
              <w:spacing w:after="120"/>
              <w:rPr>
                <w:rFonts w:asciiTheme="minorHAnsi" w:hAnsiTheme="minorHAnsi" w:cstheme="minorHAnsi"/>
                <w:color w:val="FF0000"/>
                <w:sz w:val="22"/>
                <w:szCs w:val="22"/>
              </w:rPr>
            </w:pPr>
            <w:r w:rsidRPr="00FB71D9">
              <w:rPr>
                <w:rFonts w:asciiTheme="minorHAnsi" w:hAnsiTheme="minorHAnsi" w:cstheme="minorHAnsi"/>
                <w:color w:val="FF0000"/>
                <w:sz w:val="22"/>
                <w:szCs w:val="22"/>
              </w:rPr>
              <w:t>Grading of Recommendations Assessment, Development and Evaluation (GRADE) system to assess the quality of the evidence base and assign a grade for the strength VA/DoD Clinical Practice Guideline for the Management of Substance Use Disorders December 2015 Page 11 of 169 for each recommendation.</w:t>
            </w:r>
            <w:r>
              <w:rPr>
                <w:rFonts w:asciiTheme="minorHAnsi" w:hAnsiTheme="minorHAnsi" w:cstheme="minorHAnsi"/>
                <w:color w:val="FF0000"/>
                <w:sz w:val="22"/>
                <w:szCs w:val="22"/>
              </w:rPr>
              <w:t xml:space="preserve"> The following grade assignments were used:</w:t>
            </w:r>
          </w:p>
          <w:p w14:paraId="5068A5FC" w14:textId="77777777" w:rsidR="001041DD" w:rsidRPr="006F70CE" w:rsidRDefault="001041DD" w:rsidP="001041DD">
            <w:pPr>
              <w:pStyle w:val="BodyText"/>
              <w:spacing w:after="120"/>
              <w:rPr>
                <w:rFonts w:asciiTheme="minorHAnsi" w:hAnsiTheme="minorHAnsi" w:cstheme="minorHAnsi"/>
                <w:color w:val="FF0000"/>
                <w:sz w:val="22"/>
                <w:szCs w:val="22"/>
              </w:rPr>
            </w:pPr>
            <w:r w:rsidRPr="006F70CE">
              <w:rPr>
                <w:rFonts w:asciiTheme="minorHAnsi" w:hAnsiTheme="minorHAnsi" w:cstheme="minorHAnsi"/>
                <w:color w:val="FF0000"/>
                <w:sz w:val="22"/>
                <w:szCs w:val="22"/>
              </w:rPr>
              <w:t>• Strong For (or “We recommend offering this option …”)</w:t>
            </w:r>
          </w:p>
          <w:p w14:paraId="59B489BD" w14:textId="77777777" w:rsidR="001041DD" w:rsidRPr="006F70CE" w:rsidRDefault="001041DD" w:rsidP="001041DD">
            <w:pPr>
              <w:pStyle w:val="BodyText"/>
              <w:spacing w:after="120"/>
              <w:rPr>
                <w:rFonts w:asciiTheme="minorHAnsi" w:hAnsiTheme="minorHAnsi" w:cstheme="minorHAnsi"/>
                <w:color w:val="FF0000"/>
                <w:sz w:val="22"/>
                <w:szCs w:val="22"/>
              </w:rPr>
            </w:pPr>
            <w:r w:rsidRPr="006F70CE">
              <w:rPr>
                <w:rFonts w:asciiTheme="minorHAnsi" w:hAnsiTheme="minorHAnsi" w:cstheme="minorHAnsi"/>
                <w:color w:val="FF0000"/>
                <w:sz w:val="22"/>
                <w:szCs w:val="22"/>
              </w:rPr>
              <w:t>• Weak For (or “We suggest offering this option …”)</w:t>
            </w:r>
          </w:p>
          <w:p w14:paraId="7E1505A7" w14:textId="77777777" w:rsidR="001041DD" w:rsidRPr="006F70CE" w:rsidRDefault="001041DD" w:rsidP="001041DD">
            <w:pPr>
              <w:pStyle w:val="BodyText"/>
              <w:spacing w:after="120"/>
              <w:rPr>
                <w:rFonts w:asciiTheme="minorHAnsi" w:hAnsiTheme="minorHAnsi" w:cstheme="minorHAnsi"/>
                <w:color w:val="FF0000"/>
                <w:sz w:val="22"/>
                <w:szCs w:val="22"/>
              </w:rPr>
            </w:pPr>
            <w:r w:rsidRPr="006F70CE">
              <w:rPr>
                <w:rFonts w:asciiTheme="minorHAnsi" w:hAnsiTheme="minorHAnsi" w:cstheme="minorHAnsi"/>
                <w:color w:val="FF0000"/>
                <w:sz w:val="22"/>
                <w:szCs w:val="22"/>
              </w:rPr>
              <w:t>• Weak Against (or “We suggest not offering this option …”)</w:t>
            </w:r>
          </w:p>
          <w:p w14:paraId="24281230" w14:textId="6879026B" w:rsidR="001041DD" w:rsidRDefault="001041DD" w:rsidP="001041DD">
            <w:pPr>
              <w:rPr>
                <w:rFonts w:cstheme="minorHAnsi"/>
                <w:color w:val="FF0000"/>
              </w:rPr>
            </w:pPr>
            <w:r w:rsidRPr="006F70CE">
              <w:rPr>
                <w:rFonts w:cstheme="minorHAnsi"/>
                <w:color w:val="FF0000"/>
              </w:rPr>
              <w:t>• Strong Against (or “We recommend against offering this option …”)</w:t>
            </w:r>
          </w:p>
          <w:p w14:paraId="055EC2ED" w14:textId="1F68C1D6" w:rsidR="00940DB3" w:rsidRDefault="00940DB3" w:rsidP="001041DD">
            <w:pPr>
              <w:rPr>
                <w:rFonts w:cstheme="minorHAnsi"/>
                <w:color w:val="FF0000"/>
              </w:rPr>
            </w:pPr>
          </w:p>
          <w:p w14:paraId="10E0EA03" w14:textId="4D9DA60A" w:rsidR="00940DB3" w:rsidRDefault="00940DB3" w:rsidP="00940DB3">
            <w:pPr>
              <w:rPr>
                <w:rFonts w:cstheme="minorHAnsi"/>
                <w:color w:val="FF0000"/>
              </w:rPr>
            </w:pPr>
            <w:r w:rsidRPr="00940DB3">
              <w:rPr>
                <w:rFonts w:cstheme="minorHAnsi"/>
                <w:color w:val="FF0000"/>
              </w:rPr>
              <w:t>The relative strength of the recommendation is based on a binary scale, “Strong” or “Weak.” A strong recommendation indicates that the Work Group is highly confident that desirable outcomes outweigh undesirable outcomes. If the Work Group is less confident of the balance between desirable and undesirable outcomes, they present a weak recommendation</w:t>
            </w:r>
            <w:r>
              <w:rPr>
                <w:rFonts w:cstheme="minorHAnsi"/>
                <w:color w:val="FF0000"/>
              </w:rPr>
              <w:t>.</w:t>
            </w:r>
          </w:p>
          <w:p w14:paraId="67953670" w14:textId="62565C66" w:rsidR="00940DB3" w:rsidRDefault="00940DB3" w:rsidP="00940DB3">
            <w:pPr>
              <w:rPr>
                <w:rFonts w:cstheme="minorHAnsi"/>
                <w:color w:val="FF0000"/>
              </w:rPr>
            </w:pPr>
          </w:p>
          <w:p w14:paraId="26239C9C" w14:textId="216F8067" w:rsidR="00940DB3" w:rsidRDefault="00940DB3" w:rsidP="00940DB3">
            <w:pPr>
              <w:rPr>
                <w:rFonts w:cstheme="minorHAnsi"/>
                <w:color w:val="FF0000"/>
              </w:rPr>
            </w:pPr>
            <w:r w:rsidRPr="00940DB3">
              <w:rPr>
                <w:rFonts w:cstheme="minorHAnsi"/>
                <w:color w:val="FF0000"/>
              </w:rPr>
              <w:t>Similarly, a recommendation for a therapy or preventive measure indicates that the desirable consequences outweigh the undesirable consequences. A recommendation against a therapy or preventive measure indicates that the undesirable consequences outweigh the desirable consequences.</w:t>
            </w:r>
          </w:p>
          <w:p w14:paraId="57E4C626" w14:textId="659E91CE" w:rsidR="00F21CC8" w:rsidRDefault="00F21CC8" w:rsidP="001041DD">
            <w:pPr>
              <w:rPr>
                <w:rFonts w:cstheme="minorHAnsi"/>
                <w:color w:val="FF0000"/>
              </w:rPr>
            </w:pPr>
          </w:p>
          <w:p w14:paraId="0F4C7929" w14:textId="458C23A7" w:rsidR="00F21CC8" w:rsidRPr="002242C3" w:rsidRDefault="00F21CC8" w:rsidP="001041DD">
            <w:pPr>
              <w:rPr>
                <w:rFonts w:cstheme="minorHAnsi"/>
                <w:color w:val="FF0000"/>
              </w:rPr>
            </w:pPr>
            <w:r w:rsidRPr="002242C3">
              <w:rPr>
                <w:rFonts w:cstheme="minorHAnsi"/>
                <w:color w:val="FF0000"/>
              </w:rPr>
              <w:t xml:space="preserve">Grading by Recommendation </w:t>
            </w:r>
          </w:p>
          <w:p w14:paraId="4BFB1391" w14:textId="1CB7834D" w:rsidR="00F21CC8" w:rsidRPr="002242C3" w:rsidRDefault="00F21CC8" w:rsidP="002242C3">
            <w:pPr>
              <w:pStyle w:val="ListParagraph"/>
              <w:numPr>
                <w:ilvl w:val="0"/>
                <w:numId w:val="18"/>
              </w:numPr>
              <w:rPr>
                <w:rFonts w:cstheme="minorHAnsi"/>
                <w:color w:val="FF0000"/>
              </w:rPr>
            </w:pPr>
            <w:r w:rsidRPr="002242C3">
              <w:rPr>
                <w:rFonts w:cstheme="minorHAnsi"/>
                <w:color w:val="FF0000"/>
              </w:rPr>
              <w:t>Recommendation 3: Weak for</w:t>
            </w:r>
            <w:r w:rsidR="006C6BA5">
              <w:rPr>
                <w:rFonts w:cstheme="minorHAnsi"/>
                <w:color w:val="FF0000"/>
              </w:rPr>
              <w:t xml:space="preserve"> (</w:t>
            </w:r>
            <w:r w:rsidR="006C6BA5" w:rsidRPr="006F70CE">
              <w:rPr>
                <w:rFonts w:cstheme="minorHAnsi"/>
                <w:color w:val="FF0000"/>
              </w:rPr>
              <w:t>We suggest offering this option</w:t>
            </w:r>
            <w:r w:rsidR="006C6BA5">
              <w:rPr>
                <w:rFonts w:cstheme="minorHAnsi"/>
                <w:color w:val="FF0000"/>
              </w:rPr>
              <w:t>)</w:t>
            </w:r>
          </w:p>
          <w:p w14:paraId="5C131E12" w14:textId="5C21B235" w:rsidR="00F21CC8" w:rsidRPr="002242C3" w:rsidRDefault="00F21CC8" w:rsidP="002242C3">
            <w:pPr>
              <w:pStyle w:val="ListParagraph"/>
              <w:numPr>
                <w:ilvl w:val="0"/>
                <w:numId w:val="18"/>
              </w:numPr>
              <w:rPr>
                <w:rFonts w:cstheme="minorHAnsi"/>
                <w:color w:val="FF0000"/>
              </w:rPr>
            </w:pPr>
            <w:r w:rsidRPr="002242C3">
              <w:rPr>
                <w:rFonts w:cstheme="minorHAnsi"/>
                <w:color w:val="FF0000"/>
              </w:rPr>
              <w:t xml:space="preserve">Recommendation 5: Strong for </w:t>
            </w:r>
            <w:r w:rsidR="006C6BA5">
              <w:rPr>
                <w:rFonts w:cstheme="minorHAnsi"/>
                <w:color w:val="FF0000"/>
              </w:rPr>
              <w:t>(</w:t>
            </w:r>
            <w:r w:rsidR="006C6BA5" w:rsidRPr="006F70CE">
              <w:rPr>
                <w:rFonts w:cstheme="minorHAnsi"/>
                <w:color w:val="FF0000"/>
              </w:rPr>
              <w:t>We recommend offering this option</w:t>
            </w:r>
            <w:r w:rsidR="006C6BA5">
              <w:rPr>
                <w:rFonts w:cstheme="minorHAnsi"/>
                <w:color w:val="FF0000"/>
              </w:rPr>
              <w:t>)</w:t>
            </w:r>
          </w:p>
          <w:p w14:paraId="196ACE4E" w14:textId="163B1D6A" w:rsidR="00F21CC8" w:rsidRPr="002242C3" w:rsidRDefault="00F21CC8" w:rsidP="002242C3">
            <w:pPr>
              <w:pStyle w:val="ListParagraph"/>
              <w:numPr>
                <w:ilvl w:val="0"/>
                <w:numId w:val="18"/>
              </w:numPr>
              <w:rPr>
                <w:rFonts w:cstheme="minorHAnsi"/>
                <w:color w:val="FF0000"/>
              </w:rPr>
            </w:pPr>
            <w:r w:rsidRPr="002242C3">
              <w:rPr>
                <w:rFonts w:cstheme="minorHAnsi"/>
                <w:color w:val="FF0000"/>
              </w:rPr>
              <w:t xml:space="preserve">Recommendation 7: Strong for </w:t>
            </w:r>
            <w:r w:rsidR="006C6BA5">
              <w:rPr>
                <w:rFonts w:cstheme="minorHAnsi"/>
                <w:color w:val="FF0000"/>
              </w:rPr>
              <w:t>(</w:t>
            </w:r>
            <w:r w:rsidR="006C6BA5" w:rsidRPr="006F70CE">
              <w:rPr>
                <w:rFonts w:cstheme="minorHAnsi"/>
                <w:color w:val="FF0000"/>
              </w:rPr>
              <w:t>We recommend offering this option</w:t>
            </w:r>
            <w:r w:rsidR="006C6BA5">
              <w:rPr>
                <w:rFonts w:cstheme="minorHAnsi"/>
                <w:color w:val="FF0000"/>
              </w:rPr>
              <w:t>)</w:t>
            </w:r>
          </w:p>
          <w:p w14:paraId="219311FA" w14:textId="48E89333" w:rsidR="00F21CC8" w:rsidRPr="002242C3" w:rsidRDefault="00F21CC8" w:rsidP="002242C3">
            <w:pPr>
              <w:pStyle w:val="ListParagraph"/>
              <w:numPr>
                <w:ilvl w:val="0"/>
                <w:numId w:val="18"/>
              </w:numPr>
              <w:rPr>
                <w:rFonts w:cstheme="minorHAnsi"/>
                <w:color w:val="FF0000"/>
              </w:rPr>
            </w:pPr>
            <w:r w:rsidRPr="002242C3">
              <w:rPr>
                <w:rFonts w:cstheme="minorHAnsi"/>
                <w:color w:val="FF0000"/>
              </w:rPr>
              <w:t xml:space="preserve">Recommendation 8: Strong for </w:t>
            </w:r>
            <w:r w:rsidR="006C6BA5">
              <w:rPr>
                <w:rFonts w:cstheme="minorHAnsi"/>
                <w:color w:val="FF0000"/>
              </w:rPr>
              <w:t>(</w:t>
            </w:r>
            <w:r w:rsidR="006C6BA5" w:rsidRPr="006F70CE">
              <w:rPr>
                <w:rFonts w:cstheme="minorHAnsi"/>
                <w:color w:val="FF0000"/>
              </w:rPr>
              <w:t>We recommend offering this option</w:t>
            </w:r>
            <w:r w:rsidR="006C6BA5">
              <w:rPr>
                <w:rFonts w:cstheme="minorHAnsi"/>
                <w:color w:val="FF0000"/>
              </w:rPr>
              <w:t>)</w:t>
            </w:r>
          </w:p>
          <w:p w14:paraId="2E5BBE2A" w14:textId="74E42174" w:rsidR="00F21CC8" w:rsidRPr="002242C3" w:rsidRDefault="00F21CC8" w:rsidP="002242C3">
            <w:pPr>
              <w:pStyle w:val="ListParagraph"/>
              <w:numPr>
                <w:ilvl w:val="0"/>
                <w:numId w:val="18"/>
              </w:numPr>
              <w:rPr>
                <w:rFonts w:cstheme="minorHAnsi"/>
                <w:color w:val="FF0000"/>
              </w:rPr>
            </w:pPr>
            <w:r w:rsidRPr="002242C3">
              <w:rPr>
                <w:rFonts w:cstheme="minorHAnsi"/>
                <w:color w:val="FF0000"/>
              </w:rPr>
              <w:t xml:space="preserve">Recommendation 11: Strong for </w:t>
            </w:r>
            <w:r w:rsidR="006C6BA5">
              <w:rPr>
                <w:rFonts w:cstheme="minorHAnsi"/>
                <w:color w:val="FF0000"/>
              </w:rPr>
              <w:t>(</w:t>
            </w:r>
            <w:r w:rsidR="006C6BA5" w:rsidRPr="006F70CE">
              <w:rPr>
                <w:rFonts w:cstheme="minorHAnsi"/>
                <w:color w:val="FF0000"/>
              </w:rPr>
              <w:t>We recommend offering this option</w:t>
            </w:r>
            <w:r w:rsidR="006C6BA5">
              <w:rPr>
                <w:rFonts w:cstheme="minorHAnsi"/>
                <w:color w:val="FF0000"/>
              </w:rPr>
              <w:t>)</w:t>
            </w:r>
          </w:p>
          <w:p w14:paraId="000496E6" w14:textId="6EE456F3" w:rsidR="00F21CC8" w:rsidRPr="002242C3" w:rsidRDefault="00F21CC8" w:rsidP="002242C3">
            <w:pPr>
              <w:pStyle w:val="ListParagraph"/>
              <w:numPr>
                <w:ilvl w:val="0"/>
                <w:numId w:val="18"/>
              </w:numPr>
              <w:rPr>
                <w:rFonts w:cstheme="minorHAnsi"/>
                <w:color w:val="FF0000"/>
              </w:rPr>
            </w:pPr>
            <w:r w:rsidRPr="002242C3">
              <w:rPr>
                <w:rFonts w:cstheme="minorHAnsi"/>
                <w:color w:val="FF0000"/>
              </w:rPr>
              <w:lastRenderedPageBreak/>
              <w:t xml:space="preserve">Recommendation 24: Strong for </w:t>
            </w:r>
            <w:r w:rsidR="006C6BA5">
              <w:rPr>
                <w:rFonts w:cstheme="minorHAnsi"/>
                <w:color w:val="FF0000"/>
              </w:rPr>
              <w:t>(</w:t>
            </w:r>
            <w:r w:rsidR="006C6BA5" w:rsidRPr="006F70CE">
              <w:rPr>
                <w:rFonts w:cstheme="minorHAnsi"/>
                <w:color w:val="FF0000"/>
              </w:rPr>
              <w:t>We recommend offering this option</w:t>
            </w:r>
            <w:r w:rsidR="006C6BA5">
              <w:rPr>
                <w:rFonts w:cstheme="minorHAnsi"/>
                <w:color w:val="FF0000"/>
              </w:rPr>
              <w:t>)</w:t>
            </w:r>
          </w:p>
          <w:p w14:paraId="57DAF7E0" w14:textId="77777777" w:rsidR="00F21CC8" w:rsidRDefault="00F21CC8" w:rsidP="001041DD">
            <w:pPr>
              <w:rPr>
                <w:b/>
              </w:rPr>
            </w:pPr>
          </w:p>
          <w:p w14:paraId="63659D9E" w14:textId="151D67E9" w:rsidR="00C215B6" w:rsidRPr="00862BC0" w:rsidRDefault="00C215B6" w:rsidP="00B67092">
            <w:pPr>
              <w:rPr>
                <w:color w:val="4F81BD" w:themeColor="accent1"/>
              </w:rPr>
            </w:pPr>
            <w:r w:rsidRPr="00FC0129">
              <w:rPr>
                <w:b/>
              </w:rPr>
              <w:t>A</w:t>
            </w:r>
            <w:r w:rsidRPr="00FC0129">
              <w:tab/>
            </w:r>
            <w:proofErr w:type="spellStart"/>
            <w:r w:rsidRPr="00862BC0">
              <w:rPr>
                <w:color w:val="4F81BD" w:themeColor="accent1"/>
              </w:rPr>
              <w:t>A</w:t>
            </w:r>
            <w:proofErr w:type="spellEnd"/>
            <w:r w:rsidRPr="00862BC0">
              <w:rPr>
                <w:color w:val="4F81BD" w:themeColor="accent1"/>
              </w:rPr>
              <w:t xml:space="preserve"> strong recommendation that the clinicians provide the intervention to eligible patients. Good evidence was found that the intervention improves important health outcomes and concludes that benefits substantially outweigh harm.</w:t>
            </w:r>
          </w:p>
          <w:p w14:paraId="220D0565" w14:textId="119E49CB" w:rsidR="00C215B6" w:rsidRPr="00FC0129" w:rsidRDefault="00C215B6" w:rsidP="00B67092">
            <w:r w:rsidRPr="00862BC0">
              <w:rPr>
                <w:b/>
                <w:color w:val="4F81BD" w:themeColor="accent1"/>
              </w:rPr>
              <w:t>B</w:t>
            </w:r>
            <w:r w:rsidRPr="00862BC0">
              <w:rPr>
                <w:color w:val="4F81BD" w:themeColor="accent1"/>
              </w:rPr>
              <w:tab/>
              <w:t>A recommendation that clinicians provide (the service) to eligible patients.</w:t>
            </w:r>
            <w:r w:rsidR="00B67092" w:rsidRPr="00862BC0">
              <w:rPr>
                <w:color w:val="4F81BD" w:themeColor="accent1"/>
              </w:rPr>
              <w:t xml:space="preserve"> </w:t>
            </w:r>
            <w:r w:rsidRPr="00862BC0">
              <w:rPr>
                <w:color w:val="4F81BD" w:themeColor="accent1"/>
              </w:rPr>
              <w:t>At least fair evidence was found that the intervention improves health outcomes and concludes that benefits outweigh harm.</w:t>
            </w:r>
          </w:p>
        </w:tc>
      </w:tr>
      <w:tr w:rsidR="00C215B6" w:rsidRPr="00FC0129" w14:paraId="0FE0A566" w14:textId="77777777" w:rsidTr="4F3183EC">
        <w:tc>
          <w:tcPr>
            <w:tcW w:w="3685" w:type="dxa"/>
          </w:tcPr>
          <w:p w14:paraId="2A95E605" w14:textId="77777777" w:rsidR="00C215B6" w:rsidRPr="00FC0129" w:rsidRDefault="00C215B6" w:rsidP="001041DD">
            <w:pPr>
              <w:ind w:left="0" w:firstLine="0"/>
            </w:pPr>
            <w:r w:rsidRPr="00FC0129">
              <w:lastRenderedPageBreak/>
              <w:t>Provide all other grades and definitions from the recommendation grading system</w:t>
            </w:r>
          </w:p>
        </w:tc>
        <w:tc>
          <w:tcPr>
            <w:tcW w:w="5665" w:type="dxa"/>
          </w:tcPr>
          <w:p w14:paraId="7C08ED6A" w14:textId="0BC41B00" w:rsidR="00C215B6" w:rsidRPr="00862BC0" w:rsidRDefault="00C215B6" w:rsidP="00B67092">
            <w:pPr>
              <w:rPr>
                <w:color w:val="4F81BD" w:themeColor="accent1"/>
              </w:rPr>
            </w:pPr>
            <w:r w:rsidRPr="00FC0129">
              <w:rPr>
                <w:b/>
              </w:rPr>
              <w:t>C</w:t>
            </w:r>
            <w:r w:rsidRPr="00FC0129">
              <w:tab/>
            </w:r>
            <w:r w:rsidRPr="00862BC0">
              <w:rPr>
                <w:color w:val="4F81BD" w:themeColor="accent1"/>
              </w:rPr>
              <w:t xml:space="preserve">No recommendation for or against the routine provision of the intervention is made. At least fair evidence was found that the intervention can improve health </w:t>
            </w:r>
            <w:proofErr w:type="gramStart"/>
            <w:r w:rsidRPr="00862BC0">
              <w:rPr>
                <w:color w:val="4F81BD" w:themeColor="accent1"/>
              </w:rPr>
              <w:t>outcomes, but</w:t>
            </w:r>
            <w:proofErr w:type="gramEnd"/>
            <w:r w:rsidRPr="00862BC0">
              <w:rPr>
                <w:color w:val="4F81BD" w:themeColor="accent1"/>
              </w:rPr>
              <w:t xml:space="preserve"> concludes that the balance of benefits and harms is too close to justify a general recommendation.</w:t>
            </w:r>
          </w:p>
          <w:p w14:paraId="0CB1557C" w14:textId="0D6A0054" w:rsidR="00C215B6" w:rsidRPr="00862BC0" w:rsidRDefault="00C215B6" w:rsidP="00B67092">
            <w:pPr>
              <w:rPr>
                <w:color w:val="4F81BD" w:themeColor="accent1"/>
              </w:rPr>
            </w:pPr>
            <w:r w:rsidRPr="00862BC0">
              <w:rPr>
                <w:b/>
                <w:color w:val="4F81BD" w:themeColor="accent1"/>
              </w:rPr>
              <w:t>D</w:t>
            </w:r>
            <w:r w:rsidRPr="00862BC0">
              <w:rPr>
                <w:color w:val="4F81BD" w:themeColor="accent1"/>
              </w:rPr>
              <w:tab/>
              <w:t>Recommendation is made against routinely providing the intervention to asymptomatic patients. At least fair evidence was found that the intervention is ineffective or that harms outweigh benefits.</w:t>
            </w:r>
          </w:p>
          <w:p w14:paraId="6750552E" w14:textId="3E815E70" w:rsidR="00C215B6" w:rsidRPr="00FC0129" w:rsidRDefault="00C215B6" w:rsidP="00B67092">
            <w:r w:rsidRPr="00862BC0">
              <w:rPr>
                <w:b/>
                <w:color w:val="4F81BD" w:themeColor="accent1"/>
              </w:rPr>
              <w:t>I</w:t>
            </w:r>
            <w:r w:rsidRPr="00862BC0">
              <w:rPr>
                <w:color w:val="4F81BD" w:themeColor="accent1"/>
              </w:rPr>
              <w:tab/>
            </w:r>
            <w:proofErr w:type="gramStart"/>
            <w:r w:rsidRPr="00862BC0">
              <w:rPr>
                <w:color w:val="4F81BD" w:themeColor="accent1"/>
              </w:rPr>
              <w:t>The</w:t>
            </w:r>
            <w:proofErr w:type="gramEnd"/>
            <w:r w:rsidRPr="00862BC0">
              <w:rPr>
                <w:color w:val="4F81BD" w:themeColor="accent1"/>
              </w:rPr>
              <w:t xml:space="preserve"> conclusion is that the evidence is insufficient to recommend for or against routinely providing the intervention. Evidence that the intervention is effective is lacking, or poor quality, or conflicting, and the balance of benefits and harms cannot be determined.</w:t>
            </w:r>
          </w:p>
        </w:tc>
      </w:tr>
      <w:tr w:rsidR="00C215B6" w:rsidRPr="00FC0129" w14:paraId="5379993E" w14:textId="77777777" w:rsidTr="4F3183EC">
        <w:trPr>
          <w:trHeight w:val="1205"/>
        </w:trPr>
        <w:tc>
          <w:tcPr>
            <w:tcW w:w="3685" w:type="dxa"/>
          </w:tcPr>
          <w:p w14:paraId="3835EBCF" w14:textId="77777777" w:rsidR="00C215B6" w:rsidRPr="005D50D2" w:rsidRDefault="00C215B6" w:rsidP="001041DD">
            <w:pPr>
              <w:ind w:left="0" w:firstLine="0"/>
            </w:pPr>
            <w:r w:rsidRPr="005D50D2">
              <w:t>Body of evidence:</w:t>
            </w:r>
          </w:p>
          <w:p w14:paraId="07A42F0E" w14:textId="77777777" w:rsidR="00C215B6" w:rsidRPr="005D50D2" w:rsidRDefault="00C215B6" w:rsidP="00C215B6">
            <w:pPr>
              <w:pStyle w:val="ListParagraph"/>
              <w:numPr>
                <w:ilvl w:val="0"/>
                <w:numId w:val="10"/>
              </w:numPr>
            </w:pPr>
            <w:r w:rsidRPr="005D50D2">
              <w:t>Quantity – how many studies?</w:t>
            </w:r>
          </w:p>
          <w:p w14:paraId="40ADF12C" w14:textId="77777777" w:rsidR="00C215B6" w:rsidRPr="005D50D2" w:rsidRDefault="00C215B6" w:rsidP="00C215B6">
            <w:pPr>
              <w:pStyle w:val="ListParagraph"/>
              <w:numPr>
                <w:ilvl w:val="0"/>
                <w:numId w:val="10"/>
              </w:numPr>
            </w:pPr>
            <w:r w:rsidRPr="005D50D2">
              <w:t>Quality – what type of studies?</w:t>
            </w:r>
          </w:p>
        </w:tc>
        <w:tc>
          <w:tcPr>
            <w:tcW w:w="5665" w:type="dxa"/>
          </w:tcPr>
          <w:p w14:paraId="6C09EA97" w14:textId="507DA039" w:rsidR="00C215B6" w:rsidRPr="00FC0129" w:rsidRDefault="00930261" w:rsidP="001041DD">
            <w:pPr>
              <w:ind w:left="0" w:firstLine="0"/>
            </w:pPr>
            <w:r w:rsidRPr="00B9394D">
              <w:rPr>
                <w:color w:val="FF0000"/>
              </w:rPr>
              <w:t>Overall, 135 studies</w:t>
            </w:r>
            <w:r w:rsidR="00B9394D" w:rsidRPr="00B9394D">
              <w:rPr>
                <w:color w:val="FF0000"/>
              </w:rPr>
              <w:t>, the majority of which are randomized control trials</w:t>
            </w:r>
            <w:r w:rsidR="00090D4D">
              <w:rPr>
                <w:color w:val="FF0000"/>
              </w:rPr>
              <w:t xml:space="preserve"> or systematic reviews</w:t>
            </w:r>
            <w:r w:rsidR="00B9394D" w:rsidRPr="00B9394D">
              <w:rPr>
                <w:color w:val="FF0000"/>
              </w:rPr>
              <w:t>, were included in the systematic review used to inform this guideline.</w:t>
            </w:r>
          </w:p>
        </w:tc>
      </w:tr>
      <w:tr w:rsidR="00C215B6" w:rsidRPr="00FC0129" w14:paraId="6841187A" w14:textId="77777777" w:rsidTr="4F3183EC">
        <w:tc>
          <w:tcPr>
            <w:tcW w:w="3685" w:type="dxa"/>
          </w:tcPr>
          <w:p w14:paraId="7AF8B90F" w14:textId="77777777" w:rsidR="00C215B6" w:rsidRPr="005D50D2" w:rsidRDefault="00C215B6" w:rsidP="001041DD">
            <w:pPr>
              <w:ind w:left="0" w:firstLine="0"/>
            </w:pPr>
            <w:r w:rsidRPr="005D50D2">
              <w:t xml:space="preserve">Estimates of benefit and consistency across studies </w:t>
            </w:r>
          </w:p>
        </w:tc>
        <w:tc>
          <w:tcPr>
            <w:tcW w:w="5665" w:type="dxa"/>
          </w:tcPr>
          <w:p w14:paraId="32E076FA" w14:textId="7D5626AC" w:rsidR="00C215B6" w:rsidRPr="00FC0129" w:rsidRDefault="4F3183EC" w:rsidP="00DD7C9F">
            <w:pPr>
              <w:ind w:left="0" w:firstLine="0"/>
            </w:pPr>
            <w:r w:rsidRPr="4F3183EC">
              <w:rPr>
                <w:color w:val="FF0000"/>
              </w:rPr>
              <w:t>Overall, the authors of this guideline put forth the above recommendations and specifically stated that the benefits of the recommended treatments and protocol outweigh their potential harms. Additionally, the authors discuss not only the benefit for the primary outcome of interest, engaging patients in SUD care, but the improvement in secondary outcomes, such as crime associated with substance use, social engagement and vocational productivity, transmittable diseases, and morbidity.</w:t>
            </w:r>
          </w:p>
        </w:tc>
      </w:tr>
      <w:tr w:rsidR="00C215B6" w:rsidRPr="00FC0129" w14:paraId="5CF570E1" w14:textId="77777777" w:rsidTr="4F3183EC">
        <w:tc>
          <w:tcPr>
            <w:tcW w:w="3685" w:type="dxa"/>
          </w:tcPr>
          <w:p w14:paraId="24550159" w14:textId="77777777" w:rsidR="00C215B6" w:rsidRPr="005D50D2" w:rsidRDefault="00C215B6" w:rsidP="001041DD">
            <w:pPr>
              <w:ind w:left="0" w:firstLine="0"/>
            </w:pPr>
            <w:r w:rsidRPr="005D50D2">
              <w:t>What harms were identified?</w:t>
            </w:r>
          </w:p>
        </w:tc>
        <w:tc>
          <w:tcPr>
            <w:tcW w:w="5665" w:type="dxa"/>
          </w:tcPr>
          <w:p w14:paraId="3AF8319D" w14:textId="6AF8532E" w:rsidR="00C215B6" w:rsidRDefault="002A33BB" w:rsidP="001041DD">
            <w:pPr>
              <w:ind w:left="0" w:firstLine="0"/>
              <w:rPr>
                <w:color w:val="FF0000"/>
              </w:rPr>
            </w:pPr>
            <w:r>
              <w:rPr>
                <w:color w:val="FF0000"/>
              </w:rPr>
              <w:t xml:space="preserve">Overall, the authors </w:t>
            </w:r>
            <w:r w:rsidR="00BB5C50">
              <w:rPr>
                <w:color w:val="FF0000"/>
              </w:rPr>
              <w:t xml:space="preserve">felt that the benefit of treatment, in accordance with the recommendations put forth in the </w:t>
            </w:r>
            <w:r w:rsidR="00D04978">
              <w:rPr>
                <w:color w:val="FF0000"/>
              </w:rPr>
              <w:t>guidelines, outweighed any potential risk.</w:t>
            </w:r>
            <w:r w:rsidR="00C0146C">
              <w:rPr>
                <w:color w:val="FF0000"/>
              </w:rPr>
              <w:t xml:space="preserve"> </w:t>
            </w:r>
            <w:r w:rsidR="00C973B3">
              <w:rPr>
                <w:color w:val="FF0000"/>
              </w:rPr>
              <w:t>F</w:t>
            </w:r>
            <w:r w:rsidR="00C0146C">
              <w:rPr>
                <w:color w:val="FF0000"/>
              </w:rPr>
              <w:t xml:space="preserve">or each of the pharmacotherapies discussed in the guideline, the authors </w:t>
            </w:r>
            <w:r w:rsidR="00C973B3">
              <w:rPr>
                <w:color w:val="FF0000"/>
              </w:rPr>
              <w:lastRenderedPageBreak/>
              <w:t xml:space="preserve">explicitly </w:t>
            </w:r>
            <w:r w:rsidR="00553E68">
              <w:rPr>
                <w:color w:val="FF0000"/>
              </w:rPr>
              <w:t>urge providers to carefully consider the risks and benefits for each individual patient being treated.</w:t>
            </w:r>
          </w:p>
          <w:p w14:paraId="74634B0C" w14:textId="77777777" w:rsidR="00D04978" w:rsidRDefault="00D04978" w:rsidP="001041DD">
            <w:pPr>
              <w:ind w:left="0" w:firstLine="0"/>
            </w:pPr>
          </w:p>
          <w:p w14:paraId="6C2184ED" w14:textId="1927607E" w:rsidR="00D04978" w:rsidRPr="00FC0129" w:rsidRDefault="00C973B3" w:rsidP="001041DD">
            <w:pPr>
              <w:ind w:left="0" w:firstLine="0"/>
            </w:pPr>
            <w:proofErr w:type="gramStart"/>
            <w:r w:rsidRPr="00C973B3">
              <w:rPr>
                <w:color w:val="FF0000"/>
              </w:rPr>
              <w:t>W</w:t>
            </w:r>
            <w:r w:rsidR="00D04978" w:rsidRPr="00C973B3">
              <w:rPr>
                <w:color w:val="FF0000"/>
              </w:rPr>
              <w:t>ith regard to</w:t>
            </w:r>
            <w:proofErr w:type="gramEnd"/>
            <w:r w:rsidR="00D04978" w:rsidRPr="00C973B3">
              <w:rPr>
                <w:color w:val="FF0000"/>
              </w:rPr>
              <w:t xml:space="preserve"> treatment of pregnant women, the authors included the following: </w:t>
            </w:r>
            <w:r w:rsidR="00093D93" w:rsidRPr="00C973B3">
              <w:rPr>
                <w:color w:val="FF0000"/>
              </w:rPr>
              <w:t>“Clinicians should weigh the unknown risks of long-term harm to the fetus from limited exposure to naloxone in the combination product [</w:t>
            </w:r>
            <w:r w:rsidR="00160466" w:rsidRPr="00C973B3">
              <w:rPr>
                <w:color w:val="FF0000"/>
              </w:rPr>
              <w:t xml:space="preserve">buprenorphine/naloxone combination product] </w:t>
            </w:r>
            <w:r w:rsidR="00093D93" w:rsidRPr="00C973B3">
              <w:rPr>
                <w:color w:val="FF0000"/>
              </w:rPr>
              <w:t>versus the risks of misuse or diversion posed by prescribing the mono-product to the mother during pregnancy.</w:t>
            </w:r>
            <w:r w:rsidR="00160466" w:rsidRPr="00C973B3">
              <w:rPr>
                <w:color w:val="FF0000"/>
              </w:rPr>
              <w:t>”</w:t>
            </w:r>
          </w:p>
        </w:tc>
      </w:tr>
      <w:tr w:rsidR="00C215B6" w:rsidRPr="00FC0129" w14:paraId="69E8B907" w14:textId="77777777" w:rsidTr="4F3183EC">
        <w:tc>
          <w:tcPr>
            <w:tcW w:w="3685" w:type="dxa"/>
          </w:tcPr>
          <w:p w14:paraId="4EF86072" w14:textId="77777777" w:rsidR="00C215B6" w:rsidRPr="00FC0129" w:rsidRDefault="00C215B6" w:rsidP="001041DD">
            <w:pPr>
              <w:ind w:left="0" w:firstLine="0"/>
            </w:pPr>
            <w:r w:rsidRPr="00FC0129">
              <w:lastRenderedPageBreak/>
              <w:t>Identify any new studies conducted since the SR. Do the new studies change the conclusions from the SR?</w:t>
            </w:r>
          </w:p>
        </w:tc>
        <w:tc>
          <w:tcPr>
            <w:tcW w:w="5665" w:type="dxa"/>
          </w:tcPr>
          <w:p w14:paraId="2998E728" w14:textId="77777777" w:rsidR="00C215B6" w:rsidRPr="00FC0129" w:rsidRDefault="00C215B6" w:rsidP="001041DD">
            <w:pPr>
              <w:ind w:left="0" w:firstLine="0"/>
            </w:pPr>
            <w:r w:rsidRPr="00FC0129">
              <w:t>n/a</w:t>
            </w:r>
          </w:p>
        </w:tc>
      </w:tr>
    </w:tbl>
    <w:p w14:paraId="54FD543F" w14:textId="77777777" w:rsidR="00C215B6" w:rsidRDefault="00C215B6" w:rsidP="002E2177">
      <w:pPr>
        <w:ind w:left="0" w:firstLine="0"/>
        <w:rPr>
          <w:b/>
          <w:i/>
          <w:color w:val="FF0000"/>
        </w:rPr>
      </w:pPr>
    </w:p>
    <w:p w14:paraId="55B8DA95" w14:textId="77777777" w:rsidR="0094689F" w:rsidRPr="003B1CC5" w:rsidRDefault="00925F11" w:rsidP="002E2177">
      <w:pPr>
        <w:ind w:left="0" w:firstLine="0"/>
        <w:rPr>
          <w:b/>
          <w:color w:val="0070C0"/>
        </w:rPr>
      </w:pPr>
      <w:r w:rsidRPr="003B1CC5">
        <w:rPr>
          <w:b/>
          <w:iCs/>
          <w:caps/>
        </w:rPr>
        <w:t>________________________</w:t>
      </w:r>
    </w:p>
    <w:p w14:paraId="55B8DA96" w14:textId="77777777" w:rsidR="00837121" w:rsidRPr="003B1CC5" w:rsidRDefault="000E5C93" w:rsidP="002E2177">
      <w:pPr>
        <w:ind w:left="0" w:firstLine="0"/>
        <w:rPr>
          <w:b/>
        </w:rPr>
      </w:pPr>
      <w:bookmarkStart w:id="7" w:name="Section1a8"/>
      <w:bookmarkEnd w:id="7"/>
      <w:r>
        <w:rPr>
          <w:b/>
          <w:color w:val="0000FF"/>
        </w:rPr>
        <w:t>1a.4</w:t>
      </w:r>
      <w:r w:rsidR="00837121" w:rsidRPr="003B1CC5">
        <w:rPr>
          <w:b/>
          <w:color w:val="0000FF"/>
        </w:rPr>
        <w:t xml:space="preserve"> </w:t>
      </w:r>
      <w:r w:rsidR="00837121" w:rsidRPr="003B1CC5">
        <w:rPr>
          <w:b/>
        </w:rPr>
        <w:t>OTHER SOURCE OF EVIDENCE</w:t>
      </w:r>
    </w:p>
    <w:p w14:paraId="55B8DA97" w14:textId="77777777" w:rsidR="00837121" w:rsidRPr="003B1CC5" w:rsidRDefault="00837121" w:rsidP="002E2177">
      <w:pPr>
        <w:ind w:left="0" w:firstLine="0"/>
        <w:rPr>
          <w:i/>
        </w:rPr>
      </w:pPr>
      <w:r w:rsidRPr="003B1CC5">
        <w:rPr>
          <w:i/>
        </w:rPr>
        <w:t xml:space="preserve">If source of evidence is </w:t>
      </w:r>
      <w:r w:rsidR="002B06BD" w:rsidRPr="003B1CC5">
        <w:rPr>
          <w:i/>
        </w:rPr>
        <w:t xml:space="preserve">NOT </w:t>
      </w:r>
      <w:r w:rsidRPr="003B1CC5">
        <w:rPr>
          <w:i/>
        </w:rPr>
        <w:t xml:space="preserve">from a clinical practice guideline, USPSTF, or systematic review, please describe the evidence on which you are basing </w:t>
      </w:r>
      <w:r w:rsidR="00EE1F87" w:rsidRPr="003B1CC5">
        <w:rPr>
          <w:i/>
        </w:rPr>
        <w:t xml:space="preserve">the </w:t>
      </w:r>
      <w:r w:rsidRPr="003B1CC5">
        <w:rPr>
          <w:i/>
        </w:rPr>
        <w:t>performance measure.</w:t>
      </w:r>
    </w:p>
    <w:p w14:paraId="55B8DA98" w14:textId="5C458448" w:rsidR="00837121" w:rsidRPr="00945ECF" w:rsidRDefault="00945ECF" w:rsidP="002E2177">
      <w:pPr>
        <w:ind w:left="0" w:firstLine="0"/>
        <w:rPr>
          <w:color w:val="FF0000"/>
        </w:rPr>
      </w:pPr>
      <w:r w:rsidRPr="00945ECF">
        <w:rPr>
          <w:color w:val="FF0000"/>
        </w:rPr>
        <w:t>N/A</w:t>
      </w:r>
    </w:p>
    <w:p w14:paraId="59037362" w14:textId="77777777" w:rsidR="00945ECF" w:rsidRPr="003B1CC5" w:rsidRDefault="00945ECF" w:rsidP="002E2177">
      <w:pPr>
        <w:ind w:left="0" w:firstLine="0"/>
      </w:pPr>
    </w:p>
    <w:p w14:paraId="607DA637" w14:textId="1E1CC885" w:rsidR="00B55C4C" w:rsidRPr="00945ECF" w:rsidRDefault="000E5C93" w:rsidP="00B55C4C">
      <w:pPr>
        <w:ind w:left="0" w:firstLine="0"/>
        <w:rPr>
          <w:color w:val="808080" w:themeColor="background1" w:themeShade="80"/>
        </w:rPr>
      </w:pPr>
      <w:r w:rsidRPr="00945ECF">
        <w:rPr>
          <w:b/>
          <w:color w:val="808080" w:themeColor="background1" w:themeShade="80"/>
        </w:rPr>
        <w:t>1a.4</w:t>
      </w:r>
      <w:r w:rsidR="00837121" w:rsidRPr="00945ECF">
        <w:rPr>
          <w:b/>
          <w:color w:val="808080" w:themeColor="background1" w:themeShade="80"/>
        </w:rPr>
        <w:t>.1</w:t>
      </w:r>
      <w:r w:rsidR="00837121" w:rsidRPr="00945ECF">
        <w:rPr>
          <w:color w:val="808080" w:themeColor="background1" w:themeShade="80"/>
        </w:rPr>
        <w:t xml:space="preserve"> </w:t>
      </w:r>
      <w:r w:rsidRPr="00945ECF">
        <w:rPr>
          <w:b/>
          <w:color w:val="808080" w:themeColor="background1" w:themeShade="80"/>
        </w:rPr>
        <w:t xml:space="preserve">Briefly </w:t>
      </w:r>
      <w:r w:rsidR="00E42FAA" w:rsidRPr="00945ECF">
        <w:rPr>
          <w:b/>
          <w:color w:val="808080" w:themeColor="background1" w:themeShade="80"/>
        </w:rPr>
        <w:t xml:space="preserve">SYNTHESIZE </w:t>
      </w:r>
      <w:r w:rsidRPr="00945ECF">
        <w:rPr>
          <w:b/>
          <w:color w:val="808080" w:themeColor="background1" w:themeShade="80"/>
        </w:rPr>
        <w:t xml:space="preserve">the evidence that supports the measure. </w:t>
      </w:r>
      <w:r w:rsidRPr="00945ECF">
        <w:rPr>
          <w:color w:val="808080" w:themeColor="background1" w:themeShade="80"/>
        </w:rPr>
        <w:t>A list of references without a summary is not acceptable.</w:t>
      </w:r>
    </w:p>
    <w:p w14:paraId="55B8DA9A" w14:textId="77777777" w:rsidR="000E5C93" w:rsidRPr="00945ECF" w:rsidRDefault="000E5C93" w:rsidP="002E2177">
      <w:pPr>
        <w:ind w:left="0" w:firstLine="0"/>
        <w:rPr>
          <w:b/>
          <w:color w:val="808080" w:themeColor="background1" w:themeShade="80"/>
        </w:rPr>
      </w:pPr>
    </w:p>
    <w:p w14:paraId="55B8DA9B" w14:textId="77777777" w:rsidR="00837121" w:rsidRPr="00945ECF" w:rsidRDefault="000E5C93" w:rsidP="002E2177">
      <w:pPr>
        <w:ind w:left="0" w:firstLine="0"/>
        <w:rPr>
          <w:color w:val="808080" w:themeColor="background1" w:themeShade="80"/>
        </w:rPr>
      </w:pPr>
      <w:r w:rsidRPr="00945ECF">
        <w:rPr>
          <w:b/>
          <w:color w:val="808080" w:themeColor="background1" w:themeShade="80"/>
        </w:rPr>
        <w:t xml:space="preserve">1a.4.2 </w:t>
      </w:r>
      <w:r w:rsidR="00837121" w:rsidRPr="00945ECF">
        <w:rPr>
          <w:b/>
          <w:color w:val="808080" w:themeColor="background1" w:themeShade="80"/>
        </w:rPr>
        <w:t>What process was used to identify the evidence?</w:t>
      </w:r>
    </w:p>
    <w:p w14:paraId="55B8DA9C" w14:textId="77777777" w:rsidR="00837121" w:rsidRPr="00945ECF" w:rsidRDefault="00837121" w:rsidP="002E2177">
      <w:pPr>
        <w:ind w:left="0" w:firstLine="0"/>
        <w:rPr>
          <w:color w:val="808080" w:themeColor="background1" w:themeShade="80"/>
        </w:rPr>
      </w:pPr>
    </w:p>
    <w:p w14:paraId="7BFCD45B" w14:textId="77777777" w:rsidR="003300CF" w:rsidRPr="00945ECF" w:rsidRDefault="000E5C93" w:rsidP="006A34D0">
      <w:pPr>
        <w:spacing w:after="200"/>
        <w:ind w:left="0" w:firstLine="0"/>
        <w:rPr>
          <w:rFonts w:ascii="Trebuchet MS" w:eastAsia="Times New Roman" w:hAnsi="Trebuchet MS" w:cs="Times New Roman"/>
          <w:color w:val="808080" w:themeColor="background1" w:themeShade="80"/>
          <w:szCs w:val="15"/>
        </w:rPr>
      </w:pPr>
      <w:r w:rsidRPr="00945ECF">
        <w:rPr>
          <w:b/>
          <w:color w:val="808080" w:themeColor="background1" w:themeShade="80"/>
        </w:rPr>
        <w:t>1a.4.3</w:t>
      </w:r>
      <w:r w:rsidR="00837121" w:rsidRPr="00945ECF">
        <w:rPr>
          <w:b/>
          <w:color w:val="808080" w:themeColor="background1" w:themeShade="80"/>
        </w:rPr>
        <w:t>.</w:t>
      </w:r>
      <w:r w:rsidR="00837121" w:rsidRPr="00945ECF">
        <w:rPr>
          <w:color w:val="808080" w:themeColor="background1" w:themeShade="80"/>
        </w:rPr>
        <w:t xml:space="preserve"> </w:t>
      </w:r>
      <w:r w:rsidR="006C7F30" w:rsidRPr="00945ECF">
        <w:rPr>
          <w:b/>
          <w:color w:val="808080" w:themeColor="background1" w:themeShade="80"/>
        </w:rPr>
        <w:t>Provide the citation</w:t>
      </w:r>
      <w:r w:rsidRPr="00945ECF">
        <w:rPr>
          <w:b/>
          <w:color w:val="808080" w:themeColor="background1" w:themeShade="80"/>
        </w:rPr>
        <w:t>(s)</w:t>
      </w:r>
      <w:r w:rsidR="009E6B86" w:rsidRPr="00945ECF">
        <w:rPr>
          <w:b/>
          <w:color w:val="808080" w:themeColor="background1" w:themeShade="80"/>
        </w:rPr>
        <w:t xml:space="preserve"> </w:t>
      </w:r>
      <w:r w:rsidRPr="00945ECF">
        <w:rPr>
          <w:b/>
          <w:color w:val="808080" w:themeColor="background1" w:themeShade="80"/>
        </w:rPr>
        <w:t>for the</w:t>
      </w:r>
      <w:r w:rsidR="006C7F30" w:rsidRPr="00945ECF">
        <w:rPr>
          <w:b/>
          <w:color w:val="808080" w:themeColor="background1" w:themeShade="80"/>
        </w:rPr>
        <w:t xml:space="preserve"> evidence.</w:t>
      </w:r>
      <w:r w:rsidR="006A34D0" w:rsidRPr="00945ECF">
        <w:rPr>
          <w:rFonts w:ascii="Trebuchet MS" w:eastAsia="Times New Roman" w:hAnsi="Trebuchet MS" w:cs="Times New Roman"/>
          <w:color w:val="808080" w:themeColor="background1" w:themeShade="80"/>
          <w:szCs w:val="15"/>
        </w:rPr>
        <w:t xml:space="preserve"> </w:t>
      </w:r>
    </w:p>
    <w:p w14:paraId="55B8DA9D" w14:textId="77777777" w:rsidR="00837121" w:rsidRPr="001B772D" w:rsidRDefault="00837121" w:rsidP="002E2177">
      <w:pPr>
        <w:ind w:left="0" w:firstLine="0"/>
      </w:pPr>
    </w:p>
    <w:sectPr w:rsidR="00837121" w:rsidRPr="001B772D">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E33D5F7" w14:textId="77777777" w:rsidR="00CE185B" w:rsidRDefault="00CE185B" w:rsidP="007E37A5">
      <w:r>
        <w:separator/>
      </w:r>
    </w:p>
  </w:endnote>
  <w:endnote w:type="continuationSeparator" w:id="0">
    <w:p w14:paraId="30AC8088" w14:textId="77777777" w:rsidR="00CE185B" w:rsidRDefault="00CE185B" w:rsidP="007E37A5">
      <w:r>
        <w:continuationSeparator/>
      </w:r>
    </w:p>
  </w:endnote>
  <w:endnote w:type="continuationNotice" w:id="1">
    <w:p w14:paraId="76C152B8" w14:textId="77777777" w:rsidR="00CE185B" w:rsidRDefault="00CE185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Garamond-Regular">
    <w:altName w:val="Cambria"/>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3" w14:textId="5566E7BC" w:rsidR="001041DD" w:rsidRDefault="001041DD">
    <w:pPr>
      <w:pStyle w:val="Footer"/>
    </w:pPr>
    <w:r w:rsidRPr="00395263">
      <w:t xml:space="preserve">Version </w:t>
    </w:r>
    <w:proofErr w:type="gramStart"/>
    <w:r>
      <w:t xml:space="preserve">7.1 </w:t>
    </w:r>
    <w:r w:rsidRPr="00395263">
      <w:t xml:space="preserve"> </w:t>
    </w:r>
    <w:r>
      <w:t>9</w:t>
    </w:r>
    <w:proofErr w:type="gramEnd"/>
    <w:r>
      <w:t>/6/17</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Pr>
        <w:noProof/>
      </w:rPr>
      <w:t>4</w:t>
    </w:r>
    <w:r w:rsidRPr="00395263">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D1F8B8" w14:textId="77777777" w:rsidR="00CE185B" w:rsidRDefault="00CE185B" w:rsidP="007E37A5">
      <w:r>
        <w:separator/>
      </w:r>
    </w:p>
  </w:footnote>
  <w:footnote w:type="continuationSeparator" w:id="0">
    <w:p w14:paraId="58C75950" w14:textId="77777777" w:rsidR="00CE185B" w:rsidRDefault="00CE185B" w:rsidP="007E37A5">
      <w:r>
        <w:continuationSeparator/>
      </w:r>
    </w:p>
  </w:footnote>
  <w:footnote w:type="continuationNotice" w:id="1">
    <w:p w14:paraId="6C77DFF9" w14:textId="77777777" w:rsidR="00CE185B" w:rsidRDefault="00CE185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B8DAA2" w14:textId="77777777" w:rsidR="001041DD" w:rsidRDefault="001041DD" w:rsidP="007E37A5">
    <w:pPr>
      <w:pStyle w:val="Header"/>
      <w:ind w:left="0" w:firstLine="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D18C8"/>
    <w:multiLevelType w:val="hybridMultilevel"/>
    <w:tmpl w:val="5AD8A0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1242808"/>
    <w:multiLevelType w:val="hybridMultilevel"/>
    <w:tmpl w:val="025A7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87D1AC0"/>
    <w:multiLevelType w:val="multilevel"/>
    <w:tmpl w:val="DE748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9E22008"/>
    <w:multiLevelType w:val="hybridMultilevel"/>
    <w:tmpl w:val="29FE38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4CC44FFF"/>
    <w:multiLevelType w:val="hybridMultilevel"/>
    <w:tmpl w:val="5D1EC6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A2679D"/>
    <w:multiLevelType w:val="hybridMultilevel"/>
    <w:tmpl w:val="3D541E52"/>
    <w:lvl w:ilvl="0" w:tplc="CDF26CBE">
      <w:start w:val="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78854B0"/>
    <w:multiLevelType w:val="hybridMultilevel"/>
    <w:tmpl w:val="47AE4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83623A"/>
    <w:multiLevelType w:val="multilevel"/>
    <w:tmpl w:val="2F6EE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50F11DF"/>
    <w:multiLevelType w:val="hybridMultilevel"/>
    <w:tmpl w:val="1C962822"/>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BD31C76"/>
    <w:multiLevelType w:val="hybridMultilevel"/>
    <w:tmpl w:val="A0BA70D0"/>
    <w:lvl w:ilvl="0" w:tplc="560A39F0">
      <w:start w:val="1"/>
      <w:numFmt w:val="decimal"/>
      <w:lvlText w:val="%1."/>
      <w:lvlJc w:val="left"/>
      <w:pPr>
        <w:ind w:left="292" w:hanging="202"/>
      </w:pPr>
      <w:rPr>
        <w:rFonts w:ascii="Calibri" w:eastAsia="Calibri" w:hAnsi="Calibri" w:cs="Calibri" w:hint="default"/>
        <w:color w:val="auto"/>
        <w:spacing w:val="-2"/>
        <w:w w:val="100"/>
        <w:sz w:val="20"/>
        <w:szCs w:val="20"/>
        <w:lang w:val="en-US" w:eastAsia="en-US" w:bidi="en-US"/>
      </w:rPr>
    </w:lvl>
    <w:lvl w:ilvl="1" w:tplc="70D06A64">
      <w:numFmt w:val="bullet"/>
      <w:lvlText w:val="•"/>
      <w:lvlJc w:val="left"/>
      <w:pPr>
        <w:ind w:left="1270" w:hanging="202"/>
      </w:pPr>
      <w:rPr>
        <w:lang w:val="en-US" w:eastAsia="en-US" w:bidi="en-US"/>
      </w:rPr>
    </w:lvl>
    <w:lvl w:ilvl="2" w:tplc="1FB607C4">
      <w:numFmt w:val="bullet"/>
      <w:lvlText w:val="•"/>
      <w:lvlJc w:val="left"/>
      <w:pPr>
        <w:ind w:left="2200" w:hanging="202"/>
      </w:pPr>
      <w:rPr>
        <w:lang w:val="en-US" w:eastAsia="en-US" w:bidi="en-US"/>
      </w:rPr>
    </w:lvl>
    <w:lvl w:ilvl="3" w:tplc="4F58461C">
      <w:numFmt w:val="bullet"/>
      <w:lvlText w:val="•"/>
      <w:lvlJc w:val="left"/>
      <w:pPr>
        <w:ind w:left="3130" w:hanging="202"/>
      </w:pPr>
      <w:rPr>
        <w:lang w:val="en-US" w:eastAsia="en-US" w:bidi="en-US"/>
      </w:rPr>
    </w:lvl>
    <w:lvl w:ilvl="4" w:tplc="2D1AA810">
      <w:numFmt w:val="bullet"/>
      <w:lvlText w:val="•"/>
      <w:lvlJc w:val="left"/>
      <w:pPr>
        <w:ind w:left="4060" w:hanging="202"/>
      </w:pPr>
      <w:rPr>
        <w:lang w:val="en-US" w:eastAsia="en-US" w:bidi="en-US"/>
      </w:rPr>
    </w:lvl>
    <w:lvl w:ilvl="5" w:tplc="0332E884">
      <w:numFmt w:val="bullet"/>
      <w:lvlText w:val="•"/>
      <w:lvlJc w:val="left"/>
      <w:pPr>
        <w:ind w:left="4990" w:hanging="202"/>
      </w:pPr>
      <w:rPr>
        <w:lang w:val="en-US" w:eastAsia="en-US" w:bidi="en-US"/>
      </w:rPr>
    </w:lvl>
    <w:lvl w:ilvl="6" w:tplc="9028B9E6">
      <w:numFmt w:val="bullet"/>
      <w:lvlText w:val="•"/>
      <w:lvlJc w:val="left"/>
      <w:pPr>
        <w:ind w:left="5920" w:hanging="202"/>
      </w:pPr>
      <w:rPr>
        <w:lang w:val="en-US" w:eastAsia="en-US" w:bidi="en-US"/>
      </w:rPr>
    </w:lvl>
    <w:lvl w:ilvl="7" w:tplc="4DA058D2">
      <w:numFmt w:val="bullet"/>
      <w:lvlText w:val="•"/>
      <w:lvlJc w:val="left"/>
      <w:pPr>
        <w:ind w:left="6850" w:hanging="202"/>
      </w:pPr>
      <w:rPr>
        <w:lang w:val="en-US" w:eastAsia="en-US" w:bidi="en-US"/>
      </w:rPr>
    </w:lvl>
    <w:lvl w:ilvl="8" w:tplc="F9F2861E">
      <w:numFmt w:val="bullet"/>
      <w:lvlText w:val="•"/>
      <w:lvlJc w:val="left"/>
      <w:pPr>
        <w:ind w:left="7780" w:hanging="202"/>
      </w:pPr>
      <w:rPr>
        <w:lang w:val="en-US" w:eastAsia="en-US" w:bidi="en-US"/>
      </w:rPr>
    </w:lvl>
  </w:abstractNum>
  <w:num w:numId="1">
    <w:abstractNumId w:val="6"/>
  </w:num>
  <w:num w:numId="2">
    <w:abstractNumId w:val="11"/>
  </w:num>
  <w:num w:numId="3">
    <w:abstractNumId w:val="2"/>
  </w:num>
  <w:num w:numId="4">
    <w:abstractNumId w:val="3"/>
  </w:num>
  <w:num w:numId="5">
    <w:abstractNumId w:val="5"/>
  </w:num>
  <w:num w:numId="6">
    <w:abstractNumId w:val="4"/>
  </w:num>
  <w:num w:numId="7">
    <w:abstractNumId w:val="14"/>
  </w:num>
  <w:num w:numId="8">
    <w:abstractNumId w:val="13"/>
  </w:num>
  <w:num w:numId="9">
    <w:abstractNumId w:val="16"/>
  </w:num>
  <w:num w:numId="10">
    <w:abstractNumId w:val="0"/>
  </w:num>
  <w:num w:numId="11">
    <w:abstractNumId w:val="8"/>
  </w:num>
  <w:num w:numId="12">
    <w:abstractNumId w:val="17"/>
    <w:lvlOverride w:ilvl="0">
      <w:startOverride w:val="1"/>
    </w:lvlOverride>
    <w:lvlOverride w:ilvl="1"/>
    <w:lvlOverride w:ilvl="2"/>
    <w:lvlOverride w:ilvl="3"/>
    <w:lvlOverride w:ilvl="4"/>
    <w:lvlOverride w:ilvl="5"/>
    <w:lvlOverride w:ilvl="6"/>
    <w:lvlOverride w:ilvl="7"/>
    <w:lvlOverride w:ilvl="8"/>
  </w:num>
  <w:num w:numId="13">
    <w:abstractNumId w:val="1"/>
  </w:num>
  <w:num w:numId="14">
    <w:abstractNumId w:val="15"/>
  </w:num>
  <w:num w:numId="15">
    <w:abstractNumId w:val="7"/>
  </w:num>
  <w:num w:numId="16">
    <w:abstractNumId w:val="9"/>
  </w:num>
  <w:num w:numId="17">
    <w:abstractNumId w:val="1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AF8"/>
    <w:rsid w:val="000137DD"/>
    <w:rsid w:val="00013B1D"/>
    <w:rsid w:val="00015986"/>
    <w:rsid w:val="000160E6"/>
    <w:rsid w:val="00024526"/>
    <w:rsid w:val="00024C87"/>
    <w:rsid w:val="00024EFA"/>
    <w:rsid w:val="000257E3"/>
    <w:rsid w:val="000309EA"/>
    <w:rsid w:val="00030C17"/>
    <w:rsid w:val="00030F43"/>
    <w:rsid w:val="00040DCF"/>
    <w:rsid w:val="000462C5"/>
    <w:rsid w:val="00052ABF"/>
    <w:rsid w:val="00052C0B"/>
    <w:rsid w:val="000549AB"/>
    <w:rsid w:val="0005667C"/>
    <w:rsid w:val="00060A39"/>
    <w:rsid w:val="00061CF3"/>
    <w:rsid w:val="00063601"/>
    <w:rsid w:val="00072FF9"/>
    <w:rsid w:val="00073079"/>
    <w:rsid w:val="0007593F"/>
    <w:rsid w:val="00090032"/>
    <w:rsid w:val="0009098D"/>
    <w:rsid w:val="00090D4D"/>
    <w:rsid w:val="00091F1B"/>
    <w:rsid w:val="00092612"/>
    <w:rsid w:val="00092BEF"/>
    <w:rsid w:val="00093D93"/>
    <w:rsid w:val="00095573"/>
    <w:rsid w:val="00095EC9"/>
    <w:rsid w:val="00096A37"/>
    <w:rsid w:val="000A0810"/>
    <w:rsid w:val="000A386D"/>
    <w:rsid w:val="000A68CF"/>
    <w:rsid w:val="000B2153"/>
    <w:rsid w:val="000B2546"/>
    <w:rsid w:val="000B2EE9"/>
    <w:rsid w:val="000B4FA9"/>
    <w:rsid w:val="000B61D5"/>
    <w:rsid w:val="000B627F"/>
    <w:rsid w:val="000B6B66"/>
    <w:rsid w:val="000C015F"/>
    <w:rsid w:val="000C4D93"/>
    <w:rsid w:val="000C743B"/>
    <w:rsid w:val="000D0884"/>
    <w:rsid w:val="000D0B3E"/>
    <w:rsid w:val="000D4A89"/>
    <w:rsid w:val="000D636A"/>
    <w:rsid w:val="000D649E"/>
    <w:rsid w:val="000D6BC9"/>
    <w:rsid w:val="000D6D06"/>
    <w:rsid w:val="000E26F3"/>
    <w:rsid w:val="000E5C93"/>
    <w:rsid w:val="000F372A"/>
    <w:rsid w:val="000F42D6"/>
    <w:rsid w:val="000F4A7F"/>
    <w:rsid w:val="000F4D00"/>
    <w:rsid w:val="001041DD"/>
    <w:rsid w:val="00106752"/>
    <w:rsid w:val="00110300"/>
    <w:rsid w:val="001120AB"/>
    <w:rsid w:val="00114848"/>
    <w:rsid w:val="001159AE"/>
    <w:rsid w:val="00120934"/>
    <w:rsid w:val="001220E5"/>
    <w:rsid w:val="00126E8A"/>
    <w:rsid w:val="00132070"/>
    <w:rsid w:val="00141875"/>
    <w:rsid w:val="00142C65"/>
    <w:rsid w:val="0014347E"/>
    <w:rsid w:val="0014349B"/>
    <w:rsid w:val="00154438"/>
    <w:rsid w:val="001551F6"/>
    <w:rsid w:val="0015535B"/>
    <w:rsid w:val="00160466"/>
    <w:rsid w:val="00161664"/>
    <w:rsid w:val="00162036"/>
    <w:rsid w:val="001632DD"/>
    <w:rsid w:val="00172641"/>
    <w:rsid w:val="001749C0"/>
    <w:rsid w:val="00176E60"/>
    <w:rsid w:val="00194913"/>
    <w:rsid w:val="00194D9A"/>
    <w:rsid w:val="001A044F"/>
    <w:rsid w:val="001A07A6"/>
    <w:rsid w:val="001A0A41"/>
    <w:rsid w:val="001A196B"/>
    <w:rsid w:val="001A6D05"/>
    <w:rsid w:val="001B0238"/>
    <w:rsid w:val="001B05A2"/>
    <w:rsid w:val="001B14E6"/>
    <w:rsid w:val="001B38BF"/>
    <w:rsid w:val="001B5F35"/>
    <w:rsid w:val="001B772D"/>
    <w:rsid w:val="001C022E"/>
    <w:rsid w:val="001C4ADA"/>
    <w:rsid w:val="001D1065"/>
    <w:rsid w:val="001D5B5D"/>
    <w:rsid w:val="001D73C1"/>
    <w:rsid w:val="001E3592"/>
    <w:rsid w:val="001E6153"/>
    <w:rsid w:val="001F23B8"/>
    <w:rsid w:val="001F2713"/>
    <w:rsid w:val="001F42EA"/>
    <w:rsid w:val="001F729B"/>
    <w:rsid w:val="00201FF9"/>
    <w:rsid w:val="00204091"/>
    <w:rsid w:val="002041DA"/>
    <w:rsid w:val="00205857"/>
    <w:rsid w:val="0020637B"/>
    <w:rsid w:val="00210DBE"/>
    <w:rsid w:val="002146D5"/>
    <w:rsid w:val="00215C2A"/>
    <w:rsid w:val="002163D5"/>
    <w:rsid w:val="002212FC"/>
    <w:rsid w:val="002239AB"/>
    <w:rsid w:val="002242C3"/>
    <w:rsid w:val="0022526F"/>
    <w:rsid w:val="00234A07"/>
    <w:rsid w:val="00235ADC"/>
    <w:rsid w:val="00236F87"/>
    <w:rsid w:val="00240E1A"/>
    <w:rsid w:val="00244778"/>
    <w:rsid w:val="00244FD1"/>
    <w:rsid w:val="0024658C"/>
    <w:rsid w:val="00246DA4"/>
    <w:rsid w:val="0026172D"/>
    <w:rsid w:val="002619C1"/>
    <w:rsid w:val="00261A07"/>
    <w:rsid w:val="00265702"/>
    <w:rsid w:val="002662B2"/>
    <w:rsid w:val="002717C7"/>
    <w:rsid w:val="002837F9"/>
    <w:rsid w:val="00284403"/>
    <w:rsid w:val="002875E9"/>
    <w:rsid w:val="00287EB3"/>
    <w:rsid w:val="00291131"/>
    <w:rsid w:val="00297749"/>
    <w:rsid w:val="002A0C97"/>
    <w:rsid w:val="002A0CF0"/>
    <w:rsid w:val="002A151C"/>
    <w:rsid w:val="002A33BB"/>
    <w:rsid w:val="002A47BA"/>
    <w:rsid w:val="002A6777"/>
    <w:rsid w:val="002B06BD"/>
    <w:rsid w:val="002B1D5A"/>
    <w:rsid w:val="002C0E48"/>
    <w:rsid w:val="002C2741"/>
    <w:rsid w:val="002C50F7"/>
    <w:rsid w:val="002C6C84"/>
    <w:rsid w:val="002C6F04"/>
    <w:rsid w:val="002D7069"/>
    <w:rsid w:val="002D7363"/>
    <w:rsid w:val="002E2177"/>
    <w:rsid w:val="002E2E41"/>
    <w:rsid w:val="002E32D8"/>
    <w:rsid w:val="002E3713"/>
    <w:rsid w:val="002E78CD"/>
    <w:rsid w:val="002F20A7"/>
    <w:rsid w:val="002F27C6"/>
    <w:rsid w:val="002F2A26"/>
    <w:rsid w:val="003008F4"/>
    <w:rsid w:val="00302133"/>
    <w:rsid w:val="003021E8"/>
    <w:rsid w:val="00302B1D"/>
    <w:rsid w:val="0030384D"/>
    <w:rsid w:val="00305D89"/>
    <w:rsid w:val="003066CB"/>
    <w:rsid w:val="00306810"/>
    <w:rsid w:val="0030688B"/>
    <w:rsid w:val="00307FA5"/>
    <w:rsid w:val="00310A9E"/>
    <w:rsid w:val="00314897"/>
    <w:rsid w:val="00322AA7"/>
    <w:rsid w:val="00324699"/>
    <w:rsid w:val="00324D64"/>
    <w:rsid w:val="003300CF"/>
    <w:rsid w:val="00330FCA"/>
    <w:rsid w:val="00334623"/>
    <w:rsid w:val="00352B52"/>
    <w:rsid w:val="0035760D"/>
    <w:rsid w:val="003628E3"/>
    <w:rsid w:val="003632F9"/>
    <w:rsid w:val="003635C8"/>
    <w:rsid w:val="00363CED"/>
    <w:rsid w:val="00363ECC"/>
    <w:rsid w:val="00364503"/>
    <w:rsid w:val="0037487F"/>
    <w:rsid w:val="0038370B"/>
    <w:rsid w:val="0038673D"/>
    <w:rsid w:val="003869CE"/>
    <w:rsid w:val="00387BB6"/>
    <w:rsid w:val="0039020B"/>
    <w:rsid w:val="00392D2D"/>
    <w:rsid w:val="00395263"/>
    <w:rsid w:val="003952B3"/>
    <w:rsid w:val="003956E0"/>
    <w:rsid w:val="0039609A"/>
    <w:rsid w:val="00397500"/>
    <w:rsid w:val="003A1530"/>
    <w:rsid w:val="003B1CC5"/>
    <w:rsid w:val="003B65CE"/>
    <w:rsid w:val="003C0B98"/>
    <w:rsid w:val="003C1AEC"/>
    <w:rsid w:val="003D4B12"/>
    <w:rsid w:val="003D5D16"/>
    <w:rsid w:val="003D6721"/>
    <w:rsid w:val="003E039E"/>
    <w:rsid w:val="003E7347"/>
    <w:rsid w:val="003F3163"/>
    <w:rsid w:val="003F7F08"/>
    <w:rsid w:val="00402129"/>
    <w:rsid w:val="0040230E"/>
    <w:rsid w:val="00410295"/>
    <w:rsid w:val="004109B1"/>
    <w:rsid w:val="00414007"/>
    <w:rsid w:val="00416249"/>
    <w:rsid w:val="0041662F"/>
    <w:rsid w:val="00422917"/>
    <w:rsid w:val="00424A51"/>
    <w:rsid w:val="004312F7"/>
    <w:rsid w:val="0043592E"/>
    <w:rsid w:val="00440687"/>
    <w:rsid w:val="0044131D"/>
    <w:rsid w:val="00441ADA"/>
    <w:rsid w:val="00443C02"/>
    <w:rsid w:val="0044749F"/>
    <w:rsid w:val="00451386"/>
    <w:rsid w:val="00452FA9"/>
    <w:rsid w:val="00454FC3"/>
    <w:rsid w:val="00457E46"/>
    <w:rsid w:val="00472181"/>
    <w:rsid w:val="0047730F"/>
    <w:rsid w:val="0048363D"/>
    <w:rsid w:val="00484C71"/>
    <w:rsid w:val="004922E4"/>
    <w:rsid w:val="00496953"/>
    <w:rsid w:val="00496AF8"/>
    <w:rsid w:val="00496DDE"/>
    <w:rsid w:val="00497F7C"/>
    <w:rsid w:val="004A1326"/>
    <w:rsid w:val="004A25C8"/>
    <w:rsid w:val="004A2D10"/>
    <w:rsid w:val="004A575D"/>
    <w:rsid w:val="004B65C6"/>
    <w:rsid w:val="004B762B"/>
    <w:rsid w:val="004C0AF5"/>
    <w:rsid w:val="004C123D"/>
    <w:rsid w:val="004C7ECC"/>
    <w:rsid w:val="004D1DC7"/>
    <w:rsid w:val="004D2175"/>
    <w:rsid w:val="004D2B70"/>
    <w:rsid w:val="004D42C8"/>
    <w:rsid w:val="004E0C96"/>
    <w:rsid w:val="004E1C8D"/>
    <w:rsid w:val="004E7215"/>
    <w:rsid w:val="004E78B3"/>
    <w:rsid w:val="004F665A"/>
    <w:rsid w:val="004F7D7E"/>
    <w:rsid w:val="00500B0C"/>
    <w:rsid w:val="005067A9"/>
    <w:rsid w:val="00511D5C"/>
    <w:rsid w:val="00513B2C"/>
    <w:rsid w:val="00513B66"/>
    <w:rsid w:val="00513E0D"/>
    <w:rsid w:val="00514956"/>
    <w:rsid w:val="00521A8B"/>
    <w:rsid w:val="00521BBB"/>
    <w:rsid w:val="00537150"/>
    <w:rsid w:val="00540984"/>
    <w:rsid w:val="00543851"/>
    <w:rsid w:val="00544B7F"/>
    <w:rsid w:val="00547321"/>
    <w:rsid w:val="00553C5E"/>
    <w:rsid w:val="00553E68"/>
    <w:rsid w:val="0055559D"/>
    <w:rsid w:val="005569AE"/>
    <w:rsid w:val="00560E2E"/>
    <w:rsid w:val="00581E63"/>
    <w:rsid w:val="005857F8"/>
    <w:rsid w:val="005953FD"/>
    <w:rsid w:val="00597504"/>
    <w:rsid w:val="005A32B7"/>
    <w:rsid w:val="005B0D18"/>
    <w:rsid w:val="005B12C3"/>
    <w:rsid w:val="005B409D"/>
    <w:rsid w:val="005C3296"/>
    <w:rsid w:val="005D0BF0"/>
    <w:rsid w:val="005D0FDB"/>
    <w:rsid w:val="005D25E9"/>
    <w:rsid w:val="005D50D2"/>
    <w:rsid w:val="005D6D59"/>
    <w:rsid w:val="005E4CBD"/>
    <w:rsid w:val="005E5F31"/>
    <w:rsid w:val="00601CED"/>
    <w:rsid w:val="00602172"/>
    <w:rsid w:val="0061122D"/>
    <w:rsid w:val="00612ADC"/>
    <w:rsid w:val="0061327A"/>
    <w:rsid w:val="00616BB3"/>
    <w:rsid w:val="00617390"/>
    <w:rsid w:val="00623420"/>
    <w:rsid w:val="00631004"/>
    <w:rsid w:val="00632F79"/>
    <w:rsid w:val="0063309F"/>
    <w:rsid w:val="00634768"/>
    <w:rsid w:val="0063596F"/>
    <w:rsid w:val="00643661"/>
    <w:rsid w:val="006437DD"/>
    <w:rsid w:val="00643FCB"/>
    <w:rsid w:val="00654260"/>
    <w:rsid w:val="006544B8"/>
    <w:rsid w:val="00656F9C"/>
    <w:rsid w:val="00661045"/>
    <w:rsid w:val="006709EB"/>
    <w:rsid w:val="00671B6B"/>
    <w:rsid w:val="00672824"/>
    <w:rsid w:val="00676BD4"/>
    <w:rsid w:val="006771C8"/>
    <w:rsid w:val="0068184A"/>
    <w:rsid w:val="00685EAB"/>
    <w:rsid w:val="00691A38"/>
    <w:rsid w:val="006929B7"/>
    <w:rsid w:val="006A0249"/>
    <w:rsid w:val="006A34D0"/>
    <w:rsid w:val="006A4340"/>
    <w:rsid w:val="006A5F39"/>
    <w:rsid w:val="006A6BC4"/>
    <w:rsid w:val="006A7BFC"/>
    <w:rsid w:val="006B0D72"/>
    <w:rsid w:val="006B0E6D"/>
    <w:rsid w:val="006B1FA4"/>
    <w:rsid w:val="006B5C51"/>
    <w:rsid w:val="006C22DF"/>
    <w:rsid w:val="006C5A5B"/>
    <w:rsid w:val="006C6BA5"/>
    <w:rsid w:val="006C7F30"/>
    <w:rsid w:val="006D1934"/>
    <w:rsid w:val="006D25FC"/>
    <w:rsid w:val="006D370F"/>
    <w:rsid w:val="006D3917"/>
    <w:rsid w:val="006D430A"/>
    <w:rsid w:val="006D43FF"/>
    <w:rsid w:val="006D720E"/>
    <w:rsid w:val="006E31E4"/>
    <w:rsid w:val="006E6FDD"/>
    <w:rsid w:val="006F46C3"/>
    <w:rsid w:val="006F4B7F"/>
    <w:rsid w:val="006F70CE"/>
    <w:rsid w:val="006F760B"/>
    <w:rsid w:val="006F7FDB"/>
    <w:rsid w:val="0070066C"/>
    <w:rsid w:val="00700D61"/>
    <w:rsid w:val="00701CC3"/>
    <w:rsid w:val="007131AB"/>
    <w:rsid w:val="00717EBD"/>
    <w:rsid w:val="007208EB"/>
    <w:rsid w:val="00720C7E"/>
    <w:rsid w:val="00724801"/>
    <w:rsid w:val="007266EB"/>
    <w:rsid w:val="007271A8"/>
    <w:rsid w:val="00734949"/>
    <w:rsid w:val="00736AEC"/>
    <w:rsid w:val="00736E0F"/>
    <w:rsid w:val="00740974"/>
    <w:rsid w:val="007434FA"/>
    <w:rsid w:val="007510AE"/>
    <w:rsid w:val="0075223F"/>
    <w:rsid w:val="007573F0"/>
    <w:rsid w:val="0076188B"/>
    <w:rsid w:val="00765156"/>
    <w:rsid w:val="00767669"/>
    <w:rsid w:val="00773485"/>
    <w:rsid w:val="00775537"/>
    <w:rsid w:val="00776E8F"/>
    <w:rsid w:val="00776F6D"/>
    <w:rsid w:val="00780E3E"/>
    <w:rsid w:val="007862A5"/>
    <w:rsid w:val="00794562"/>
    <w:rsid w:val="00794CCE"/>
    <w:rsid w:val="007A0500"/>
    <w:rsid w:val="007A1671"/>
    <w:rsid w:val="007A7EC5"/>
    <w:rsid w:val="007B74F5"/>
    <w:rsid w:val="007C0297"/>
    <w:rsid w:val="007C1887"/>
    <w:rsid w:val="007C198C"/>
    <w:rsid w:val="007C4B4F"/>
    <w:rsid w:val="007D112C"/>
    <w:rsid w:val="007D2293"/>
    <w:rsid w:val="007D4775"/>
    <w:rsid w:val="007D5DC6"/>
    <w:rsid w:val="007D6311"/>
    <w:rsid w:val="007E10EB"/>
    <w:rsid w:val="007E37A5"/>
    <w:rsid w:val="007E4F14"/>
    <w:rsid w:val="007E7F5B"/>
    <w:rsid w:val="007F28C7"/>
    <w:rsid w:val="007F49D8"/>
    <w:rsid w:val="00802038"/>
    <w:rsid w:val="00805940"/>
    <w:rsid w:val="00813702"/>
    <w:rsid w:val="008140C9"/>
    <w:rsid w:val="00814B90"/>
    <w:rsid w:val="0081599C"/>
    <w:rsid w:val="00820B4B"/>
    <w:rsid w:val="00825860"/>
    <w:rsid w:val="00825F28"/>
    <w:rsid w:val="008321CE"/>
    <w:rsid w:val="0083456A"/>
    <w:rsid w:val="00837121"/>
    <w:rsid w:val="00841BBF"/>
    <w:rsid w:val="008471E5"/>
    <w:rsid w:val="00850C35"/>
    <w:rsid w:val="00850E14"/>
    <w:rsid w:val="00851466"/>
    <w:rsid w:val="0085510C"/>
    <w:rsid w:val="00860DBE"/>
    <w:rsid w:val="00862BC0"/>
    <w:rsid w:val="00863E43"/>
    <w:rsid w:val="008647C3"/>
    <w:rsid w:val="008659ED"/>
    <w:rsid w:val="00867B65"/>
    <w:rsid w:val="008708DC"/>
    <w:rsid w:val="00870987"/>
    <w:rsid w:val="00872459"/>
    <w:rsid w:val="00873274"/>
    <w:rsid w:val="0087564A"/>
    <w:rsid w:val="008776BF"/>
    <w:rsid w:val="00877C2B"/>
    <w:rsid w:val="00880598"/>
    <w:rsid w:val="00881160"/>
    <w:rsid w:val="00881CEA"/>
    <w:rsid w:val="0088371C"/>
    <w:rsid w:val="00891E9D"/>
    <w:rsid w:val="00895EC8"/>
    <w:rsid w:val="00897348"/>
    <w:rsid w:val="008A0277"/>
    <w:rsid w:val="008A45F3"/>
    <w:rsid w:val="008B51D9"/>
    <w:rsid w:val="008B5281"/>
    <w:rsid w:val="008B652E"/>
    <w:rsid w:val="008C4844"/>
    <w:rsid w:val="008C4CCC"/>
    <w:rsid w:val="008D05B7"/>
    <w:rsid w:val="008D231D"/>
    <w:rsid w:val="008D5561"/>
    <w:rsid w:val="008D61AE"/>
    <w:rsid w:val="008E2784"/>
    <w:rsid w:val="008E6495"/>
    <w:rsid w:val="008E7835"/>
    <w:rsid w:val="008F1DC6"/>
    <w:rsid w:val="008F5010"/>
    <w:rsid w:val="008F6F51"/>
    <w:rsid w:val="0090557B"/>
    <w:rsid w:val="00905C5B"/>
    <w:rsid w:val="00907E37"/>
    <w:rsid w:val="00916370"/>
    <w:rsid w:val="00923295"/>
    <w:rsid w:val="00925389"/>
    <w:rsid w:val="00925F11"/>
    <w:rsid w:val="00930261"/>
    <w:rsid w:val="009304C5"/>
    <w:rsid w:val="00933A6C"/>
    <w:rsid w:val="00935265"/>
    <w:rsid w:val="00935612"/>
    <w:rsid w:val="00936092"/>
    <w:rsid w:val="00940DB3"/>
    <w:rsid w:val="00945ECF"/>
    <w:rsid w:val="0094689F"/>
    <w:rsid w:val="009477D6"/>
    <w:rsid w:val="009522E7"/>
    <w:rsid w:val="00953ED3"/>
    <w:rsid w:val="00955ACD"/>
    <w:rsid w:val="0096068A"/>
    <w:rsid w:val="00965FF6"/>
    <w:rsid w:val="00971241"/>
    <w:rsid w:val="00981494"/>
    <w:rsid w:val="00983B1A"/>
    <w:rsid w:val="009846D6"/>
    <w:rsid w:val="0098657F"/>
    <w:rsid w:val="00987436"/>
    <w:rsid w:val="009876E0"/>
    <w:rsid w:val="00995D24"/>
    <w:rsid w:val="009A3236"/>
    <w:rsid w:val="009A6086"/>
    <w:rsid w:val="009B1D0E"/>
    <w:rsid w:val="009B5A93"/>
    <w:rsid w:val="009B5BEA"/>
    <w:rsid w:val="009C291F"/>
    <w:rsid w:val="009C3DC4"/>
    <w:rsid w:val="009D127C"/>
    <w:rsid w:val="009D335F"/>
    <w:rsid w:val="009D4BA0"/>
    <w:rsid w:val="009D4CDE"/>
    <w:rsid w:val="009D6437"/>
    <w:rsid w:val="009E101D"/>
    <w:rsid w:val="009E37BD"/>
    <w:rsid w:val="009E4465"/>
    <w:rsid w:val="009E59CB"/>
    <w:rsid w:val="009E651E"/>
    <w:rsid w:val="009E6B86"/>
    <w:rsid w:val="009E737F"/>
    <w:rsid w:val="009F402C"/>
    <w:rsid w:val="00A03301"/>
    <w:rsid w:val="00A051F8"/>
    <w:rsid w:val="00A06315"/>
    <w:rsid w:val="00A12762"/>
    <w:rsid w:val="00A13867"/>
    <w:rsid w:val="00A22A71"/>
    <w:rsid w:val="00A24ECB"/>
    <w:rsid w:val="00A25A68"/>
    <w:rsid w:val="00A26FED"/>
    <w:rsid w:val="00A421D4"/>
    <w:rsid w:val="00A44FF0"/>
    <w:rsid w:val="00A461BA"/>
    <w:rsid w:val="00A47271"/>
    <w:rsid w:val="00A50E55"/>
    <w:rsid w:val="00A5526A"/>
    <w:rsid w:val="00A55865"/>
    <w:rsid w:val="00A605C0"/>
    <w:rsid w:val="00A64FAD"/>
    <w:rsid w:val="00A66DB3"/>
    <w:rsid w:val="00A67EB1"/>
    <w:rsid w:val="00A724A7"/>
    <w:rsid w:val="00A80CB2"/>
    <w:rsid w:val="00A8388C"/>
    <w:rsid w:val="00A9011D"/>
    <w:rsid w:val="00A91A47"/>
    <w:rsid w:val="00A9220E"/>
    <w:rsid w:val="00A95D2B"/>
    <w:rsid w:val="00A96F7B"/>
    <w:rsid w:val="00A97E26"/>
    <w:rsid w:val="00AA0E6C"/>
    <w:rsid w:val="00AA113E"/>
    <w:rsid w:val="00AA5587"/>
    <w:rsid w:val="00AA7235"/>
    <w:rsid w:val="00AB432B"/>
    <w:rsid w:val="00AB4ECE"/>
    <w:rsid w:val="00AB767D"/>
    <w:rsid w:val="00AB7D69"/>
    <w:rsid w:val="00AC1D2F"/>
    <w:rsid w:val="00AC1E53"/>
    <w:rsid w:val="00AC30C0"/>
    <w:rsid w:val="00AD79C8"/>
    <w:rsid w:val="00AE10F0"/>
    <w:rsid w:val="00AE27ED"/>
    <w:rsid w:val="00AE6A4A"/>
    <w:rsid w:val="00AE6CE0"/>
    <w:rsid w:val="00AF78B3"/>
    <w:rsid w:val="00B04384"/>
    <w:rsid w:val="00B058A6"/>
    <w:rsid w:val="00B07D5E"/>
    <w:rsid w:val="00B117D0"/>
    <w:rsid w:val="00B13998"/>
    <w:rsid w:val="00B15974"/>
    <w:rsid w:val="00B15CCC"/>
    <w:rsid w:val="00B164F5"/>
    <w:rsid w:val="00B30C7A"/>
    <w:rsid w:val="00B31436"/>
    <w:rsid w:val="00B35C5F"/>
    <w:rsid w:val="00B439DD"/>
    <w:rsid w:val="00B44CD2"/>
    <w:rsid w:val="00B52E0F"/>
    <w:rsid w:val="00B53593"/>
    <w:rsid w:val="00B551A8"/>
    <w:rsid w:val="00B55C4C"/>
    <w:rsid w:val="00B6571C"/>
    <w:rsid w:val="00B67092"/>
    <w:rsid w:val="00B74629"/>
    <w:rsid w:val="00B74CF6"/>
    <w:rsid w:val="00B76BAC"/>
    <w:rsid w:val="00B833C9"/>
    <w:rsid w:val="00B84555"/>
    <w:rsid w:val="00B9183B"/>
    <w:rsid w:val="00B91F58"/>
    <w:rsid w:val="00B9394D"/>
    <w:rsid w:val="00BA16ED"/>
    <w:rsid w:val="00BA1780"/>
    <w:rsid w:val="00BA3F14"/>
    <w:rsid w:val="00BA579E"/>
    <w:rsid w:val="00BB1102"/>
    <w:rsid w:val="00BB3D75"/>
    <w:rsid w:val="00BB5210"/>
    <w:rsid w:val="00BB5C50"/>
    <w:rsid w:val="00BC31A9"/>
    <w:rsid w:val="00BC31C3"/>
    <w:rsid w:val="00BC38AC"/>
    <w:rsid w:val="00BD75DA"/>
    <w:rsid w:val="00BE2295"/>
    <w:rsid w:val="00BE4F2B"/>
    <w:rsid w:val="00BE518E"/>
    <w:rsid w:val="00BE6373"/>
    <w:rsid w:val="00BF533A"/>
    <w:rsid w:val="00BF6226"/>
    <w:rsid w:val="00C00177"/>
    <w:rsid w:val="00C009E7"/>
    <w:rsid w:val="00C0146C"/>
    <w:rsid w:val="00C0320F"/>
    <w:rsid w:val="00C03FAA"/>
    <w:rsid w:val="00C0451B"/>
    <w:rsid w:val="00C1533E"/>
    <w:rsid w:val="00C215B6"/>
    <w:rsid w:val="00C23BD6"/>
    <w:rsid w:val="00C25C04"/>
    <w:rsid w:val="00C33851"/>
    <w:rsid w:val="00C41794"/>
    <w:rsid w:val="00C4525B"/>
    <w:rsid w:val="00C46677"/>
    <w:rsid w:val="00C5180E"/>
    <w:rsid w:val="00C52101"/>
    <w:rsid w:val="00C53025"/>
    <w:rsid w:val="00C54E40"/>
    <w:rsid w:val="00C55F56"/>
    <w:rsid w:val="00C57BA4"/>
    <w:rsid w:val="00C60012"/>
    <w:rsid w:val="00C60364"/>
    <w:rsid w:val="00C613EB"/>
    <w:rsid w:val="00C615F4"/>
    <w:rsid w:val="00C61807"/>
    <w:rsid w:val="00C635CA"/>
    <w:rsid w:val="00C7122F"/>
    <w:rsid w:val="00C71956"/>
    <w:rsid w:val="00C71C1A"/>
    <w:rsid w:val="00C74B8C"/>
    <w:rsid w:val="00C805C8"/>
    <w:rsid w:val="00C824C7"/>
    <w:rsid w:val="00C84623"/>
    <w:rsid w:val="00C85E43"/>
    <w:rsid w:val="00C94136"/>
    <w:rsid w:val="00C973B3"/>
    <w:rsid w:val="00C973FE"/>
    <w:rsid w:val="00CA3FED"/>
    <w:rsid w:val="00CB06C9"/>
    <w:rsid w:val="00CB1E41"/>
    <w:rsid w:val="00CB271C"/>
    <w:rsid w:val="00CC0F87"/>
    <w:rsid w:val="00CC1272"/>
    <w:rsid w:val="00CC342E"/>
    <w:rsid w:val="00CC44F4"/>
    <w:rsid w:val="00CC663C"/>
    <w:rsid w:val="00CD0CB7"/>
    <w:rsid w:val="00CD447A"/>
    <w:rsid w:val="00CD754E"/>
    <w:rsid w:val="00CE185B"/>
    <w:rsid w:val="00CE20CB"/>
    <w:rsid w:val="00CE4F96"/>
    <w:rsid w:val="00CE57A3"/>
    <w:rsid w:val="00CE5CEB"/>
    <w:rsid w:val="00CE6F7F"/>
    <w:rsid w:val="00CF0AB1"/>
    <w:rsid w:val="00CF0E6E"/>
    <w:rsid w:val="00CF4B9B"/>
    <w:rsid w:val="00CF55E6"/>
    <w:rsid w:val="00CF772F"/>
    <w:rsid w:val="00CF7C7A"/>
    <w:rsid w:val="00D03453"/>
    <w:rsid w:val="00D048DB"/>
    <w:rsid w:val="00D04978"/>
    <w:rsid w:val="00D14D3C"/>
    <w:rsid w:val="00D14F0B"/>
    <w:rsid w:val="00D17528"/>
    <w:rsid w:val="00D178CA"/>
    <w:rsid w:val="00D2095F"/>
    <w:rsid w:val="00D3311C"/>
    <w:rsid w:val="00D41500"/>
    <w:rsid w:val="00D426E1"/>
    <w:rsid w:val="00D44D67"/>
    <w:rsid w:val="00D452F6"/>
    <w:rsid w:val="00D53405"/>
    <w:rsid w:val="00D5457B"/>
    <w:rsid w:val="00D56E84"/>
    <w:rsid w:val="00D61096"/>
    <w:rsid w:val="00D72995"/>
    <w:rsid w:val="00D73685"/>
    <w:rsid w:val="00D93EFE"/>
    <w:rsid w:val="00D979F2"/>
    <w:rsid w:val="00DA6A95"/>
    <w:rsid w:val="00DA7E81"/>
    <w:rsid w:val="00DA7FA2"/>
    <w:rsid w:val="00DB0C9C"/>
    <w:rsid w:val="00DB45E3"/>
    <w:rsid w:val="00DC2D8D"/>
    <w:rsid w:val="00DC6310"/>
    <w:rsid w:val="00DC6D30"/>
    <w:rsid w:val="00DC7F67"/>
    <w:rsid w:val="00DC7F88"/>
    <w:rsid w:val="00DD7C9F"/>
    <w:rsid w:val="00DE1F5D"/>
    <w:rsid w:val="00DE50D8"/>
    <w:rsid w:val="00DE6CB7"/>
    <w:rsid w:val="00DF0811"/>
    <w:rsid w:val="00DF278A"/>
    <w:rsid w:val="00DF356A"/>
    <w:rsid w:val="00DF5683"/>
    <w:rsid w:val="00E02F34"/>
    <w:rsid w:val="00E06547"/>
    <w:rsid w:val="00E06B74"/>
    <w:rsid w:val="00E07659"/>
    <w:rsid w:val="00E1664B"/>
    <w:rsid w:val="00E208A4"/>
    <w:rsid w:val="00E252D0"/>
    <w:rsid w:val="00E2680D"/>
    <w:rsid w:val="00E30D12"/>
    <w:rsid w:val="00E31D77"/>
    <w:rsid w:val="00E3394E"/>
    <w:rsid w:val="00E35241"/>
    <w:rsid w:val="00E3688B"/>
    <w:rsid w:val="00E41417"/>
    <w:rsid w:val="00E42FAA"/>
    <w:rsid w:val="00E536D3"/>
    <w:rsid w:val="00E57BE2"/>
    <w:rsid w:val="00E62A95"/>
    <w:rsid w:val="00E632B0"/>
    <w:rsid w:val="00E65362"/>
    <w:rsid w:val="00E6574D"/>
    <w:rsid w:val="00E66F4D"/>
    <w:rsid w:val="00E746A2"/>
    <w:rsid w:val="00E74D59"/>
    <w:rsid w:val="00E818E0"/>
    <w:rsid w:val="00E866C9"/>
    <w:rsid w:val="00E903C4"/>
    <w:rsid w:val="00E90D06"/>
    <w:rsid w:val="00E96C84"/>
    <w:rsid w:val="00E978CB"/>
    <w:rsid w:val="00E97E59"/>
    <w:rsid w:val="00EA79C9"/>
    <w:rsid w:val="00EB66AC"/>
    <w:rsid w:val="00EB73DE"/>
    <w:rsid w:val="00EC1225"/>
    <w:rsid w:val="00EC2247"/>
    <w:rsid w:val="00ED1D0E"/>
    <w:rsid w:val="00ED45CD"/>
    <w:rsid w:val="00ED59E7"/>
    <w:rsid w:val="00EE1F87"/>
    <w:rsid w:val="00EE3931"/>
    <w:rsid w:val="00EE5AF6"/>
    <w:rsid w:val="00EF2CEF"/>
    <w:rsid w:val="00EF4FC8"/>
    <w:rsid w:val="00F01A9F"/>
    <w:rsid w:val="00F028D8"/>
    <w:rsid w:val="00F03ADA"/>
    <w:rsid w:val="00F05ACB"/>
    <w:rsid w:val="00F07CCD"/>
    <w:rsid w:val="00F1092D"/>
    <w:rsid w:val="00F13E4A"/>
    <w:rsid w:val="00F21CC8"/>
    <w:rsid w:val="00F32D41"/>
    <w:rsid w:val="00F40325"/>
    <w:rsid w:val="00F42C20"/>
    <w:rsid w:val="00F431D8"/>
    <w:rsid w:val="00F50E55"/>
    <w:rsid w:val="00F52C60"/>
    <w:rsid w:val="00F6203F"/>
    <w:rsid w:val="00F63E8D"/>
    <w:rsid w:val="00F64B05"/>
    <w:rsid w:val="00F65417"/>
    <w:rsid w:val="00F67706"/>
    <w:rsid w:val="00F74805"/>
    <w:rsid w:val="00F81FE3"/>
    <w:rsid w:val="00F86BA8"/>
    <w:rsid w:val="00F90F82"/>
    <w:rsid w:val="00F92D75"/>
    <w:rsid w:val="00F92E1F"/>
    <w:rsid w:val="00F97148"/>
    <w:rsid w:val="00F97327"/>
    <w:rsid w:val="00FA296F"/>
    <w:rsid w:val="00FA2DDE"/>
    <w:rsid w:val="00FA5D1E"/>
    <w:rsid w:val="00FA7323"/>
    <w:rsid w:val="00FB1299"/>
    <w:rsid w:val="00FB5C2A"/>
    <w:rsid w:val="00FB6C8F"/>
    <w:rsid w:val="00FB71D9"/>
    <w:rsid w:val="00FC0129"/>
    <w:rsid w:val="00FC32D3"/>
    <w:rsid w:val="00FC3357"/>
    <w:rsid w:val="00FD075C"/>
    <w:rsid w:val="00FD3B3E"/>
    <w:rsid w:val="00FD4330"/>
    <w:rsid w:val="00FD4D82"/>
    <w:rsid w:val="00FD628B"/>
    <w:rsid w:val="00FE57AE"/>
    <w:rsid w:val="00FE6314"/>
    <w:rsid w:val="00FE6781"/>
    <w:rsid w:val="00FF1766"/>
    <w:rsid w:val="00FF2858"/>
    <w:rsid w:val="24741E31"/>
    <w:rsid w:val="4F3183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5B8DA2C"/>
  <w15:docId w15:val="{6ADE2CA3-07E1-4F1F-9A54-EA97C824FC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locked/>
    <w:rsid w:val="00B35C5F"/>
    <w:rPr>
      <w:rFonts w:eastAsiaTheme="minorEastAsia"/>
    </w:rPr>
  </w:style>
  <w:style w:type="paragraph" w:styleId="BodyText">
    <w:name w:val="Body Text"/>
    <w:basedOn w:val="Normal"/>
    <w:link w:val="BodyTextChar"/>
    <w:uiPriority w:val="1"/>
    <w:unhideWhenUsed/>
    <w:qFormat/>
    <w:rsid w:val="001A0A41"/>
    <w:pPr>
      <w:widowControl w:val="0"/>
      <w:autoSpaceDE w:val="0"/>
      <w:autoSpaceDN w:val="0"/>
      <w:spacing w:before="43"/>
      <w:ind w:left="0" w:firstLine="0"/>
    </w:pPr>
    <w:rPr>
      <w:rFonts w:ascii="Calibri" w:eastAsia="Calibri" w:hAnsi="Calibri" w:cs="Calibri"/>
      <w:sz w:val="20"/>
      <w:szCs w:val="20"/>
      <w:lang w:bidi="en-US"/>
    </w:rPr>
  </w:style>
  <w:style w:type="character" w:customStyle="1" w:styleId="BodyTextChar">
    <w:name w:val="Body Text Char"/>
    <w:basedOn w:val="DefaultParagraphFont"/>
    <w:link w:val="BodyText"/>
    <w:uiPriority w:val="1"/>
    <w:rsid w:val="001A0A41"/>
    <w:rPr>
      <w:rFonts w:ascii="Calibri" w:eastAsia="Calibri" w:hAnsi="Calibri" w:cs="Calibri"/>
      <w:sz w:val="20"/>
      <w:szCs w:val="20"/>
      <w:lang w:bidi="en-US"/>
    </w:rPr>
  </w:style>
  <w:style w:type="character" w:styleId="UnresolvedMention">
    <w:name w:val="Unresolved Mention"/>
    <w:basedOn w:val="DefaultParagraphFont"/>
    <w:uiPriority w:val="99"/>
    <w:semiHidden/>
    <w:unhideWhenUsed/>
    <w:rsid w:val="000D6BC9"/>
    <w:rPr>
      <w:color w:val="605E5C"/>
      <w:shd w:val="clear" w:color="auto" w:fill="E1DFDD"/>
    </w:rPr>
  </w:style>
  <w:style w:type="paragraph" w:customStyle="1" w:styleId="paragraph">
    <w:name w:val="paragraph"/>
    <w:basedOn w:val="Normal"/>
    <w:rsid w:val="002E32D8"/>
    <w:pPr>
      <w:spacing w:before="100" w:beforeAutospacing="1" w:after="100" w:afterAutospacing="1"/>
      <w:ind w:left="0" w:firstLine="0"/>
    </w:pPr>
    <w:rPr>
      <w:rFonts w:ascii="Times New Roman" w:eastAsia="Times New Roman" w:hAnsi="Times New Roman" w:cs="Times New Roman"/>
      <w:sz w:val="24"/>
      <w:szCs w:val="24"/>
    </w:rPr>
  </w:style>
  <w:style w:type="character" w:customStyle="1" w:styleId="normaltextrun">
    <w:name w:val="normaltextrun"/>
    <w:basedOn w:val="DefaultParagraphFont"/>
    <w:rsid w:val="002E32D8"/>
  </w:style>
  <w:style w:type="character" w:customStyle="1" w:styleId="eop">
    <w:name w:val="eop"/>
    <w:basedOn w:val="DefaultParagraphFont"/>
    <w:rsid w:val="002E32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0078100">
      <w:bodyDiv w:val="1"/>
      <w:marLeft w:val="0"/>
      <w:marRight w:val="0"/>
      <w:marTop w:val="0"/>
      <w:marBottom w:val="0"/>
      <w:divBdr>
        <w:top w:val="none" w:sz="0" w:space="0" w:color="auto"/>
        <w:left w:val="none" w:sz="0" w:space="0" w:color="auto"/>
        <w:bottom w:val="none" w:sz="0" w:space="0" w:color="auto"/>
        <w:right w:val="none" w:sz="0" w:space="0" w:color="auto"/>
      </w:divBdr>
      <w:divsChild>
        <w:div w:id="1119567476">
          <w:marLeft w:val="0"/>
          <w:marRight w:val="0"/>
          <w:marTop w:val="0"/>
          <w:marBottom w:val="0"/>
          <w:divBdr>
            <w:top w:val="none" w:sz="0" w:space="0" w:color="auto"/>
            <w:left w:val="none" w:sz="0" w:space="0" w:color="auto"/>
            <w:bottom w:val="none" w:sz="0" w:space="0" w:color="auto"/>
            <w:right w:val="none" w:sz="0" w:space="0" w:color="auto"/>
          </w:divBdr>
        </w:div>
        <w:div w:id="1973830085">
          <w:marLeft w:val="0"/>
          <w:marRight w:val="0"/>
          <w:marTop w:val="0"/>
          <w:marBottom w:val="0"/>
          <w:divBdr>
            <w:top w:val="none" w:sz="0" w:space="0" w:color="auto"/>
            <w:left w:val="none" w:sz="0" w:space="0" w:color="auto"/>
            <w:bottom w:val="none" w:sz="0" w:space="0" w:color="auto"/>
            <w:right w:val="none" w:sz="0" w:space="0" w:color="auto"/>
          </w:divBdr>
        </w:div>
        <w:div w:id="1204706207">
          <w:marLeft w:val="0"/>
          <w:marRight w:val="0"/>
          <w:marTop w:val="0"/>
          <w:marBottom w:val="0"/>
          <w:divBdr>
            <w:top w:val="none" w:sz="0" w:space="0" w:color="auto"/>
            <w:left w:val="none" w:sz="0" w:space="0" w:color="auto"/>
            <w:bottom w:val="none" w:sz="0" w:space="0" w:color="auto"/>
            <w:right w:val="none" w:sz="0" w:space="0" w:color="auto"/>
          </w:divBdr>
        </w:div>
      </w:divsChild>
    </w:div>
    <w:div w:id="859776841">
      <w:bodyDiv w:val="1"/>
      <w:marLeft w:val="0"/>
      <w:marRight w:val="0"/>
      <w:marTop w:val="0"/>
      <w:marBottom w:val="0"/>
      <w:divBdr>
        <w:top w:val="none" w:sz="0" w:space="0" w:color="auto"/>
        <w:left w:val="none" w:sz="0" w:space="0" w:color="auto"/>
        <w:bottom w:val="none" w:sz="0" w:space="0" w:color="auto"/>
        <w:right w:val="none" w:sz="0" w:space="0" w:color="auto"/>
      </w:divBdr>
      <w:divsChild>
        <w:div w:id="900944553">
          <w:marLeft w:val="0"/>
          <w:marRight w:val="0"/>
          <w:marTop w:val="0"/>
          <w:marBottom w:val="0"/>
          <w:divBdr>
            <w:top w:val="none" w:sz="0" w:space="0" w:color="auto"/>
            <w:left w:val="none" w:sz="0" w:space="0" w:color="auto"/>
            <w:bottom w:val="none" w:sz="0" w:space="0" w:color="auto"/>
            <w:right w:val="none" w:sz="0" w:space="0" w:color="auto"/>
          </w:divBdr>
        </w:div>
        <w:div w:id="1111625543">
          <w:marLeft w:val="0"/>
          <w:marRight w:val="0"/>
          <w:marTop w:val="0"/>
          <w:marBottom w:val="0"/>
          <w:divBdr>
            <w:top w:val="none" w:sz="0" w:space="0" w:color="auto"/>
            <w:left w:val="none" w:sz="0" w:space="0" w:color="auto"/>
            <w:bottom w:val="none" w:sz="0" w:space="0" w:color="auto"/>
            <w:right w:val="none" w:sz="0" w:space="0" w:color="auto"/>
          </w:divBdr>
        </w:div>
      </w:divsChild>
    </w:div>
    <w:div w:id="953750434">
      <w:bodyDiv w:val="1"/>
      <w:marLeft w:val="0"/>
      <w:marRight w:val="0"/>
      <w:marTop w:val="0"/>
      <w:marBottom w:val="0"/>
      <w:divBdr>
        <w:top w:val="none" w:sz="0" w:space="0" w:color="auto"/>
        <w:left w:val="none" w:sz="0" w:space="0" w:color="auto"/>
        <w:bottom w:val="none" w:sz="0" w:space="0" w:color="auto"/>
        <w:right w:val="none" w:sz="0" w:space="0" w:color="auto"/>
      </w:divBdr>
    </w:div>
    <w:div w:id="980812867">
      <w:bodyDiv w:val="1"/>
      <w:marLeft w:val="0"/>
      <w:marRight w:val="0"/>
      <w:marTop w:val="0"/>
      <w:marBottom w:val="0"/>
      <w:divBdr>
        <w:top w:val="none" w:sz="0" w:space="0" w:color="auto"/>
        <w:left w:val="none" w:sz="0" w:space="0" w:color="auto"/>
        <w:bottom w:val="none" w:sz="0" w:space="0" w:color="auto"/>
        <w:right w:val="none" w:sz="0" w:space="0" w:color="auto"/>
      </w:divBdr>
    </w:div>
    <w:div w:id="1358920972">
      <w:bodyDiv w:val="1"/>
      <w:marLeft w:val="0"/>
      <w:marRight w:val="0"/>
      <w:marTop w:val="0"/>
      <w:marBottom w:val="0"/>
      <w:divBdr>
        <w:top w:val="none" w:sz="0" w:space="0" w:color="auto"/>
        <w:left w:val="none" w:sz="0" w:space="0" w:color="auto"/>
        <w:bottom w:val="none" w:sz="0" w:space="0" w:color="auto"/>
        <w:right w:val="none" w:sz="0" w:space="0" w:color="auto"/>
      </w:divBdr>
      <w:divsChild>
        <w:div w:id="1783301183">
          <w:marLeft w:val="0"/>
          <w:marRight w:val="0"/>
          <w:marTop w:val="0"/>
          <w:marBottom w:val="0"/>
          <w:divBdr>
            <w:top w:val="none" w:sz="0" w:space="0" w:color="auto"/>
            <w:left w:val="none" w:sz="0" w:space="0" w:color="auto"/>
            <w:bottom w:val="none" w:sz="0" w:space="0" w:color="auto"/>
            <w:right w:val="none" w:sz="0" w:space="0" w:color="auto"/>
          </w:divBdr>
        </w:div>
        <w:div w:id="1674919230">
          <w:marLeft w:val="0"/>
          <w:marRight w:val="0"/>
          <w:marTop w:val="0"/>
          <w:marBottom w:val="0"/>
          <w:divBdr>
            <w:top w:val="none" w:sz="0" w:space="0" w:color="auto"/>
            <w:left w:val="none" w:sz="0" w:space="0" w:color="auto"/>
            <w:bottom w:val="none" w:sz="0" w:space="0" w:color="auto"/>
            <w:right w:val="none" w:sz="0" w:space="0" w:color="auto"/>
          </w:divBdr>
        </w:div>
        <w:div w:id="343092631">
          <w:marLeft w:val="0"/>
          <w:marRight w:val="0"/>
          <w:marTop w:val="0"/>
          <w:marBottom w:val="0"/>
          <w:divBdr>
            <w:top w:val="none" w:sz="0" w:space="0" w:color="auto"/>
            <w:left w:val="none" w:sz="0" w:space="0" w:color="auto"/>
            <w:bottom w:val="none" w:sz="0" w:space="0" w:color="auto"/>
            <w:right w:val="none" w:sz="0" w:space="0" w:color="auto"/>
          </w:divBdr>
        </w:div>
        <w:div w:id="26950896">
          <w:marLeft w:val="0"/>
          <w:marRight w:val="0"/>
          <w:marTop w:val="0"/>
          <w:marBottom w:val="0"/>
          <w:divBdr>
            <w:top w:val="none" w:sz="0" w:space="0" w:color="auto"/>
            <w:left w:val="none" w:sz="0" w:space="0" w:color="auto"/>
            <w:bottom w:val="none" w:sz="0" w:space="0" w:color="auto"/>
            <w:right w:val="none" w:sz="0" w:space="0" w:color="auto"/>
          </w:divBdr>
        </w:div>
      </w:divsChild>
    </w:div>
    <w:div w:id="1654485585">
      <w:bodyDiv w:val="1"/>
      <w:marLeft w:val="0"/>
      <w:marRight w:val="0"/>
      <w:marTop w:val="0"/>
      <w:marBottom w:val="0"/>
      <w:divBdr>
        <w:top w:val="none" w:sz="0" w:space="0" w:color="auto"/>
        <w:left w:val="none" w:sz="0" w:space="0" w:color="auto"/>
        <w:bottom w:val="none" w:sz="0" w:space="0" w:color="auto"/>
        <w:right w:val="none" w:sz="0" w:space="0" w:color="auto"/>
      </w:divBdr>
      <w:divsChild>
        <w:div w:id="1214467901">
          <w:marLeft w:val="0"/>
          <w:marRight w:val="0"/>
          <w:marTop w:val="0"/>
          <w:marBottom w:val="0"/>
          <w:divBdr>
            <w:top w:val="none" w:sz="0" w:space="0" w:color="auto"/>
            <w:left w:val="none" w:sz="0" w:space="0" w:color="auto"/>
            <w:bottom w:val="none" w:sz="0" w:space="0" w:color="auto"/>
            <w:right w:val="none" w:sz="0" w:space="0" w:color="auto"/>
          </w:divBdr>
        </w:div>
        <w:div w:id="1920826438">
          <w:marLeft w:val="0"/>
          <w:marRight w:val="0"/>
          <w:marTop w:val="0"/>
          <w:marBottom w:val="0"/>
          <w:divBdr>
            <w:top w:val="none" w:sz="0" w:space="0" w:color="auto"/>
            <w:left w:val="none" w:sz="0" w:space="0" w:color="auto"/>
            <w:bottom w:val="none" w:sz="0" w:space="0" w:color="auto"/>
            <w:right w:val="none" w:sz="0" w:space="0" w:color="auto"/>
          </w:divBdr>
        </w:div>
        <w:div w:id="934552793">
          <w:marLeft w:val="0"/>
          <w:marRight w:val="0"/>
          <w:marTop w:val="0"/>
          <w:marBottom w:val="0"/>
          <w:divBdr>
            <w:top w:val="none" w:sz="0" w:space="0" w:color="auto"/>
            <w:left w:val="none" w:sz="0" w:space="0" w:color="auto"/>
            <w:bottom w:val="none" w:sz="0" w:space="0" w:color="auto"/>
            <w:right w:val="none" w:sz="0" w:space="0" w:color="auto"/>
          </w:divBdr>
        </w:div>
        <w:div w:id="726996316">
          <w:marLeft w:val="0"/>
          <w:marRight w:val="0"/>
          <w:marTop w:val="0"/>
          <w:marBottom w:val="0"/>
          <w:divBdr>
            <w:top w:val="none" w:sz="0" w:space="0" w:color="auto"/>
            <w:left w:val="none" w:sz="0" w:space="0" w:color="auto"/>
            <w:bottom w:val="none" w:sz="0" w:space="0" w:color="auto"/>
            <w:right w:val="none" w:sz="0" w:space="0" w:color="auto"/>
          </w:divBdr>
        </w:div>
        <w:div w:id="1803304996">
          <w:marLeft w:val="0"/>
          <w:marRight w:val="0"/>
          <w:marTop w:val="0"/>
          <w:marBottom w:val="0"/>
          <w:divBdr>
            <w:top w:val="none" w:sz="0" w:space="0" w:color="auto"/>
            <w:left w:val="none" w:sz="0" w:space="0" w:color="auto"/>
            <w:bottom w:val="none" w:sz="0" w:space="0" w:color="auto"/>
            <w:right w:val="none" w:sz="0" w:space="0" w:color="auto"/>
          </w:divBdr>
        </w:div>
        <w:div w:id="1126199739">
          <w:marLeft w:val="0"/>
          <w:marRight w:val="0"/>
          <w:marTop w:val="0"/>
          <w:marBottom w:val="0"/>
          <w:divBdr>
            <w:top w:val="none" w:sz="0" w:space="0" w:color="auto"/>
            <w:left w:val="none" w:sz="0" w:space="0" w:color="auto"/>
            <w:bottom w:val="none" w:sz="0" w:space="0" w:color="auto"/>
            <w:right w:val="none" w:sz="0" w:space="0" w:color="auto"/>
          </w:divBdr>
        </w:div>
        <w:div w:id="1210647211">
          <w:marLeft w:val="0"/>
          <w:marRight w:val="0"/>
          <w:marTop w:val="0"/>
          <w:marBottom w:val="0"/>
          <w:divBdr>
            <w:top w:val="none" w:sz="0" w:space="0" w:color="auto"/>
            <w:left w:val="none" w:sz="0" w:space="0" w:color="auto"/>
            <w:bottom w:val="none" w:sz="0" w:space="0" w:color="auto"/>
            <w:right w:val="none" w:sz="0" w:space="0" w:color="auto"/>
          </w:divBdr>
        </w:div>
      </w:divsChild>
    </w:div>
    <w:div w:id="1793212404">
      <w:bodyDiv w:val="1"/>
      <w:marLeft w:val="0"/>
      <w:marRight w:val="0"/>
      <w:marTop w:val="0"/>
      <w:marBottom w:val="0"/>
      <w:divBdr>
        <w:top w:val="none" w:sz="0" w:space="0" w:color="auto"/>
        <w:left w:val="none" w:sz="0" w:space="0" w:color="auto"/>
        <w:bottom w:val="none" w:sz="0" w:space="0" w:color="auto"/>
        <w:right w:val="none" w:sz="0" w:space="0" w:color="auto"/>
      </w:divBdr>
    </w:div>
    <w:div w:id="2053920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radeworkinggroup.or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yperlink" Target="https://psychiatryonline.org/pb/assets/raw/sitewide/practice_guidelines/guidelines/substanceuse.pdf" TargetMode="Externa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AGaramond-Regular">
    <w:altName w:val="Cambria"/>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C30A1"/>
    <w:rsid w:val="00160241"/>
    <w:rsid w:val="001A180C"/>
    <w:rsid w:val="001F47A0"/>
    <w:rsid w:val="002B5F47"/>
    <w:rsid w:val="002F4EEF"/>
    <w:rsid w:val="00371399"/>
    <w:rsid w:val="003A1E4B"/>
    <w:rsid w:val="00455EB5"/>
    <w:rsid w:val="00461C1C"/>
    <w:rsid w:val="004E2027"/>
    <w:rsid w:val="005F21F3"/>
    <w:rsid w:val="006079E0"/>
    <w:rsid w:val="007A46B3"/>
    <w:rsid w:val="00812AFB"/>
    <w:rsid w:val="008E23AF"/>
    <w:rsid w:val="008F6A9B"/>
    <w:rsid w:val="00940E93"/>
    <w:rsid w:val="00A77B15"/>
    <w:rsid w:val="00B45B79"/>
    <w:rsid w:val="00BE0F2D"/>
    <w:rsid w:val="00C03643"/>
    <w:rsid w:val="00C2797F"/>
    <w:rsid w:val="00C80225"/>
    <w:rsid w:val="00C971A8"/>
    <w:rsid w:val="00D228C9"/>
    <w:rsid w:val="00D2552B"/>
    <w:rsid w:val="00D75B64"/>
    <w:rsid w:val="00DB5324"/>
    <w:rsid w:val="00E97654"/>
    <w:rsid w:val="00EA555A"/>
    <w:rsid w:val="00EF467F"/>
    <w:rsid w:val="00F62729"/>
    <w:rsid w:val="00F87EB9"/>
    <w:rsid w:val="00FC30A1"/>
    <w:rsid w:val="00FD7046"/>
    <w:rsid w:val="00FF22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EB6041B"/>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 w:type="paragraph" w:customStyle="1" w:styleId="73B308F1A99D4788BA3E9AC2AFE5C701">
    <w:name w:val="73B308F1A99D4788BA3E9AC2AFE5C701"/>
    <w:rsid w:val="001F47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6" ma:contentTypeDescription="Create a new document." ma:contentTypeScope="" ma:versionID="c1426e8f7d70adc53dc657fbbb62ace9">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e49923363375861f3f9d499b2136dc7e"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0DB350-FC8B-4433-8EFB-33E9A67FD251}">
  <ds:schemaRefs>
    <ds:schemaRef ds:uri="http://schemas.microsoft.com/sharepoint/v3/contenttype/forms"/>
  </ds:schemaRefs>
</ds:datastoreItem>
</file>

<file path=customXml/itemProps2.xml><?xml version="1.0" encoding="utf-8"?>
<ds:datastoreItem xmlns:ds="http://schemas.openxmlformats.org/officeDocument/2006/customXml" ds:itemID="{38F2D5F0-830B-4620-AC7E-E7DEF8616B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2CDBE7-7F08-4F52-B308-EE351D989842}">
  <ds:schemaRefs>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 ds:uri="http://schemas.microsoft.com/office/2006/documentManagement/types"/>
    <ds:schemaRef ds:uri="http://purl.org/dc/terms/"/>
    <ds:schemaRef ds:uri="http://purl.org/dc/elements/1.1/"/>
    <ds:schemaRef ds:uri="http://purl.org/dc/dcmitype/"/>
    <ds:schemaRef ds:uri="64615f93-1352-4a7e-b7a8-3b07e39b2009"/>
    <ds:schemaRef ds:uri="76bce2c7-2e52-4525-a6e0-24f8a73e605d"/>
  </ds:schemaRefs>
</ds:datastoreItem>
</file>

<file path=customXml/itemProps4.xml><?xml version="1.0" encoding="utf-8"?>
<ds:datastoreItem xmlns:ds="http://schemas.openxmlformats.org/officeDocument/2006/customXml" ds:itemID="{A1458512-0A21-438B-9FB7-774DD97EB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6772</Words>
  <Characters>38606</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45288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Karen Pace</dc:creator>
  <cp:lastModifiedBy>Kristen Swift</cp:lastModifiedBy>
  <cp:revision>2</cp:revision>
  <dcterms:created xsi:type="dcterms:W3CDTF">2018-10-31T19:45:00Z</dcterms:created>
  <dcterms:modified xsi:type="dcterms:W3CDTF">2018-10-31T19:45:00Z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