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ABCF53" w14:textId="11B98013"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4E58C9E3"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E60F22">
            <w:rPr>
              <w:rStyle w:val="Style1"/>
            </w:rPr>
            <w:t>0576</w:t>
          </w:r>
        </w:sdtContent>
      </w:sdt>
    </w:p>
    <w:p w14:paraId="0CABCF56" w14:textId="49D20F93"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sdt>
            <w:sdtPr>
              <w:rPr>
                <w:rStyle w:val="Style1"/>
                <w:rFonts w:cstheme="minorHAnsi"/>
              </w:rPr>
              <w:id w:val="2063140433"/>
              <w:placeholder>
                <w:docPart w:val="10C14DC9453B4738864EE655E97DD6ED"/>
              </w:placeholder>
            </w:sdtPr>
            <w:sdtEndPr>
              <w:rPr>
                <w:rStyle w:val="DefaultParagraphFont"/>
                <w:noProof/>
                <w:color w:val="auto"/>
              </w:rPr>
            </w:sdtEndPr>
            <w:sdtContent>
              <w:r w:rsidR="00E60F22" w:rsidRPr="00753C06">
                <w:rPr>
                  <w:rFonts w:eastAsia="Times New Roman" w:cs="Times New Roman"/>
                  <w:color w:val="000000"/>
                  <w:lang w:val="en"/>
                </w:rPr>
                <w:t>Follow-Up After Hospitalization for Mental</w:t>
              </w:r>
            </w:sdtContent>
          </w:sdt>
          <w:r w:rsidR="00E60F22" w:rsidRPr="00753C06">
            <w:rPr>
              <w:rFonts w:cstheme="minorHAnsi"/>
              <w:noProof/>
            </w:rPr>
            <w:t xml:space="preserve"> Illness</w:t>
          </w:r>
        </w:sdtContent>
      </w:sdt>
    </w:p>
    <w:p w14:paraId="0CABCF57" w14:textId="00CE56C7" w:rsidR="005C73CA" w:rsidRPr="00450C58" w:rsidRDefault="00105D8B" w:rsidP="009E1846">
      <w:pPr>
        <w:spacing w:after="0"/>
        <w:rPr>
          <w:rStyle w:val="Style2"/>
          <w:rFonts w:cstheme="minorHAnsi"/>
        </w:rPr>
      </w:pPr>
      <w:r w:rsidRPr="00450C58">
        <w:rPr>
          <w:rFonts w:cstheme="minorHAnsi"/>
          <w:b/>
          <w:noProof/>
        </w:rPr>
        <w:t>Date of Submissio</w:t>
      </w:r>
      <w:r w:rsidRPr="00497713">
        <w:rPr>
          <w:rFonts w:cstheme="minorHAnsi"/>
          <w:b/>
          <w:noProof/>
        </w:rPr>
        <w:t>n</w:t>
      </w:r>
      <w:r w:rsidRPr="00497713">
        <w:rPr>
          <w:rFonts w:cstheme="minorHAnsi"/>
          <w:noProof/>
        </w:rPr>
        <w:t xml:space="preserve">:  </w:t>
      </w:r>
      <w:sdt>
        <w:sdtPr>
          <w:rPr>
            <w:rStyle w:val="Style2"/>
            <w:rFonts w:cstheme="minorHAnsi"/>
          </w:rPr>
          <w:id w:val="-1689821638"/>
          <w:placeholder>
            <w:docPart w:val="8F012C9F5A114B9AA71F4A7BC37B3969"/>
          </w:placeholder>
          <w:date w:fullDate="2020-08-03T00:00:00Z">
            <w:dateFormat w:val="M/d/yyyy"/>
            <w:lid w:val="en-US"/>
            <w:storeMappedDataAs w:val="dateTime"/>
            <w:calendar w:val="gregorian"/>
          </w:date>
        </w:sdtPr>
        <w:sdtEndPr>
          <w:rPr>
            <w:rStyle w:val="DefaultParagraphFont"/>
            <w:noProof/>
            <w:color w:val="auto"/>
            <w:u w:val="none"/>
          </w:rPr>
        </w:sdtEndPr>
        <w:sdtContent>
          <w:r w:rsidR="0030767D" w:rsidRPr="00497713">
            <w:rPr>
              <w:rStyle w:val="Style2"/>
              <w:rFonts w:cstheme="minorHAnsi"/>
            </w:rPr>
            <w:t>8/3/2020</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77777777" w:rsidR="000B7D57" w:rsidRPr="00C775CE" w:rsidRDefault="00F0285B"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F0285B"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F0285B"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F0285B"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33819BDA" w:rsidR="000B7D57" w:rsidRPr="00C775CE" w:rsidRDefault="00F0285B"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1A4E54">
                  <w:rPr>
                    <w:rFonts w:ascii="MS Gothic" w:eastAsia="MS Gothic" w:hAnsi="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F0285B"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F0285B"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1"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0"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lastRenderedPageBreak/>
              <w:t xml:space="preserve">AND </w:t>
            </w:r>
          </w:p>
          <w:p w14:paraId="0CABCF7A" w14:textId="77777777"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0CABCF80" w14:textId="77777777" w:rsidR="00145149" w:rsidRPr="000F034A" w:rsidRDefault="00145149" w:rsidP="00145149">
            <w:pPr>
              <w:rPr>
                <w:rFonts w:cstheme="minorHAnsi"/>
                <w:b/>
                <w:bCs/>
              </w:rPr>
            </w:pP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w:t>
            </w:r>
            <w:proofErr w:type="spellStart"/>
            <w:r w:rsidR="00E30584" w:rsidRPr="000F034A">
              <w:rPr>
                <w:rFonts w:ascii="Calibri" w:eastAsia="Calibri" w:hAnsi="Calibri" w:cs="Calibri"/>
              </w:rPr>
              <w:t>nonresponders</w:t>
            </w:r>
            <w:proofErr w:type="spellEnd"/>
            <w:r w:rsidR="00E30584" w:rsidRPr="000F034A">
              <w:rPr>
                <w:rFonts w:ascii="Calibri" w:eastAsia="Calibri" w:hAnsi="Calibri" w:cs="Calibri"/>
              </w:rPr>
              <w:t>)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77777777" w:rsidR="00A01494" w:rsidRPr="00A01494" w:rsidRDefault="00F0285B"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77777777" w:rsidR="00A01494" w:rsidRPr="00A01494" w:rsidRDefault="00F0285B"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760E85F0" w:rsidR="00A01494" w:rsidRPr="000F1B7A" w:rsidRDefault="00F0285B" w:rsidP="000F1B7A">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EndPr/>
              <w:sdtContent>
                <w:r w:rsidR="00E60F22">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639A47EC" w:rsidR="00A01494" w:rsidRPr="000F1B7A" w:rsidRDefault="00F0285B" w:rsidP="000F1B7A">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EndPr/>
              <w:sdtContent>
                <w:r w:rsidR="00E60F22">
                  <w:rPr>
                    <w:rFonts w:ascii="MS Gothic" w:eastAsia="MS Gothic" w:hAnsi="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38318C23" w:rsidR="00A01494" w:rsidRPr="000F1B7A" w:rsidRDefault="00F0285B"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562084B1" w:rsidR="00A01494" w:rsidRPr="000F1B7A" w:rsidRDefault="00F0285B"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77777777" w:rsidR="00A01494" w:rsidRPr="000F1B7A" w:rsidRDefault="00F0285B"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77777777" w:rsidR="00A01494" w:rsidRPr="000F1B7A" w:rsidRDefault="00F0285B"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0F1B7A" w:rsidRDefault="00F0285B"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F0285B"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77777777" w:rsidR="00A01494" w:rsidRPr="000F1B7A" w:rsidRDefault="00F0285B"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c>
          <w:tcPr>
            <w:tcW w:w="4847" w:type="dxa"/>
          </w:tcPr>
          <w:p w14:paraId="0CABCFAB" w14:textId="77777777" w:rsidR="00A01494" w:rsidRPr="000F1B7A" w:rsidRDefault="00F0285B"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CABCFAE" w14:textId="77777777"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0CABCFAF" w14:textId="2ADF55C4" w:rsidR="009E1846" w:rsidRDefault="009E1846" w:rsidP="00DB3627">
      <w:pPr>
        <w:autoSpaceDE w:val="0"/>
        <w:autoSpaceDN w:val="0"/>
        <w:adjustRightInd w:val="0"/>
        <w:spacing w:after="0" w:line="240" w:lineRule="auto"/>
        <w:rPr>
          <w:rFonts w:cstheme="minorHAnsi"/>
          <w:b/>
        </w:rPr>
      </w:pPr>
    </w:p>
    <w:p w14:paraId="68AE7E54" w14:textId="77777777" w:rsidR="00AD224A" w:rsidRPr="006E655D" w:rsidRDefault="00AD224A" w:rsidP="00AD224A">
      <w:pPr>
        <w:autoSpaceDE w:val="0"/>
        <w:autoSpaceDN w:val="0"/>
        <w:adjustRightInd w:val="0"/>
        <w:spacing w:after="0" w:line="240" w:lineRule="auto"/>
        <w:rPr>
          <w:rFonts w:cstheme="minorHAnsi"/>
          <w:b/>
          <w:bCs/>
          <w:color w:val="FF0000"/>
          <w:u w:val="single"/>
        </w:rPr>
      </w:pPr>
      <w:r w:rsidRPr="006E655D">
        <w:rPr>
          <w:rFonts w:cstheme="minorHAnsi"/>
          <w:b/>
          <w:bCs/>
          <w:color w:val="FF0000"/>
          <w:u w:val="single"/>
        </w:rPr>
        <w:t xml:space="preserve">2020 Submission: </w:t>
      </w:r>
    </w:p>
    <w:p w14:paraId="0931542E" w14:textId="06EAFF32" w:rsidR="00AD224A" w:rsidRPr="00AD224A" w:rsidRDefault="00AD224A" w:rsidP="00AD224A">
      <w:pPr>
        <w:autoSpaceDE w:val="0"/>
        <w:autoSpaceDN w:val="0"/>
        <w:adjustRightInd w:val="0"/>
        <w:spacing w:after="0" w:line="240" w:lineRule="auto"/>
        <w:rPr>
          <w:rFonts w:cstheme="minorHAnsi"/>
          <w:color w:val="FF0000"/>
        </w:rPr>
      </w:pPr>
      <w:r w:rsidRPr="00AD224A">
        <w:rPr>
          <w:rFonts w:cstheme="minorHAnsi"/>
          <w:color w:val="FF0000"/>
        </w:rPr>
        <w:t>N/A</w:t>
      </w:r>
    </w:p>
    <w:p w14:paraId="44771F42" w14:textId="77777777" w:rsidR="00AD224A" w:rsidRDefault="00AD224A" w:rsidP="00AD224A">
      <w:pPr>
        <w:autoSpaceDE w:val="0"/>
        <w:autoSpaceDN w:val="0"/>
        <w:adjustRightInd w:val="0"/>
        <w:spacing w:after="0" w:line="240" w:lineRule="auto"/>
        <w:rPr>
          <w:rFonts w:cstheme="minorHAnsi"/>
          <w:color w:val="1F497D" w:themeColor="text2"/>
        </w:rPr>
      </w:pPr>
    </w:p>
    <w:p w14:paraId="28F709CF" w14:textId="77777777" w:rsidR="00AD224A" w:rsidRPr="006E655D" w:rsidRDefault="00AD224A" w:rsidP="00AD224A">
      <w:pPr>
        <w:autoSpaceDE w:val="0"/>
        <w:autoSpaceDN w:val="0"/>
        <w:adjustRightInd w:val="0"/>
        <w:spacing w:after="0" w:line="240" w:lineRule="auto"/>
        <w:rPr>
          <w:rFonts w:cstheme="minorHAnsi"/>
          <w:b/>
          <w:bCs/>
          <w:color w:val="1F497D" w:themeColor="text2"/>
          <w:u w:val="single"/>
        </w:rPr>
      </w:pPr>
      <w:r w:rsidRPr="006E655D">
        <w:rPr>
          <w:rFonts w:cstheme="minorHAnsi"/>
          <w:b/>
          <w:bCs/>
          <w:color w:val="1F497D" w:themeColor="text2"/>
          <w:u w:val="single"/>
        </w:rPr>
        <w:t>2016 Submission:</w:t>
      </w:r>
    </w:p>
    <w:p w14:paraId="28401415" w14:textId="77777777" w:rsidR="00AD224A" w:rsidRPr="006E655D" w:rsidRDefault="00AD224A" w:rsidP="00AD224A">
      <w:pPr>
        <w:autoSpaceDE w:val="0"/>
        <w:autoSpaceDN w:val="0"/>
        <w:adjustRightInd w:val="0"/>
        <w:spacing w:after="0" w:line="240" w:lineRule="auto"/>
        <w:rPr>
          <w:rFonts w:cstheme="minorHAnsi"/>
          <w:color w:val="1F497D" w:themeColor="text2"/>
        </w:rPr>
      </w:pPr>
      <w:r w:rsidRPr="006E655D">
        <w:rPr>
          <w:rFonts w:cstheme="minorHAnsi"/>
          <w:color w:val="1F497D" w:themeColor="text2"/>
        </w:rPr>
        <w:t>N/A</w:t>
      </w:r>
    </w:p>
    <w:p w14:paraId="54EA1D30" w14:textId="77777777" w:rsidR="00AD224A" w:rsidRDefault="00AD224A" w:rsidP="00DB3627">
      <w:pPr>
        <w:autoSpaceDE w:val="0"/>
        <w:autoSpaceDN w:val="0"/>
        <w:adjustRightInd w:val="0"/>
        <w:spacing w:after="0" w:line="240" w:lineRule="auto"/>
        <w:rPr>
          <w:rFonts w:cstheme="minorHAnsi"/>
          <w:b/>
        </w:rPr>
      </w:pPr>
    </w:p>
    <w:p w14:paraId="0CABCFB0" w14:textId="77777777"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showingPlcHdr/>
          <w:text/>
        </w:sdtPr>
        <w:sdtEndPr>
          <w:rPr>
            <w:rStyle w:val="DefaultParagraphFont"/>
            <w:rFonts w:cstheme="minorHAnsi"/>
            <w:color w:val="auto"/>
          </w:rPr>
        </w:sdtEndPr>
        <w:sdtContent>
          <w:r w:rsidR="008E67C3">
            <w:rPr>
              <w:rStyle w:val="PlaceholderText"/>
            </w:rPr>
            <w:t>Click here to enter date range</w:t>
          </w:r>
        </w:sdtContent>
      </w:sdt>
    </w:p>
    <w:p w14:paraId="32B7DF9C" w14:textId="77777777" w:rsidR="00C60B6A" w:rsidRPr="00F83B87" w:rsidRDefault="00C60B6A" w:rsidP="00C60B6A">
      <w:pPr>
        <w:pStyle w:val="paragraph"/>
        <w:spacing w:before="0" w:beforeAutospacing="0" w:after="0" w:afterAutospacing="0"/>
        <w:textAlignment w:val="baseline"/>
        <w:rPr>
          <w:rFonts w:ascii="Segoe UI" w:hAnsi="Segoe UI" w:cs="Segoe UI"/>
          <w:color w:val="FF0000"/>
          <w:sz w:val="18"/>
          <w:szCs w:val="18"/>
        </w:rPr>
      </w:pPr>
      <w:r w:rsidRPr="00F83B87">
        <w:rPr>
          <w:rStyle w:val="normaltextrun"/>
          <w:rFonts w:ascii="Calibri" w:hAnsi="Calibri" w:cs="Calibri"/>
          <w:b/>
          <w:bCs/>
          <w:color w:val="FF0000"/>
          <w:sz w:val="22"/>
          <w:szCs w:val="22"/>
          <w:u w:val="single"/>
        </w:rPr>
        <w:t>2020 Submission</w:t>
      </w:r>
      <w:r w:rsidRPr="00F83B87">
        <w:rPr>
          <w:rStyle w:val="eop"/>
          <w:rFonts w:ascii="Calibri" w:hAnsi="Calibri" w:cs="Calibri"/>
          <w:color w:val="FF0000"/>
          <w:sz w:val="22"/>
          <w:szCs w:val="22"/>
        </w:rPr>
        <w:t> </w:t>
      </w:r>
    </w:p>
    <w:p w14:paraId="747050F9" w14:textId="3E47C587" w:rsidR="007B7279" w:rsidRPr="00307E39" w:rsidRDefault="007B7279" w:rsidP="007B7279">
      <w:pPr>
        <w:autoSpaceDE w:val="0"/>
        <w:autoSpaceDN w:val="0"/>
        <w:adjustRightInd w:val="0"/>
        <w:spacing w:after="0" w:line="240" w:lineRule="auto"/>
        <w:rPr>
          <w:rFonts w:ascii="Calibri" w:hAnsi="Calibri" w:cs="Calibri"/>
          <w:color w:val="FF0000"/>
        </w:rPr>
      </w:pPr>
      <w:r w:rsidRPr="00307E39">
        <w:rPr>
          <w:rFonts w:ascii="Calibri" w:hAnsi="Calibri" w:cs="Calibri"/>
          <w:color w:val="FF0000"/>
        </w:rPr>
        <w:t xml:space="preserve">Testing of measure score reliability and validity was performed using data from </w:t>
      </w:r>
      <w:r>
        <w:rPr>
          <w:rFonts w:ascii="Calibri" w:hAnsi="Calibri" w:cs="Calibri"/>
          <w:color w:val="FF0000"/>
        </w:rPr>
        <w:t>calendar year 2018</w:t>
      </w:r>
      <w:r w:rsidRPr="00307E39">
        <w:rPr>
          <w:rFonts w:ascii="Calibri" w:hAnsi="Calibri" w:cs="Calibri"/>
          <w:color w:val="FF0000"/>
        </w:rPr>
        <w:t>. </w:t>
      </w:r>
    </w:p>
    <w:p w14:paraId="48A7B620" w14:textId="77777777" w:rsidR="00C60B6A" w:rsidRDefault="00C60B6A" w:rsidP="00C60B6A">
      <w:pPr>
        <w:autoSpaceDE w:val="0"/>
        <w:autoSpaceDN w:val="0"/>
        <w:adjustRightInd w:val="0"/>
        <w:spacing w:after="0" w:line="240" w:lineRule="auto"/>
        <w:rPr>
          <w:rStyle w:val="Style1"/>
        </w:rPr>
      </w:pPr>
    </w:p>
    <w:p w14:paraId="2A7465CA" w14:textId="77777777" w:rsidR="00C94B8B" w:rsidRPr="006E655D" w:rsidRDefault="00C94B8B" w:rsidP="00C94B8B">
      <w:pPr>
        <w:autoSpaceDE w:val="0"/>
        <w:autoSpaceDN w:val="0"/>
        <w:adjustRightInd w:val="0"/>
        <w:spacing w:after="0" w:line="240" w:lineRule="auto"/>
        <w:rPr>
          <w:rFonts w:cstheme="minorHAnsi"/>
          <w:b/>
          <w:color w:val="1F497D" w:themeColor="text2"/>
          <w:u w:val="single"/>
        </w:rPr>
      </w:pPr>
      <w:r w:rsidRPr="006E655D">
        <w:rPr>
          <w:rFonts w:cstheme="minorHAnsi"/>
          <w:b/>
          <w:color w:val="1F497D" w:themeColor="text2"/>
          <w:u w:val="single"/>
        </w:rPr>
        <w:t xml:space="preserve">2016 Submission: </w:t>
      </w:r>
    </w:p>
    <w:p w14:paraId="4E71B732" w14:textId="77777777" w:rsidR="00C94B8B" w:rsidRPr="00427D89" w:rsidRDefault="00C94B8B" w:rsidP="00C94B8B">
      <w:pPr>
        <w:autoSpaceDE w:val="0"/>
        <w:autoSpaceDN w:val="0"/>
        <w:adjustRightInd w:val="0"/>
        <w:spacing w:after="0" w:line="240" w:lineRule="auto"/>
        <w:rPr>
          <w:rFonts w:cstheme="minorHAnsi"/>
          <w:bCs/>
          <w:color w:val="1F497D" w:themeColor="text2"/>
        </w:rPr>
      </w:pPr>
      <w:r w:rsidRPr="00427D89">
        <w:rPr>
          <w:rFonts w:cstheme="minorHAnsi"/>
          <w:bCs/>
          <w:color w:val="1F497D" w:themeColor="text2"/>
        </w:rPr>
        <w:t>2009-2011</w:t>
      </w:r>
    </w:p>
    <w:p w14:paraId="7B8DD792" w14:textId="77777777" w:rsidR="00C94B8B" w:rsidRPr="006E655D" w:rsidRDefault="00C94B8B" w:rsidP="00C94B8B">
      <w:pPr>
        <w:autoSpaceDE w:val="0"/>
        <w:autoSpaceDN w:val="0"/>
        <w:adjustRightInd w:val="0"/>
        <w:spacing w:after="0" w:line="240" w:lineRule="auto"/>
        <w:rPr>
          <w:rFonts w:cstheme="minorHAnsi"/>
          <w:bCs/>
          <w:color w:val="1F497D" w:themeColor="text2"/>
        </w:rPr>
      </w:pPr>
      <w:r w:rsidRPr="006E655D">
        <w:rPr>
          <w:rFonts w:cstheme="minorHAnsi"/>
          <w:bCs/>
          <w:color w:val="1F497D" w:themeColor="text2"/>
        </w:rPr>
        <w:t>2014-2016</w:t>
      </w:r>
    </w:p>
    <w:p w14:paraId="0CABCFB1" w14:textId="77777777" w:rsidR="000574AB" w:rsidRDefault="000574AB"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77777777" w:rsidR="000414E8" w:rsidRPr="00A01494" w:rsidRDefault="00F0285B"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CABCFB8" w14:textId="77777777" w:rsidR="000414E8" w:rsidRPr="00A01494" w:rsidRDefault="00F0285B"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77777777" w:rsidR="000414E8" w:rsidRPr="00A01494" w:rsidRDefault="00F0285B"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77777777" w:rsidR="000414E8" w:rsidRPr="00A01494" w:rsidRDefault="00F0285B"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77777777" w:rsidR="000414E8" w:rsidRPr="00A01494" w:rsidRDefault="00F0285B"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77777777" w:rsidR="000414E8" w:rsidRPr="00A01494" w:rsidRDefault="00F0285B"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2F764B7B" w:rsidR="000414E8" w:rsidRPr="00A01494" w:rsidRDefault="00F0285B" w:rsidP="00D61410">
            <w:pPr>
              <w:autoSpaceDE w:val="0"/>
              <w:autoSpaceDN w:val="0"/>
              <w:adjustRightInd w:val="0"/>
              <w:rPr>
                <w:rFonts w:cstheme="minorHAnsi"/>
                <w:bCs/>
              </w:rPr>
            </w:pPr>
            <w:sdt>
              <w:sdtPr>
                <w:rPr>
                  <w:rFonts w:cstheme="minorHAnsi"/>
                  <w:bCs/>
                  <w:color w:val="0000FF"/>
                </w:rPr>
                <w:id w:val="275535217"/>
                <w14:checkbox>
                  <w14:checked w14:val="1"/>
                  <w14:checkedState w14:val="2612" w14:font="MS Gothic"/>
                  <w14:uncheckedState w14:val="2610" w14:font="MS Gothic"/>
                </w14:checkbox>
              </w:sdtPr>
              <w:sdtEndPr/>
              <w:sdtContent>
                <w:r w:rsidR="009A7D77">
                  <w:rPr>
                    <w:rFonts w:ascii="MS Gothic" w:eastAsia="MS Gothic" w:hAnsi="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23F8C4B2" w:rsidR="000414E8" w:rsidRPr="00A01494" w:rsidRDefault="00F0285B" w:rsidP="00D61410">
            <w:pPr>
              <w:autoSpaceDE w:val="0"/>
              <w:autoSpaceDN w:val="0"/>
              <w:adjustRightInd w:val="0"/>
              <w:rPr>
                <w:rFonts w:cstheme="minorHAnsi"/>
                <w:bCs/>
              </w:rPr>
            </w:pPr>
            <w:sdt>
              <w:sdtPr>
                <w:rPr>
                  <w:rFonts w:cstheme="minorHAnsi"/>
                  <w:bCs/>
                  <w:color w:val="0000FF"/>
                </w:rPr>
                <w:id w:val="1896924375"/>
                <w14:checkbox>
                  <w14:checked w14:val="1"/>
                  <w14:checkedState w14:val="2612" w14:font="MS Gothic"/>
                  <w14:uncheckedState w14:val="2610" w14:font="MS Gothic"/>
                </w14:checkbox>
              </w:sdtPr>
              <w:sdtEndPr/>
              <w:sdtContent>
                <w:r w:rsidR="009A7D77">
                  <w:rPr>
                    <w:rFonts w:ascii="MS Gothic" w:eastAsia="MS Gothic" w:hAnsi="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F0285B"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F0285B"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CABCFC7" w14:textId="77777777"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0CABCFC8" w14:textId="632C5009" w:rsidR="002B5016" w:rsidRDefault="002B5016" w:rsidP="00DB3627">
      <w:pPr>
        <w:autoSpaceDE w:val="0"/>
        <w:autoSpaceDN w:val="0"/>
        <w:adjustRightInd w:val="0"/>
        <w:spacing w:after="0" w:line="240" w:lineRule="auto"/>
        <w:rPr>
          <w:rFonts w:cstheme="minorHAnsi"/>
          <w:bCs/>
        </w:rPr>
      </w:pPr>
    </w:p>
    <w:p w14:paraId="3607443C" w14:textId="624C1E30" w:rsidR="00286CA7" w:rsidRDefault="00286CA7" w:rsidP="00DB3627">
      <w:pPr>
        <w:autoSpaceDE w:val="0"/>
        <w:autoSpaceDN w:val="0"/>
        <w:adjustRightInd w:val="0"/>
        <w:spacing w:after="0" w:line="240" w:lineRule="auto"/>
        <w:rPr>
          <w:rFonts w:cstheme="minorHAnsi"/>
          <w:bCs/>
        </w:rPr>
      </w:pPr>
    </w:p>
    <w:p w14:paraId="7629748C" w14:textId="77777777" w:rsidR="00286CA7" w:rsidRPr="006E655D" w:rsidRDefault="00286CA7" w:rsidP="00286CA7">
      <w:pPr>
        <w:autoSpaceDE w:val="0"/>
        <w:autoSpaceDN w:val="0"/>
        <w:adjustRightInd w:val="0"/>
        <w:spacing w:after="0" w:line="240" w:lineRule="auto"/>
        <w:rPr>
          <w:rFonts w:cstheme="minorHAnsi"/>
          <w:b/>
          <w:bCs/>
          <w:color w:val="FF0000"/>
          <w:u w:val="single"/>
        </w:rPr>
      </w:pPr>
      <w:r w:rsidRPr="006E655D">
        <w:rPr>
          <w:rFonts w:cstheme="minorHAnsi"/>
          <w:b/>
          <w:bCs/>
          <w:color w:val="FF0000"/>
          <w:u w:val="single"/>
        </w:rPr>
        <w:t xml:space="preserve">2020 Submission: </w:t>
      </w:r>
    </w:p>
    <w:p w14:paraId="2E4D27FD" w14:textId="5B2B4003" w:rsidR="007C7F6D" w:rsidRPr="007C7F6D" w:rsidRDefault="007C7F6D" w:rsidP="007C7F6D">
      <w:pPr>
        <w:autoSpaceDE w:val="0"/>
        <w:autoSpaceDN w:val="0"/>
        <w:adjustRightInd w:val="0"/>
        <w:spacing w:after="0" w:line="240" w:lineRule="auto"/>
        <w:rPr>
          <w:rFonts w:cstheme="minorHAnsi"/>
          <w:color w:val="FF0000"/>
        </w:rPr>
      </w:pPr>
      <w:r w:rsidRPr="007C7F6D">
        <w:rPr>
          <w:rFonts w:cstheme="minorHAnsi"/>
          <w:color w:val="FF0000"/>
        </w:rPr>
        <w:t>This measure assesses</w:t>
      </w:r>
      <w:r>
        <w:rPr>
          <w:rFonts w:cstheme="minorHAnsi"/>
          <w:color w:val="FF0000"/>
        </w:rPr>
        <w:t xml:space="preserve"> t</w:t>
      </w:r>
      <w:r w:rsidRPr="007C7F6D">
        <w:rPr>
          <w:rFonts w:cstheme="minorHAnsi"/>
          <w:color w:val="FF0000"/>
        </w:rPr>
        <w:t>he percentage of discharges for members 6 years of age and older who were hospitalized for treatment of selected mental illness or intentional self-harm diagnoses and who had a follow-up visit with a mental health provider. Two rates are reported: </w:t>
      </w:r>
    </w:p>
    <w:p w14:paraId="6103F32B" w14:textId="77777777" w:rsidR="007C7F6D" w:rsidRPr="007C7F6D" w:rsidRDefault="007C7F6D" w:rsidP="007C7F6D">
      <w:pPr>
        <w:numPr>
          <w:ilvl w:val="0"/>
          <w:numId w:val="30"/>
        </w:numPr>
        <w:autoSpaceDE w:val="0"/>
        <w:autoSpaceDN w:val="0"/>
        <w:adjustRightInd w:val="0"/>
        <w:spacing w:after="0" w:line="240" w:lineRule="auto"/>
        <w:rPr>
          <w:rFonts w:cstheme="minorHAnsi"/>
          <w:color w:val="FF0000"/>
        </w:rPr>
      </w:pPr>
      <w:r w:rsidRPr="007C7F6D">
        <w:rPr>
          <w:rFonts w:cstheme="minorHAnsi"/>
          <w:color w:val="FF0000"/>
        </w:rPr>
        <w:t>The percentage of discharges for which the member received follow-up within 30 days after discharge. </w:t>
      </w:r>
    </w:p>
    <w:p w14:paraId="2F691001" w14:textId="4FB0988D" w:rsidR="00286CA7" w:rsidRPr="005A565D" w:rsidRDefault="007C7F6D" w:rsidP="00286CA7">
      <w:pPr>
        <w:numPr>
          <w:ilvl w:val="0"/>
          <w:numId w:val="31"/>
        </w:numPr>
        <w:autoSpaceDE w:val="0"/>
        <w:autoSpaceDN w:val="0"/>
        <w:adjustRightInd w:val="0"/>
        <w:spacing w:after="0" w:line="240" w:lineRule="auto"/>
        <w:rPr>
          <w:rFonts w:cstheme="minorHAnsi"/>
          <w:color w:val="FF0000"/>
        </w:rPr>
      </w:pPr>
      <w:r w:rsidRPr="007C7F6D">
        <w:rPr>
          <w:rFonts w:cstheme="minorHAnsi"/>
          <w:color w:val="FF0000"/>
        </w:rPr>
        <w:t>The percentage of discharges for which the member received follow-up within 7 days after discharge. </w:t>
      </w:r>
    </w:p>
    <w:p w14:paraId="0F72C756" w14:textId="77777777" w:rsidR="000658B9" w:rsidRPr="0052272C" w:rsidRDefault="000658B9" w:rsidP="000658B9">
      <w:pPr>
        <w:pStyle w:val="paragraph"/>
        <w:spacing w:before="0" w:beforeAutospacing="0" w:after="0" w:afterAutospacing="0"/>
        <w:textAlignment w:val="baseline"/>
        <w:rPr>
          <w:rStyle w:val="normaltextrun"/>
          <w:rFonts w:ascii="Calibri" w:hAnsi="Calibri" w:cs="Calibri"/>
          <w:color w:val="FF0000"/>
          <w:sz w:val="22"/>
          <w:szCs w:val="22"/>
        </w:rPr>
      </w:pPr>
      <w:r w:rsidRPr="0052272C">
        <w:rPr>
          <w:rStyle w:val="normaltextrun"/>
          <w:rFonts w:ascii="Calibri" w:hAnsi="Calibri" w:cs="Calibri"/>
          <w:color w:val="FF0000"/>
          <w:sz w:val="22"/>
          <w:szCs w:val="22"/>
        </w:rPr>
        <w:t xml:space="preserve">Testing was completed at the health plan level which is appropriate for the level of reporting for this measure. </w:t>
      </w:r>
    </w:p>
    <w:p w14:paraId="5016862E" w14:textId="77777777" w:rsidR="007C7F6D" w:rsidRDefault="007C7F6D" w:rsidP="00286CA7">
      <w:pPr>
        <w:autoSpaceDE w:val="0"/>
        <w:autoSpaceDN w:val="0"/>
        <w:adjustRightInd w:val="0"/>
        <w:spacing w:after="0" w:line="240" w:lineRule="auto"/>
        <w:rPr>
          <w:rFonts w:cstheme="minorHAnsi"/>
          <w:b/>
          <w:bCs/>
          <w:color w:val="FF0000"/>
          <w:u w:val="single"/>
        </w:rPr>
      </w:pPr>
    </w:p>
    <w:p w14:paraId="77D67E5F" w14:textId="32449504" w:rsidR="00B47269" w:rsidRDefault="00E20D82" w:rsidP="00B47269">
      <w:pPr>
        <w:autoSpaceDE w:val="0"/>
        <w:autoSpaceDN w:val="0"/>
        <w:adjustRightInd w:val="0"/>
        <w:spacing w:after="0" w:line="240" w:lineRule="auto"/>
        <w:rPr>
          <w:rFonts w:cstheme="minorHAnsi"/>
          <w:b/>
          <w:bCs/>
          <w:color w:val="FF0000"/>
          <w:u w:val="single"/>
        </w:rPr>
      </w:pPr>
      <w:r w:rsidRPr="0052272C">
        <w:rPr>
          <w:rStyle w:val="normaltextrun"/>
          <w:rFonts w:ascii="Calibri" w:hAnsi="Calibri" w:cs="Calibri"/>
          <w:color w:val="FF0000"/>
          <w:u w:val="single"/>
        </w:rPr>
        <w:t>Measure score reliability testing and construct validity testing:</w:t>
      </w:r>
      <w:r w:rsidRPr="0052272C">
        <w:rPr>
          <w:rStyle w:val="normaltextrun"/>
          <w:rFonts w:ascii="Calibri" w:hAnsi="Calibri" w:cs="Calibri"/>
          <w:color w:val="FF0000"/>
        </w:rPr>
        <w:t> </w:t>
      </w:r>
      <w:r w:rsidR="00CB7CA1" w:rsidRPr="00CB7CA1">
        <w:rPr>
          <w:rFonts w:cstheme="minorHAnsi"/>
          <w:color w:val="FF0000"/>
        </w:rPr>
        <w:t xml:space="preserve"> </w:t>
      </w:r>
      <w:r w:rsidR="00CB7CA1" w:rsidRPr="00A700F0">
        <w:rPr>
          <w:rFonts w:cstheme="minorHAnsi"/>
          <w:color w:val="FF0000"/>
        </w:rPr>
        <w:t>The measure score reliability was calculated from HEDIS data that included</w:t>
      </w:r>
      <w:r w:rsidRPr="0052272C">
        <w:rPr>
          <w:rStyle w:val="normaltextrun"/>
          <w:rFonts w:ascii="Calibri" w:hAnsi="Calibri" w:cs="Calibri"/>
          <w:color w:val="FF0000"/>
        </w:rPr>
        <w:t xml:space="preserve"> </w:t>
      </w:r>
      <w:r w:rsidR="00CB7CA1">
        <w:rPr>
          <w:rStyle w:val="normaltextrun"/>
          <w:rFonts w:ascii="Calibri" w:hAnsi="Calibri" w:cs="Calibri"/>
          <w:color w:val="FF0000"/>
        </w:rPr>
        <w:t xml:space="preserve">358 </w:t>
      </w:r>
      <w:r w:rsidR="00F53A44">
        <w:rPr>
          <w:rStyle w:val="normaltextrun"/>
          <w:rFonts w:ascii="Calibri" w:hAnsi="Calibri" w:cs="Calibri"/>
          <w:color w:val="FF0000"/>
        </w:rPr>
        <w:t>Commercial</w:t>
      </w:r>
      <w:r w:rsidR="007174EA">
        <w:rPr>
          <w:rStyle w:val="normaltextrun"/>
          <w:rFonts w:ascii="Calibri" w:hAnsi="Calibri" w:cs="Calibri"/>
          <w:color w:val="FF0000"/>
        </w:rPr>
        <w:t xml:space="preserve"> health</w:t>
      </w:r>
      <w:r w:rsidRPr="0052272C">
        <w:rPr>
          <w:rStyle w:val="normaltextrun"/>
          <w:rFonts w:ascii="Calibri" w:hAnsi="Calibri" w:cs="Calibri"/>
          <w:color w:val="FF0000"/>
        </w:rPr>
        <w:t xml:space="preserve"> plans</w:t>
      </w:r>
      <w:r w:rsidR="00F53A44">
        <w:rPr>
          <w:rStyle w:val="normaltextrun"/>
          <w:rFonts w:ascii="Calibri" w:hAnsi="Calibri" w:cs="Calibri"/>
          <w:color w:val="FF0000"/>
        </w:rPr>
        <w:t xml:space="preserve">, </w:t>
      </w:r>
      <w:r w:rsidR="00CB7CA1">
        <w:rPr>
          <w:rStyle w:val="normaltextrun"/>
          <w:rFonts w:ascii="Calibri" w:hAnsi="Calibri" w:cs="Calibri"/>
          <w:color w:val="FF0000"/>
        </w:rPr>
        <w:t xml:space="preserve">172 </w:t>
      </w:r>
      <w:r w:rsidR="006A2B48">
        <w:rPr>
          <w:rStyle w:val="normaltextrun"/>
          <w:rFonts w:ascii="Calibri" w:hAnsi="Calibri" w:cs="Calibri"/>
          <w:color w:val="FF0000"/>
        </w:rPr>
        <w:t xml:space="preserve">Medicaid plans, and 308 Medicare </w:t>
      </w:r>
      <w:r w:rsidR="00B47269">
        <w:rPr>
          <w:rStyle w:val="normaltextrun"/>
          <w:rFonts w:ascii="Calibri" w:hAnsi="Calibri" w:cs="Calibri"/>
          <w:color w:val="FF0000"/>
        </w:rPr>
        <w:t>plans.</w:t>
      </w:r>
      <w:r w:rsidR="00B47269" w:rsidRPr="00A700F0">
        <w:rPr>
          <w:rFonts w:cstheme="minorHAnsi"/>
          <w:color w:val="FF0000"/>
        </w:rPr>
        <w:t xml:space="preserve"> The sample included all </w:t>
      </w:r>
      <w:r w:rsidR="00B47269">
        <w:rPr>
          <w:rFonts w:cstheme="minorHAnsi"/>
          <w:color w:val="FF0000"/>
        </w:rPr>
        <w:t xml:space="preserve">Commercial, Medicare and Medicaid </w:t>
      </w:r>
      <w:r w:rsidR="00B47269" w:rsidRPr="00A700F0">
        <w:rPr>
          <w:rFonts w:cstheme="minorHAnsi"/>
          <w:color w:val="FF0000"/>
        </w:rPr>
        <w:t xml:space="preserve">health plans submitting data to NCQA for </w:t>
      </w:r>
      <w:r w:rsidR="00B47269">
        <w:rPr>
          <w:rFonts w:cstheme="minorHAnsi"/>
          <w:color w:val="FF0000"/>
        </w:rPr>
        <w:t xml:space="preserve">this </w:t>
      </w:r>
      <w:r w:rsidR="00B47269" w:rsidRPr="00A700F0">
        <w:rPr>
          <w:rFonts w:cstheme="minorHAnsi"/>
          <w:color w:val="FF0000"/>
        </w:rPr>
        <w:t>HEDIS</w:t>
      </w:r>
      <w:r w:rsidR="00B47269">
        <w:rPr>
          <w:rFonts w:cstheme="minorHAnsi"/>
          <w:color w:val="FF0000"/>
        </w:rPr>
        <w:t xml:space="preserve"> measure</w:t>
      </w:r>
      <w:r w:rsidR="00B47269" w:rsidRPr="00A700F0">
        <w:rPr>
          <w:rFonts w:cstheme="minorHAnsi"/>
          <w:color w:val="FF0000"/>
        </w:rPr>
        <w:t>. The plans were geographically diverse and varied in size.</w:t>
      </w:r>
    </w:p>
    <w:p w14:paraId="6648BA16" w14:textId="5A8BB9C9" w:rsidR="004A0958" w:rsidRDefault="004A0958" w:rsidP="00286CA7">
      <w:pPr>
        <w:autoSpaceDE w:val="0"/>
        <w:autoSpaceDN w:val="0"/>
        <w:adjustRightInd w:val="0"/>
        <w:spacing w:after="0" w:line="240" w:lineRule="auto"/>
        <w:rPr>
          <w:rFonts w:cstheme="minorHAnsi"/>
          <w:b/>
          <w:bCs/>
          <w:color w:val="FF0000"/>
          <w:u w:val="single"/>
        </w:rPr>
      </w:pPr>
    </w:p>
    <w:p w14:paraId="12F95C28" w14:textId="77777777" w:rsidR="00286CA7" w:rsidRDefault="00286CA7" w:rsidP="00286CA7">
      <w:pPr>
        <w:autoSpaceDE w:val="0"/>
        <w:autoSpaceDN w:val="0"/>
        <w:adjustRightInd w:val="0"/>
        <w:spacing w:after="0" w:line="240" w:lineRule="auto"/>
        <w:rPr>
          <w:rFonts w:cstheme="minorHAnsi"/>
          <w:b/>
          <w:bCs/>
          <w:color w:val="FF0000"/>
          <w:u w:val="single"/>
        </w:rPr>
      </w:pPr>
    </w:p>
    <w:p w14:paraId="03513218" w14:textId="77777777" w:rsidR="00286CA7" w:rsidRPr="006E655D" w:rsidRDefault="00286CA7" w:rsidP="00286CA7">
      <w:pPr>
        <w:autoSpaceDE w:val="0"/>
        <w:autoSpaceDN w:val="0"/>
        <w:adjustRightInd w:val="0"/>
        <w:spacing w:after="0" w:line="240" w:lineRule="auto"/>
        <w:rPr>
          <w:rFonts w:cstheme="minorHAnsi"/>
          <w:b/>
          <w:bCs/>
          <w:color w:val="244061" w:themeColor="accent1" w:themeShade="80"/>
        </w:rPr>
      </w:pPr>
      <w:r w:rsidRPr="006E655D">
        <w:rPr>
          <w:rFonts w:cstheme="minorHAnsi"/>
          <w:b/>
          <w:bCs/>
          <w:color w:val="244061" w:themeColor="accent1" w:themeShade="80"/>
          <w:u w:val="single"/>
        </w:rPr>
        <w:t>2016 Update: MEASURE SCORE RELIABILITY TESTING</w:t>
      </w:r>
    </w:p>
    <w:p w14:paraId="5CFB61BD" w14:textId="77777777" w:rsidR="00286CA7" w:rsidRPr="006E655D" w:rsidRDefault="00286CA7" w:rsidP="00286CA7">
      <w:pPr>
        <w:autoSpaceDE w:val="0"/>
        <w:autoSpaceDN w:val="0"/>
        <w:adjustRightInd w:val="0"/>
        <w:spacing w:after="0" w:line="240" w:lineRule="auto"/>
        <w:rPr>
          <w:rFonts w:cstheme="minorHAnsi"/>
          <w:bCs/>
          <w:color w:val="244061" w:themeColor="accent1" w:themeShade="80"/>
        </w:rPr>
      </w:pPr>
      <w:r w:rsidRPr="006E655D">
        <w:rPr>
          <w:rFonts w:cstheme="minorHAnsi"/>
          <w:bCs/>
          <w:color w:val="244061" w:themeColor="accent1" w:themeShade="80"/>
        </w:rPr>
        <w:t>MEASURE SCORE RELIABILITY TESTING</w:t>
      </w:r>
    </w:p>
    <w:p w14:paraId="32E17125" w14:textId="77777777" w:rsidR="00286CA7" w:rsidRPr="006E655D" w:rsidRDefault="00286CA7" w:rsidP="00286CA7">
      <w:pPr>
        <w:autoSpaceDE w:val="0"/>
        <w:autoSpaceDN w:val="0"/>
        <w:adjustRightInd w:val="0"/>
        <w:spacing w:after="0" w:line="240" w:lineRule="auto"/>
        <w:rPr>
          <w:rFonts w:cstheme="minorHAnsi"/>
          <w:bCs/>
          <w:color w:val="244061" w:themeColor="accent1" w:themeShade="80"/>
        </w:rPr>
      </w:pPr>
      <w:r w:rsidRPr="006E655D">
        <w:rPr>
          <w:rFonts w:cstheme="minorHAnsi"/>
          <w:bCs/>
          <w:color w:val="244061" w:themeColor="accent1" w:themeShade="80"/>
        </w:rPr>
        <w:t xml:space="preserve">The measure score reliability was calculated from 2016 HEDIS data that included 368 Commercial health plans, 166 Medicaid health plans, and 301 Medicare health plans for the 7-day follow-up rate and 368 Commercial health plans, 168 Medicaid health plans, and 301 Medicare health plans for the 30-day follow-up rate. The sample included all health plans submitting data to NCQA for HEDIS. The plans were geographically diverse and varied in size. </w:t>
      </w:r>
    </w:p>
    <w:p w14:paraId="0DBE6EFD" w14:textId="77777777" w:rsidR="00286CA7" w:rsidRPr="006E655D" w:rsidRDefault="00286CA7" w:rsidP="00286CA7">
      <w:pPr>
        <w:autoSpaceDE w:val="0"/>
        <w:autoSpaceDN w:val="0"/>
        <w:adjustRightInd w:val="0"/>
        <w:spacing w:after="0" w:line="240" w:lineRule="auto"/>
        <w:rPr>
          <w:rFonts w:cstheme="minorHAnsi"/>
          <w:bCs/>
          <w:color w:val="244061" w:themeColor="accent1" w:themeShade="80"/>
        </w:rPr>
      </w:pPr>
    </w:p>
    <w:p w14:paraId="5DB48B84" w14:textId="77777777" w:rsidR="00286CA7" w:rsidRPr="006E655D" w:rsidRDefault="00286CA7" w:rsidP="00286CA7">
      <w:pPr>
        <w:autoSpaceDE w:val="0"/>
        <w:autoSpaceDN w:val="0"/>
        <w:adjustRightInd w:val="0"/>
        <w:spacing w:after="0" w:line="240" w:lineRule="auto"/>
        <w:rPr>
          <w:rFonts w:cstheme="minorHAnsi"/>
          <w:bCs/>
          <w:color w:val="244061" w:themeColor="accent1" w:themeShade="80"/>
        </w:rPr>
      </w:pPr>
      <w:r w:rsidRPr="006E655D">
        <w:rPr>
          <w:rFonts w:cstheme="minorHAnsi"/>
          <w:bCs/>
          <w:color w:val="244061" w:themeColor="accent1" w:themeShade="80"/>
        </w:rPr>
        <w:t>SYSTEMATIC EVALUATION OF FACE VALIDITY</w:t>
      </w:r>
    </w:p>
    <w:p w14:paraId="1D2EFB18" w14:textId="72593C37" w:rsidR="00286CA7" w:rsidRDefault="00286CA7" w:rsidP="00286CA7">
      <w:pPr>
        <w:autoSpaceDE w:val="0"/>
        <w:autoSpaceDN w:val="0"/>
        <w:adjustRightInd w:val="0"/>
        <w:spacing w:after="0" w:line="240" w:lineRule="auto"/>
        <w:rPr>
          <w:rFonts w:cstheme="minorHAnsi"/>
          <w:bCs/>
        </w:rPr>
      </w:pPr>
      <w:r w:rsidRPr="006E655D">
        <w:rPr>
          <w:rFonts w:cs="Arial"/>
          <w:color w:val="244061" w:themeColor="accent1" w:themeShade="80"/>
        </w:rPr>
        <w:t>The Follow-Up After Hospitalization for Mental Illness measure was tested for face validity with several panels of experts. Measurement Advisory Panels (MAP) provide the clinical and technical knowledge required to develop the measures. The Behavioral Health MAP included 12 experts in behavioral health including representation by consumers, health plans, health care providers and policy makers. NCQA’s Committee on Performance Measurement (CPM) oversees the evolution of the measurement set and includes representation by purchasers, consumers, health plans, health care providers and policy makers. This panel is made up of 15 members. The CPM is organized and managed by NCQA, and is responsible for advising NCQA staff on the development and maintenance of performance measures. The CPM also meets with the NCQA Board of Directors to recommend measures for inclusion in HEDIS. CPM members reflect the diversity of constituencies that performance measurement serves; some bring other perspectives and additional expertise in quality management and the science of measurement. Additional HEDIS Expert Panels provide invaluable assistance by identifying methodological issues and giving feedback on new and existing measures. See Additional Information: Ad.1. Workgroup/Expert Panel Involved in Measure Development for names and affiliation of expert panel.</w:t>
      </w:r>
    </w:p>
    <w:p w14:paraId="3CD2984C" w14:textId="77777777" w:rsidR="00286CA7" w:rsidRPr="00A25024" w:rsidRDefault="00286CA7" w:rsidP="00DB3627">
      <w:pPr>
        <w:autoSpaceDE w:val="0"/>
        <w:autoSpaceDN w:val="0"/>
        <w:adjustRightInd w:val="0"/>
        <w:spacing w:after="0" w:line="240" w:lineRule="auto"/>
        <w:rPr>
          <w:rFonts w:cstheme="minorHAnsi"/>
          <w:bCs/>
        </w:rPr>
      </w:pPr>
    </w:p>
    <w:p w14:paraId="5087DD36" w14:textId="77777777" w:rsidR="00A9372E" w:rsidRDefault="002B5016" w:rsidP="00C67F55">
      <w:pPr>
        <w:pStyle w:val="paragraph"/>
        <w:spacing w:before="0" w:beforeAutospacing="0" w:after="0" w:afterAutospacing="0"/>
        <w:textAlignment w:val="baseline"/>
        <w:rPr>
          <w:rStyle w:val="normaltextrun"/>
          <w:rFonts w:ascii="Calibri" w:hAnsi="Calibri" w:cs="Calibri"/>
          <w:b/>
          <w:bCs/>
          <w:color w:val="FF0000"/>
          <w:sz w:val="22"/>
          <w:szCs w:val="22"/>
          <w:u w:val="single"/>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p>
    <w:p w14:paraId="59D9AAF0" w14:textId="7DE4E090" w:rsidR="00C67F55" w:rsidRDefault="00C67F55" w:rsidP="00C67F55">
      <w:pPr>
        <w:pStyle w:val="paragraph"/>
        <w:spacing w:before="0" w:beforeAutospacing="0" w:after="0" w:afterAutospacing="0"/>
        <w:textAlignment w:val="baseline"/>
        <w:rPr>
          <w:rStyle w:val="eop"/>
          <w:rFonts w:ascii="Calibri" w:hAnsi="Calibri" w:cs="Calibri"/>
          <w:color w:val="FF0000"/>
          <w:sz w:val="22"/>
          <w:szCs w:val="22"/>
        </w:rPr>
      </w:pPr>
      <w:r w:rsidRPr="00F83B87">
        <w:rPr>
          <w:rStyle w:val="normaltextrun"/>
          <w:rFonts w:ascii="Calibri" w:hAnsi="Calibri" w:cs="Calibri"/>
          <w:b/>
          <w:bCs/>
          <w:color w:val="FF0000"/>
          <w:sz w:val="22"/>
          <w:szCs w:val="22"/>
          <w:u w:val="single"/>
        </w:rPr>
        <w:t>2020 Submission</w:t>
      </w:r>
      <w:r w:rsidRPr="00F83B87">
        <w:rPr>
          <w:rStyle w:val="eop"/>
          <w:rFonts w:ascii="Calibri" w:hAnsi="Calibri" w:cs="Calibri"/>
          <w:color w:val="FF0000"/>
          <w:sz w:val="22"/>
          <w:szCs w:val="22"/>
        </w:rPr>
        <w:t> </w:t>
      </w:r>
    </w:p>
    <w:p w14:paraId="7CC6AEF8" w14:textId="283C9718" w:rsidR="00614727" w:rsidRDefault="00614727" w:rsidP="00614727">
      <w:pPr>
        <w:autoSpaceDE w:val="0"/>
        <w:autoSpaceDN w:val="0"/>
        <w:adjustRightInd w:val="0"/>
        <w:spacing w:after="0" w:line="240" w:lineRule="auto"/>
        <w:rPr>
          <w:color w:val="FF0000"/>
        </w:rPr>
      </w:pPr>
      <w:r w:rsidRPr="32ED5AC0">
        <w:rPr>
          <w:color w:val="FF0000"/>
        </w:rPr>
        <w:t xml:space="preserve">Data are summarized at the health plan level and stratified by product line (i.e. commercial, Medicare, Medicaid). Below is a description of the sample. It includes number of health plans included in HEDIS data collection and the average eligible population for the measure across health plans. </w:t>
      </w:r>
      <w:r w:rsidR="004E7C50">
        <w:rPr>
          <w:color w:val="FF0000"/>
        </w:rPr>
        <w:t xml:space="preserve">For this measure, the eligible population is the </w:t>
      </w:r>
      <w:r w:rsidR="00CF03D4">
        <w:rPr>
          <w:color w:val="FF0000"/>
        </w:rPr>
        <w:t xml:space="preserve">number of </w:t>
      </w:r>
      <w:r w:rsidR="008A4420">
        <w:rPr>
          <w:color w:val="FF0000"/>
        </w:rPr>
        <w:t xml:space="preserve">eligible </w:t>
      </w:r>
      <w:r w:rsidR="00CF03D4">
        <w:rPr>
          <w:color w:val="FF0000"/>
        </w:rPr>
        <w:t xml:space="preserve">discharges </w:t>
      </w:r>
      <w:r w:rsidR="008A4420">
        <w:rPr>
          <w:color w:val="FF0000"/>
        </w:rPr>
        <w:t xml:space="preserve">among plan </w:t>
      </w:r>
      <w:r w:rsidR="00CF03D4">
        <w:rPr>
          <w:color w:val="FF0000"/>
        </w:rPr>
        <w:t>members 6 years of age and older.</w:t>
      </w:r>
      <w:r w:rsidRPr="32ED5AC0">
        <w:rPr>
          <w:color w:val="FF0000"/>
        </w:rPr>
        <w:t xml:space="preserve"> </w:t>
      </w:r>
    </w:p>
    <w:p w14:paraId="3D157F70" w14:textId="77777777" w:rsidR="00614727" w:rsidRDefault="00614727" w:rsidP="00C67F55">
      <w:pPr>
        <w:spacing w:after="0" w:line="240" w:lineRule="auto"/>
        <w:textAlignment w:val="baseline"/>
        <w:rPr>
          <w:rFonts w:ascii="Calibri" w:eastAsia="Times New Roman" w:hAnsi="Calibri" w:cs="Calibri"/>
          <w:color w:val="FF0000"/>
        </w:rPr>
      </w:pPr>
    </w:p>
    <w:p w14:paraId="0CABCFC9" w14:textId="7FCC9954" w:rsidR="007422FD" w:rsidRDefault="007422FD" w:rsidP="00DB3627">
      <w:pPr>
        <w:autoSpaceDE w:val="0"/>
        <w:autoSpaceDN w:val="0"/>
        <w:adjustRightInd w:val="0"/>
        <w:spacing w:after="0" w:line="240" w:lineRule="auto"/>
        <w:rPr>
          <w:rFonts w:cstheme="minorHAnsi"/>
          <w:bCs/>
        </w:rPr>
      </w:pPr>
    </w:p>
    <w:p w14:paraId="4AE9883F" w14:textId="77777777" w:rsidR="00DC72E3" w:rsidRPr="00DC72E3" w:rsidRDefault="00DC72E3" w:rsidP="00DC72E3">
      <w:pPr>
        <w:pStyle w:val="Heading5"/>
        <w:spacing w:before="0" w:line="240" w:lineRule="auto"/>
        <w:rPr>
          <w:rFonts w:asciiTheme="minorHAnsi" w:hAnsiTheme="minorHAnsi" w:cstheme="minorBidi"/>
          <w:i/>
          <w:color w:val="FF0000"/>
        </w:rPr>
      </w:pPr>
      <w:r w:rsidRPr="00982B1F">
        <w:rPr>
          <w:rFonts w:asciiTheme="minorHAnsi" w:hAnsiTheme="minorHAnsi" w:cstheme="minorBidi"/>
          <w:i/>
          <w:color w:val="FF0000"/>
        </w:rPr>
        <w:t>7</w:t>
      </w:r>
      <w:r w:rsidRPr="00DC72E3">
        <w:rPr>
          <w:rFonts w:asciiTheme="minorHAnsi" w:hAnsiTheme="minorHAnsi" w:cstheme="minorBidi"/>
          <w:i/>
          <w:color w:val="FF0000"/>
        </w:rPr>
        <w:t>-day Follow-Up Rate</w:t>
      </w:r>
    </w:p>
    <w:tbl>
      <w:tblPr>
        <w:tblStyle w:val="TableGrid"/>
        <w:tblW w:w="0" w:type="auto"/>
        <w:tblLook w:val="04A0" w:firstRow="1" w:lastRow="0" w:firstColumn="1" w:lastColumn="0" w:noHBand="0" w:noVBand="1"/>
      </w:tblPr>
      <w:tblGrid>
        <w:gridCol w:w="2747"/>
        <w:gridCol w:w="2326"/>
        <w:gridCol w:w="4109"/>
      </w:tblGrid>
      <w:tr w:rsidR="00F10889" w:rsidRPr="00DC72E3" w14:paraId="7458DD07" w14:textId="42345C41" w:rsidTr="00F10889">
        <w:trPr>
          <w:trHeight w:val="415"/>
        </w:trPr>
        <w:tc>
          <w:tcPr>
            <w:tcW w:w="2747" w:type="dxa"/>
          </w:tcPr>
          <w:p w14:paraId="7C1CB425" w14:textId="77777777" w:rsidR="00F10889" w:rsidRPr="00DC72E3" w:rsidRDefault="00F10889" w:rsidP="00050392">
            <w:pPr>
              <w:rPr>
                <w:b/>
                <w:color w:val="FF0000"/>
              </w:rPr>
            </w:pPr>
            <w:r w:rsidRPr="00DC72E3">
              <w:rPr>
                <w:b/>
                <w:color w:val="FF0000"/>
              </w:rPr>
              <w:t>Product Line</w:t>
            </w:r>
          </w:p>
        </w:tc>
        <w:tc>
          <w:tcPr>
            <w:tcW w:w="2326" w:type="dxa"/>
          </w:tcPr>
          <w:p w14:paraId="7437F8C8" w14:textId="77777777" w:rsidR="00F10889" w:rsidRPr="00DC72E3" w:rsidRDefault="00F10889" w:rsidP="00050392">
            <w:pPr>
              <w:rPr>
                <w:b/>
                <w:color w:val="FF0000"/>
              </w:rPr>
            </w:pPr>
            <w:r w:rsidRPr="00DC72E3">
              <w:rPr>
                <w:b/>
                <w:color w:val="FF0000"/>
              </w:rPr>
              <w:t>Number of Plans</w:t>
            </w:r>
          </w:p>
        </w:tc>
        <w:tc>
          <w:tcPr>
            <w:tcW w:w="4109" w:type="dxa"/>
          </w:tcPr>
          <w:p w14:paraId="22500EEA" w14:textId="73528CB6" w:rsidR="00F10889" w:rsidRPr="00DC72E3" w:rsidRDefault="00F10889" w:rsidP="00050392">
            <w:pPr>
              <w:rPr>
                <w:b/>
                <w:color w:val="FF0000"/>
              </w:rPr>
            </w:pPr>
            <w:r w:rsidRPr="00DC72E3">
              <w:rPr>
                <w:b/>
                <w:color w:val="FF0000"/>
              </w:rPr>
              <w:t xml:space="preserve">Mean number of eligible </w:t>
            </w:r>
            <w:r w:rsidR="004E7C50">
              <w:rPr>
                <w:b/>
                <w:color w:val="FF0000"/>
              </w:rPr>
              <w:t>discharges</w:t>
            </w:r>
            <w:r w:rsidR="004E7C50" w:rsidRPr="00DC72E3">
              <w:rPr>
                <w:b/>
                <w:color w:val="FF0000"/>
              </w:rPr>
              <w:t xml:space="preserve"> </w:t>
            </w:r>
            <w:r w:rsidRPr="00DC72E3">
              <w:rPr>
                <w:b/>
                <w:color w:val="FF0000"/>
              </w:rPr>
              <w:t>per plan</w:t>
            </w:r>
          </w:p>
        </w:tc>
      </w:tr>
      <w:tr w:rsidR="00F10889" w:rsidRPr="00DC72E3" w14:paraId="6BA32C7A" w14:textId="50A843CC" w:rsidTr="00F10889">
        <w:trPr>
          <w:trHeight w:val="213"/>
        </w:trPr>
        <w:tc>
          <w:tcPr>
            <w:tcW w:w="2747" w:type="dxa"/>
          </w:tcPr>
          <w:p w14:paraId="10245453" w14:textId="77777777" w:rsidR="00F10889" w:rsidRPr="00DC72E3" w:rsidRDefault="00F10889" w:rsidP="00050392">
            <w:pPr>
              <w:rPr>
                <w:color w:val="FF0000"/>
              </w:rPr>
            </w:pPr>
            <w:r w:rsidRPr="00DC72E3">
              <w:rPr>
                <w:color w:val="FF0000"/>
              </w:rPr>
              <w:t xml:space="preserve">Commercial </w:t>
            </w:r>
          </w:p>
        </w:tc>
        <w:tc>
          <w:tcPr>
            <w:tcW w:w="2326" w:type="dxa"/>
          </w:tcPr>
          <w:p w14:paraId="5CC3B484" w14:textId="546668B5" w:rsidR="00F10889" w:rsidRPr="00DC72E3" w:rsidRDefault="00F10889" w:rsidP="00050392">
            <w:pPr>
              <w:rPr>
                <w:color w:val="FF0000"/>
              </w:rPr>
            </w:pPr>
            <w:r>
              <w:rPr>
                <w:color w:val="FF0000"/>
              </w:rPr>
              <w:t>361</w:t>
            </w:r>
          </w:p>
        </w:tc>
        <w:tc>
          <w:tcPr>
            <w:tcW w:w="4109" w:type="dxa"/>
          </w:tcPr>
          <w:p w14:paraId="5AF106EA" w14:textId="096E5A05" w:rsidR="00F10889" w:rsidRPr="00DC72E3" w:rsidRDefault="00F10889" w:rsidP="00050392">
            <w:pPr>
              <w:rPr>
                <w:color w:val="FF0000"/>
              </w:rPr>
            </w:pPr>
            <w:r w:rsidRPr="00982B1F">
              <w:rPr>
                <w:color w:val="FF0000"/>
              </w:rPr>
              <w:t>668</w:t>
            </w:r>
          </w:p>
        </w:tc>
      </w:tr>
      <w:tr w:rsidR="00F10889" w:rsidRPr="00DC72E3" w14:paraId="47BA3168" w14:textId="5DF36F5C" w:rsidTr="00F10889">
        <w:trPr>
          <w:trHeight w:val="202"/>
        </w:trPr>
        <w:tc>
          <w:tcPr>
            <w:tcW w:w="2747" w:type="dxa"/>
          </w:tcPr>
          <w:p w14:paraId="6DEE2C9E" w14:textId="77777777" w:rsidR="00F10889" w:rsidRPr="00DC72E3" w:rsidRDefault="00F10889" w:rsidP="00050392">
            <w:pPr>
              <w:rPr>
                <w:color w:val="FF0000"/>
              </w:rPr>
            </w:pPr>
            <w:r w:rsidRPr="00DC72E3">
              <w:rPr>
                <w:color w:val="FF0000"/>
              </w:rPr>
              <w:t>Medicaid</w:t>
            </w:r>
          </w:p>
        </w:tc>
        <w:tc>
          <w:tcPr>
            <w:tcW w:w="2326" w:type="dxa"/>
          </w:tcPr>
          <w:p w14:paraId="6532A39B" w14:textId="610D26A2" w:rsidR="00F10889" w:rsidRPr="00DC72E3" w:rsidRDefault="00F10889" w:rsidP="00050392">
            <w:pPr>
              <w:rPr>
                <w:color w:val="FF0000"/>
              </w:rPr>
            </w:pPr>
            <w:r>
              <w:rPr>
                <w:color w:val="FF0000"/>
              </w:rPr>
              <w:t>173</w:t>
            </w:r>
          </w:p>
        </w:tc>
        <w:tc>
          <w:tcPr>
            <w:tcW w:w="4109" w:type="dxa"/>
          </w:tcPr>
          <w:p w14:paraId="62BB5509" w14:textId="69802D3B" w:rsidR="00F10889" w:rsidRPr="00DC72E3" w:rsidRDefault="00F10889" w:rsidP="00050392">
            <w:pPr>
              <w:rPr>
                <w:color w:val="FF0000"/>
              </w:rPr>
            </w:pPr>
            <w:r w:rsidRPr="00512973">
              <w:rPr>
                <w:color w:val="FF0000"/>
              </w:rPr>
              <w:t>1946</w:t>
            </w:r>
          </w:p>
        </w:tc>
      </w:tr>
      <w:tr w:rsidR="00F10889" w:rsidRPr="00DC72E3" w14:paraId="5E7EEED6" w14:textId="538980F0" w:rsidTr="00F10889">
        <w:trPr>
          <w:trHeight w:val="213"/>
        </w:trPr>
        <w:tc>
          <w:tcPr>
            <w:tcW w:w="2747" w:type="dxa"/>
          </w:tcPr>
          <w:p w14:paraId="4D063547" w14:textId="77777777" w:rsidR="00F10889" w:rsidRPr="00DC72E3" w:rsidRDefault="00F10889" w:rsidP="00050392">
            <w:pPr>
              <w:rPr>
                <w:color w:val="FF0000"/>
              </w:rPr>
            </w:pPr>
            <w:r w:rsidRPr="00DC72E3">
              <w:rPr>
                <w:color w:val="FF0000"/>
              </w:rPr>
              <w:t>Medicare</w:t>
            </w:r>
          </w:p>
        </w:tc>
        <w:tc>
          <w:tcPr>
            <w:tcW w:w="2326" w:type="dxa"/>
          </w:tcPr>
          <w:p w14:paraId="0236BE1D" w14:textId="6F298A6A" w:rsidR="00F10889" w:rsidRPr="00DC72E3" w:rsidRDefault="00F10889" w:rsidP="00050392">
            <w:pPr>
              <w:rPr>
                <w:color w:val="FF0000"/>
              </w:rPr>
            </w:pPr>
            <w:r>
              <w:rPr>
                <w:color w:val="FF0000"/>
              </w:rPr>
              <w:t>308</w:t>
            </w:r>
          </w:p>
        </w:tc>
        <w:tc>
          <w:tcPr>
            <w:tcW w:w="4109" w:type="dxa"/>
          </w:tcPr>
          <w:p w14:paraId="0927FF6F" w14:textId="7292EBD6" w:rsidR="00F10889" w:rsidRPr="00DC72E3" w:rsidRDefault="00F10889" w:rsidP="00050392">
            <w:pPr>
              <w:rPr>
                <w:color w:val="FF0000"/>
              </w:rPr>
            </w:pPr>
            <w:r w:rsidRPr="006E02A2">
              <w:rPr>
                <w:color w:val="FF0000"/>
              </w:rPr>
              <w:t>34</w:t>
            </w:r>
            <w:r w:rsidR="002C4CDF">
              <w:rPr>
                <w:color w:val="FF0000"/>
              </w:rPr>
              <w:t>4</w:t>
            </w:r>
          </w:p>
        </w:tc>
      </w:tr>
    </w:tbl>
    <w:p w14:paraId="6AC1A02F" w14:textId="77777777" w:rsidR="00DC72E3" w:rsidRDefault="00DC72E3" w:rsidP="00DC72E3">
      <w:pPr>
        <w:pStyle w:val="Caption"/>
        <w:spacing w:before="0"/>
        <w:rPr>
          <w:color w:val="FF0000"/>
        </w:rPr>
      </w:pPr>
    </w:p>
    <w:p w14:paraId="469D6A57" w14:textId="3ACD22ED" w:rsidR="00DC72E3" w:rsidRPr="00DC72E3" w:rsidRDefault="00DC72E3" w:rsidP="00DC72E3">
      <w:pPr>
        <w:pStyle w:val="Caption"/>
        <w:spacing w:before="0"/>
        <w:rPr>
          <w:color w:val="FF0000"/>
        </w:rPr>
      </w:pPr>
      <w:r w:rsidRPr="00DC72E3">
        <w:rPr>
          <w:color w:val="FF0000"/>
        </w:rPr>
        <w:t>30-Day Follow-Up Rate</w:t>
      </w:r>
    </w:p>
    <w:tbl>
      <w:tblPr>
        <w:tblStyle w:val="TableGrid"/>
        <w:tblW w:w="0" w:type="auto"/>
        <w:tblLook w:val="04A0" w:firstRow="1" w:lastRow="0" w:firstColumn="1" w:lastColumn="0" w:noHBand="0" w:noVBand="1"/>
      </w:tblPr>
      <w:tblGrid>
        <w:gridCol w:w="2760"/>
        <w:gridCol w:w="2336"/>
        <w:gridCol w:w="4128"/>
      </w:tblGrid>
      <w:tr w:rsidR="00F10889" w:rsidRPr="00DC72E3" w14:paraId="43A5A185" w14:textId="0BFE0F0F" w:rsidTr="00F10889">
        <w:trPr>
          <w:trHeight w:val="408"/>
        </w:trPr>
        <w:tc>
          <w:tcPr>
            <w:tcW w:w="2760" w:type="dxa"/>
          </w:tcPr>
          <w:p w14:paraId="200557A9" w14:textId="77777777" w:rsidR="00F10889" w:rsidRPr="00DC72E3" w:rsidRDefault="00F10889" w:rsidP="00050392">
            <w:pPr>
              <w:pStyle w:val="Heading7"/>
              <w:spacing w:before="0"/>
              <w:outlineLvl w:val="6"/>
              <w:rPr>
                <w:rFonts w:asciiTheme="minorHAnsi" w:hAnsiTheme="minorHAnsi" w:cstheme="minorBidi"/>
                <w:color w:val="FF0000"/>
              </w:rPr>
            </w:pPr>
            <w:r w:rsidRPr="00DC72E3">
              <w:rPr>
                <w:rFonts w:asciiTheme="minorHAnsi" w:hAnsiTheme="minorHAnsi" w:cstheme="minorBidi"/>
                <w:color w:val="FF0000"/>
              </w:rPr>
              <w:t>Product Line</w:t>
            </w:r>
          </w:p>
        </w:tc>
        <w:tc>
          <w:tcPr>
            <w:tcW w:w="2336" w:type="dxa"/>
          </w:tcPr>
          <w:p w14:paraId="0800AFE3" w14:textId="77777777" w:rsidR="00F10889" w:rsidRPr="00DC72E3" w:rsidRDefault="00F10889" w:rsidP="00050392">
            <w:pPr>
              <w:rPr>
                <w:b/>
                <w:color w:val="FF0000"/>
              </w:rPr>
            </w:pPr>
            <w:r w:rsidRPr="00DC72E3">
              <w:rPr>
                <w:b/>
                <w:color w:val="FF0000"/>
              </w:rPr>
              <w:t>Number of Plans</w:t>
            </w:r>
          </w:p>
        </w:tc>
        <w:tc>
          <w:tcPr>
            <w:tcW w:w="4128" w:type="dxa"/>
          </w:tcPr>
          <w:p w14:paraId="1D684181" w14:textId="40ED07F2" w:rsidR="00F10889" w:rsidRPr="00DC72E3" w:rsidRDefault="00F10889" w:rsidP="00050392">
            <w:pPr>
              <w:rPr>
                <w:b/>
                <w:color w:val="FF0000"/>
              </w:rPr>
            </w:pPr>
            <w:r w:rsidRPr="00DC72E3">
              <w:rPr>
                <w:b/>
                <w:color w:val="FF0000"/>
              </w:rPr>
              <w:t xml:space="preserve">Mean number of eligible </w:t>
            </w:r>
            <w:r w:rsidR="004E7C50">
              <w:rPr>
                <w:b/>
                <w:color w:val="FF0000"/>
              </w:rPr>
              <w:t>discharges</w:t>
            </w:r>
            <w:r w:rsidR="004E7C50" w:rsidRPr="00DC72E3">
              <w:rPr>
                <w:b/>
                <w:color w:val="FF0000"/>
              </w:rPr>
              <w:t xml:space="preserve"> </w:t>
            </w:r>
            <w:r w:rsidRPr="00DC72E3">
              <w:rPr>
                <w:b/>
                <w:color w:val="FF0000"/>
              </w:rPr>
              <w:t>per plan</w:t>
            </w:r>
          </w:p>
        </w:tc>
      </w:tr>
      <w:tr w:rsidR="00F10889" w:rsidRPr="00DC72E3" w14:paraId="2C6B63E8" w14:textId="6FF75440" w:rsidTr="00F10889">
        <w:trPr>
          <w:trHeight w:val="209"/>
        </w:trPr>
        <w:tc>
          <w:tcPr>
            <w:tcW w:w="2760" w:type="dxa"/>
          </w:tcPr>
          <w:p w14:paraId="443232DF" w14:textId="77777777" w:rsidR="00F10889" w:rsidRPr="00DC72E3" w:rsidRDefault="00F10889" w:rsidP="00050392">
            <w:pPr>
              <w:rPr>
                <w:color w:val="FF0000"/>
              </w:rPr>
            </w:pPr>
            <w:r w:rsidRPr="00DC72E3">
              <w:rPr>
                <w:color w:val="FF0000"/>
              </w:rPr>
              <w:t xml:space="preserve">Commercial </w:t>
            </w:r>
          </w:p>
        </w:tc>
        <w:tc>
          <w:tcPr>
            <w:tcW w:w="2336" w:type="dxa"/>
          </w:tcPr>
          <w:p w14:paraId="54D680C2" w14:textId="06617D39" w:rsidR="00F10889" w:rsidRPr="00DC72E3" w:rsidRDefault="00F10889" w:rsidP="00050392">
            <w:pPr>
              <w:rPr>
                <w:color w:val="FF0000"/>
              </w:rPr>
            </w:pPr>
            <w:r>
              <w:rPr>
                <w:color w:val="FF0000"/>
              </w:rPr>
              <w:t>358</w:t>
            </w:r>
          </w:p>
        </w:tc>
        <w:tc>
          <w:tcPr>
            <w:tcW w:w="4128" w:type="dxa"/>
          </w:tcPr>
          <w:p w14:paraId="441673F5" w14:textId="40BEBCF0" w:rsidR="00F10889" w:rsidRPr="00DC72E3" w:rsidRDefault="00F10889" w:rsidP="00050392">
            <w:pPr>
              <w:rPr>
                <w:color w:val="FF0000"/>
              </w:rPr>
            </w:pPr>
            <w:r w:rsidRPr="00982B1F">
              <w:rPr>
                <w:color w:val="FF0000"/>
              </w:rPr>
              <w:t>665</w:t>
            </w:r>
          </w:p>
        </w:tc>
      </w:tr>
      <w:tr w:rsidR="00F10889" w:rsidRPr="00DC72E3" w14:paraId="66766073" w14:textId="39CA6EC5" w:rsidTr="00F10889">
        <w:trPr>
          <w:trHeight w:val="198"/>
        </w:trPr>
        <w:tc>
          <w:tcPr>
            <w:tcW w:w="2760" w:type="dxa"/>
          </w:tcPr>
          <w:p w14:paraId="2EE49652" w14:textId="77777777" w:rsidR="00F10889" w:rsidRPr="00DC72E3" w:rsidRDefault="00F10889" w:rsidP="00050392">
            <w:pPr>
              <w:rPr>
                <w:color w:val="FF0000"/>
              </w:rPr>
            </w:pPr>
            <w:r w:rsidRPr="00DC72E3">
              <w:rPr>
                <w:color w:val="FF0000"/>
              </w:rPr>
              <w:t>Medicaid</w:t>
            </w:r>
          </w:p>
        </w:tc>
        <w:tc>
          <w:tcPr>
            <w:tcW w:w="2336" w:type="dxa"/>
          </w:tcPr>
          <w:p w14:paraId="126795DE" w14:textId="631F18EE" w:rsidR="00F10889" w:rsidRPr="00DC72E3" w:rsidRDefault="00F10889" w:rsidP="00050392">
            <w:pPr>
              <w:rPr>
                <w:color w:val="FF0000"/>
              </w:rPr>
            </w:pPr>
            <w:r>
              <w:rPr>
                <w:color w:val="FF0000"/>
              </w:rPr>
              <w:t>172</w:t>
            </w:r>
          </w:p>
        </w:tc>
        <w:tc>
          <w:tcPr>
            <w:tcW w:w="4128" w:type="dxa"/>
          </w:tcPr>
          <w:p w14:paraId="2AED2377" w14:textId="3CCBA201" w:rsidR="00F10889" w:rsidRPr="00DC72E3" w:rsidRDefault="00F10889" w:rsidP="00050392">
            <w:pPr>
              <w:rPr>
                <w:color w:val="FF0000"/>
              </w:rPr>
            </w:pPr>
            <w:r w:rsidRPr="0001720C">
              <w:rPr>
                <w:color w:val="FF0000"/>
              </w:rPr>
              <w:t>195</w:t>
            </w:r>
            <w:r w:rsidR="002C4CDF">
              <w:rPr>
                <w:color w:val="FF0000"/>
              </w:rPr>
              <w:t>6</w:t>
            </w:r>
          </w:p>
        </w:tc>
      </w:tr>
      <w:tr w:rsidR="00F10889" w:rsidRPr="00DC72E3" w14:paraId="742FC8B7" w14:textId="181C7385" w:rsidTr="00F10889">
        <w:trPr>
          <w:trHeight w:val="209"/>
        </w:trPr>
        <w:tc>
          <w:tcPr>
            <w:tcW w:w="2760" w:type="dxa"/>
          </w:tcPr>
          <w:p w14:paraId="665EFBE9" w14:textId="77777777" w:rsidR="00F10889" w:rsidRPr="00DC72E3" w:rsidRDefault="00F10889" w:rsidP="00050392">
            <w:pPr>
              <w:rPr>
                <w:color w:val="FF0000"/>
              </w:rPr>
            </w:pPr>
            <w:r w:rsidRPr="00DC72E3">
              <w:rPr>
                <w:color w:val="FF0000"/>
              </w:rPr>
              <w:t>Medicare</w:t>
            </w:r>
          </w:p>
        </w:tc>
        <w:tc>
          <w:tcPr>
            <w:tcW w:w="2336" w:type="dxa"/>
          </w:tcPr>
          <w:p w14:paraId="64F2F534" w14:textId="3FD548A9" w:rsidR="00F10889" w:rsidRPr="00DC72E3" w:rsidRDefault="00F10889" w:rsidP="00050392">
            <w:pPr>
              <w:rPr>
                <w:color w:val="FF0000"/>
              </w:rPr>
            </w:pPr>
            <w:r>
              <w:rPr>
                <w:color w:val="FF0000"/>
              </w:rPr>
              <w:t>308</w:t>
            </w:r>
          </w:p>
        </w:tc>
        <w:tc>
          <w:tcPr>
            <w:tcW w:w="4128" w:type="dxa"/>
          </w:tcPr>
          <w:p w14:paraId="57B5CABE" w14:textId="4488E9B2" w:rsidR="00F10889" w:rsidRPr="00DC72E3" w:rsidRDefault="00F10889" w:rsidP="00050392">
            <w:pPr>
              <w:rPr>
                <w:color w:val="FF0000"/>
              </w:rPr>
            </w:pPr>
            <w:r w:rsidRPr="00C8181C">
              <w:rPr>
                <w:color w:val="FF0000"/>
              </w:rPr>
              <w:t>34</w:t>
            </w:r>
            <w:r w:rsidR="002C4CDF">
              <w:rPr>
                <w:color w:val="FF0000"/>
              </w:rPr>
              <w:t>4</w:t>
            </w:r>
          </w:p>
        </w:tc>
      </w:tr>
    </w:tbl>
    <w:p w14:paraId="67232905" w14:textId="77777777" w:rsidR="00DC72E3" w:rsidRDefault="00DC72E3" w:rsidP="00DB3627">
      <w:pPr>
        <w:autoSpaceDE w:val="0"/>
        <w:autoSpaceDN w:val="0"/>
        <w:adjustRightInd w:val="0"/>
        <w:spacing w:after="0" w:line="240" w:lineRule="auto"/>
        <w:rPr>
          <w:rFonts w:cstheme="minorHAnsi"/>
          <w:bCs/>
        </w:rPr>
      </w:pPr>
    </w:p>
    <w:p w14:paraId="2B943781" w14:textId="6218A5EA" w:rsidR="00B76183" w:rsidRDefault="00B76183" w:rsidP="00DB3627">
      <w:pPr>
        <w:autoSpaceDE w:val="0"/>
        <w:autoSpaceDN w:val="0"/>
        <w:adjustRightInd w:val="0"/>
        <w:spacing w:after="0" w:line="240" w:lineRule="auto"/>
        <w:rPr>
          <w:rFonts w:cstheme="minorHAnsi"/>
          <w:bCs/>
        </w:rPr>
      </w:pPr>
    </w:p>
    <w:p w14:paraId="30C03ED3" w14:textId="77777777" w:rsidR="00897044" w:rsidRPr="006E655D" w:rsidRDefault="00897044" w:rsidP="00897044">
      <w:pPr>
        <w:autoSpaceDE w:val="0"/>
        <w:autoSpaceDN w:val="0"/>
        <w:adjustRightInd w:val="0"/>
        <w:spacing w:after="0" w:line="240" w:lineRule="auto"/>
        <w:rPr>
          <w:rFonts w:cstheme="minorHAnsi"/>
          <w:b/>
          <w:bCs/>
          <w:color w:val="244061" w:themeColor="accent1" w:themeShade="80"/>
        </w:rPr>
      </w:pPr>
      <w:r w:rsidRPr="006E655D">
        <w:rPr>
          <w:rFonts w:cstheme="minorHAnsi"/>
          <w:b/>
          <w:bCs/>
          <w:color w:val="244061" w:themeColor="accent1" w:themeShade="80"/>
          <w:u w:val="single"/>
        </w:rPr>
        <w:t>2016 Update: MEASURE SCORE RELIABILITY TESTING</w:t>
      </w:r>
    </w:p>
    <w:p w14:paraId="5A36EE88" w14:textId="77777777" w:rsidR="00897044" w:rsidRPr="006E655D" w:rsidRDefault="00897044" w:rsidP="00897044">
      <w:pPr>
        <w:pStyle w:val="NoSpacing"/>
        <w:rPr>
          <w:rFonts w:asciiTheme="minorHAnsi" w:hAnsiTheme="minorHAnsi" w:cstheme="minorHAnsi"/>
          <w:color w:val="244061" w:themeColor="accent1" w:themeShade="80"/>
        </w:rPr>
      </w:pPr>
      <w:r w:rsidRPr="006E655D">
        <w:rPr>
          <w:rFonts w:asciiTheme="minorHAnsi" w:hAnsiTheme="minorHAnsi" w:cstheme="minorHAnsi"/>
          <w:bCs/>
          <w:color w:val="244061" w:themeColor="accent1" w:themeShade="80"/>
        </w:rPr>
        <w:t xml:space="preserve">Patients included for measure score reliability testing: </w:t>
      </w:r>
      <w:r w:rsidRPr="006E655D">
        <w:rPr>
          <w:rFonts w:asciiTheme="minorHAnsi" w:hAnsiTheme="minorHAnsi"/>
          <w:color w:val="244061" w:themeColor="accent1" w:themeShade="80"/>
        </w:rPr>
        <w:t xml:space="preserve">In 2016, HEDIS measures covered 114.2 million commercial health plan beneficiaries, 47.0 million Medicaid beneficiaries, and 17.6 million Medicare beneficiaries. Data are summarized at the health plan level and stratified by product line. </w:t>
      </w:r>
      <w:r w:rsidRPr="006E655D">
        <w:rPr>
          <w:rFonts w:asciiTheme="minorHAnsi" w:hAnsiTheme="minorHAnsi" w:cstheme="minorHAnsi"/>
          <w:color w:val="244061" w:themeColor="accent1" w:themeShade="80"/>
        </w:rPr>
        <w:t xml:space="preserve">Below is a description of the testing data, including number of health plans included and the mean eligible population for the measure across health plans. </w:t>
      </w:r>
    </w:p>
    <w:p w14:paraId="0869B4FF" w14:textId="77777777" w:rsidR="00897044" w:rsidRPr="006E655D" w:rsidRDefault="00897044" w:rsidP="00897044">
      <w:pPr>
        <w:autoSpaceDE w:val="0"/>
        <w:autoSpaceDN w:val="0"/>
        <w:adjustRightInd w:val="0"/>
        <w:spacing w:after="0" w:line="240" w:lineRule="auto"/>
        <w:rPr>
          <w:rFonts w:cstheme="minorHAnsi"/>
          <w:bCs/>
          <w:color w:val="244061" w:themeColor="accent1" w:themeShade="80"/>
        </w:rPr>
      </w:pPr>
    </w:p>
    <w:p w14:paraId="5A514917" w14:textId="77777777" w:rsidR="00897044" w:rsidRPr="006E655D" w:rsidRDefault="00897044" w:rsidP="00897044">
      <w:pPr>
        <w:pStyle w:val="Heading5"/>
        <w:spacing w:before="0" w:line="240" w:lineRule="auto"/>
        <w:rPr>
          <w:rFonts w:asciiTheme="minorHAnsi" w:hAnsiTheme="minorHAnsi" w:cstheme="minorBidi"/>
          <w:i/>
          <w:color w:val="244061" w:themeColor="accent1" w:themeShade="80"/>
        </w:rPr>
      </w:pPr>
      <w:r w:rsidRPr="006E655D">
        <w:rPr>
          <w:rFonts w:asciiTheme="minorHAnsi" w:hAnsiTheme="minorHAnsi" w:cstheme="minorBidi"/>
          <w:i/>
          <w:color w:val="244061" w:themeColor="accent1" w:themeShade="80"/>
        </w:rPr>
        <w:t>7-day Follow-Up Rate</w:t>
      </w:r>
    </w:p>
    <w:tbl>
      <w:tblPr>
        <w:tblStyle w:val="TableGrid"/>
        <w:tblW w:w="0" w:type="auto"/>
        <w:tblLook w:val="04A0" w:firstRow="1" w:lastRow="0" w:firstColumn="1" w:lastColumn="0" w:noHBand="0" w:noVBand="1"/>
      </w:tblPr>
      <w:tblGrid>
        <w:gridCol w:w="2394"/>
        <w:gridCol w:w="2101"/>
        <w:gridCol w:w="4140"/>
      </w:tblGrid>
      <w:tr w:rsidR="00897044" w:rsidRPr="006E655D" w14:paraId="61302164" w14:textId="77777777" w:rsidTr="00050392">
        <w:tc>
          <w:tcPr>
            <w:tcW w:w="2394" w:type="dxa"/>
          </w:tcPr>
          <w:p w14:paraId="7B6DE8DE" w14:textId="77777777" w:rsidR="00897044" w:rsidRPr="006E655D" w:rsidRDefault="00897044" w:rsidP="00050392">
            <w:pPr>
              <w:rPr>
                <w:b/>
                <w:color w:val="244061" w:themeColor="accent1" w:themeShade="80"/>
              </w:rPr>
            </w:pPr>
            <w:r w:rsidRPr="006E655D">
              <w:rPr>
                <w:b/>
                <w:color w:val="244061" w:themeColor="accent1" w:themeShade="80"/>
              </w:rPr>
              <w:t>Product Line</w:t>
            </w:r>
          </w:p>
        </w:tc>
        <w:tc>
          <w:tcPr>
            <w:tcW w:w="2101" w:type="dxa"/>
          </w:tcPr>
          <w:p w14:paraId="428B93F8" w14:textId="77777777" w:rsidR="00897044" w:rsidRPr="006E655D" w:rsidRDefault="00897044" w:rsidP="00050392">
            <w:pPr>
              <w:rPr>
                <w:b/>
                <w:color w:val="244061" w:themeColor="accent1" w:themeShade="80"/>
              </w:rPr>
            </w:pPr>
            <w:r w:rsidRPr="006E655D">
              <w:rPr>
                <w:b/>
                <w:color w:val="244061" w:themeColor="accent1" w:themeShade="80"/>
              </w:rPr>
              <w:t>Number of Plans</w:t>
            </w:r>
          </w:p>
        </w:tc>
        <w:tc>
          <w:tcPr>
            <w:tcW w:w="4140" w:type="dxa"/>
          </w:tcPr>
          <w:p w14:paraId="7FB86CBA" w14:textId="77777777" w:rsidR="00897044" w:rsidRPr="006E655D" w:rsidRDefault="00897044" w:rsidP="00050392">
            <w:pPr>
              <w:rPr>
                <w:b/>
                <w:color w:val="244061" w:themeColor="accent1" w:themeShade="80"/>
              </w:rPr>
            </w:pPr>
            <w:r w:rsidRPr="006E655D">
              <w:rPr>
                <w:b/>
                <w:color w:val="244061" w:themeColor="accent1" w:themeShade="80"/>
              </w:rPr>
              <w:t>Mean number of eligible patients per plan</w:t>
            </w:r>
          </w:p>
        </w:tc>
      </w:tr>
      <w:tr w:rsidR="00897044" w:rsidRPr="006E655D" w14:paraId="373F5E6D" w14:textId="77777777" w:rsidTr="00050392">
        <w:tc>
          <w:tcPr>
            <w:tcW w:w="2394" w:type="dxa"/>
          </w:tcPr>
          <w:p w14:paraId="0E7DE30E" w14:textId="77777777" w:rsidR="00897044" w:rsidRPr="006E655D" w:rsidRDefault="00897044" w:rsidP="00050392">
            <w:pPr>
              <w:rPr>
                <w:color w:val="244061" w:themeColor="accent1" w:themeShade="80"/>
              </w:rPr>
            </w:pPr>
            <w:r w:rsidRPr="006E655D">
              <w:rPr>
                <w:color w:val="244061" w:themeColor="accent1" w:themeShade="80"/>
              </w:rPr>
              <w:t xml:space="preserve">Commercial </w:t>
            </w:r>
          </w:p>
        </w:tc>
        <w:tc>
          <w:tcPr>
            <w:tcW w:w="2101" w:type="dxa"/>
          </w:tcPr>
          <w:p w14:paraId="0E7C4EE1" w14:textId="77777777" w:rsidR="00897044" w:rsidRPr="006E655D" w:rsidRDefault="00897044" w:rsidP="00050392">
            <w:pPr>
              <w:rPr>
                <w:color w:val="244061" w:themeColor="accent1" w:themeShade="80"/>
              </w:rPr>
            </w:pPr>
            <w:r w:rsidRPr="006E655D">
              <w:rPr>
                <w:color w:val="244061" w:themeColor="accent1" w:themeShade="80"/>
              </w:rPr>
              <w:t>368</w:t>
            </w:r>
          </w:p>
        </w:tc>
        <w:tc>
          <w:tcPr>
            <w:tcW w:w="4140" w:type="dxa"/>
          </w:tcPr>
          <w:p w14:paraId="51EAC975" w14:textId="77777777" w:rsidR="00897044" w:rsidRPr="006E655D" w:rsidRDefault="00897044" w:rsidP="00050392">
            <w:pPr>
              <w:rPr>
                <w:color w:val="244061" w:themeColor="accent1" w:themeShade="80"/>
              </w:rPr>
            </w:pPr>
            <w:r w:rsidRPr="006E655D">
              <w:rPr>
                <w:color w:val="244061" w:themeColor="accent1" w:themeShade="80"/>
              </w:rPr>
              <w:t>568</w:t>
            </w:r>
          </w:p>
        </w:tc>
      </w:tr>
      <w:tr w:rsidR="00897044" w:rsidRPr="006E655D" w14:paraId="7FE7F8A1" w14:textId="77777777" w:rsidTr="00050392">
        <w:tc>
          <w:tcPr>
            <w:tcW w:w="2394" w:type="dxa"/>
          </w:tcPr>
          <w:p w14:paraId="15165C09" w14:textId="77777777" w:rsidR="00897044" w:rsidRPr="006E655D" w:rsidRDefault="00897044" w:rsidP="00050392">
            <w:pPr>
              <w:rPr>
                <w:color w:val="244061" w:themeColor="accent1" w:themeShade="80"/>
              </w:rPr>
            </w:pPr>
            <w:r w:rsidRPr="006E655D">
              <w:rPr>
                <w:color w:val="244061" w:themeColor="accent1" w:themeShade="80"/>
              </w:rPr>
              <w:t>Medicaid</w:t>
            </w:r>
          </w:p>
        </w:tc>
        <w:tc>
          <w:tcPr>
            <w:tcW w:w="2101" w:type="dxa"/>
          </w:tcPr>
          <w:p w14:paraId="15D56FFB" w14:textId="77777777" w:rsidR="00897044" w:rsidRPr="006E655D" w:rsidRDefault="00897044" w:rsidP="00050392">
            <w:pPr>
              <w:rPr>
                <w:color w:val="244061" w:themeColor="accent1" w:themeShade="80"/>
              </w:rPr>
            </w:pPr>
            <w:r w:rsidRPr="006E655D">
              <w:rPr>
                <w:color w:val="244061" w:themeColor="accent1" w:themeShade="80"/>
              </w:rPr>
              <w:t>166</w:t>
            </w:r>
          </w:p>
        </w:tc>
        <w:tc>
          <w:tcPr>
            <w:tcW w:w="4140" w:type="dxa"/>
          </w:tcPr>
          <w:p w14:paraId="3835B831" w14:textId="77777777" w:rsidR="00897044" w:rsidRPr="006E655D" w:rsidRDefault="00897044" w:rsidP="00050392">
            <w:pPr>
              <w:rPr>
                <w:color w:val="244061" w:themeColor="accent1" w:themeShade="80"/>
              </w:rPr>
            </w:pPr>
            <w:r w:rsidRPr="006E655D">
              <w:rPr>
                <w:color w:val="244061" w:themeColor="accent1" w:themeShade="80"/>
              </w:rPr>
              <w:t>1,182</w:t>
            </w:r>
          </w:p>
        </w:tc>
      </w:tr>
      <w:tr w:rsidR="00897044" w:rsidRPr="006E655D" w14:paraId="5CCCA638" w14:textId="77777777" w:rsidTr="00050392">
        <w:tc>
          <w:tcPr>
            <w:tcW w:w="2394" w:type="dxa"/>
          </w:tcPr>
          <w:p w14:paraId="013A279C" w14:textId="77777777" w:rsidR="00897044" w:rsidRPr="006E655D" w:rsidRDefault="00897044" w:rsidP="00050392">
            <w:pPr>
              <w:rPr>
                <w:color w:val="244061" w:themeColor="accent1" w:themeShade="80"/>
              </w:rPr>
            </w:pPr>
            <w:r w:rsidRPr="006E655D">
              <w:rPr>
                <w:color w:val="244061" w:themeColor="accent1" w:themeShade="80"/>
              </w:rPr>
              <w:t>Medicare</w:t>
            </w:r>
          </w:p>
        </w:tc>
        <w:tc>
          <w:tcPr>
            <w:tcW w:w="2101" w:type="dxa"/>
          </w:tcPr>
          <w:p w14:paraId="2F0E4D89" w14:textId="77777777" w:rsidR="00897044" w:rsidRPr="006E655D" w:rsidRDefault="00897044" w:rsidP="00050392">
            <w:pPr>
              <w:rPr>
                <w:color w:val="244061" w:themeColor="accent1" w:themeShade="80"/>
              </w:rPr>
            </w:pPr>
            <w:r w:rsidRPr="006E655D">
              <w:rPr>
                <w:color w:val="244061" w:themeColor="accent1" w:themeShade="80"/>
              </w:rPr>
              <w:t>301</w:t>
            </w:r>
          </w:p>
        </w:tc>
        <w:tc>
          <w:tcPr>
            <w:tcW w:w="4140" w:type="dxa"/>
          </w:tcPr>
          <w:p w14:paraId="52C14DA5" w14:textId="77777777" w:rsidR="00897044" w:rsidRPr="006E655D" w:rsidRDefault="00897044" w:rsidP="00050392">
            <w:pPr>
              <w:rPr>
                <w:color w:val="244061" w:themeColor="accent1" w:themeShade="80"/>
              </w:rPr>
            </w:pPr>
            <w:r w:rsidRPr="006E655D">
              <w:rPr>
                <w:color w:val="244061" w:themeColor="accent1" w:themeShade="80"/>
              </w:rPr>
              <w:t>279</w:t>
            </w:r>
          </w:p>
        </w:tc>
      </w:tr>
    </w:tbl>
    <w:p w14:paraId="32118A76" w14:textId="77777777" w:rsidR="00897044" w:rsidRPr="006E655D" w:rsidRDefault="00897044" w:rsidP="00897044">
      <w:pPr>
        <w:pStyle w:val="Caption"/>
        <w:spacing w:before="0"/>
        <w:rPr>
          <w:color w:val="244061" w:themeColor="accent1" w:themeShade="80"/>
        </w:rPr>
      </w:pPr>
      <w:r w:rsidRPr="006E655D">
        <w:rPr>
          <w:color w:val="244061" w:themeColor="accent1" w:themeShade="80"/>
        </w:rPr>
        <w:t>30-Day Follow-Up Rate</w:t>
      </w:r>
    </w:p>
    <w:tbl>
      <w:tblPr>
        <w:tblStyle w:val="TableGrid"/>
        <w:tblW w:w="0" w:type="auto"/>
        <w:tblLook w:val="04A0" w:firstRow="1" w:lastRow="0" w:firstColumn="1" w:lastColumn="0" w:noHBand="0" w:noVBand="1"/>
      </w:tblPr>
      <w:tblGrid>
        <w:gridCol w:w="2394"/>
        <w:gridCol w:w="2101"/>
        <w:gridCol w:w="4140"/>
      </w:tblGrid>
      <w:tr w:rsidR="00897044" w:rsidRPr="006E655D" w14:paraId="7CFB5094" w14:textId="77777777" w:rsidTr="00050392">
        <w:tc>
          <w:tcPr>
            <w:tcW w:w="2394" w:type="dxa"/>
          </w:tcPr>
          <w:p w14:paraId="65F99BB8" w14:textId="77777777" w:rsidR="00897044" w:rsidRPr="006E655D" w:rsidRDefault="00897044" w:rsidP="00050392">
            <w:pPr>
              <w:pStyle w:val="Heading7"/>
              <w:spacing w:before="0"/>
              <w:outlineLvl w:val="6"/>
              <w:rPr>
                <w:rFonts w:asciiTheme="minorHAnsi" w:hAnsiTheme="minorHAnsi" w:cstheme="minorBidi"/>
                <w:color w:val="244061" w:themeColor="accent1" w:themeShade="80"/>
              </w:rPr>
            </w:pPr>
            <w:r w:rsidRPr="006E655D">
              <w:rPr>
                <w:rFonts w:asciiTheme="minorHAnsi" w:hAnsiTheme="minorHAnsi" w:cstheme="minorBidi"/>
                <w:color w:val="244061" w:themeColor="accent1" w:themeShade="80"/>
              </w:rPr>
              <w:t>Product Line</w:t>
            </w:r>
          </w:p>
        </w:tc>
        <w:tc>
          <w:tcPr>
            <w:tcW w:w="2101" w:type="dxa"/>
          </w:tcPr>
          <w:p w14:paraId="33D7CD4B" w14:textId="77777777" w:rsidR="00897044" w:rsidRPr="006E655D" w:rsidRDefault="00897044" w:rsidP="00050392">
            <w:pPr>
              <w:rPr>
                <w:b/>
                <w:color w:val="244061" w:themeColor="accent1" w:themeShade="80"/>
              </w:rPr>
            </w:pPr>
            <w:r w:rsidRPr="006E655D">
              <w:rPr>
                <w:b/>
                <w:color w:val="244061" w:themeColor="accent1" w:themeShade="80"/>
              </w:rPr>
              <w:t>Number of Plans</w:t>
            </w:r>
          </w:p>
        </w:tc>
        <w:tc>
          <w:tcPr>
            <w:tcW w:w="4140" w:type="dxa"/>
          </w:tcPr>
          <w:p w14:paraId="78EB7BDA" w14:textId="77777777" w:rsidR="00897044" w:rsidRPr="006E655D" w:rsidRDefault="00897044" w:rsidP="00050392">
            <w:pPr>
              <w:rPr>
                <w:b/>
                <w:color w:val="244061" w:themeColor="accent1" w:themeShade="80"/>
              </w:rPr>
            </w:pPr>
            <w:r w:rsidRPr="006E655D">
              <w:rPr>
                <w:b/>
                <w:color w:val="244061" w:themeColor="accent1" w:themeShade="80"/>
              </w:rPr>
              <w:t>Mean number of eligible patients per plan</w:t>
            </w:r>
          </w:p>
        </w:tc>
      </w:tr>
      <w:tr w:rsidR="00897044" w:rsidRPr="006E655D" w14:paraId="64A05A86" w14:textId="77777777" w:rsidTr="00050392">
        <w:tc>
          <w:tcPr>
            <w:tcW w:w="2394" w:type="dxa"/>
          </w:tcPr>
          <w:p w14:paraId="504F3DAB" w14:textId="77777777" w:rsidR="00897044" w:rsidRPr="006E655D" w:rsidRDefault="00897044" w:rsidP="00050392">
            <w:pPr>
              <w:rPr>
                <w:color w:val="244061" w:themeColor="accent1" w:themeShade="80"/>
              </w:rPr>
            </w:pPr>
            <w:r w:rsidRPr="006E655D">
              <w:rPr>
                <w:color w:val="244061" w:themeColor="accent1" w:themeShade="80"/>
              </w:rPr>
              <w:t xml:space="preserve">Commercial </w:t>
            </w:r>
          </w:p>
        </w:tc>
        <w:tc>
          <w:tcPr>
            <w:tcW w:w="2101" w:type="dxa"/>
          </w:tcPr>
          <w:p w14:paraId="0AFDA55D" w14:textId="77777777" w:rsidR="00897044" w:rsidRPr="006E655D" w:rsidRDefault="00897044" w:rsidP="00050392">
            <w:pPr>
              <w:rPr>
                <w:color w:val="244061" w:themeColor="accent1" w:themeShade="80"/>
              </w:rPr>
            </w:pPr>
            <w:r w:rsidRPr="006E655D">
              <w:rPr>
                <w:color w:val="244061" w:themeColor="accent1" w:themeShade="80"/>
              </w:rPr>
              <w:t>368</w:t>
            </w:r>
          </w:p>
        </w:tc>
        <w:tc>
          <w:tcPr>
            <w:tcW w:w="4140" w:type="dxa"/>
          </w:tcPr>
          <w:p w14:paraId="3FBD84E7" w14:textId="77777777" w:rsidR="00897044" w:rsidRPr="006E655D" w:rsidRDefault="00897044" w:rsidP="00050392">
            <w:pPr>
              <w:rPr>
                <w:color w:val="244061" w:themeColor="accent1" w:themeShade="80"/>
              </w:rPr>
            </w:pPr>
            <w:r w:rsidRPr="006E655D">
              <w:rPr>
                <w:color w:val="244061" w:themeColor="accent1" w:themeShade="80"/>
              </w:rPr>
              <w:t>568</w:t>
            </w:r>
          </w:p>
        </w:tc>
      </w:tr>
      <w:tr w:rsidR="00897044" w:rsidRPr="006E655D" w14:paraId="6768B715" w14:textId="77777777" w:rsidTr="00050392">
        <w:tc>
          <w:tcPr>
            <w:tcW w:w="2394" w:type="dxa"/>
          </w:tcPr>
          <w:p w14:paraId="76BDA0E4" w14:textId="77777777" w:rsidR="00897044" w:rsidRPr="006E655D" w:rsidRDefault="00897044" w:rsidP="00050392">
            <w:pPr>
              <w:rPr>
                <w:color w:val="244061" w:themeColor="accent1" w:themeShade="80"/>
              </w:rPr>
            </w:pPr>
            <w:r w:rsidRPr="006E655D">
              <w:rPr>
                <w:color w:val="244061" w:themeColor="accent1" w:themeShade="80"/>
              </w:rPr>
              <w:t>Medicaid</w:t>
            </w:r>
          </w:p>
        </w:tc>
        <w:tc>
          <w:tcPr>
            <w:tcW w:w="2101" w:type="dxa"/>
          </w:tcPr>
          <w:p w14:paraId="63D23F57" w14:textId="77777777" w:rsidR="00897044" w:rsidRPr="006E655D" w:rsidRDefault="00897044" w:rsidP="00050392">
            <w:pPr>
              <w:rPr>
                <w:color w:val="244061" w:themeColor="accent1" w:themeShade="80"/>
              </w:rPr>
            </w:pPr>
            <w:r w:rsidRPr="006E655D">
              <w:rPr>
                <w:color w:val="244061" w:themeColor="accent1" w:themeShade="80"/>
              </w:rPr>
              <w:t>168</w:t>
            </w:r>
          </w:p>
        </w:tc>
        <w:tc>
          <w:tcPr>
            <w:tcW w:w="4140" w:type="dxa"/>
          </w:tcPr>
          <w:p w14:paraId="13D4D7D5" w14:textId="77777777" w:rsidR="00897044" w:rsidRPr="006E655D" w:rsidRDefault="00897044" w:rsidP="00050392">
            <w:pPr>
              <w:rPr>
                <w:color w:val="244061" w:themeColor="accent1" w:themeShade="80"/>
              </w:rPr>
            </w:pPr>
            <w:r w:rsidRPr="006E655D">
              <w:rPr>
                <w:color w:val="244061" w:themeColor="accent1" w:themeShade="80"/>
              </w:rPr>
              <w:t>1,169</w:t>
            </w:r>
          </w:p>
        </w:tc>
      </w:tr>
      <w:tr w:rsidR="00897044" w:rsidRPr="006E655D" w14:paraId="6B3C06D6" w14:textId="77777777" w:rsidTr="00050392">
        <w:tc>
          <w:tcPr>
            <w:tcW w:w="2394" w:type="dxa"/>
          </w:tcPr>
          <w:p w14:paraId="37447D04" w14:textId="77777777" w:rsidR="00897044" w:rsidRPr="006E655D" w:rsidRDefault="00897044" w:rsidP="00050392">
            <w:pPr>
              <w:rPr>
                <w:color w:val="244061" w:themeColor="accent1" w:themeShade="80"/>
              </w:rPr>
            </w:pPr>
            <w:r w:rsidRPr="006E655D">
              <w:rPr>
                <w:color w:val="244061" w:themeColor="accent1" w:themeShade="80"/>
              </w:rPr>
              <w:t>Medicare</w:t>
            </w:r>
          </w:p>
        </w:tc>
        <w:tc>
          <w:tcPr>
            <w:tcW w:w="2101" w:type="dxa"/>
          </w:tcPr>
          <w:p w14:paraId="597CDADE" w14:textId="77777777" w:rsidR="00897044" w:rsidRPr="006E655D" w:rsidRDefault="00897044" w:rsidP="00050392">
            <w:pPr>
              <w:rPr>
                <w:color w:val="244061" w:themeColor="accent1" w:themeShade="80"/>
              </w:rPr>
            </w:pPr>
            <w:r w:rsidRPr="006E655D">
              <w:rPr>
                <w:color w:val="244061" w:themeColor="accent1" w:themeShade="80"/>
              </w:rPr>
              <w:t>301</w:t>
            </w:r>
          </w:p>
        </w:tc>
        <w:tc>
          <w:tcPr>
            <w:tcW w:w="4140" w:type="dxa"/>
          </w:tcPr>
          <w:p w14:paraId="25E55D61" w14:textId="77777777" w:rsidR="00897044" w:rsidRPr="006E655D" w:rsidRDefault="00897044" w:rsidP="00050392">
            <w:pPr>
              <w:rPr>
                <w:color w:val="244061" w:themeColor="accent1" w:themeShade="80"/>
              </w:rPr>
            </w:pPr>
            <w:r w:rsidRPr="006E655D">
              <w:rPr>
                <w:color w:val="244061" w:themeColor="accent1" w:themeShade="80"/>
              </w:rPr>
              <w:t>279</w:t>
            </w:r>
          </w:p>
        </w:tc>
      </w:tr>
    </w:tbl>
    <w:p w14:paraId="66A1E79C" w14:textId="6C3F3133" w:rsidR="00897044" w:rsidRDefault="00897044" w:rsidP="00DB3627">
      <w:pPr>
        <w:autoSpaceDE w:val="0"/>
        <w:autoSpaceDN w:val="0"/>
        <w:adjustRightInd w:val="0"/>
        <w:spacing w:after="0" w:line="240" w:lineRule="auto"/>
        <w:rPr>
          <w:rFonts w:cstheme="minorHAnsi"/>
          <w:bCs/>
        </w:rPr>
      </w:pPr>
    </w:p>
    <w:p w14:paraId="4F4F5016" w14:textId="77777777" w:rsidR="00897044" w:rsidRDefault="00897044" w:rsidP="00DB3627">
      <w:pPr>
        <w:autoSpaceDE w:val="0"/>
        <w:autoSpaceDN w:val="0"/>
        <w:adjustRightInd w:val="0"/>
        <w:spacing w:after="0" w:line="240" w:lineRule="auto"/>
        <w:rPr>
          <w:rFonts w:cstheme="minorHAnsi"/>
          <w:bCs/>
        </w:rPr>
      </w:pPr>
    </w:p>
    <w:p w14:paraId="0CABCFCA" w14:textId="77777777"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0CABCFCB" w14:textId="5DF64DE8" w:rsidR="00E37E1B" w:rsidRDefault="00E37E1B" w:rsidP="00E37E1B">
      <w:pPr>
        <w:autoSpaceDE w:val="0"/>
        <w:autoSpaceDN w:val="0"/>
        <w:adjustRightInd w:val="0"/>
        <w:spacing w:after="0" w:line="240" w:lineRule="auto"/>
        <w:rPr>
          <w:rFonts w:cstheme="minorHAnsi"/>
          <w:bCs/>
        </w:rPr>
      </w:pPr>
    </w:p>
    <w:p w14:paraId="3A3778BC" w14:textId="77777777" w:rsidR="000E6CC2" w:rsidRPr="00F83B87" w:rsidRDefault="000E6CC2" w:rsidP="000E6CC2">
      <w:pPr>
        <w:pStyle w:val="paragraph"/>
        <w:spacing w:before="0" w:beforeAutospacing="0" w:after="0" w:afterAutospacing="0"/>
        <w:textAlignment w:val="baseline"/>
        <w:rPr>
          <w:rFonts w:ascii="Segoe UI" w:hAnsi="Segoe UI" w:cs="Segoe UI"/>
          <w:color w:val="FF0000"/>
          <w:sz w:val="18"/>
          <w:szCs w:val="18"/>
        </w:rPr>
      </w:pPr>
      <w:r w:rsidRPr="00F83B87">
        <w:rPr>
          <w:rStyle w:val="normaltextrun"/>
          <w:rFonts w:ascii="Calibri" w:hAnsi="Calibri" w:cs="Calibri"/>
          <w:b/>
          <w:bCs/>
          <w:color w:val="FF0000"/>
          <w:sz w:val="22"/>
          <w:szCs w:val="22"/>
          <w:u w:val="single"/>
        </w:rPr>
        <w:t>2020 Submission</w:t>
      </w:r>
      <w:r w:rsidRPr="00F83B87">
        <w:rPr>
          <w:rStyle w:val="eop"/>
          <w:rFonts w:ascii="Calibri" w:hAnsi="Calibri" w:cs="Calibri"/>
          <w:color w:val="FF0000"/>
          <w:sz w:val="22"/>
          <w:szCs w:val="22"/>
        </w:rPr>
        <w:t> </w:t>
      </w:r>
    </w:p>
    <w:p w14:paraId="68CB2135" w14:textId="77777777" w:rsidR="00C32899" w:rsidRPr="00D03AC2" w:rsidRDefault="00C32899" w:rsidP="00C32899">
      <w:pPr>
        <w:pStyle w:val="paragraph"/>
        <w:spacing w:before="0" w:beforeAutospacing="0" w:after="0" w:afterAutospacing="0"/>
        <w:textAlignment w:val="baseline"/>
        <w:rPr>
          <w:rFonts w:ascii="&amp;quot" w:hAnsi="&amp;quot"/>
          <w:color w:val="FF0000"/>
          <w:sz w:val="18"/>
          <w:szCs w:val="18"/>
        </w:rPr>
      </w:pPr>
      <w:r w:rsidRPr="00D03AC2">
        <w:rPr>
          <w:rStyle w:val="normaltextrun"/>
          <w:rFonts w:ascii="Calibri" w:hAnsi="Calibri" w:cs="Calibri"/>
          <w:color w:val="FF0000"/>
          <w:sz w:val="22"/>
          <w:szCs w:val="22"/>
        </w:rPr>
        <w:t>No differences in the data used for reliability and construct validity testing. </w:t>
      </w:r>
      <w:r w:rsidRPr="00D03AC2">
        <w:rPr>
          <w:rStyle w:val="eop"/>
          <w:rFonts w:ascii="Calibri" w:hAnsi="Calibri" w:cs="Calibri"/>
          <w:color w:val="FF0000"/>
          <w:sz w:val="22"/>
          <w:szCs w:val="22"/>
        </w:rPr>
        <w:t> </w:t>
      </w:r>
    </w:p>
    <w:p w14:paraId="73014885" w14:textId="77777777" w:rsidR="00AA7A23" w:rsidRDefault="00AA7A23" w:rsidP="00AA7A23">
      <w:pPr>
        <w:autoSpaceDE w:val="0"/>
        <w:autoSpaceDN w:val="0"/>
        <w:adjustRightInd w:val="0"/>
        <w:spacing w:after="0" w:line="240" w:lineRule="auto"/>
        <w:rPr>
          <w:rFonts w:cstheme="minorHAnsi"/>
          <w:bCs/>
        </w:rPr>
      </w:pPr>
    </w:p>
    <w:p w14:paraId="13481493" w14:textId="77777777" w:rsidR="00AA7A23" w:rsidRPr="00753C06" w:rsidRDefault="00AA7A23" w:rsidP="00AA7A23">
      <w:pPr>
        <w:autoSpaceDE w:val="0"/>
        <w:autoSpaceDN w:val="0"/>
        <w:adjustRightInd w:val="0"/>
        <w:spacing w:after="0" w:line="240" w:lineRule="auto"/>
        <w:rPr>
          <w:rFonts w:cstheme="minorHAnsi"/>
          <w:bCs/>
        </w:rPr>
      </w:pPr>
    </w:p>
    <w:p w14:paraId="4F4A016D" w14:textId="77777777" w:rsidR="00AA7A23" w:rsidRPr="006E655D" w:rsidRDefault="00AA7A23" w:rsidP="00AA7A23">
      <w:pPr>
        <w:pStyle w:val="BodyText3"/>
        <w:spacing w:after="0" w:line="240" w:lineRule="auto"/>
        <w:rPr>
          <w:b/>
          <w:color w:val="244061" w:themeColor="accent1" w:themeShade="80"/>
          <w:sz w:val="22"/>
          <w:szCs w:val="22"/>
          <w:u w:val="single"/>
        </w:rPr>
      </w:pPr>
      <w:r w:rsidRPr="006E655D">
        <w:rPr>
          <w:b/>
          <w:bCs/>
          <w:color w:val="244061" w:themeColor="accent1" w:themeShade="80"/>
          <w:sz w:val="22"/>
          <w:szCs w:val="22"/>
          <w:u w:val="single"/>
        </w:rPr>
        <w:t>2016 Update: MEASURE SCORE RELIABILITY TESTING</w:t>
      </w:r>
    </w:p>
    <w:p w14:paraId="65258B03" w14:textId="77777777" w:rsidR="00AA7A23" w:rsidRPr="006E655D" w:rsidRDefault="00AA7A23" w:rsidP="00AA7A23">
      <w:pPr>
        <w:pStyle w:val="BodyText3"/>
        <w:spacing w:after="0" w:line="240" w:lineRule="auto"/>
        <w:rPr>
          <w:color w:val="244061" w:themeColor="accent1" w:themeShade="80"/>
          <w:sz w:val="22"/>
          <w:szCs w:val="22"/>
        </w:rPr>
      </w:pPr>
      <w:r w:rsidRPr="006E655D">
        <w:rPr>
          <w:color w:val="244061" w:themeColor="accent1" w:themeShade="80"/>
          <w:sz w:val="22"/>
          <w:szCs w:val="22"/>
        </w:rPr>
        <w:t>Reliability of the measure score was tested using a beta-binomial calculation. This analysis included the entire HEDIS data for the measure (described above).</w:t>
      </w:r>
    </w:p>
    <w:p w14:paraId="6C52D8D0" w14:textId="77777777" w:rsidR="00AA7A23" w:rsidRPr="006E655D" w:rsidRDefault="00AA7A23" w:rsidP="00AA7A23">
      <w:pPr>
        <w:pStyle w:val="BodyText3"/>
        <w:spacing w:after="0" w:line="240" w:lineRule="auto"/>
        <w:rPr>
          <w:color w:val="244061" w:themeColor="accent1" w:themeShade="80"/>
          <w:sz w:val="22"/>
          <w:szCs w:val="22"/>
        </w:rPr>
      </w:pPr>
    </w:p>
    <w:p w14:paraId="4154A4E4" w14:textId="77777777" w:rsidR="00AA7A23" w:rsidRPr="006E655D" w:rsidRDefault="00AA7A23" w:rsidP="00AA7A23">
      <w:pPr>
        <w:autoSpaceDE w:val="0"/>
        <w:autoSpaceDN w:val="0"/>
        <w:adjustRightInd w:val="0"/>
        <w:spacing w:after="0" w:line="240" w:lineRule="auto"/>
        <w:rPr>
          <w:rFonts w:cstheme="minorHAnsi"/>
          <w:bCs/>
          <w:color w:val="244061" w:themeColor="accent1" w:themeShade="80"/>
        </w:rPr>
      </w:pPr>
      <w:r w:rsidRPr="006E655D">
        <w:rPr>
          <w:rFonts w:cstheme="minorHAnsi"/>
          <w:bCs/>
          <w:color w:val="244061" w:themeColor="accent1" w:themeShade="80"/>
        </w:rPr>
        <w:t xml:space="preserve">Validity was demonstrated through a systematic assessment of face validity. Per NQF instructions we have described the composition of the technical expert panel which assessed face validity in the data sample questions above. </w:t>
      </w:r>
    </w:p>
    <w:p w14:paraId="4D17947F" w14:textId="1CA8B676" w:rsidR="00B136EC" w:rsidRDefault="00B136EC" w:rsidP="00E37E1B">
      <w:pPr>
        <w:autoSpaceDE w:val="0"/>
        <w:autoSpaceDN w:val="0"/>
        <w:adjustRightInd w:val="0"/>
        <w:spacing w:after="0" w:line="240" w:lineRule="auto"/>
        <w:rPr>
          <w:rFonts w:cstheme="minorHAnsi"/>
          <w:bCs/>
        </w:rPr>
      </w:pPr>
    </w:p>
    <w:p w14:paraId="0F6C9D0B" w14:textId="77777777" w:rsidR="00B136EC" w:rsidRDefault="00B136EC" w:rsidP="00E37E1B">
      <w:pPr>
        <w:autoSpaceDE w:val="0"/>
        <w:autoSpaceDN w:val="0"/>
        <w:adjustRightInd w:val="0"/>
        <w:spacing w:after="0" w:line="240" w:lineRule="auto"/>
        <w:rPr>
          <w:rFonts w:cstheme="minorHAnsi"/>
          <w:bCs/>
        </w:rPr>
      </w:pPr>
    </w:p>
    <w:p w14:paraId="59D2455B" w14:textId="643AAA40" w:rsidR="004D62CA" w:rsidRDefault="0021054A" w:rsidP="00B95349">
      <w:pPr>
        <w:spacing w:after="0" w:line="240" w:lineRule="auto"/>
        <w:rPr>
          <w:rStyle w:val="normaltextrun"/>
          <w:rFonts w:ascii="Calibri" w:hAnsi="Calibri" w:cs="Calibri"/>
          <w:color w:val="FF0000"/>
        </w:rPr>
      </w:pPr>
      <w:r w:rsidRPr="009C7513">
        <w:rPr>
          <w:rFonts w:cstheme="minorHAnsi"/>
          <w:b/>
          <w:bCs/>
        </w:rPr>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 xml:space="preserve">. </w:t>
      </w:r>
    </w:p>
    <w:p w14:paraId="2097139F" w14:textId="77777777" w:rsidR="00386037" w:rsidRDefault="00386037" w:rsidP="00386037">
      <w:pPr>
        <w:spacing w:after="0" w:line="240" w:lineRule="auto"/>
        <w:textAlignment w:val="baseline"/>
        <w:rPr>
          <w:rFonts w:ascii="Calibri" w:eastAsia="Times New Roman" w:hAnsi="Calibri" w:cs="Calibri"/>
          <w:b/>
          <w:bCs/>
          <w:color w:val="FF0000"/>
          <w:u w:val="single"/>
        </w:rPr>
      </w:pPr>
    </w:p>
    <w:p w14:paraId="4D96A2D7" w14:textId="39A240A7" w:rsidR="00386037" w:rsidRPr="003A61B7" w:rsidRDefault="00386037" w:rsidP="00386037">
      <w:pPr>
        <w:spacing w:after="0" w:line="240" w:lineRule="auto"/>
        <w:textAlignment w:val="baseline"/>
        <w:rPr>
          <w:rFonts w:ascii="Segoe UI" w:eastAsia="Times New Roman" w:hAnsi="Segoe UI" w:cs="Segoe UI"/>
          <w:sz w:val="18"/>
          <w:szCs w:val="18"/>
        </w:rPr>
      </w:pPr>
      <w:r w:rsidRPr="003A61B7">
        <w:rPr>
          <w:rFonts w:ascii="Calibri" w:eastAsia="Times New Roman" w:hAnsi="Calibri" w:cs="Calibri"/>
          <w:b/>
          <w:bCs/>
          <w:color w:val="FF0000"/>
          <w:u w:val="single"/>
        </w:rPr>
        <w:t>2020 Submission</w:t>
      </w:r>
      <w:r w:rsidRPr="003A61B7">
        <w:rPr>
          <w:rFonts w:ascii="Calibri" w:eastAsia="Times New Roman" w:hAnsi="Calibri" w:cs="Calibri"/>
          <w:color w:val="FF0000"/>
        </w:rPr>
        <w:t>  </w:t>
      </w:r>
    </w:p>
    <w:p w14:paraId="26F1FD7B" w14:textId="4686E796" w:rsidR="00386037" w:rsidRDefault="00386037" w:rsidP="00386037">
      <w:pPr>
        <w:pStyle w:val="paragraph"/>
        <w:spacing w:before="0" w:beforeAutospacing="0" w:after="0" w:afterAutospacing="0"/>
        <w:textAlignment w:val="baseline"/>
        <w:rPr>
          <w:rStyle w:val="normaltextrun"/>
          <w:rFonts w:ascii="Calibri" w:hAnsi="Calibri" w:cs="Calibri"/>
          <w:color w:val="FF0000"/>
          <w:sz w:val="22"/>
          <w:szCs w:val="22"/>
        </w:rPr>
      </w:pPr>
      <w:r w:rsidRPr="00E35103">
        <w:rPr>
          <w:rStyle w:val="normaltextrun"/>
          <w:rFonts w:ascii="Calibri" w:hAnsi="Calibri" w:cs="Calibri"/>
          <w:color w:val="FF0000"/>
          <w:sz w:val="22"/>
          <w:szCs w:val="22"/>
        </w:rPr>
        <w:t>We did not assess data by social risk factors. Social risk factor data were not available in reported results. This measure is specified for Medicare</w:t>
      </w:r>
      <w:r w:rsidR="00F459B7">
        <w:rPr>
          <w:rStyle w:val="normaltextrun"/>
          <w:rFonts w:ascii="Calibri" w:hAnsi="Calibri" w:cs="Calibri"/>
          <w:color w:val="FF0000"/>
          <w:sz w:val="22"/>
          <w:szCs w:val="22"/>
        </w:rPr>
        <w:t>, Medicaid</w:t>
      </w:r>
      <w:r>
        <w:rPr>
          <w:rStyle w:val="normaltextrun"/>
          <w:rFonts w:ascii="Calibri" w:hAnsi="Calibri" w:cs="Calibri"/>
          <w:color w:val="FF0000"/>
          <w:sz w:val="22"/>
          <w:szCs w:val="22"/>
        </w:rPr>
        <w:t xml:space="preserve"> </w:t>
      </w:r>
      <w:r w:rsidRPr="00E35103">
        <w:rPr>
          <w:rStyle w:val="normaltextrun"/>
          <w:rFonts w:ascii="Calibri" w:hAnsi="Calibri" w:cs="Calibri"/>
          <w:color w:val="FF0000"/>
          <w:sz w:val="22"/>
          <w:szCs w:val="22"/>
        </w:rPr>
        <w:t xml:space="preserve">and </w:t>
      </w:r>
      <w:r w:rsidR="00F459B7">
        <w:rPr>
          <w:rStyle w:val="normaltextrun"/>
          <w:rFonts w:ascii="Calibri" w:hAnsi="Calibri" w:cs="Calibri"/>
          <w:color w:val="FF0000"/>
          <w:sz w:val="22"/>
          <w:szCs w:val="22"/>
        </w:rPr>
        <w:t>Commercial</w:t>
      </w:r>
      <w:r w:rsidRPr="00E35103">
        <w:rPr>
          <w:rStyle w:val="normaltextrun"/>
          <w:rFonts w:ascii="Calibri" w:hAnsi="Calibri" w:cs="Calibri"/>
          <w:color w:val="FF0000"/>
          <w:sz w:val="22"/>
          <w:szCs w:val="22"/>
        </w:rPr>
        <w:t xml:space="preserve"> </w:t>
      </w:r>
      <w:r>
        <w:rPr>
          <w:rStyle w:val="normaltextrun"/>
          <w:rFonts w:ascii="Calibri" w:hAnsi="Calibri" w:cs="Calibri"/>
          <w:color w:val="FF0000"/>
          <w:sz w:val="22"/>
          <w:szCs w:val="22"/>
        </w:rPr>
        <w:t xml:space="preserve">members age 6 </w:t>
      </w:r>
      <w:r w:rsidRPr="00E35103">
        <w:rPr>
          <w:rStyle w:val="normaltextrun"/>
          <w:rFonts w:ascii="Calibri" w:hAnsi="Calibri" w:cs="Calibri"/>
          <w:color w:val="FF0000"/>
          <w:sz w:val="22"/>
          <w:szCs w:val="22"/>
        </w:rPr>
        <w:t>and older.</w:t>
      </w:r>
      <w:r>
        <w:rPr>
          <w:rStyle w:val="normaltextrun"/>
          <w:rFonts w:ascii="Calibri" w:hAnsi="Calibri" w:cs="Calibri"/>
          <w:color w:val="FF0000"/>
          <w:sz w:val="22"/>
          <w:szCs w:val="22"/>
        </w:rPr>
        <w:t xml:space="preserve"> NCQA is actively engaged with partners including the CMS Office of Minority Health in identifying feasible methods to further integrate social risk factors into health plan quality measures, with a focus on stratification. This is aligned with recent recommendations from </w:t>
      </w:r>
      <w:proofErr w:type="spellStart"/>
      <w:r>
        <w:rPr>
          <w:rStyle w:val="normaltextrun"/>
          <w:rFonts w:ascii="Calibri" w:hAnsi="Calibri" w:cs="Calibri"/>
          <w:color w:val="FF0000"/>
          <w:sz w:val="22"/>
          <w:szCs w:val="22"/>
        </w:rPr>
        <w:t>MedPAC</w:t>
      </w:r>
      <w:proofErr w:type="spellEnd"/>
      <w:r>
        <w:rPr>
          <w:rStyle w:val="normaltextrun"/>
          <w:rFonts w:ascii="Calibri" w:hAnsi="Calibri" w:cs="Calibri"/>
          <w:color w:val="FF0000"/>
          <w:sz w:val="22"/>
          <w:szCs w:val="22"/>
        </w:rPr>
        <w:t xml:space="preserve"> and ASPE on optimal methods for addressing social risk in quality measurement and programs.</w:t>
      </w:r>
      <w:r w:rsidRPr="000E5314">
        <w:rPr>
          <w:rStyle w:val="normaltextrun"/>
          <w:rFonts w:ascii="Calibri" w:hAnsi="Calibri" w:cs="Calibri"/>
          <w:color w:val="FF0000"/>
          <w:sz w:val="22"/>
          <w:szCs w:val="22"/>
          <w:vertAlign w:val="superscript"/>
        </w:rPr>
        <w:t>1,2</w:t>
      </w:r>
      <w:r w:rsidRPr="00061A8B">
        <w:rPr>
          <w:rStyle w:val="normaltextrun"/>
          <w:rFonts w:ascii="Calibri" w:hAnsi="Calibri" w:cs="Calibri"/>
          <w:color w:val="FF0000"/>
          <w:sz w:val="22"/>
          <w:szCs w:val="22"/>
        </w:rPr>
        <w:t>This is an NCQA wide initiative</w:t>
      </w:r>
      <w:r>
        <w:rPr>
          <w:rStyle w:val="normaltextrun"/>
          <w:rFonts w:ascii="Calibri" w:hAnsi="Calibri" w:cs="Calibri"/>
          <w:color w:val="FF0000"/>
          <w:sz w:val="22"/>
          <w:szCs w:val="22"/>
        </w:rPr>
        <w:t xml:space="preserve">. Our intent is to implement methods to bridge data concerns in the future. </w:t>
      </w:r>
    </w:p>
    <w:p w14:paraId="2C961653" w14:textId="77777777" w:rsidR="00386037" w:rsidRDefault="00386037" w:rsidP="00386037">
      <w:pPr>
        <w:pStyle w:val="paragraph"/>
        <w:spacing w:before="0" w:beforeAutospacing="0" w:after="0" w:afterAutospacing="0"/>
        <w:textAlignment w:val="baseline"/>
        <w:rPr>
          <w:rStyle w:val="normaltextrun"/>
          <w:rFonts w:ascii="Calibri" w:hAnsi="Calibri" w:cs="Calibri"/>
          <w:color w:val="FF0000"/>
          <w:sz w:val="22"/>
          <w:szCs w:val="22"/>
        </w:rPr>
      </w:pPr>
    </w:p>
    <w:p w14:paraId="14E3424D" w14:textId="77777777" w:rsidR="00386037" w:rsidRDefault="00386037" w:rsidP="00386037">
      <w:pPr>
        <w:pStyle w:val="ListParagraph"/>
        <w:numPr>
          <w:ilvl w:val="0"/>
          <w:numId w:val="40"/>
        </w:numPr>
        <w:spacing w:after="0" w:line="240" w:lineRule="auto"/>
        <w:ind w:left="360"/>
        <w:textAlignment w:val="baseline"/>
        <w:rPr>
          <w:rFonts w:ascii="Calibri" w:eastAsia="Times New Roman" w:hAnsi="Calibri" w:cs="Calibri"/>
          <w:color w:val="FF0000"/>
        </w:rPr>
      </w:pPr>
      <w:r w:rsidRPr="00110BFB">
        <w:rPr>
          <w:rFonts w:ascii="Calibri" w:eastAsia="Times New Roman" w:hAnsi="Calibri" w:cs="Calibri"/>
          <w:color w:val="FF0000"/>
        </w:rPr>
        <w:t xml:space="preserve">Medicare Payment Advisory Commission. (2020). The Medicare Advantage program: Status report. In Report to the Congress: Medicare Payment Policy (p. 397). </w:t>
      </w:r>
      <w:hyperlink r:id="rId12" w:history="1">
        <w:r w:rsidRPr="005E7F86">
          <w:rPr>
            <w:rStyle w:val="Hyperlink"/>
            <w:rFonts w:ascii="Calibri" w:eastAsia="Times New Roman" w:hAnsi="Calibri" w:cs="Calibri"/>
          </w:rPr>
          <w:t>http://medpac.gov/docs/default-source/reports/mar20_medpac_ch13_sec.pdf</w:t>
        </w:r>
      </w:hyperlink>
    </w:p>
    <w:p w14:paraId="6D7336C6" w14:textId="77777777" w:rsidR="00386037" w:rsidRDefault="00386037" w:rsidP="00386037">
      <w:pPr>
        <w:pStyle w:val="ListParagraph"/>
        <w:numPr>
          <w:ilvl w:val="0"/>
          <w:numId w:val="40"/>
        </w:numPr>
        <w:spacing w:after="0" w:line="240" w:lineRule="auto"/>
        <w:ind w:left="360"/>
        <w:textAlignment w:val="baseline"/>
        <w:rPr>
          <w:rFonts w:ascii="Calibri" w:eastAsia="Times New Roman" w:hAnsi="Calibri" w:cs="Calibri"/>
          <w:color w:val="FF0000"/>
        </w:rPr>
      </w:pPr>
      <w:r w:rsidRPr="000E5314">
        <w:rPr>
          <w:rFonts w:ascii="Calibri" w:eastAsia="Times New Roman" w:hAnsi="Calibri" w:cs="Calibri"/>
          <w:color w:val="FF0000"/>
        </w:rPr>
        <w:t xml:space="preserve">Office of the Assistant Secretary for Planning and Evaluation, &amp; U.S. Department of Health &amp; Human Services. (2020). Second Report to Congress on Social Risk and Medicare’s Value-Based Purchasing Programs. </w:t>
      </w:r>
      <w:hyperlink r:id="rId13" w:history="1">
        <w:r w:rsidRPr="000E5314">
          <w:rPr>
            <w:rStyle w:val="Hyperlink"/>
            <w:rFonts w:ascii="Calibri" w:eastAsia="Times New Roman" w:hAnsi="Calibri" w:cs="Calibri"/>
          </w:rPr>
          <w:t>https://aspe.hhs.gov/social-risk-factors-and-medicares-value-basedpurchasing-programs</w:t>
        </w:r>
      </w:hyperlink>
    </w:p>
    <w:p w14:paraId="2452F349" w14:textId="77777777" w:rsidR="004D62CA" w:rsidRDefault="004D62CA" w:rsidP="00B95349">
      <w:pPr>
        <w:spacing w:after="0" w:line="240" w:lineRule="auto"/>
        <w:rPr>
          <w:rFonts w:eastAsia="Times New Roman" w:cs="Times New Roman"/>
          <w:b/>
          <w:color w:val="244061" w:themeColor="accent1" w:themeShade="80"/>
          <w:u w:val="single"/>
          <w:lang w:val="en"/>
        </w:rPr>
      </w:pPr>
    </w:p>
    <w:p w14:paraId="6F865F0C" w14:textId="77777777" w:rsidR="00462F2B" w:rsidRDefault="00462F2B" w:rsidP="00462F2B">
      <w:pPr>
        <w:spacing w:after="0" w:line="240" w:lineRule="auto"/>
        <w:rPr>
          <w:rFonts w:eastAsia="Times New Roman" w:cs="Times New Roman"/>
          <w:b/>
          <w:color w:val="244061" w:themeColor="accent1" w:themeShade="80"/>
          <w:u w:val="single"/>
          <w:lang w:val="en"/>
        </w:rPr>
      </w:pPr>
    </w:p>
    <w:p w14:paraId="10F9430D" w14:textId="77777777" w:rsidR="00462F2B" w:rsidRPr="006E655D" w:rsidRDefault="00462F2B" w:rsidP="00462F2B">
      <w:pPr>
        <w:spacing w:after="0" w:line="240" w:lineRule="auto"/>
        <w:rPr>
          <w:rFonts w:eastAsia="Times New Roman" w:cs="Times New Roman"/>
          <w:color w:val="244061" w:themeColor="accent1" w:themeShade="80"/>
          <w:lang w:val="en"/>
        </w:rPr>
      </w:pPr>
      <w:r w:rsidRPr="006E655D">
        <w:rPr>
          <w:rFonts w:eastAsia="Times New Roman" w:cs="Times New Roman"/>
          <w:b/>
          <w:color w:val="244061" w:themeColor="accent1" w:themeShade="80"/>
          <w:u w:val="single"/>
          <w:lang w:val="en"/>
        </w:rPr>
        <w:t>2016 Update</w:t>
      </w:r>
    </w:p>
    <w:p w14:paraId="458E0E95" w14:textId="77777777" w:rsidR="00462F2B" w:rsidRPr="006E655D" w:rsidRDefault="00462F2B" w:rsidP="00462F2B">
      <w:pPr>
        <w:spacing w:after="0" w:line="240" w:lineRule="auto"/>
        <w:rPr>
          <w:rFonts w:eastAsia="Times New Roman" w:cs="Times New Roman"/>
          <w:color w:val="244061" w:themeColor="accent1" w:themeShade="80"/>
          <w:lang w:val="en"/>
        </w:rPr>
      </w:pPr>
      <w:r w:rsidRPr="006E655D">
        <w:rPr>
          <w:rFonts w:eastAsia="Times New Roman" w:cs="Times New Roman"/>
          <w:color w:val="244061" w:themeColor="accent1" w:themeShade="80"/>
          <w:lang w:val="en"/>
        </w:rPr>
        <w:t xml:space="preserve">Measure performance was assessed by Commercial, Medicaid, and Medicare plan types.  </w:t>
      </w:r>
    </w:p>
    <w:p w14:paraId="75D24131" w14:textId="77777777" w:rsidR="00462F2B" w:rsidRPr="006E655D" w:rsidRDefault="00462F2B" w:rsidP="00462F2B">
      <w:pPr>
        <w:spacing w:after="0" w:line="240" w:lineRule="auto"/>
        <w:rPr>
          <w:rFonts w:cs="Arial"/>
          <w:color w:val="244061" w:themeColor="accent1" w:themeShade="80"/>
        </w:rPr>
      </w:pPr>
    </w:p>
    <w:p w14:paraId="1E1BF78E" w14:textId="77777777" w:rsidR="00462F2B" w:rsidRPr="006E655D" w:rsidRDefault="00462F2B" w:rsidP="00462F2B">
      <w:pPr>
        <w:spacing w:after="0" w:line="240" w:lineRule="auto"/>
        <w:rPr>
          <w:rFonts w:cs="Arial"/>
          <w:color w:val="244061" w:themeColor="accent1" w:themeShade="80"/>
        </w:rPr>
      </w:pPr>
      <w:r w:rsidRPr="006E655D">
        <w:rPr>
          <w:rFonts w:cs="Arial"/>
          <w:b/>
          <w:color w:val="244061" w:themeColor="accent1" w:themeShade="80"/>
          <w:u w:val="single"/>
        </w:rPr>
        <w:t>2012 Submission</w:t>
      </w:r>
    </w:p>
    <w:p w14:paraId="31F4B4B7" w14:textId="77777777" w:rsidR="00462F2B" w:rsidRPr="006E655D" w:rsidRDefault="00462F2B" w:rsidP="00462F2B">
      <w:pPr>
        <w:spacing w:after="0" w:line="240" w:lineRule="auto"/>
        <w:rPr>
          <w:rFonts w:cs="Arial"/>
          <w:color w:val="244061" w:themeColor="accent1" w:themeShade="80"/>
        </w:rPr>
      </w:pPr>
      <w:r w:rsidRPr="006E655D">
        <w:rPr>
          <w:rFonts w:cs="Arial"/>
          <w:color w:val="244061" w:themeColor="accent1" w:themeShade="80"/>
        </w:rPr>
        <w:t xml:space="preserve">The measure is not stratified to detect disparities. NCQA has participated with IOM and others in attempting to include information on disparities in measure data collection. However, at the present time, this data, at all levels (claims data, paper chart review, and electronic records), is not coded in a standard manner, and is incompletely captured. There are no consistent standards for what entity </w:t>
      </w:r>
      <w:r w:rsidRPr="006E655D">
        <w:rPr>
          <w:rFonts w:cs="Arial"/>
          <w:color w:val="244061" w:themeColor="accent1" w:themeShade="80"/>
        </w:rPr>
        <w:lastRenderedPageBreak/>
        <w:t>(physician, group, plan, employer) should capture and report this data. While “requiring” reporting of the data could push the field forward, it has been our position that doing so would create substantial burden with inability to use the data because of its inconsistency. At the present time, we agree with the IOM report that disparities are best considered by the use of zip code analysis which has limited applicability in most reporting situations. At the health plan level, for HEDIS health plan data collection, NCQA does have extensive data related to our use of stratification by insurance status (Medicare, Medicaid and private-commercial) and would strongly recommend this process where the data base supporting the measurement includes this information. However, we believe that the measure specifications should NOT require this since the measure is still useful where the data needed to determine disparities cannot be ascertained from the data available.</w:t>
      </w:r>
    </w:p>
    <w:p w14:paraId="344121A9" w14:textId="77777777" w:rsidR="00462F2B" w:rsidRDefault="00462F2B" w:rsidP="00E37E1B">
      <w:pPr>
        <w:autoSpaceDE w:val="0"/>
        <w:autoSpaceDN w:val="0"/>
        <w:adjustRightInd w:val="0"/>
        <w:spacing w:after="0" w:line="240" w:lineRule="auto"/>
        <w:rPr>
          <w:rFonts w:cstheme="minorHAnsi"/>
          <w:bCs/>
        </w:rPr>
      </w:pPr>
    </w:p>
    <w:p w14:paraId="0CABCFCD" w14:textId="4DBAA131" w:rsidR="004348CC" w:rsidRPr="00462F2B" w:rsidRDefault="00483E94" w:rsidP="00E37E1B">
      <w:pPr>
        <w:autoSpaceDE w:val="0"/>
        <w:autoSpaceDN w:val="0"/>
        <w:adjustRightInd w:val="0"/>
        <w:spacing w:after="0" w:line="240" w:lineRule="auto"/>
        <w:rPr>
          <w:rFonts w:cstheme="minorHAnsi"/>
          <w:noProof/>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32EF566B"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662D12">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0CABCFD2" w14:textId="4A06B51E" w:rsidR="008C54A9" w:rsidRDefault="008C54A9" w:rsidP="008C54A9">
      <w:pPr>
        <w:autoSpaceDE w:val="0"/>
        <w:autoSpaceDN w:val="0"/>
        <w:adjustRightInd w:val="0"/>
        <w:spacing w:after="0" w:line="240" w:lineRule="auto"/>
        <w:rPr>
          <w:rFonts w:cstheme="minorHAnsi"/>
          <w:bCs/>
        </w:rPr>
      </w:pPr>
    </w:p>
    <w:p w14:paraId="7E5F0F05" w14:textId="554D772A" w:rsidR="00C43A3F" w:rsidRDefault="00C43A3F" w:rsidP="008C54A9">
      <w:pPr>
        <w:autoSpaceDE w:val="0"/>
        <w:autoSpaceDN w:val="0"/>
        <w:adjustRightInd w:val="0"/>
        <w:spacing w:after="0" w:line="240" w:lineRule="auto"/>
        <w:rPr>
          <w:rFonts w:cstheme="minorHAnsi"/>
          <w:bCs/>
        </w:rPr>
      </w:pPr>
    </w:p>
    <w:p w14:paraId="56603F21" w14:textId="77777777" w:rsidR="00FC7602" w:rsidRPr="00F83B87" w:rsidRDefault="00FC7602" w:rsidP="00FC7602">
      <w:pPr>
        <w:pStyle w:val="paragraph"/>
        <w:spacing w:before="0" w:beforeAutospacing="0" w:after="0" w:afterAutospacing="0"/>
        <w:textAlignment w:val="baseline"/>
        <w:rPr>
          <w:rFonts w:ascii="Segoe UI" w:hAnsi="Segoe UI" w:cs="Segoe UI"/>
          <w:color w:val="FF0000"/>
          <w:sz w:val="18"/>
          <w:szCs w:val="18"/>
        </w:rPr>
      </w:pPr>
      <w:r w:rsidRPr="00F83B87">
        <w:rPr>
          <w:rStyle w:val="normaltextrun"/>
          <w:rFonts w:ascii="Calibri" w:hAnsi="Calibri" w:cs="Calibri"/>
          <w:b/>
          <w:bCs/>
          <w:color w:val="FF0000"/>
          <w:sz w:val="22"/>
          <w:szCs w:val="22"/>
          <w:u w:val="single"/>
        </w:rPr>
        <w:t>2020 Submission</w:t>
      </w:r>
      <w:r w:rsidRPr="00F83B87">
        <w:rPr>
          <w:rStyle w:val="eop"/>
          <w:rFonts w:ascii="Calibri" w:hAnsi="Calibri" w:cs="Calibri"/>
          <w:color w:val="FF0000"/>
          <w:sz w:val="22"/>
          <w:szCs w:val="22"/>
        </w:rPr>
        <w:t> </w:t>
      </w:r>
    </w:p>
    <w:p w14:paraId="4562A610" w14:textId="77777777" w:rsidR="00FC7602" w:rsidRDefault="00FC7602" w:rsidP="00FC760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FF0000"/>
          <w:sz w:val="22"/>
          <w:szCs w:val="22"/>
          <w:u w:val="single"/>
        </w:rPr>
        <w:t>Reliability testing of performance measure score </w:t>
      </w:r>
      <w:r>
        <w:rPr>
          <w:rStyle w:val="normaltextrun"/>
          <w:rFonts w:ascii="Calibri" w:hAnsi="Calibri" w:cs="Calibri"/>
          <w:color w:val="FF0000"/>
          <w:sz w:val="22"/>
          <w:szCs w:val="22"/>
        </w:rPr>
        <w:t> </w:t>
      </w:r>
      <w:r>
        <w:rPr>
          <w:rStyle w:val="eop"/>
          <w:rFonts w:ascii="Calibri" w:hAnsi="Calibri" w:cs="Calibri"/>
          <w:sz w:val="22"/>
          <w:szCs w:val="22"/>
        </w:rPr>
        <w:t> </w:t>
      </w:r>
    </w:p>
    <w:p w14:paraId="75D66C62" w14:textId="77777777" w:rsidR="002D6389" w:rsidRPr="002D6389" w:rsidRDefault="002D6389" w:rsidP="002D6389">
      <w:pPr>
        <w:autoSpaceDE w:val="0"/>
        <w:autoSpaceDN w:val="0"/>
        <w:adjustRightInd w:val="0"/>
        <w:spacing w:before="120" w:after="0" w:line="256" w:lineRule="auto"/>
        <w:rPr>
          <w:rFonts w:cstheme="minorHAnsi"/>
          <w:color w:val="FF0000"/>
          <w:bdr w:val="none" w:sz="0" w:space="0" w:color="auto" w:frame="1"/>
        </w:rPr>
      </w:pPr>
      <w:r w:rsidRPr="002D6389">
        <w:rPr>
          <w:rFonts w:cstheme="minorHAnsi"/>
          <w:color w:val="FF0000"/>
          <w:bdr w:val="none" w:sz="0" w:space="0" w:color="auto" w:frame="1"/>
        </w:rPr>
        <w:t>We utilized the methodology described by John Adams (Adams, J.L. The Reliability of Provider Profiling: A Tutorial. Santa Monica, California: RAND Corporation. TR-653-NCQA, 2009) to calculate signal-to-noise reliability. This methodology uses the Beta-binomial model to assess how well one can confidently distinguish the performance of one reporting entity from another. Conceptually, the Beta-binomial model is the ratio of signal to noise. The signal is the proportion of the variability in measured performance that can be explained by real differences across reporting entities (plans, physicians, etc.) in performance. The Beta-binomial model is an appropriate model when estimating the reliability of simple pass/fail rate measures, such as the Follow-Up After Hospitalization for Mental Illness</w:t>
      </w:r>
      <w:r w:rsidRPr="002D6389">
        <w:rPr>
          <w:rFonts w:cstheme="minorHAnsi"/>
          <w:color w:val="FF0000"/>
        </w:rPr>
        <w:t xml:space="preserve"> </w:t>
      </w:r>
      <w:r w:rsidRPr="002D6389">
        <w:rPr>
          <w:rFonts w:cstheme="minorHAnsi"/>
          <w:color w:val="FF0000"/>
          <w:bdr w:val="none" w:sz="0" w:space="0" w:color="auto" w:frame="1"/>
        </w:rPr>
        <w:t xml:space="preserve">measure. Reliability scores range from 0.0 to 1.0. A score of zero implies that all variation is attributed to measurement error (i.e., noise), whereas a reliability of 1.0 implies that all variation is caused by a real difference in performance across reporting entities. </w:t>
      </w:r>
    </w:p>
    <w:p w14:paraId="3E08EF7A" w14:textId="77777777" w:rsidR="002D6389" w:rsidRPr="002D6389" w:rsidRDefault="002D6389" w:rsidP="019854D4">
      <w:pPr>
        <w:autoSpaceDE w:val="0"/>
        <w:autoSpaceDN w:val="0"/>
        <w:adjustRightInd w:val="0"/>
        <w:spacing w:before="180" w:after="0" w:line="256" w:lineRule="auto"/>
        <w:rPr>
          <w:color w:val="FF0000"/>
          <w:bdr w:val="none" w:sz="0" w:space="0" w:color="auto" w:frame="1"/>
        </w:rPr>
      </w:pPr>
      <w:r w:rsidRPr="019854D4">
        <w:rPr>
          <w:color w:val="FF0000"/>
          <w:bdr w:val="none" w:sz="0" w:space="0" w:color="auto" w:frame="1"/>
        </w:rPr>
        <w:t>For the Follow-Up After Hospitalization for Mental Illness</w:t>
      </w:r>
      <w:r w:rsidRPr="019854D4" w:rsidDel="00F362C6">
        <w:rPr>
          <w:color w:val="FF0000"/>
          <w:bdr w:val="none" w:sz="0" w:space="0" w:color="auto" w:frame="1"/>
        </w:rPr>
        <w:t xml:space="preserve"> </w:t>
      </w:r>
      <w:r w:rsidRPr="019854D4">
        <w:rPr>
          <w:color w:val="FF0000"/>
          <w:bdr w:val="none" w:sz="0" w:space="0" w:color="auto" w:frame="1"/>
        </w:rPr>
        <w:t>measure, health plans are the reporting entity. For the formulas and explanations below, we use health plans as the reporting entity.</w:t>
      </w:r>
    </w:p>
    <w:p w14:paraId="77D7E92B" w14:textId="77777777" w:rsidR="002D6389" w:rsidRPr="002D6389" w:rsidRDefault="002D6389" w:rsidP="002D6389">
      <w:pPr>
        <w:autoSpaceDE w:val="0"/>
        <w:autoSpaceDN w:val="0"/>
        <w:adjustRightInd w:val="0"/>
        <w:spacing w:before="180" w:after="0" w:line="256" w:lineRule="auto"/>
        <w:rPr>
          <w:rFonts w:cstheme="minorHAnsi"/>
          <w:color w:val="FF0000"/>
          <w:bdr w:val="none" w:sz="0" w:space="0" w:color="auto" w:frame="1"/>
        </w:rPr>
      </w:pPr>
      <w:r w:rsidRPr="002D6389">
        <w:rPr>
          <w:rFonts w:cstheme="minorHAnsi"/>
          <w:color w:val="FF0000"/>
          <w:bdr w:val="none" w:sz="0" w:space="0" w:color="auto" w:frame="1"/>
        </w:rPr>
        <w:t>The formula for signal-to-noise reliability is:</w:t>
      </w:r>
    </w:p>
    <w:p w14:paraId="31190C42" w14:textId="77777777" w:rsidR="002D6389" w:rsidRPr="002D6389" w:rsidRDefault="002D6389" w:rsidP="002D6389">
      <w:pPr>
        <w:autoSpaceDE w:val="0"/>
        <w:autoSpaceDN w:val="0"/>
        <w:adjustRightInd w:val="0"/>
        <w:spacing w:before="80" w:after="0" w:line="256" w:lineRule="auto"/>
        <w:ind w:firstLine="720"/>
        <w:rPr>
          <w:rFonts w:cstheme="minorHAnsi"/>
          <w:color w:val="FF0000"/>
          <w:bdr w:val="none" w:sz="0" w:space="0" w:color="auto" w:frame="1"/>
        </w:rPr>
      </w:pPr>
      <w:r w:rsidRPr="002D6389">
        <w:rPr>
          <w:rFonts w:cstheme="minorHAnsi"/>
          <w:color w:val="FF0000"/>
          <w:bdr w:val="none" w:sz="0" w:space="0" w:color="auto" w:frame="1"/>
        </w:rPr>
        <w:t xml:space="preserve">Signal-to-noise reliability =  </w:t>
      </w:r>
      <w:r w:rsidRPr="002D6389">
        <w:rPr>
          <w:rFonts w:cstheme="minorHAnsi"/>
          <w:color w:val="FF0000"/>
          <w:lang w:val="el-GR"/>
        </w:rPr>
        <w:t>σ</w:t>
      </w:r>
      <w:r w:rsidRPr="002D6389">
        <w:rPr>
          <w:rFonts w:cstheme="minorHAnsi"/>
          <w:color w:val="FF0000"/>
          <w:vertAlign w:val="superscript"/>
          <w:lang w:val="el-GR"/>
        </w:rPr>
        <w:t>2</w:t>
      </w:r>
      <w:r w:rsidRPr="002D6389">
        <w:rPr>
          <w:rFonts w:cstheme="minorHAnsi"/>
          <w:color w:val="FF0000"/>
          <w:vertAlign w:val="subscript"/>
        </w:rPr>
        <w:t>plan-to-plan</w:t>
      </w:r>
      <w:r w:rsidRPr="002D6389">
        <w:rPr>
          <w:rFonts w:cstheme="minorHAnsi"/>
          <w:color w:val="FF0000"/>
        </w:rPr>
        <w:t xml:space="preserve"> / (</w:t>
      </w:r>
      <w:r w:rsidRPr="002D6389">
        <w:rPr>
          <w:rFonts w:cstheme="minorHAnsi"/>
          <w:color w:val="FF0000"/>
          <w:lang w:val="el-GR"/>
        </w:rPr>
        <w:t>σ</w:t>
      </w:r>
      <w:r w:rsidRPr="002D6389">
        <w:rPr>
          <w:rFonts w:cstheme="minorHAnsi"/>
          <w:color w:val="FF0000"/>
          <w:vertAlign w:val="superscript"/>
          <w:lang w:val="el-GR"/>
        </w:rPr>
        <w:t>2</w:t>
      </w:r>
      <w:r w:rsidRPr="002D6389">
        <w:rPr>
          <w:rFonts w:cstheme="minorHAnsi"/>
          <w:color w:val="FF0000"/>
          <w:vertAlign w:val="subscript"/>
        </w:rPr>
        <w:t>plan-to-plan</w:t>
      </w:r>
      <w:r w:rsidRPr="002D6389">
        <w:rPr>
          <w:rFonts w:cstheme="minorHAnsi"/>
          <w:color w:val="FF0000"/>
        </w:rPr>
        <w:t xml:space="preserve"> + </w:t>
      </w:r>
      <w:r w:rsidRPr="002D6389">
        <w:rPr>
          <w:rFonts w:cstheme="minorHAnsi"/>
          <w:color w:val="FF0000"/>
          <w:lang w:val="el-GR"/>
        </w:rPr>
        <w:t>σ</w:t>
      </w:r>
      <w:r w:rsidRPr="002D6389">
        <w:rPr>
          <w:rFonts w:cstheme="minorHAnsi"/>
          <w:color w:val="FF0000"/>
          <w:vertAlign w:val="superscript"/>
          <w:lang w:val="el-GR"/>
        </w:rPr>
        <w:t>2</w:t>
      </w:r>
      <w:r w:rsidRPr="002D6389">
        <w:rPr>
          <w:rFonts w:cstheme="minorHAnsi"/>
          <w:color w:val="FF0000"/>
          <w:vertAlign w:val="subscript"/>
        </w:rPr>
        <w:t>error</w:t>
      </w:r>
      <w:r w:rsidRPr="002D6389">
        <w:rPr>
          <w:rFonts w:cstheme="minorHAnsi"/>
          <w:color w:val="FF0000"/>
        </w:rPr>
        <w:t>)</w:t>
      </w:r>
    </w:p>
    <w:p w14:paraId="28F820B6" w14:textId="77777777" w:rsidR="002D6389" w:rsidRPr="002D6389" w:rsidRDefault="002D6389" w:rsidP="002D6389">
      <w:pPr>
        <w:autoSpaceDE w:val="0"/>
        <w:autoSpaceDN w:val="0"/>
        <w:adjustRightInd w:val="0"/>
        <w:spacing w:before="180" w:after="0" w:line="256" w:lineRule="auto"/>
        <w:rPr>
          <w:rFonts w:cstheme="minorHAnsi"/>
          <w:color w:val="FF0000"/>
          <w:bdr w:val="none" w:sz="0" w:space="0" w:color="auto" w:frame="1"/>
        </w:rPr>
      </w:pPr>
      <w:r w:rsidRPr="002D6389">
        <w:rPr>
          <w:rFonts w:cstheme="minorHAnsi"/>
          <w:color w:val="FF0000"/>
          <w:bdr w:val="none" w:sz="0" w:space="0" w:color="auto" w:frame="1"/>
        </w:rPr>
        <w:lastRenderedPageBreak/>
        <w:t>Therefore, we need to estimate two variances: 1) variance between plans (</w:t>
      </w:r>
      <w:r w:rsidRPr="002D6389">
        <w:rPr>
          <w:rFonts w:cstheme="minorHAnsi"/>
          <w:color w:val="FF0000"/>
          <w:lang w:val="el-GR"/>
        </w:rPr>
        <w:t>σ</w:t>
      </w:r>
      <w:r w:rsidRPr="002D6389">
        <w:rPr>
          <w:rFonts w:cstheme="minorHAnsi"/>
          <w:color w:val="FF0000"/>
          <w:vertAlign w:val="superscript"/>
          <w:lang w:val="el-GR"/>
        </w:rPr>
        <w:t>2</w:t>
      </w:r>
      <w:r w:rsidRPr="002D6389">
        <w:rPr>
          <w:rFonts w:cstheme="minorHAnsi"/>
          <w:color w:val="FF0000"/>
          <w:vertAlign w:val="subscript"/>
        </w:rPr>
        <w:t>plan-to-plan</w:t>
      </w:r>
      <w:r w:rsidRPr="002D6389">
        <w:rPr>
          <w:rFonts w:cstheme="minorHAnsi"/>
          <w:color w:val="FF0000"/>
        </w:rPr>
        <w:t>)</w:t>
      </w:r>
      <w:r w:rsidRPr="002D6389">
        <w:rPr>
          <w:rFonts w:cstheme="minorHAnsi"/>
          <w:color w:val="FF0000"/>
          <w:bdr w:val="none" w:sz="0" w:space="0" w:color="auto" w:frame="1"/>
        </w:rPr>
        <w:t>; 2) variance within plans (</w:t>
      </w:r>
      <w:r w:rsidRPr="002D6389">
        <w:rPr>
          <w:rFonts w:cstheme="minorHAnsi"/>
          <w:color w:val="FF0000"/>
          <w:lang w:val="el-GR"/>
        </w:rPr>
        <w:t>σ</w:t>
      </w:r>
      <w:r w:rsidRPr="002D6389">
        <w:rPr>
          <w:rFonts w:cstheme="minorHAnsi"/>
          <w:color w:val="FF0000"/>
          <w:vertAlign w:val="superscript"/>
          <w:lang w:val="el-GR"/>
        </w:rPr>
        <w:t>2</w:t>
      </w:r>
      <w:r w:rsidRPr="002D6389">
        <w:rPr>
          <w:rFonts w:cstheme="minorHAnsi"/>
          <w:color w:val="FF0000"/>
          <w:vertAlign w:val="subscript"/>
        </w:rPr>
        <w:t>error</w:t>
      </w:r>
      <w:r w:rsidRPr="002D6389">
        <w:rPr>
          <w:rFonts w:cstheme="minorHAnsi"/>
          <w:color w:val="FF0000"/>
        </w:rPr>
        <w:t>)</w:t>
      </w:r>
      <w:r w:rsidRPr="002D6389">
        <w:rPr>
          <w:rFonts w:cstheme="minorHAnsi"/>
          <w:color w:val="FF0000"/>
          <w:bdr w:val="none" w:sz="0" w:space="0" w:color="auto" w:frame="1"/>
        </w:rPr>
        <w:t>.</w:t>
      </w:r>
    </w:p>
    <w:p w14:paraId="520BACB3" w14:textId="77777777" w:rsidR="002D6389" w:rsidRPr="002D6389" w:rsidRDefault="002D6389" w:rsidP="002D6389">
      <w:pPr>
        <w:pStyle w:val="ListParagraph"/>
        <w:numPr>
          <w:ilvl w:val="0"/>
          <w:numId w:val="33"/>
        </w:numPr>
        <w:autoSpaceDE w:val="0"/>
        <w:autoSpaceDN w:val="0"/>
        <w:adjustRightInd w:val="0"/>
        <w:spacing w:before="180" w:after="0" w:line="256" w:lineRule="auto"/>
        <w:rPr>
          <w:rFonts w:cstheme="minorHAnsi"/>
          <w:color w:val="FF0000"/>
        </w:rPr>
      </w:pPr>
      <w:r w:rsidRPr="002D6389">
        <w:rPr>
          <w:rFonts w:cstheme="minorHAnsi"/>
          <w:color w:val="FF0000"/>
          <w:bdr w:val="none" w:sz="0" w:space="0" w:color="auto" w:frame="1"/>
        </w:rPr>
        <w:t xml:space="preserve">Variance between plans = </w:t>
      </w:r>
      <w:r w:rsidRPr="002D6389">
        <w:rPr>
          <w:rFonts w:cstheme="minorHAnsi"/>
          <w:color w:val="FF0000"/>
          <w:lang w:val="el-GR"/>
        </w:rPr>
        <w:t>σ</w:t>
      </w:r>
      <w:r w:rsidRPr="002D6389">
        <w:rPr>
          <w:rFonts w:cstheme="minorHAnsi"/>
          <w:color w:val="FF0000"/>
          <w:vertAlign w:val="superscript"/>
          <w:lang w:val="el-GR"/>
        </w:rPr>
        <w:t>2</w:t>
      </w:r>
      <w:r w:rsidRPr="002D6389">
        <w:rPr>
          <w:rFonts w:cstheme="minorHAnsi"/>
          <w:color w:val="FF0000"/>
          <w:vertAlign w:val="subscript"/>
        </w:rPr>
        <w:t>plan-to-plan</w:t>
      </w:r>
      <w:r w:rsidRPr="002D6389">
        <w:rPr>
          <w:rFonts w:cstheme="minorHAnsi"/>
          <w:color w:val="FF0000"/>
        </w:rPr>
        <w:t xml:space="preserve"> = (</w:t>
      </w:r>
      <w:r w:rsidRPr="002D6389">
        <w:rPr>
          <w:rFonts w:cstheme="minorHAnsi"/>
          <w:color w:val="FF0000"/>
          <w:lang w:val="el-GR"/>
        </w:rPr>
        <w:t>α β</w:t>
      </w:r>
      <w:r w:rsidRPr="002D6389">
        <w:rPr>
          <w:rFonts w:cstheme="minorHAnsi"/>
          <w:color w:val="FF0000"/>
        </w:rPr>
        <w:t>) / (</w:t>
      </w:r>
      <w:r w:rsidRPr="002D6389">
        <w:rPr>
          <w:rFonts w:cstheme="minorHAnsi"/>
          <w:color w:val="FF0000"/>
          <w:lang w:val="el-GR"/>
        </w:rPr>
        <w:t>α</w:t>
      </w:r>
      <w:r w:rsidRPr="002D6389">
        <w:rPr>
          <w:rFonts w:cstheme="minorHAnsi"/>
          <w:color w:val="FF0000"/>
        </w:rPr>
        <w:t xml:space="preserve"> + </w:t>
      </w:r>
      <w:r w:rsidRPr="002D6389">
        <w:rPr>
          <w:rFonts w:cstheme="minorHAnsi"/>
          <w:color w:val="FF0000"/>
          <w:lang w:val="el-GR"/>
        </w:rPr>
        <w:t>β</w:t>
      </w:r>
      <w:r w:rsidRPr="002D6389">
        <w:rPr>
          <w:rFonts w:cstheme="minorHAnsi"/>
          <w:color w:val="FF0000"/>
        </w:rPr>
        <w:t xml:space="preserve"> + 1)(</w:t>
      </w:r>
      <w:r w:rsidRPr="002D6389">
        <w:rPr>
          <w:rFonts w:cstheme="minorHAnsi"/>
          <w:color w:val="FF0000"/>
          <w:lang w:val="el-GR"/>
        </w:rPr>
        <w:t>α</w:t>
      </w:r>
      <w:r w:rsidRPr="002D6389">
        <w:rPr>
          <w:rFonts w:cstheme="minorHAnsi"/>
          <w:color w:val="FF0000"/>
        </w:rPr>
        <w:t xml:space="preserve"> + </w:t>
      </w:r>
      <w:r w:rsidRPr="002D6389">
        <w:rPr>
          <w:rFonts w:cstheme="minorHAnsi"/>
          <w:color w:val="FF0000"/>
          <w:lang w:val="el-GR"/>
        </w:rPr>
        <w:t>β</w:t>
      </w:r>
      <w:r w:rsidRPr="002D6389">
        <w:rPr>
          <w:rFonts w:cstheme="minorHAnsi"/>
          <w:color w:val="FF0000"/>
        </w:rPr>
        <w:t>)</w:t>
      </w:r>
      <w:r w:rsidRPr="002D6389">
        <w:rPr>
          <w:rFonts w:cstheme="minorHAnsi"/>
          <w:color w:val="FF0000"/>
          <w:vertAlign w:val="superscript"/>
        </w:rPr>
        <w:t xml:space="preserve">2  </w:t>
      </w:r>
      <w:r w:rsidRPr="002D6389">
        <w:rPr>
          <w:rFonts w:cstheme="minorHAnsi"/>
          <w:color w:val="FF0000"/>
        </w:rPr>
        <w:t xml:space="preserve"> </w:t>
      </w:r>
    </w:p>
    <w:p w14:paraId="24ED2CEA" w14:textId="77777777" w:rsidR="002D6389" w:rsidRPr="002D6389" w:rsidRDefault="002D6389" w:rsidP="002D6389">
      <w:pPr>
        <w:pStyle w:val="ListParagraph"/>
        <w:autoSpaceDE w:val="0"/>
        <w:autoSpaceDN w:val="0"/>
        <w:adjustRightInd w:val="0"/>
        <w:spacing w:before="80" w:after="0" w:line="256" w:lineRule="auto"/>
        <w:ind w:firstLine="720"/>
        <w:rPr>
          <w:rFonts w:cstheme="minorHAnsi"/>
          <w:color w:val="FF0000"/>
        </w:rPr>
      </w:pPr>
      <w:r w:rsidRPr="002D6389">
        <w:rPr>
          <w:rFonts w:cstheme="minorHAnsi"/>
          <w:color w:val="FF0000"/>
          <w:lang w:val="el-GR"/>
        </w:rPr>
        <w:t>α</w:t>
      </w:r>
      <w:r w:rsidRPr="002D6389">
        <w:rPr>
          <w:rFonts w:cstheme="minorHAnsi"/>
          <w:color w:val="FF0000"/>
        </w:rPr>
        <w:t xml:space="preserve"> and </w:t>
      </w:r>
      <w:r w:rsidRPr="002D6389">
        <w:rPr>
          <w:rFonts w:cstheme="minorHAnsi"/>
          <w:color w:val="FF0000"/>
          <w:lang w:val="el-GR"/>
        </w:rPr>
        <w:t>β</w:t>
      </w:r>
      <w:r w:rsidRPr="002D6389">
        <w:rPr>
          <w:rFonts w:cstheme="minorHAnsi"/>
          <w:color w:val="FF0000"/>
        </w:rPr>
        <w:t xml:space="preserve"> are two shape parameters of the Beta-Binomial distribution, </w:t>
      </w:r>
      <w:r w:rsidRPr="002D6389">
        <w:rPr>
          <w:rFonts w:cstheme="minorHAnsi"/>
          <w:color w:val="FF0000"/>
          <w:lang w:val="el-GR"/>
        </w:rPr>
        <w:t>α</w:t>
      </w:r>
      <w:r w:rsidRPr="002D6389">
        <w:rPr>
          <w:rFonts w:cstheme="minorHAnsi"/>
          <w:color w:val="FF0000"/>
        </w:rPr>
        <w:t xml:space="preserve"> &gt;0, </w:t>
      </w:r>
      <w:r w:rsidRPr="002D6389">
        <w:rPr>
          <w:rFonts w:cstheme="minorHAnsi"/>
          <w:color w:val="FF0000"/>
          <w:lang w:val="el-GR"/>
        </w:rPr>
        <w:t>β</w:t>
      </w:r>
      <w:r w:rsidRPr="002D6389">
        <w:rPr>
          <w:rFonts w:cstheme="minorHAnsi"/>
          <w:color w:val="FF0000"/>
        </w:rPr>
        <w:t xml:space="preserve"> &gt; 0</w:t>
      </w:r>
    </w:p>
    <w:p w14:paraId="39E0D756" w14:textId="77777777" w:rsidR="002D6389" w:rsidRPr="002D6389" w:rsidRDefault="002D6389" w:rsidP="002D6389">
      <w:pPr>
        <w:pStyle w:val="ListParagraph"/>
        <w:numPr>
          <w:ilvl w:val="0"/>
          <w:numId w:val="33"/>
        </w:numPr>
        <w:autoSpaceDE w:val="0"/>
        <w:autoSpaceDN w:val="0"/>
        <w:adjustRightInd w:val="0"/>
        <w:spacing w:before="180" w:after="0" w:line="256" w:lineRule="auto"/>
        <w:rPr>
          <w:rFonts w:cstheme="minorHAnsi"/>
          <w:color w:val="FF0000"/>
        </w:rPr>
      </w:pPr>
      <w:r w:rsidRPr="002D6389">
        <w:rPr>
          <w:rFonts w:cstheme="minorHAnsi"/>
          <w:color w:val="FF0000"/>
        </w:rPr>
        <w:t xml:space="preserve">Variance within plans: </w:t>
      </w:r>
      <w:r w:rsidRPr="002D6389">
        <w:rPr>
          <w:rFonts w:cstheme="minorHAnsi"/>
          <w:color w:val="FF0000"/>
          <w:lang w:val="el-GR"/>
        </w:rPr>
        <w:t>σ</w:t>
      </w:r>
      <w:r w:rsidRPr="002D6389">
        <w:rPr>
          <w:rFonts w:cstheme="minorHAnsi"/>
          <w:color w:val="FF0000"/>
          <w:vertAlign w:val="superscript"/>
          <w:lang w:val="el-GR"/>
        </w:rPr>
        <w:t>2</w:t>
      </w:r>
      <w:r w:rsidRPr="002D6389">
        <w:rPr>
          <w:rFonts w:cstheme="minorHAnsi"/>
          <w:color w:val="FF0000"/>
          <w:vertAlign w:val="subscript"/>
        </w:rPr>
        <w:t>error</w:t>
      </w:r>
      <w:r w:rsidRPr="002D6389">
        <w:rPr>
          <w:rFonts w:cstheme="minorHAnsi"/>
          <w:color w:val="FF0000"/>
        </w:rPr>
        <w:t xml:space="preserve"> = </w:t>
      </w:r>
      <w:r w:rsidRPr="002D6389">
        <w:rPr>
          <w:rFonts w:cstheme="minorHAnsi"/>
          <w:color w:val="FF0000"/>
          <w:shd w:val="clear" w:color="auto" w:fill="FFFFFF"/>
        </w:rPr>
        <w:t>p̂(1- p̂)/n</w:t>
      </w:r>
    </w:p>
    <w:p w14:paraId="01B1DF47" w14:textId="77777777" w:rsidR="002D6389" w:rsidRPr="002D6389" w:rsidRDefault="002D6389" w:rsidP="002D6389">
      <w:pPr>
        <w:autoSpaceDE w:val="0"/>
        <w:autoSpaceDN w:val="0"/>
        <w:adjustRightInd w:val="0"/>
        <w:spacing w:before="80" w:after="0" w:line="256" w:lineRule="auto"/>
        <w:ind w:left="720" w:firstLine="720"/>
        <w:rPr>
          <w:rFonts w:cstheme="minorHAnsi"/>
          <w:color w:val="FF0000"/>
          <w:shd w:val="clear" w:color="auto" w:fill="FFFFFF"/>
        </w:rPr>
      </w:pPr>
      <w:r w:rsidRPr="002D6389">
        <w:rPr>
          <w:rFonts w:cstheme="minorHAnsi"/>
          <w:color w:val="FF0000"/>
          <w:shd w:val="clear" w:color="auto" w:fill="FFFFFF"/>
        </w:rPr>
        <w:t>p̂ = observed rate for the plan</w:t>
      </w:r>
    </w:p>
    <w:p w14:paraId="1FCF62E3" w14:textId="1B5EFDD6" w:rsidR="002D6389" w:rsidRPr="002D6389" w:rsidRDefault="002D6389" w:rsidP="002D6389">
      <w:pPr>
        <w:autoSpaceDE w:val="0"/>
        <w:autoSpaceDN w:val="0"/>
        <w:adjustRightInd w:val="0"/>
        <w:spacing w:before="80" w:after="0" w:line="256" w:lineRule="auto"/>
        <w:ind w:left="720" w:firstLine="720"/>
        <w:rPr>
          <w:rFonts w:cstheme="minorHAnsi"/>
          <w:color w:val="FF0000"/>
          <w:shd w:val="clear" w:color="auto" w:fill="FFFFFF"/>
        </w:rPr>
      </w:pPr>
      <w:r w:rsidRPr="002D6389">
        <w:rPr>
          <w:rFonts w:cstheme="minorHAnsi"/>
          <w:color w:val="FF0000"/>
          <w:shd w:val="clear" w:color="auto" w:fill="FFFFFF"/>
        </w:rPr>
        <w:t>n = plan-specific denominator for the observed rate (most often the number of eligible plan members</w:t>
      </w:r>
      <w:r w:rsidR="002739E9">
        <w:rPr>
          <w:rFonts w:cstheme="minorHAnsi"/>
          <w:color w:val="FF0000"/>
          <w:shd w:val="clear" w:color="auto" w:fill="FFFFFF"/>
        </w:rPr>
        <w:t>; in this case, the number of eligible discharges associated with each plan</w:t>
      </w:r>
      <w:r w:rsidRPr="002D6389">
        <w:rPr>
          <w:rFonts w:cstheme="minorHAnsi"/>
          <w:color w:val="FF0000"/>
          <w:shd w:val="clear" w:color="auto" w:fill="FFFFFF"/>
        </w:rPr>
        <w:t>)</w:t>
      </w:r>
    </w:p>
    <w:p w14:paraId="72116BDE" w14:textId="77777777" w:rsidR="002D6389" w:rsidRPr="002D6389" w:rsidRDefault="002D6389" w:rsidP="002D6389">
      <w:pPr>
        <w:autoSpaceDE w:val="0"/>
        <w:autoSpaceDN w:val="0"/>
        <w:adjustRightInd w:val="0"/>
        <w:spacing w:before="180" w:after="0" w:line="256" w:lineRule="auto"/>
        <w:rPr>
          <w:rFonts w:cstheme="minorHAnsi"/>
          <w:color w:val="FF0000"/>
          <w:bdr w:val="none" w:sz="0" w:space="0" w:color="auto" w:frame="1"/>
        </w:rPr>
      </w:pPr>
      <w:r w:rsidRPr="002D6389">
        <w:rPr>
          <w:rFonts w:cstheme="minorHAnsi"/>
          <w:color w:val="FF0000"/>
          <w:bdr w:val="none" w:sz="0" w:space="0" w:color="auto" w:frame="1"/>
        </w:rPr>
        <w:t>Using Adams’ 2009 methodology, we estimated the reliability for each reporting entity, then averaged these reliability estimates across all reporting entities to produce a point estimate of signal-to-noise reliability. We label this point estimate “mean signal-to-noise reliability”. The mean signal-to-noise reliability measures how well, on average, the measure can differentiate between reporting entity performance on the measure.</w:t>
      </w:r>
    </w:p>
    <w:p w14:paraId="2164067B" w14:textId="77777777" w:rsidR="002D6389" w:rsidRPr="002D6389" w:rsidRDefault="002D6389" w:rsidP="002D6389">
      <w:pPr>
        <w:autoSpaceDE w:val="0"/>
        <w:autoSpaceDN w:val="0"/>
        <w:adjustRightInd w:val="0"/>
        <w:spacing w:before="180" w:after="0" w:line="256" w:lineRule="auto"/>
        <w:rPr>
          <w:rFonts w:cstheme="minorHAnsi"/>
          <w:color w:val="FF0000"/>
          <w:bdr w:val="none" w:sz="0" w:space="0" w:color="auto" w:frame="1"/>
        </w:rPr>
      </w:pPr>
      <w:r w:rsidRPr="002D6389">
        <w:rPr>
          <w:rFonts w:cstheme="minorHAnsi"/>
          <w:color w:val="FF0000"/>
          <w:bdr w:val="none" w:sz="0" w:space="0" w:color="auto" w:frame="1"/>
        </w:rPr>
        <w:t xml:space="preserve">Along with the point estimate of mean signal-to-noise reliability, we are also providing: </w:t>
      </w:r>
    </w:p>
    <w:p w14:paraId="155966A4" w14:textId="77777777" w:rsidR="002D6389" w:rsidRPr="002D6389" w:rsidRDefault="002D6389" w:rsidP="002D6389">
      <w:pPr>
        <w:pStyle w:val="ListParagraph"/>
        <w:numPr>
          <w:ilvl w:val="0"/>
          <w:numId w:val="34"/>
        </w:numPr>
        <w:autoSpaceDE w:val="0"/>
        <w:autoSpaceDN w:val="0"/>
        <w:adjustRightInd w:val="0"/>
        <w:spacing w:before="180" w:after="0" w:line="256" w:lineRule="auto"/>
        <w:rPr>
          <w:rFonts w:cstheme="minorHAnsi"/>
          <w:color w:val="FF0000"/>
          <w:bdr w:val="none" w:sz="0" w:space="0" w:color="auto" w:frame="1"/>
        </w:rPr>
      </w:pPr>
      <w:r w:rsidRPr="002D6389">
        <w:rPr>
          <w:rFonts w:cstheme="minorHAnsi"/>
          <w:color w:val="FF0000"/>
          <w:u w:val="single"/>
          <w:bdr w:val="none" w:sz="0" w:space="0" w:color="auto" w:frame="1"/>
        </w:rPr>
        <w:t>The standard error (SE) and 95% confidence interval (95% CI) of the mean signal-to-noise reliability for all plans and stratified by the denominator size (number of eligible members per plan)</w:t>
      </w:r>
      <w:r w:rsidRPr="002D6389">
        <w:rPr>
          <w:rFonts w:cstheme="minorHAnsi"/>
          <w:color w:val="FF0000"/>
          <w:bdr w:val="none" w:sz="0" w:space="0" w:color="auto" w:frame="1"/>
        </w:rPr>
        <w:t xml:space="preserve">. The SE and 95% CI of the mean signal-to-noise reliability provides information about the stability of reliability. The 95% CI is the mean signal-to-noise reliability ± (1.96*SE). We also stratified the results by the denominator size using terciles of the distribution to provide additional information about the stability of reliability. </w:t>
      </w:r>
    </w:p>
    <w:p w14:paraId="21C35FC5" w14:textId="77777777" w:rsidR="002D6389" w:rsidRPr="002D6389" w:rsidRDefault="002D6389" w:rsidP="002D6389">
      <w:pPr>
        <w:pStyle w:val="ListParagraph"/>
        <w:numPr>
          <w:ilvl w:val="0"/>
          <w:numId w:val="34"/>
        </w:numPr>
        <w:autoSpaceDE w:val="0"/>
        <w:autoSpaceDN w:val="0"/>
        <w:adjustRightInd w:val="0"/>
        <w:spacing w:before="180" w:after="0" w:line="256" w:lineRule="auto"/>
        <w:rPr>
          <w:rFonts w:cstheme="minorHAnsi"/>
          <w:color w:val="FF0000"/>
          <w:bdr w:val="none" w:sz="0" w:space="0" w:color="auto" w:frame="1"/>
        </w:rPr>
      </w:pPr>
      <w:r w:rsidRPr="002D6389">
        <w:rPr>
          <w:rFonts w:cstheme="minorHAnsi"/>
          <w:color w:val="FF0000"/>
          <w:u w:val="single"/>
          <w:bdr w:val="none" w:sz="0" w:space="0" w:color="auto" w:frame="1"/>
        </w:rPr>
        <w:t>The distribution (minimum, 10</w:t>
      </w:r>
      <w:r w:rsidRPr="002D6389">
        <w:rPr>
          <w:rFonts w:cstheme="minorHAnsi"/>
          <w:color w:val="FF0000"/>
          <w:u w:val="single"/>
          <w:bdr w:val="none" w:sz="0" w:space="0" w:color="auto" w:frame="1"/>
          <w:vertAlign w:val="superscript"/>
        </w:rPr>
        <w:t>th</w:t>
      </w:r>
      <w:r w:rsidRPr="002D6389">
        <w:rPr>
          <w:rFonts w:cstheme="minorHAnsi"/>
          <w:color w:val="FF0000"/>
          <w:u w:val="single"/>
          <w:bdr w:val="none" w:sz="0" w:space="0" w:color="auto" w:frame="1"/>
        </w:rPr>
        <w:t>, 25</w:t>
      </w:r>
      <w:r w:rsidRPr="002D6389">
        <w:rPr>
          <w:rFonts w:cstheme="minorHAnsi"/>
          <w:color w:val="FF0000"/>
          <w:u w:val="single"/>
          <w:bdr w:val="none" w:sz="0" w:space="0" w:color="auto" w:frame="1"/>
          <w:vertAlign w:val="superscript"/>
        </w:rPr>
        <w:t>th</w:t>
      </w:r>
      <w:r w:rsidRPr="002D6389">
        <w:rPr>
          <w:rFonts w:cstheme="minorHAnsi"/>
          <w:color w:val="FF0000"/>
          <w:u w:val="single"/>
          <w:bdr w:val="none" w:sz="0" w:space="0" w:color="auto" w:frame="1"/>
        </w:rPr>
        <w:t>, 50</w:t>
      </w:r>
      <w:r w:rsidRPr="002D6389">
        <w:rPr>
          <w:rFonts w:cstheme="minorHAnsi"/>
          <w:color w:val="FF0000"/>
          <w:u w:val="single"/>
          <w:bdr w:val="none" w:sz="0" w:space="0" w:color="auto" w:frame="1"/>
          <w:vertAlign w:val="superscript"/>
        </w:rPr>
        <w:t>th</w:t>
      </w:r>
      <w:r w:rsidRPr="002D6389">
        <w:rPr>
          <w:rFonts w:cstheme="minorHAnsi"/>
          <w:color w:val="FF0000"/>
          <w:u w:val="single"/>
          <w:bdr w:val="none" w:sz="0" w:space="0" w:color="auto" w:frame="1"/>
        </w:rPr>
        <w:t>, 75</w:t>
      </w:r>
      <w:r w:rsidRPr="002D6389">
        <w:rPr>
          <w:rFonts w:cstheme="minorHAnsi"/>
          <w:color w:val="FF0000"/>
          <w:u w:val="single"/>
          <w:bdr w:val="none" w:sz="0" w:space="0" w:color="auto" w:frame="1"/>
          <w:vertAlign w:val="superscript"/>
        </w:rPr>
        <w:t>th</w:t>
      </w:r>
      <w:r w:rsidRPr="002D6389">
        <w:rPr>
          <w:rFonts w:cstheme="minorHAnsi"/>
          <w:color w:val="FF0000"/>
          <w:u w:val="single"/>
          <w:bdr w:val="none" w:sz="0" w:space="0" w:color="auto" w:frame="1"/>
        </w:rPr>
        <w:t>, 90</w:t>
      </w:r>
      <w:r w:rsidRPr="002D6389">
        <w:rPr>
          <w:rFonts w:cstheme="minorHAnsi"/>
          <w:color w:val="FF0000"/>
          <w:u w:val="single"/>
          <w:bdr w:val="none" w:sz="0" w:space="0" w:color="auto" w:frame="1"/>
          <w:vertAlign w:val="superscript"/>
        </w:rPr>
        <w:t>th</w:t>
      </w:r>
      <w:r w:rsidRPr="002D6389">
        <w:rPr>
          <w:rFonts w:cstheme="minorHAnsi"/>
          <w:color w:val="FF0000"/>
          <w:u w:val="single"/>
          <w:bdr w:val="none" w:sz="0" w:space="0" w:color="auto" w:frame="1"/>
        </w:rPr>
        <w:t>, maximum) of the plan-level signal-to-noise reliability estimates</w:t>
      </w:r>
      <w:r w:rsidRPr="002D6389">
        <w:rPr>
          <w:rFonts w:cstheme="minorHAnsi"/>
          <w:color w:val="FF0000"/>
          <w:bdr w:val="none" w:sz="0" w:space="0" w:color="auto" w:frame="1"/>
        </w:rPr>
        <w:t xml:space="preserve">. Each plan’s reliability estimate is a ratio of signal to noise, as described above [ </w:t>
      </w:r>
      <w:r w:rsidRPr="002D6389">
        <w:rPr>
          <w:rFonts w:cstheme="minorHAnsi"/>
          <w:color w:val="FF0000"/>
          <w:lang w:val="el-GR"/>
        </w:rPr>
        <w:t>σ</w:t>
      </w:r>
      <w:r w:rsidRPr="002D6389">
        <w:rPr>
          <w:rFonts w:cstheme="minorHAnsi"/>
          <w:color w:val="FF0000"/>
          <w:vertAlign w:val="superscript"/>
          <w:lang w:val="el-GR"/>
        </w:rPr>
        <w:t>2</w:t>
      </w:r>
      <w:r w:rsidRPr="002D6389">
        <w:rPr>
          <w:rFonts w:cstheme="minorHAnsi"/>
          <w:color w:val="FF0000"/>
          <w:vertAlign w:val="subscript"/>
        </w:rPr>
        <w:t>plan-to-plan</w:t>
      </w:r>
      <w:r w:rsidRPr="002D6389">
        <w:rPr>
          <w:rFonts w:cstheme="minorHAnsi"/>
          <w:color w:val="FF0000"/>
        </w:rPr>
        <w:t xml:space="preserve"> / (</w:t>
      </w:r>
      <w:r w:rsidRPr="002D6389">
        <w:rPr>
          <w:rFonts w:cstheme="minorHAnsi"/>
          <w:color w:val="FF0000"/>
          <w:lang w:val="el-GR"/>
        </w:rPr>
        <w:t>σ</w:t>
      </w:r>
      <w:r w:rsidRPr="002D6389">
        <w:rPr>
          <w:rFonts w:cstheme="minorHAnsi"/>
          <w:color w:val="FF0000"/>
          <w:vertAlign w:val="superscript"/>
          <w:lang w:val="el-GR"/>
        </w:rPr>
        <w:t>2</w:t>
      </w:r>
      <w:r w:rsidRPr="002D6389">
        <w:rPr>
          <w:rFonts w:cstheme="minorHAnsi"/>
          <w:color w:val="FF0000"/>
          <w:vertAlign w:val="subscript"/>
        </w:rPr>
        <w:t>plan-to-plan</w:t>
      </w:r>
      <w:r w:rsidRPr="002D6389">
        <w:rPr>
          <w:rFonts w:cstheme="minorHAnsi"/>
          <w:color w:val="FF0000"/>
        </w:rPr>
        <w:t xml:space="preserve"> + </w:t>
      </w:r>
      <w:r w:rsidRPr="002D6389">
        <w:rPr>
          <w:rFonts w:cstheme="minorHAnsi"/>
          <w:color w:val="FF0000"/>
          <w:lang w:val="el-GR"/>
        </w:rPr>
        <w:t>σ</w:t>
      </w:r>
      <w:r w:rsidRPr="002D6389">
        <w:rPr>
          <w:rFonts w:cstheme="minorHAnsi"/>
          <w:color w:val="FF0000"/>
          <w:vertAlign w:val="superscript"/>
          <w:lang w:val="el-GR"/>
        </w:rPr>
        <w:t>2</w:t>
      </w:r>
      <w:r w:rsidRPr="002D6389">
        <w:rPr>
          <w:rFonts w:cstheme="minorHAnsi"/>
          <w:color w:val="FF0000"/>
          <w:vertAlign w:val="subscript"/>
        </w:rPr>
        <w:t>error</w:t>
      </w:r>
      <w:r w:rsidRPr="002D6389">
        <w:rPr>
          <w:rFonts w:cstheme="minorHAnsi"/>
          <w:color w:val="FF0000"/>
        </w:rPr>
        <w:t>)]. Variability between plans (</w:t>
      </w:r>
      <w:r w:rsidRPr="002D6389">
        <w:rPr>
          <w:rFonts w:cstheme="minorHAnsi"/>
          <w:color w:val="FF0000"/>
          <w:lang w:val="el-GR"/>
        </w:rPr>
        <w:t>σ</w:t>
      </w:r>
      <w:r w:rsidRPr="002D6389">
        <w:rPr>
          <w:rFonts w:cstheme="minorHAnsi"/>
          <w:color w:val="FF0000"/>
          <w:vertAlign w:val="superscript"/>
          <w:lang w:val="el-GR"/>
        </w:rPr>
        <w:t>2</w:t>
      </w:r>
      <w:r w:rsidRPr="002D6389">
        <w:rPr>
          <w:rFonts w:cstheme="minorHAnsi"/>
          <w:color w:val="FF0000"/>
          <w:vertAlign w:val="subscript"/>
        </w:rPr>
        <w:t>plan-to-plan</w:t>
      </w:r>
      <w:r w:rsidRPr="002D6389">
        <w:rPr>
          <w:rFonts w:cstheme="minorHAnsi"/>
          <w:color w:val="FF0000"/>
        </w:rPr>
        <w:t>) is the same for each plan, while the specific plan error (</w:t>
      </w:r>
      <w:r w:rsidRPr="002D6389">
        <w:rPr>
          <w:rFonts w:cstheme="minorHAnsi"/>
          <w:color w:val="FF0000"/>
          <w:lang w:val="el-GR"/>
        </w:rPr>
        <w:t>σ</w:t>
      </w:r>
      <w:r w:rsidRPr="002D6389">
        <w:rPr>
          <w:rFonts w:cstheme="minorHAnsi"/>
          <w:color w:val="FF0000"/>
          <w:vertAlign w:val="superscript"/>
          <w:lang w:val="el-GR"/>
        </w:rPr>
        <w:t>2</w:t>
      </w:r>
      <w:r w:rsidRPr="002D6389">
        <w:rPr>
          <w:rFonts w:cstheme="minorHAnsi"/>
          <w:color w:val="FF0000"/>
          <w:vertAlign w:val="subscript"/>
        </w:rPr>
        <w:t>error</w:t>
      </w:r>
      <w:r w:rsidRPr="002D6389">
        <w:rPr>
          <w:rFonts w:cstheme="minorHAnsi"/>
          <w:color w:val="FF0000"/>
        </w:rPr>
        <w:t>) varies. Reliability for each plan is an ordinal measure of how well one can determine where a plan lies in the distribution of reliability across all plans, with higher estimates indicating better reliability. W</w:t>
      </w:r>
      <w:r w:rsidRPr="002D6389">
        <w:rPr>
          <w:rFonts w:cstheme="minorHAnsi"/>
          <w:color w:val="FF0000"/>
          <w:bdr w:val="none" w:sz="0" w:space="0" w:color="auto" w:frame="1"/>
        </w:rPr>
        <w:t xml:space="preserve">e also stratified the results by the denominator size using terciles of the distribution to provide additional information about the distribution of plan-level signal-to-noise reliability estimates. The </w:t>
      </w:r>
      <w:r w:rsidRPr="002D6389">
        <w:rPr>
          <w:rFonts w:cstheme="minorHAnsi"/>
          <w:color w:val="FF0000"/>
        </w:rPr>
        <w:t>number of plans in each stratum and the per-plan denominators of indicators are displayed in the summary tables.</w:t>
      </w:r>
    </w:p>
    <w:p w14:paraId="5F3DD943" w14:textId="77777777" w:rsidR="002D6389" w:rsidRPr="002D6389" w:rsidRDefault="002D6389" w:rsidP="002D6389">
      <w:pPr>
        <w:autoSpaceDE w:val="0"/>
        <w:autoSpaceDN w:val="0"/>
        <w:adjustRightInd w:val="0"/>
        <w:spacing w:before="180" w:after="0" w:line="256" w:lineRule="auto"/>
        <w:rPr>
          <w:rFonts w:cstheme="minorHAnsi"/>
          <w:color w:val="FF0000"/>
        </w:rPr>
      </w:pPr>
      <w:r w:rsidRPr="002D6389">
        <w:rPr>
          <w:rFonts w:cstheme="minorHAnsi"/>
          <w:color w:val="FF0000"/>
        </w:rPr>
        <w:t xml:space="preserve">This methodology allows us to estimate the reliability for each plan and summarize the distribution of these estimates. </w:t>
      </w:r>
    </w:p>
    <w:p w14:paraId="62C4D13B" w14:textId="77777777" w:rsidR="002D6389" w:rsidRPr="002D6389" w:rsidRDefault="002D6389" w:rsidP="002D6389">
      <w:pPr>
        <w:spacing w:after="160" w:line="259" w:lineRule="auto"/>
        <w:rPr>
          <w:rFonts w:cstheme="minorHAnsi"/>
          <w:color w:val="FF0000"/>
        </w:rPr>
      </w:pPr>
    </w:p>
    <w:p w14:paraId="09409CFD" w14:textId="77777777" w:rsidR="00C43A3F" w:rsidRDefault="00C43A3F" w:rsidP="00C43A3F">
      <w:pPr>
        <w:pStyle w:val="BodyText"/>
        <w:spacing w:after="0" w:line="240" w:lineRule="auto"/>
        <w:rPr>
          <w:b/>
          <w:color w:val="FF0000"/>
          <w:u w:val="single"/>
        </w:rPr>
      </w:pPr>
    </w:p>
    <w:p w14:paraId="0ED347D1" w14:textId="77777777" w:rsidR="00C43A3F" w:rsidRDefault="00C43A3F" w:rsidP="00C43A3F">
      <w:pPr>
        <w:pStyle w:val="BodyText"/>
        <w:spacing w:after="0" w:line="240" w:lineRule="auto"/>
        <w:rPr>
          <w:b/>
          <w:color w:val="FF0000"/>
          <w:u w:val="single"/>
        </w:rPr>
      </w:pPr>
    </w:p>
    <w:p w14:paraId="5A76CF5A" w14:textId="77777777" w:rsidR="00C43A3F" w:rsidRPr="006E655D" w:rsidRDefault="00C43A3F" w:rsidP="00C43A3F">
      <w:pPr>
        <w:pStyle w:val="BodyText"/>
        <w:spacing w:after="0" w:line="240" w:lineRule="auto"/>
        <w:rPr>
          <w:color w:val="244061" w:themeColor="accent1" w:themeShade="80"/>
        </w:rPr>
      </w:pPr>
      <w:r w:rsidRPr="006E655D">
        <w:rPr>
          <w:b/>
          <w:color w:val="244061" w:themeColor="accent1" w:themeShade="80"/>
          <w:u w:val="single"/>
        </w:rPr>
        <w:t xml:space="preserve">2016 Update: </w:t>
      </w:r>
      <w:r w:rsidRPr="006E655D">
        <w:rPr>
          <w:rFonts w:cstheme="minorHAnsi"/>
          <w:b/>
          <w:bCs/>
          <w:caps/>
          <w:color w:val="244061" w:themeColor="accent1" w:themeShade="80"/>
          <w:u w:val="single"/>
        </w:rPr>
        <w:t>Method for measure score reliability testing</w:t>
      </w:r>
      <w:r w:rsidRPr="006E655D">
        <w:rPr>
          <w:rFonts w:cstheme="minorHAnsi"/>
          <w:b/>
          <w:bCs/>
          <w:color w:val="244061" w:themeColor="accent1" w:themeShade="80"/>
          <w:u w:val="single"/>
        </w:rPr>
        <w:t xml:space="preserve"> </w:t>
      </w:r>
      <w:r w:rsidRPr="006E655D">
        <w:rPr>
          <w:color w:val="244061" w:themeColor="accent1" w:themeShade="80"/>
        </w:rPr>
        <w:t xml:space="preserve">METHOD FOR BETA-BINOMIAL RELIABILITY TESTING </w:t>
      </w:r>
    </w:p>
    <w:p w14:paraId="1AFD92E7" w14:textId="77777777" w:rsidR="00C43A3F" w:rsidRPr="006E655D" w:rsidRDefault="00C43A3F" w:rsidP="00C43A3F">
      <w:pPr>
        <w:pStyle w:val="BodyText"/>
        <w:spacing w:after="0" w:line="240" w:lineRule="auto"/>
        <w:rPr>
          <w:color w:val="244061" w:themeColor="accent1" w:themeShade="80"/>
        </w:rPr>
      </w:pPr>
      <w:r w:rsidRPr="006E655D">
        <w:rPr>
          <w:color w:val="244061" w:themeColor="accent1" w:themeShade="80"/>
        </w:rPr>
        <w:t xml:space="preserve">The beta-binomial method (Adams, 2009) measures the proportion of total variation attributable to a health plan, which represents the </w:t>
      </w:r>
      <w:r w:rsidRPr="006E655D">
        <w:rPr>
          <w:i/>
          <w:color w:val="244061" w:themeColor="accent1" w:themeShade="80"/>
        </w:rPr>
        <w:t>signal</w:t>
      </w:r>
      <w:r w:rsidRPr="006E655D">
        <w:rPr>
          <w:color w:val="244061" w:themeColor="accent1" w:themeShade="80"/>
        </w:rPr>
        <w:t xml:space="preserve">. The beta-binomial model also estimates the proportion of variation attributable to measurement error for each plan, which represents </w:t>
      </w:r>
      <w:r w:rsidRPr="006E655D">
        <w:rPr>
          <w:i/>
          <w:color w:val="244061" w:themeColor="accent1" w:themeShade="80"/>
        </w:rPr>
        <w:t>noise</w:t>
      </w:r>
      <w:r w:rsidRPr="006E655D">
        <w:rPr>
          <w:color w:val="244061" w:themeColor="accent1" w:themeShade="80"/>
        </w:rPr>
        <w:t>. The reliability of the measure is represented as the ratio of signal to noise.</w:t>
      </w:r>
    </w:p>
    <w:p w14:paraId="0CF96E47" w14:textId="77777777" w:rsidR="00C43A3F" w:rsidRPr="006E655D" w:rsidRDefault="00C43A3F" w:rsidP="00C43A3F">
      <w:pPr>
        <w:pStyle w:val="BodyText"/>
        <w:numPr>
          <w:ilvl w:val="0"/>
          <w:numId w:val="32"/>
        </w:numPr>
        <w:autoSpaceDE w:val="0"/>
        <w:autoSpaceDN w:val="0"/>
        <w:adjustRightInd w:val="0"/>
        <w:spacing w:after="0" w:line="240" w:lineRule="auto"/>
        <w:ind w:left="360"/>
        <w:rPr>
          <w:color w:val="244061" w:themeColor="accent1" w:themeShade="80"/>
        </w:rPr>
      </w:pPr>
      <w:r w:rsidRPr="006E655D">
        <w:rPr>
          <w:color w:val="244061" w:themeColor="accent1" w:themeShade="80"/>
        </w:rPr>
        <w:t>A score of 0 indicates none of the variation (signal) is attributable to the plan</w:t>
      </w:r>
    </w:p>
    <w:p w14:paraId="580862C6" w14:textId="77777777" w:rsidR="00C43A3F" w:rsidRPr="006E655D" w:rsidRDefault="00C43A3F" w:rsidP="00C43A3F">
      <w:pPr>
        <w:pStyle w:val="BodyText"/>
        <w:numPr>
          <w:ilvl w:val="0"/>
          <w:numId w:val="32"/>
        </w:numPr>
        <w:autoSpaceDE w:val="0"/>
        <w:autoSpaceDN w:val="0"/>
        <w:adjustRightInd w:val="0"/>
        <w:spacing w:after="0" w:line="240" w:lineRule="auto"/>
        <w:ind w:left="360"/>
        <w:rPr>
          <w:color w:val="244061" w:themeColor="accent1" w:themeShade="80"/>
        </w:rPr>
      </w:pPr>
      <w:r w:rsidRPr="006E655D">
        <w:rPr>
          <w:color w:val="244061" w:themeColor="accent1" w:themeShade="80"/>
        </w:rPr>
        <w:lastRenderedPageBreak/>
        <w:t>A score of 1.0 indicates all of the variation (signal) is attributable to the plan</w:t>
      </w:r>
    </w:p>
    <w:p w14:paraId="54C21C9F" w14:textId="77777777" w:rsidR="00C43A3F" w:rsidRPr="006E655D" w:rsidRDefault="00C43A3F" w:rsidP="00C43A3F">
      <w:pPr>
        <w:pStyle w:val="BodyText"/>
        <w:numPr>
          <w:ilvl w:val="0"/>
          <w:numId w:val="32"/>
        </w:numPr>
        <w:autoSpaceDE w:val="0"/>
        <w:autoSpaceDN w:val="0"/>
        <w:adjustRightInd w:val="0"/>
        <w:spacing w:after="0" w:line="240" w:lineRule="auto"/>
        <w:ind w:left="360"/>
        <w:rPr>
          <w:color w:val="244061" w:themeColor="accent1" w:themeShade="80"/>
        </w:rPr>
      </w:pPr>
      <w:r w:rsidRPr="006E655D">
        <w:rPr>
          <w:color w:val="244061" w:themeColor="accent1" w:themeShade="80"/>
        </w:rPr>
        <w:t>A score of 0.7 or higher indicates adequate reliability to distinguish performance between two plans</w:t>
      </w:r>
    </w:p>
    <w:p w14:paraId="35D0DFAC" w14:textId="77777777" w:rsidR="00C43A3F" w:rsidRPr="006E655D" w:rsidRDefault="00C43A3F" w:rsidP="00C43A3F">
      <w:pPr>
        <w:pStyle w:val="BodyText"/>
        <w:autoSpaceDE w:val="0"/>
        <w:autoSpaceDN w:val="0"/>
        <w:adjustRightInd w:val="0"/>
        <w:spacing w:after="0" w:line="240" w:lineRule="auto"/>
        <w:ind w:left="360"/>
        <w:rPr>
          <w:color w:val="244061" w:themeColor="accent1" w:themeShade="80"/>
        </w:rPr>
      </w:pPr>
    </w:p>
    <w:p w14:paraId="29219025" w14:textId="77777777" w:rsidR="00C43A3F" w:rsidRPr="006E655D" w:rsidRDefault="00C43A3F" w:rsidP="00C43A3F">
      <w:pPr>
        <w:pStyle w:val="BodyText"/>
        <w:spacing w:after="0" w:line="240" w:lineRule="auto"/>
        <w:rPr>
          <w:color w:val="244061" w:themeColor="accent1" w:themeShade="80"/>
        </w:rPr>
      </w:pPr>
      <w:r w:rsidRPr="006E655D">
        <w:rPr>
          <w:color w:val="244061" w:themeColor="accent1" w:themeShade="80"/>
        </w:rPr>
        <w:t>PLAN-LEVEL RELIABILITY</w:t>
      </w:r>
    </w:p>
    <w:p w14:paraId="07A399EF" w14:textId="77777777" w:rsidR="00C43A3F" w:rsidRPr="006E655D" w:rsidRDefault="00C43A3F" w:rsidP="00C43A3F">
      <w:pPr>
        <w:pStyle w:val="BodyText"/>
        <w:spacing w:after="0" w:line="240" w:lineRule="auto"/>
        <w:rPr>
          <w:color w:val="244061" w:themeColor="accent1" w:themeShade="80"/>
        </w:rPr>
      </w:pPr>
      <w:r w:rsidRPr="006E655D">
        <w:rPr>
          <w:color w:val="244061" w:themeColor="accent1" w:themeShade="80"/>
        </w:rPr>
        <w:t>The underlying formulas for the beta-binomial reliability can be adapted to construct a plan-specific estimate of reliability by substituting variation in the individual plan’s variation for the average plan’s variation. The reliability for some plans may be more or less than the overall reliability across plans.</w:t>
      </w:r>
    </w:p>
    <w:p w14:paraId="2A552C09" w14:textId="77777777" w:rsidR="00C43A3F" w:rsidRPr="006E655D" w:rsidRDefault="00C43A3F" w:rsidP="00C43A3F">
      <w:pPr>
        <w:pStyle w:val="BodyText"/>
        <w:spacing w:after="0" w:line="240" w:lineRule="auto"/>
        <w:rPr>
          <w:color w:val="244061" w:themeColor="accent1" w:themeShade="80"/>
        </w:rPr>
      </w:pPr>
    </w:p>
    <w:p w14:paraId="20871051" w14:textId="77777777" w:rsidR="00C43A3F" w:rsidRPr="006E655D" w:rsidRDefault="00C43A3F" w:rsidP="00C43A3F">
      <w:pPr>
        <w:pStyle w:val="BodyText"/>
        <w:spacing w:after="0" w:line="240" w:lineRule="auto"/>
        <w:rPr>
          <w:color w:val="244061" w:themeColor="accent1" w:themeShade="80"/>
        </w:rPr>
      </w:pPr>
      <w:r w:rsidRPr="006E655D">
        <w:rPr>
          <w:color w:val="244061" w:themeColor="accent1" w:themeShade="80"/>
        </w:rPr>
        <w:t>Adams JL. The Reliability of Provider Profiling: A Tutorial. Santa Monica, CA: RAND Corp. TR-653-NCQA, 2009</w:t>
      </w:r>
    </w:p>
    <w:p w14:paraId="7889ABFE" w14:textId="77777777" w:rsidR="00C43A3F" w:rsidRPr="006E655D" w:rsidRDefault="00C43A3F" w:rsidP="00C43A3F">
      <w:pPr>
        <w:spacing w:after="0" w:line="240" w:lineRule="auto"/>
        <w:rPr>
          <w:rFonts w:eastAsia="Times New Roman" w:cs="Arial"/>
          <w:color w:val="244061" w:themeColor="accent1" w:themeShade="80"/>
        </w:rPr>
      </w:pPr>
    </w:p>
    <w:p w14:paraId="549834CB" w14:textId="77777777" w:rsidR="00C43A3F" w:rsidRPr="006E655D" w:rsidRDefault="00C43A3F" w:rsidP="00C43A3F">
      <w:pPr>
        <w:spacing w:after="0" w:line="240" w:lineRule="auto"/>
        <w:rPr>
          <w:rFonts w:eastAsia="Times New Roman" w:cs="Arial"/>
          <w:color w:val="244061" w:themeColor="accent1" w:themeShade="80"/>
        </w:rPr>
      </w:pPr>
      <w:r w:rsidRPr="006E655D">
        <w:rPr>
          <w:rFonts w:eastAsia="Times New Roman" w:cs="Arial"/>
          <w:b/>
          <w:color w:val="244061" w:themeColor="accent1" w:themeShade="80"/>
          <w:u w:val="single"/>
        </w:rPr>
        <w:t xml:space="preserve">2012 Submission </w:t>
      </w:r>
    </w:p>
    <w:p w14:paraId="6E2E43F5" w14:textId="77777777" w:rsidR="00C43A3F" w:rsidRPr="006E655D" w:rsidRDefault="00C43A3F" w:rsidP="00C43A3F">
      <w:pPr>
        <w:spacing w:after="0" w:line="240" w:lineRule="auto"/>
        <w:rPr>
          <w:rFonts w:eastAsia="Times New Roman" w:cs="Arial"/>
          <w:color w:val="244061" w:themeColor="accent1" w:themeShade="80"/>
        </w:rPr>
      </w:pPr>
      <w:r w:rsidRPr="006E655D">
        <w:rPr>
          <w:rFonts w:eastAsia="Times New Roman" w:cs="Arial"/>
          <w:color w:val="244061" w:themeColor="accent1" w:themeShade="80"/>
        </w:rPr>
        <w:t xml:space="preserve">In order to assess measure precision in the context of the observed variability across accountable entities, we utilized the reliability estimate proposed by Adams (2009) in work produced for the National Committee for Quality Assurance (NCQA). </w:t>
      </w:r>
    </w:p>
    <w:p w14:paraId="7FF203A3" w14:textId="77777777" w:rsidR="00C43A3F" w:rsidRPr="006E655D" w:rsidRDefault="00C43A3F" w:rsidP="00C43A3F">
      <w:pPr>
        <w:spacing w:after="0" w:line="240" w:lineRule="auto"/>
        <w:rPr>
          <w:rFonts w:eastAsia="Times New Roman" w:cs="Arial"/>
          <w:color w:val="244061" w:themeColor="accent1" w:themeShade="80"/>
        </w:rPr>
      </w:pPr>
    </w:p>
    <w:p w14:paraId="02828B51" w14:textId="77777777" w:rsidR="00C43A3F" w:rsidRPr="006E655D" w:rsidRDefault="00C43A3F" w:rsidP="00C43A3F">
      <w:pPr>
        <w:spacing w:after="0" w:line="240" w:lineRule="auto"/>
        <w:rPr>
          <w:rFonts w:eastAsia="Times New Roman" w:cs="Arial"/>
          <w:color w:val="244061" w:themeColor="accent1" w:themeShade="80"/>
        </w:rPr>
      </w:pPr>
      <w:r w:rsidRPr="006E655D">
        <w:rPr>
          <w:rFonts w:eastAsia="Times New Roman" w:cs="Arial"/>
          <w:color w:val="244061" w:themeColor="accent1" w:themeShade="80"/>
        </w:rPr>
        <w:t xml:space="preserve">The following is quoted from the tutorial which focused on provider-level assessment: “Reliability is a key metric of the suitability of a measure for [provider] profiling because it describes how well one can confidently distinguish the performance of one physician from another. Conceptually, it is the ratio of signal to noise. The signal in this case is the proportion of the variability in measured performance that can be explained by real differences in performance. There are three main drivers of reliability: sample size, differences between physicians, and measurement error. At the physician level, sample size can be increased by increasing the number of patients in the physician’s data as well as increasing the number of measures per patient.”  This approach is also relevant to health plans and other accountable entities.  </w:t>
      </w:r>
    </w:p>
    <w:p w14:paraId="652742B8" w14:textId="77777777" w:rsidR="00C43A3F" w:rsidRPr="006E655D" w:rsidRDefault="00C43A3F" w:rsidP="00C43A3F">
      <w:pPr>
        <w:spacing w:after="0" w:line="240" w:lineRule="auto"/>
        <w:rPr>
          <w:rFonts w:cs="Arial"/>
          <w:color w:val="244061" w:themeColor="accent1" w:themeShade="80"/>
        </w:rPr>
      </w:pPr>
    </w:p>
    <w:p w14:paraId="2E3771B3" w14:textId="77777777" w:rsidR="00C43A3F" w:rsidRPr="006E655D" w:rsidRDefault="00C43A3F" w:rsidP="00C43A3F">
      <w:pPr>
        <w:spacing w:after="0" w:line="240" w:lineRule="auto"/>
        <w:rPr>
          <w:rFonts w:cs="Arial"/>
          <w:color w:val="244061" w:themeColor="accent1" w:themeShade="80"/>
        </w:rPr>
      </w:pPr>
      <w:r w:rsidRPr="006E655D">
        <w:rPr>
          <w:rFonts w:cs="Arial"/>
          <w:color w:val="244061" w:themeColor="accent1" w:themeShade="80"/>
        </w:rPr>
        <w:t>The beta-binomial approach accounts for the non-normal distribution of performance within and across accountable entities.  Reliability scores vary from 0.0 to 1.0. A score of zero implies that all variation is attributed to measurement error (noise or the individual accountable entity variance), whereas a reliability of 1.0 implies that all variation is caused by a real difference in performance (across accountable entities). Generally, a minimum reliability score of 0.7 is used to indicate sufficient signal strength to discriminate performance between accountable entities. Adams’ approach uses a Beta-binomial model to estimate reliability; this model provides a better fit when estimating the reliability of simple pass/fail rate measures as is the case with most HEDIS® measures.</w:t>
      </w:r>
    </w:p>
    <w:p w14:paraId="2011BD3E" w14:textId="77777777" w:rsidR="00C43A3F" w:rsidRPr="006E655D" w:rsidRDefault="00C43A3F" w:rsidP="00C43A3F">
      <w:pPr>
        <w:spacing w:after="0" w:line="240" w:lineRule="auto"/>
        <w:rPr>
          <w:rFonts w:cs="Arial"/>
          <w:color w:val="244061" w:themeColor="accent1" w:themeShade="80"/>
        </w:rPr>
      </w:pPr>
    </w:p>
    <w:p w14:paraId="6395A580" w14:textId="77777777" w:rsidR="00C43A3F" w:rsidRPr="006E655D" w:rsidRDefault="00C43A3F" w:rsidP="00C43A3F">
      <w:pPr>
        <w:spacing w:after="0" w:line="240" w:lineRule="auto"/>
        <w:rPr>
          <w:rFonts w:cs="Arial"/>
          <w:color w:val="244061" w:themeColor="accent1" w:themeShade="80"/>
        </w:rPr>
      </w:pPr>
      <w:r w:rsidRPr="006E655D">
        <w:rPr>
          <w:rFonts w:cs="Arial"/>
          <w:color w:val="244061" w:themeColor="accent1" w:themeShade="80"/>
        </w:rPr>
        <w:t xml:space="preserve">Adams, J. L. The Reliability of Provider Profiling: A Tutorial. Santa Monica, California: RAND Corporation. TR-653-NCQA, 2009 </w:t>
      </w:r>
    </w:p>
    <w:p w14:paraId="7EFAFF41" w14:textId="77777777" w:rsidR="00C43A3F" w:rsidRPr="00753C06" w:rsidRDefault="00C43A3F" w:rsidP="00C43A3F">
      <w:pPr>
        <w:spacing w:after="0" w:line="240" w:lineRule="auto"/>
        <w:rPr>
          <w:rFonts w:cs="Arial"/>
          <w:color w:val="0000FF"/>
        </w:rPr>
      </w:pPr>
    </w:p>
    <w:p w14:paraId="17E17920" w14:textId="77777777" w:rsidR="00C43A3F" w:rsidRPr="00A25024" w:rsidRDefault="00C43A3F" w:rsidP="008C54A9">
      <w:pPr>
        <w:autoSpaceDE w:val="0"/>
        <w:autoSpaceDN w:val="0"/>
        <w:adjustRightInd w:val="0"/>
        <w:spacing w:after="0" w:line="240" w:lineRule="auto"/>
        <w:rPr>
          <w:rFonts w:cstheme="minorHAnsi"/>
          <w:bCs/>
        </w:rPr>
      </w:pPr>
    </w:p>
    <w:p w14:paraId="6184842F" w14:textId="77777777" w:rsidR="008B0A4A" w:rsidRDefault="00092566" w:rsidP="001908B5">
      <w:pPr>
        <w:autoSpaceDE w:val="0"/>
        <w:autoSpaceDN w:val="0"/>
        <w:adjustRightInd w:val="0"/>
        <w:spacing w:after="0" w:line="240" w:lineRule="auto"/>
        <w:rPr>
          <w:rFonts w:cstheme="minorHAnsi"/>
          <w:b/>
          <w:bCs/>
          <w:color w:val="FF0000"/>
          <w:u w:val="single"/>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p>
    <w:p w14:paraId="727A8119" w14:textId="62FB65FD" w:rsidR="001908B5" w:rsidRPr="006E655D" w:rsidRDefault="001908B5" w:rsidP="001908B5">
      <w:pPr>
        <w:autoSpaceDE w:val="0"/>
        <w:autoSpaceDN w:val="0"/>
        <w:adjustRightInd w:val="0"/>
        <w:spacing w:after="0" w:line="240" w:lineRule="auto"/>
        <w:rPr>
          <w:rFonts w:cstheme="minorHAnsi"/>
          <w:b/>
          <w:bCs/>
          <w:color w:val="FF0000"/>
          <w:u w:val="single"/>
        </w:rPr>
      </w:pPr>
      <w:r w:rsidRPr="006E655D">
        <w:rPr>
          <w:rFonts w:cstheme="minorHAnsi"/>
          <w:b/>
          <w:bCs/>
          <w:color w:val="FF0000"/>
          <w:u w:val="single"/>
        </w:rPr>
        <w:t xml:space="preserve">2020 Submission: </w:t>
      </w:r>
    </w:p>
    <w:p w14:paraId="654838B2" w14:textId="49B3C9D2" w:rsidR="00266209" w:rsidRPr="0092084D" w:rsidRDefault="00266209" w:rsidP="00266209">
      <w:pPr>
        <w:autoSpaceDE w:val="0"/>
        <w:autoSpaceDN w:val="0"/>
        <w:adjustRightInd w:val="0"/>
        <w:spacing w:before="180" w:after="0" w:line="256" w:lineRule="auto"/>
        <w:rPr>
          <w:rFonts w:cstheme="minorHAnsi"/>
          <w:color w:val="FF0000"/>
          <w:bdr w:val="none" w:sz="0" w:space="0" w:color="auto" w:frame="1"/>
        </w:rPr>
      </w:pPr>
      <w:r w:rsidRPr="0092084D">
        <w:rPr>
          <w:rFonts w:eastAsia="Times New Roman" w:cstheme="minorHAnsi"/>
          <w:color w:val="FF0000"/>
        </w:rPr>
        <w:t xml:space="preserve">Signal-to-Noise Reliability Assessment </w:t>
      </w:r>
      <w:r w:rsidRPr="0092084D">
        <w:rPr>
          <w:rFonts w:cstheme="minorHAnsi"/>
          <w:color w:val="FF0000"/>
          <w:bdr w:val="none" w:sz="0" w:space="0" w:color="auto" w:frame="1"/>
        </w:rPr>
        <w:t xml:space="preserve">for the </w:t>
      </w:r>
      <w:r w:rsidRPr="0092084D">
        <w:rPr>
          <w:rFonts w:cstheme="minorHAnsi"/>
          <w:i/>
          <w:iCs/>
          <w:color w:val="FF0000"/>
          <w:bdr w:val="none" w:sz="0" w:space="0" w:color="auto" w:frame="1"/>
        </w:rPr>
        <w:t xml:space="preserve">Follow-Up After Hospitalization for Mental Illness </w:t>
      </w:r>
      <w:r w:rsidRPr="0092084D">
        <w:rPr>
          <w:rFonts w:cstheme="minorHAnsi"/>
          <w:color w:val="FF0000"/>
          <w:bdr w:val="none" w:sz="0" w:space="0" w:color="auto" w:frame="1"/>
        </w:rPr>
        <w:t xml:space="preserve">Measure </w:t>
      </w:r>
    </w:p>
    <w:p w14:paraId="1EB3EB05" w14:textId="77777777" w:rsidR="00266209" w:rsidRPr="0092084D" w:rsidRDefault="00266209" w:rsidP="00266209">
      <w:pPr>
        <w:autoSpaceDE w:val="0"/>
        <w:autoSpaceDN w:val="0"/>
        <w:adjustRightInd w:val="0"/>
        <w:spacing w:before="120" w:after="0" w:line="256" w:lineRule="auto"/>
        <w:rPr>
          <w:rFonts w:cstheme="minorHAnsi"/>
          <w:color w:val="FF0000"/>
        </w:rPr>
      </w:pPr>
      <w:r w:rsidRPr="0092084D">
        <w:rPr>
          <w:rFonts w:cstheme="minorHAnsi"/>
          <w:color w:val="FF0000"/>
        </w:rPr>
        <w:t xml:space="preserve">Table 1 shows the point estimates of mean signal-to-noise reliability using above methodology. </w:t>
      </w:r>
    </w:p>
    <w:p w14:paraId="774BD6EF" w14:textId="69DAB5F7" w:rsidR="00266209" w:rsidRPr="0092084D" w:rsidRDefault="00266209" w:rsidP="00266209">
      <w:pPr>
        <w:autoSpaceDE w:val="0"/>
        <w:autoSpaceDN w:val="0"/>
        <w:adjustRightInd w:val="0"/>
        <w:spacing w:before="180" w:after="0" w:line="256" w:lineRule="auto"/>
        <w:rPr>
          <w:rFonts w:cstheme="minorHAnsi"/>
          <w:color w:val="FF0000"/>
        </w:rPr>
      </w:pPr>
      <w:r w:rsidRPr="0092084D">
        <w:rPr>
          <w:rFonts w:cstheme="minorHAnsi"/>
          <w:color w:val="FF0000"/>
        </w:rPr>
        <w:t>Table 1. Point Estimates of Mean Signal-to-Noise Reliability by Product Type, Calendar Year 201</w:t>
      </w:r>
      <w:r w:rsidR="00B165E0" w:rsidRPr="0092084D">
        <w:rPr>
          <w:rFonts w:cstheme="minorHAnsi"/>
          <w:color w:val="FF0000"/>
        </w:rPr>
        <w:t>8</w:t>
      </w:r>
      <w:r w:rsidRPr="0092084D">
        <w:rPr>
          <w:rFonts w:cstheme="minorHAnsi"/>
          <w:color w:val="FF0000"/>
        </w:rPr>
        <w:t xml:space="preserve"> Data</w:t>
      </w:r>
    </w:p>
    <w:tbl>
      <w:tblPr>
        <w:tblStyle w:val="TableGrid"/>
        <w:tblW w:w="9085" w:type="dxa"/>
        <w:tblLook w:val="04A0" w:firstRow="1" w:lastRow="0" w:firstColumn="1" w:lastColumn="0" w:noHBand="0" w:noVBand="1"/>
      </w:tblPr>
      <w:tblGrid>
        <w:gridCol w:w="3415"/>
        <w:gridCol w:w="1890"/>
        <w:gridCol w:w="1800"/>
        <w:gridCol w:w="1980"/>
      </w:tblGrid>
      <w:tr w:rsidR="0092084D" w:rsidRPr="0092084D" w14:paraId="0B3F5BA4" w14:textId="7894DC98" w:rsidTr="0092084D">
        <w:tc>
          <w:tcPr>
            <w:tcW w:w="3415" w:type="dxa"/>
            <w:vMerge w:val="restart"/>
            <w:tcBorders>
              <w:top w:val="single" w:sz="4" w:space="0" w:color="auto"/>
              <w:left w:val="single" w:sz="4" w:space="0" w:color="auto"/>
              <w:bottom w:val="single" w:sz="4" w:space="0" w:color="auto"/>
              <w:right w:val="single" w:sz="4" w:space="0" w:color="auto"/>
            </w:tcBorders>
            <w:hideMark/>
          </w:tcPr>
          <w:p w14:paraId="338190E7" w14:textId="479A3D59" w:rsidR="0092084D" w:rsidRPr="0092084D" w:rsidRDefault="0092084D" w:rsidP="00050392">
            <w:pPr>
              <w:autoSpaceDE w:val="0"/>
              <w:autoSpaceDN w:val="0"/>
              <w:adjustRightInd w:val="0"/>
              <w:rPr>
                <w:rFonts w:cstheme="minorHAnsi"/>
                <w:color w:val="FF0000"/>
              </w:rPr>
            </w:pPr>
            <w:r w:rsidRPr="0092084D">
              <w:rPr>
                <w:rFonts w:cstheme="minorHAnsi"/>
                <w:i/>
                <w:iCs/>
                <w:color w:val="FF0000"/>
                <w:bdr w:val="none" w:sz="0" w:space="0" w:color="auto" w:frame="1"/>
              </w:rPr>
              <w:lastRenderedPageBreak/>
              <w:t>Follow-Up After Hospitalization for Mental Illness</w:t>
            </w:r>
            <w:r w:rsidR="006F156D">
              <w:rPr>
                <w:rFonts w:cstheme="minorHAnsi"/>
                <w:i/>
                <w:iCs/>
                <w:color w:val="FF0000"/>
                <w:bdr w:val="none" w:sz="0" w:space="0" w:color="auto" w:frame="1"/>
              </w:rPr>
              <w:t xml:space="preserve"> </w:t>
            </w:r>
          </w:p>
        </w:tc>
        <w:tc>
          <w:tcPr>
            <w:tcW w:w="5670" w:type="dxa"/>
            <w:gridSpan w:val="3"/>
            <w:tcBorders>
              <w:top w:val="single" w:sz="4" w:space="0" w:color="auto"/>
              <w:left w:val="single" w:sz="4" w:space="0" w:color="auto"/>
              <w:bottom w:val="single" w:sz="4" w:space="0" w:color="auto"/>
              <w:right w:val="single" w:sz="4" w:space="0" w:color="auto"/>
            </w:tcBorders>
            <w:hideMark/>
          </w:tcPr>
          <w:p w14:paraId="01DFA68A" w14:textId="6439C1C4" w:rsidR="0092084D" w:rsidRPr="0092084D" w:rsidRDefault="0092084D" w:rsidP="00050392">
            <w:pPr>
              <w:autoSpaceDE w:val="0"/>
              <w:autoSpaceDN w:val="0"/>
              <w:adjustRightInd w:val="0"/>
              <w:jc w:val="center"/>
              <w:rPr>
                <w:rFonts w:cstheme="minorHAnsi"/>
                <w:color w:val="FF0000"/>
              </w:rPr>
            </w:pPr>
            <w:r w:rsidRPr="0092084D">
              <w:rPr>
                <w:rFonts w:cstheme="minorHAnsi"/>
                <w:color w:val="FF0000"/>
              </w:rPr>
              <w:t>Point estimate: Mean Signal-To-Noise Reliability</w:t>
            </w:r>
          </w:p>
        </w:tc>
      </w:tr>
      <w:tr w:rsidR="0092084D" w:rsidRPr="0092084D" w14:paraId="5F5973DD" w14:textId="4CBCBACD" w:rsidTr="0092084D">
        <w:tc>
          <w:tcPr>
            <w:tcW w:w="3415" w:type="dxa"/>
            <w:vMerge/>
            <w:tcBorders>
              <w:top w:val="single" w:sz="4" w:space="0" w:color="auto"/>
              <w:left w:val="single" w:sz="4" w:space="0" w:color="auto"/>
              <w:bottom w:val="single" w:sz="4" w:space="0" w:color="auto"/>
              <w:right w:val="single" w:sz="4" w:space="0" w:color="auto"/>
            </w:tcBorders>
            <w:vAlign w:val="center"/>
            <w:hideMark/>
          </w:tcPr>
          <w:p w14:paraId="18AB53CF" w14:textId="77777777" w:rsidR="0092084D" w:rsidRPr="0092084D" w:rsidRDefault="0092084D" w:rsidP="00050392">
            <w:pPr>
              <w:rPr>
                <w:rFonts w:cstheme="minorHAnsi"/>
                <w:color w:val="FF0000"/>
              </w:rPr>
            </w:pPr>
          </w:p>
        </w:tc>
        <w:tc>
          <w:tcPr>
            <w:tcW w:w="1890" w:type="dxa"/>
            <w:tcBorders>
              <w:top w:val="single" w:sz="4" w:space="0" w:color="auto"/>
              <w:left w:val="single" w:sz="4" w:space="0" w:color="auto"/>
              <w:bottom w:val="single" w:sz="4" w:space="0" w:color="auto"/>
              <w:right w:val="single" w:sz="4" w:space="0" w:color="auto"/>
            </w:tcBorders>
            <w:hideMark/>
          </w:tcPr>
          <w:p w14:paraId="7FBAECA2" w14:textId="77777777" w:rsidR="0092084D" w:rsidRPr="0092084D" w:rsidRDefault="0092084D" w:rsidP="00050392">
            <w:pPr>
              <w:autoSpaceDE w:val="0"/>
              <w:autoSpaceDN w:val="0"/>
              <w:adjustRightInd w:val="0"/>
              <w:jc w:val="center"/>
              <w:rPr>
                <w:rFonts w:cstheme="minorHAnsi"/>
                <w:color w:val="FF0000"/>
              </w:rPr>
            </w:pPr>
            <w:r w:rsidRPr="0092084D">
              <w:rPr>
                <w:rFonts w:cstheme="minorHAnsi"/>
                <w:color w:val="FF0000"/>
              </w:rPr>
              <w:t>Commercial</w:t>
            </w:r>
          </w:p>
        </w:tc>
        <w:tc>
          <w:tcPr>
            <w:tcW w:w="1800" w:type="dxa"/>
            <w:tcBorders>
              <w:top w:val="single" w:sz="4" w:space="0" w:color="auto"/>
              <w:left w:val="single" w:sz="4" w:space="0" w:color="auto"/>
              <w:bottom w:val="single" w:sz="4" w:space="0" w:color="auto"/>
              <w:right w:val="single" w:sz="4" w:space="0" w:color="auto"/>
            </w:tcBorders>
            <w:hideMark/>
          </w:tcPr>
          <w:p w14:paraId="41150B25" w14:textId="77777777" w:rsidR="0092084D" w:rsidRPr="0092084D" w:rsidRDefault="0092084D" w:rsidP="00050392">
            <w:pPr>
              <w:autoSpaceDE w:val="0"/>
              <w:autoSpaceDN w:val="0"/>
              <w:adjustRightInd w:val="0"/>
              <w:jc w:val="center"/>
              <w:rPr>
                <w:rFonts w:cstheme="minorHAnsi"/>
                <w:color w:val="FF0000"/>
              </w:rPr>
            </w:pPr>
            <w:r w:rsidRPr="0092084D">
              <w:rPr>
                <w:rFonts w:cstheme="minorHAnsi"/>
                <w:color w:val="FF0000"/>
              </w:rPr>
              <w:t>Medicaid</w:t>
            </w:r>
          </w:p>
        </w:tc>
        <w:tc>
          <w:tcPr>
            <w:tcW w:w="1980" w:type="dxa"/>
            <w:tcBorders>
              <w:top w:val="single" w:sz="4" w:space="0" w:color="auto"/>
              <w:left w:val="single" w:sz="4" w:space="0" w:color="auto"/>
              <w:bottom w:val="single" w:sz="4" w:space="0" w:color="auto"/>
              <w:right w:val="single" w:sz="4" w:space="0" w:color="auto"/>
            </w:tcBorders>
          </w:tcPr>
          <w:p w14:paraId="7F5732C5" w14:textId="7A803803" w:rsidR="0092084D" w:rsidRPr="0092084D" w:rsidRDefault="0092084D" w:rsidP="00050392">
            <w:pPr>
              <w:autoSpaceDE w:val="0"/>
              <w:autoSpaceDN w:val="0"/>
              <w:adjustRightInd w:val="0"/>
              <w:jc w:val="center"/>
              <w:rPr>
                <w:rFonts w:cstheme="minorHAnsi"/>
                <w:color w:val="FF0000"/>
              </w:rPr>
            </w:pPr>
            <w:r w:rsidRPr="0092084D">
              <w:rPr>
                <w:rFonts w:cstheme="minorHAnsi"/>
                <w:color w:val="FF0000"/>
              </w:rPr>
              <w:t>Medicare</w:t>
            </w:r>
          </w:p>
        </w:tc>
      </w:tr>
      <w:tr w:rsidR="004F2B7F" w:rsidRPr="0092084D" w14:paraId="3F57223B" w14:textId="11BAC82C" w:rsidTr="0092084D">
        <w:tc>
          <w:tcPr>
            <w:tcW w:w="3415" w:type="dxa"/>
            <w:tcBorders>
              <w:top w:val="single" w:sz="4" w:space="0" w:color="auto"/>
              <w:left w:val="single" w:sz="4" w:space="0" w:color="auto"/>
              <w:bottom w:val="single" w:sz="4" w:space="0" w:color="auto"/>
              <w:right w:val="single" w:sz="4" w:space="0" w:color="auto"/>
            </w:tcBorders>
            <w:vAlign w:val="bottom"/>
          </w:tcPr>
          <w:p w14:paraId="05BED4EF" w14:textId="55C71E0C" w:rsidR="004F2B7F" w:rsidRPr="004F2B7F" w:rsidRDefault="004F2B7F" w:rsidP="004F2B7F">
            <w:pPr>
              <w:autoSpaceDE w:val="0"/>
              <w:autoSpaceDN w:val="0"/>
              <w:adjustRightInd w:val="0"/>
              <w:rPr>
                <w:rFonts w:cstheme="minorHAnsi"/>
                <w:color w:val="FF0000"/>
              </w:rPr>
            </w:pPr>
            <w:r w:rsidRPr="0092084D">
              <w:rPr>
                <w:rFonts w:cstheme="minorHAnsi"/>
                <w:color w:val="FF0000"/>
              </w:rPr>
              <w:t xml:space="preserve">Follow-Up After Hospitalization For Mental Illness - 7 days </w:t>
            </w:r>
          </w:p>
        </w:tc>
        <w:tc>
          <w:tcPr>
            <w:tcW w:w="1890" w:type="dxa"/>
            <w:tcBorders>
              <w:top w:val="single" w:sz="4" w:space="0" w:color="auto"/>
              <w:left w:val="single" w:sz="4" w:space="0" w:color="auto"/>
              <w:bottom w:val="single" w:sz="4" w:space="0" w:color="auto"/>
              <w:right w:val="single" w:sz="4" w:space="0" w:color="auto"/>
            </w:tcBorders>
            <w:vAlign w:val="bottom"/>
          </w:tcPr>
          <w:p w14:paraId="4DE17623" w14:textId="77777777" w:rsidR="001C716D" w:rsidRPr="001C716D" w:rsidRDefault="001C716D" w:rsidP="001C716D">
            <w:pPr>
              <w:autoSpaceDE w:val="0"/>
              <w:autoSpaceDN w:val="0"/>
              <w:adjustRightInd w:val="0"/>
              <w:jc w:val="center"/>
              <w:rPr>
                <w:rFonts w:cstheme="minorHAnsi"/>
                <w:color w:val="FF0000"/>
              </w:rPr>
            </w:pPr>
            <w:r w:rsidRPr="001C716D">
              <w:rPr>
                <w:rFonts w:cstheme="minorHAnsi"/>
                <w:color w:val="FF0000"/>
              </w:rPr>
              <w:t>0.884</w:t>
            </w:r>
          </w:p>
          <w:p w14:paraId="04FB7AAB" w14:textId="67E88D8A" w:rsidR="004F2B7F" w:rsidRPr="0092084D" w:rsidRDefault="004F2B7F" w:rsidP="004F2B7F">
            <w:pPr>
              <w:autoSpaceDE w:val="0"/>
              <w:autoSpaceDN w:val="0"/>
              <w:adjustRightInd w:val="0"/>
              <w:jc w:val="center"/>
              <w:rPr>
                <w:rFonts w:cstheme="minorHAnsi"/>
                <w:color w:val="FF0000"/>
              </w:rPr>
            </w:pPr>
          </w:p>
        </w:tc>
        <w:tc>
          <w:tcPr>
            <w:tcW w:w="1800" w:type="dxa"/>
            <w:tcBorders>
              <w:top w:val="single" w:sz="4" w:space="0" w:color="auto"/>
              <w:left w:val="single" w:sz="4" w:space="0" w:color="auto"/>
              <w:bottom w:val="single" w:sz="4" w:space="0" w:color="auto"/>
              <w:right w:val="single" w:sz="4" w:space="0" w:color="auto"/>
            </w:tcBorders>
            <w:vAlign w:val="bottom"/>
          </w:tcPr>
          <w:p w14:paraId="63EC6263" w14:textId="77777777" w:rsidR="0020099B" w:rsidRPr="0020099B" w:rsidRDefault="0020099B" w:rsidP="0020099B">
            <w:pPr>
              <w:autoSpaceDE w:val="0"/>
              <w:autoSpaceDN w:val="0"/>
              <w:adjustRightInd w:val="0"/>
              <w:jc w:val="center"/>
              <w:rPr>
                <w:rFonts w:cstheme="minorHAnsi"/>
                <w:color w:val="FF0000"/>
              </w:rPr>
            </w:pPr>
            <w:r w:rsidRPr="0020099B">
              <w:rPr>
                <w:rFonts w:cstheme="minorHAnsi"/>
                <w:color w:val="FF0000"/>
              </w:rPr>
              <w:t>0.969</w:t>
            </w:r>
          </w:p>
          <w:p w14:paraId="3E9D9B2F" w14:textId="5187F5AB" w:rsidR="004F2B7F" w:rsidRPr="0092084D" w:rsidRDefault="004F2B7F" w:rsidP="004F2B7F">
            <w:pPr>
              <w:autoSpaceDE w:val="0"/>
              <w:autoSpaceDN w:val="0"/>
              <w:adjustRightInd w:val="0"/>
              <w:jc w:val="center"/>
              <w:rPr>
                <w:rFonts w:cstheme="minorHAnsi"/>
                <w:color w:val="FF0000"/>
              </w:rPr>
            </w:pPr>
          </w:p>
        </w:tc>
        <w:tc>
          <w:tcPr>
            <w:tcW w:w="1980" w:type="dxa"/>
            <w:tcBorders>
              <w:top w:val="single" w:sz="4" w:space="0" w:color="auto"/>
              <w:left w:val="single" w:sz="4" w:space="0" w:color="auto"/>
              <w:bottom w:val="single" w:sz="4" w:space="0" w:color="auto"/>
              <w:right w:val="single" w:sz="4" w:space="0" w:color="auto"/>
            </w:tcBorders>
          </w:tcPr>
          <w:p w14:paraId="020078CD" w14:textId="77777777" w:rsidR="00024726" w:rsidRPr="00024726" w:rsidRDefault="00024726" w:rsidP="00024726">
            <w:pPr>
              <w:autoSpaceDE w:val="0"/>
              <w:autoSpaceDN w:val="0"/>
              <w:adjustRightInd w:val="0"/>
              <w:jc w:val="center"/>
              <w:rPr>
                <w:rFonts w:cstheme="minorHAnsi"/>
                <w:color w:val="FF0000"/>
              </w:rPr>
            </w:pPr>
            <w:r w:rsidRPr="00024726">
              <w:rPr>
                <w:rFonts w:cstheme="minorHAnsi"/>
                <w:color w:val="FF0000"/>
              </w:rPr>
              <w:t>0.900</w:t>
            </w:r>
          </w:p>
          <w:p w14:paraId="459DEC44" w14:textId="77777777" w:rsidR="004F2B7F" w:rsidRPr="0092084D" w:rsidRDefault="004F2B7F" w:rsidP="004F2B7F">
            <w:pPr>
              <w:autoSpaceDE w:val="0"/>
              <w:autoSpaceDN w:val="0"/>
              <w:adjustRightInd w:val="0"/>
              <w:jc w:val="center"/>
              <w:rPr>
                <w:rFonts w:cstheme="minorHAnsi"/>
                <w:color w:val="FF0000"/>
              </w:rPr>
            </w:pPr>
          </w:p>
        </w:tc>
      </w:tr>
      <w:tr w:rsidR="004F2B7F" w:rsidRPr="0092084D" w14:paraId="32624BA8" w14:textId="0E1B1971" w:rsidTr="008B5EB5">
        <w:trPr>
          <w:trHeight w:val="602"/>
        </w:trPr>
        <w:tc>
          <w:tcPr>
            <w:tcW w:w="3415" w:type="dxa"/>
            <w:tcBorders>
              <w:top w:val="single" w:sz="4" w:space="0" w:color="auto"/>
              <w:left w:val="single" w:sz="4" w:space="0" w:color="auto"/>
              <w:bottom w:val="single" w:sz="4" w:space="0" w:color="auto"/>
              <w:right w:val="single" w:sz="4" w:space="0" w:color="auto"/>
            </w:tcBorders>
            <w:vAlign w:val="bottom"/>
          </w:tcPr>
          <w:p w14:paraId="6C024CE6" w14:textId="52D897A9" w:rsidR="004F2B7F" w:rsidRPr="0092084D" w:rsidRDefault="004F2B7F" w:rsidP="004F2B7F">
            <w:pPr>
              <w:rPr>
                <w:rFonts w:ascii="Calibri" w:hAnsi="Calibri" w:cs="Calibri"/>
                <w:color w:val="FF0000"/>
              </w:rPr>
            </w:pPr>
            <w:r w:rsidRPr="0092084D">
              <w:rPr>
                <w:rFonts w:ascii="Calibri" w:hAnsi="Calibri" w:cs="Calibri"/>
                <w:color w:val="FF0000"/>
              </w:rPr>
              <w:t xml:space="preserve">Follow-Up After Hospitalization For Mental Illness - 30 days </w:t>
            </w:r>
          </w:p>
          <w:p w14:paraId="0CC90834" w14:textId="517E0BFC" w:rsidR="004F2B7F" w:rsidRPr="0092084D" w:rsidRDefault="004F2B7F" w:rsidP="004F2B7F">
            <w:pPr>
              <w:autoSpaceDE w:val="0"/>
              <w:autoSpaceDN w:val="0"/>
              <w:adjustRightInd w:val="0"/>
              <w:rPr>
                <w:rFonts w:cstheme="minorHAnsi"/>
                <w:color w:val="FF0000"/>
              </w:rPr>
            </w:pPr>
          </w:p>
        </w:tc>
        <w:tc>
          <w:tcPr>
            <w:tcW w:w="1890" w:type="dxa"/>
            <w:tcBorders>
              <w:top w:val="single" w:sz="4" w:space="0" w:color="auto"/>
              <w:left w:val="single" w:sz="4" w:space="0" w:color="auto"/>
              <w:bottom w:val="single" w:sz="4" w:space="0" w:color="auto"/>
              <w:right w:val="single" w:sz="4" w:space="0" w:color="auto"/>
            </w:tcBorders>
            <w:vAlign w:val="bottom"/>
          </w:tcPr>
          <w:p w14:paraId="60CD34AE" w14:textId="77777777" w:rsidR="00DE3A23" w:rsidRPr="00DE3A23" w:rsidRDefault="00DE3A23" w:rsidP="00DE3A23">
            <w:pPr>
              <w:autoSpaceDE w:val="0"/>
              <w:autoSpaceDN w:val="0"/>
              <w:adjustRightInd w:val="0"/>
              <w:jc w:val="center"/>
              <w:rPr>
                <w:rFonts w:cstheme="minorHAnsi"/>
                <w:color w:val="FF0000"/>
              </w:rPr>
            </w:pPr>
            <w:r w:rsidRPr="00DE3A23">
              <w:rPr>
                <w:rFonts w:cstheme="minorHAnsi"/>
                <w:color w:val="FF0000"/>
              </w:rPr>
              <w:t>0.883</w:t>
            </w:r>
          </w:p>
          <w:p w14:paraId="174C7368" w14:textId="6DE54AE7" w:rsidR="004F2B7F" w:rsidRPr="0092084D" w:rsidRDefault="004F2B7F" w:rsidP="004F2B7F">
            <w:pPr>
              <w:autoSpaceDE w:val="0"/>
              <w:autoSpaceDN w:val="0"/>
              <w:adjustRightInd w:val="0"/>
              <w:jc w:val="center"/>
              <w:rPr>
                <w:rFonts w:cstheme="minorHAnsi"/>
                <w:color w:val="FF0000"/>
              </w:rPr>
            </w:pPr>
          </w:p>
        </w:tc>
        <w:tc>
          <w:tcPr>
            <w:tcW w:w="1800" w:type="dxa"/>
            <w:tcBorders>
              <w:top w:val="single" w:sz="4" w:space="0" w:color="auto"/>
              <w:left w:val="single" w:sz="4" w:space="0" w:color="auto"/>
              <w:bottom w:val="single" w:sz="4" w:space="0" w:color="auto"/>
              <w:right w:val="single" w:sz="4" w:space="0" w:color="auto"/>
            </w:tcBorders>
            <w:vAlign w:val="bottom"/>
          </w:tcPr>
          <w:p w14:paraId="1F960F71" w14:textId="77777777" w:rsidR="008B5EB5" w:rsidRPr="008B5EB5" w:rsidRDefault="008B5EB5" w:rsidP="008B5EB5">
            <w:pPr>
              <w:autoSpaceDE w:val="0"/>
              <w:autoSpaceDN w:val="0"/>
              <w:adjustRightInd w:val="0"/>
              <w:jc w:val="center"/>
              <w:rPr>
                <w:rFonts w:cstheme="minorHAnsi"/>
                <w:color w:val="FF0000"/>
              </w:rPr>
            </w:pPr>
            <w:r w:rsidRPr="008B5EB5">
              <w:rPr>
                <w:rFonts w:cstheme="minorHAnsi"/>
                <w:color w:val="FF0000"/>
              </w:rPr>
              <w:t>0.967</w:t>
            </w:r>
          </w:p>
          <w:p w14:paraId="6AF41F51" w14:textId="5F8AE0F7" w:rsidR="004F2B7F" w:rsidRPr="0092084D" w:rsidRDefault="004F2B7F" w:rsidP="004F2B7F">
            <w:pPr>
              <w:autoSpaceDE w:val="0"/>
              <w:autoSpaceDN w:val="0"/>
              <w:adjustRightInd w:val="0"/>
              <w:jc w:val="center"/>
              <w:rPr>
                <w:rFonts w:cstheme="minorHAnsi"/>
                <w:color w:val="FF0000"/>
              </w:rPr>
            </w:pPr>
          </w:p>
        </w:tc>
        <w:tc>
          <w:tcPr>
            <w:tcW w:w="1980" w:type="dxa"/>
            <w:tcBorders>
              <w:top w:val="single" w:sz="4" w:space="0" w:color="auto"/>
              <w:left w:val="single" w:sz="4" w:space="0" w:color="auto"/>
              <w:bottom w:val="single" w:sz="4" w:space="0" w:color="auto"/>
              <w:right w:val="single" w:sz="4" w:space="0" w:color="auto"/>
            </w:tcBorders>
          </w:tcPr>
          <w:p w14:paraId="52A59751" w14:textId="77777777" w:rsidR="00F47EC9" w:rsidRDefault="00F47EC9" w:rsidP="00B26DE4">
            <w:pPr>
              <w:autoSpaceDE w:val="0"/>
              <w:autoSpaceDN w:val="0"/>
              <w:adjustRightInd w:val="0"/>
              <w:jc w:val="center"/>
              <w:rPr>
                <w:rFonts w:cstheme="minorHAnsi"/>
                <w:color w:val="FF0000"/>
              </w:rPr>
            </w:pPr>
          </w:p>
          <w:p w14:paraId="2F547E19" w14:textId="4442D301" w:rsidR="00B26DE4" w:rsidRPr="00B26DE4" w:rsidRDefault="00B26DE4" w:rsidP="00B26DE4">
            <w:pPr>
              <w:autoSpaceDE w:val="0"/>
              <w:autoSpaceDN w:val="0"/>
              <w:adjustRightInd w:val="0"/>
              <w:jc w:val="center"/>
              <w:rPr>
                <w:rFonts w:cstheme="minorHAnsi"/>
                <w:color w:val="FF0000"/>
              </w:rPr>
            </w:pPr>
            <w:r w:rsidRPr="00B26DE4">
              <w:rPr>
                <w:rFonts w:cstheme="minorHAnsi"/>
                <w:color w:val="FF0000"/>
              </w:rPr>
              <w:t>0.910</w:t>
            </w:r>
          </w:p>
          <w:p w14:paraId="40ABC89C" w14:textId="77777777" w:rsidR="004F2B7F" w:rsidRPr="0092084D" w:rsidRDefault="004F2B7F" w:rsidP="004F2B7F">
            <w:pPr>
              <w:autoSpaceDE w:val="0"/>
              <w:autoSpaceDN w:val="0"/>
              <w:adjustRightInd w:val="0"/>
              <w:jc w:val="center"/>
              <w:rPr>
                <w:rFonts w:cstheme="minorHAnsi"/>
                <w:color w:val="FF0000"/>
              </w:rPr>
            </w:pPr>
          </w:p>
        </w:tc>
      </w:tr>
    </w:tbl>
    <w:p w14:paraId="60B78880" w14:textId="77777777" w:rsidR="001908B5" w:rsidRPr="006E655D" w:rsidRDefault="001908B5" w:rsidP="001908B5">
      <w:pPr>
        <w:pStyle w:val="NoSpacing"/>
        <w:rPr>
          <w:rFonts w:asciiTheme="minorHAnsi" w:hAnsiTheme="minorHAnsi"/>
          <w:bCs/>
          <w:color w:val="244061" w:themeColor="accent1" w:themeShade="80"/>
          <w:u w:val="single"/>
        </w:rPr>
      </w:pPr>
    </w:p>
    <w:p w14:paraId="7BFC9068" w14:textId="77777777" w:rsidR="001908B5" w:rsidRDefault="001908B5" w:rsidP="001908B5">
      <w:pPr>
        <w:pStyle w:val="NoSpacing"/>
        <w:rPr>
          <w:rFonts w:asciiTheme="minorHAnsi" w:hAnsiTheme="minorHAnsi"/>
          <w:b/>
          <w:color w:val="244061" w:themeColor="accent1" w:themeShade="80"/>
          <w:u w:val="single"/>
        </w:rPr>
      </w:pPr>
    </w:p>
    <w:p w14:paraId="233B2694" w14:textId="2F763C5D" w:rsidR="00901C2B" w:rsidRPr="00901C2B" w:rsidRDefault="00901C2B" w:rsidP="00901C2B">
      <w:pPr>
        <w:spacing w:before="240" w:after="0" w:line="256" w:lineRule="auto"/>
        <w:rPr>
          <w:rFonts w:cstheme="minorHAnsi"/>
          <w:color w:val="FF0000"/>
        </w:rPr>
      </w:pPr>
      <w:r w:rsidRPr="00901C2B">
        <w:rPr>
          <w:rFonts w:cstheme="minorHAnsi"/>
          <w:color w:val="FF0000"/>
        </w:rPr>
        <w:t xml:space="preserve">Table 2a. Mean Signal-To-Noise Reliability, Standard Error (SE) and 95% Confidence Interval (95% CI) for the </w:t>
      </w:r>
      <w:r w:rsidRPr="00901C2B">
        <w:rPr>
          <w:rFonts w:ascii="Calibri" w:hAnsi="Calibri" w:cs="Calibri"/>
          <w:color w:val="FF0000"/>
        </w:rPr>
        <w:t>Follow-Up After Hospitalization For Mental Illness - (</w:t>
      </w:r>
      <w:r w:rsidR="00461ED1">
        <w:rPr>
          <w:rFonts w:ascii="Calibri" w:hAnsi="Calibri" w:cs="Calibri"/>
          <w:color w:val="FF0000"/>
        </w:rPr>
        <w:t>7 day</w:t>
      </w:r>
      <w:r w:rsidRPr="00901C2B">
        <w:rPr>
          <w:rFonts w:ascii="Calibri" w:hAnsi="Calibri" w:cs="Calibri"/>
          <w:color w:val="FF0000"/>
        </w:rPr>
        <w:t>)</w:t>
      </w:r>
      <w:r w:rsidRPr="00901C2B">
        <w:rPr>
          <w:rFonts w:cstheme="minorHAnsi"/>
          <w:i/>
          <w:iCs/>
          <w:color w:val="FF0000"/>
        </w:rPr>
        <w:t xml:space="preserve"> </w:t>
      </w:r>
      <w:r w:rsidRPr="00901C2B">
        <w:rPr>
          <w:rFonts w:cstheme="minorHAnsi"/>
          <w:color w:val="FF0000"/>
        </w:rPr>
        <w:t xml:space="preserve">Measure by Terciles of the Denominator Size and for All Submissions Stratified by Plan Type, Calendar Year 2018 Data </w:t>
      </w:r>
    </w:p>
    <w:tbl>
      <w:tblPr>
        <w:tblStyle w:val="TableGrid"/>
        <w:tblW w:w="0" w:type="auto"/>
        <w:tblLook w:val="04A0" w:firstRow="1" w:lastRow="0" w:firstColumn="1" w:lastColumn="0" w:noHBand="0" w:noVBand="1"/>
      </w:tblPr>
      <w:tblGrid>
        <w:gridCol w:w="1855"/>
        <w:gridCol w:w="1008"/>
        <w:gridCol w:w="1632"/>
        <w:gridCol w:w="1530"/>
        <w:gridCol w:w="900"/>
        <w:gridCol w:w="1663"/>
      </w:tblGrid>
      <w:tr w:rsidR="00901C2B" w:rsidRPr="00901C2B" w14:paraId="72352FF1" w14:textId="77777777" w:rsidTr="0069075F">
        <w:tc>
          <w:tcPr>
            <w:tcW w:w="1855" w:type="dxa"/>
            <w:tcBorders>
              <w:top w:val="single" w:sz="4" w:space="0" w:color="auto"/>
              <w:left w:val="single" w:sz="4" w:space="0" w:color="auto"/>
              <w:bottom w:val="single" w:sz="4" w:space="0" w:color="auto"/>
              <w:right w:val="single" w:sz="4" w:space="0" w:color="auto"/>
            </w:tcBorders>
            <w:vAlign w:val="center"/>
            <w:hideMark/>
          </w:tcPr>
          <w:p w14:paraId="2F43B158" w14:textId="77777777" w:rsidR="00901C2B" w:rsidRPr="00901C2B" w:rsidRDefault="00901C2B" w:rsidP="00050392">
            <w:pPr>
              <w:autoSpaceDE w:val="0"/>
              <w:autoSpaceDN w:val="0"/>
              <w:adjustRightInd w:val="0"/>
              <w:spacing w:after="60"/>
              <w:jc w:val="center"/>
              <w:rPr>
                <w:rFonts w:cstheme="minorHAnsi"/>
                <w:color w:val="FF0000"/>
              </w:rPr>
            </w:pPr>
            <w:r w:rsidRPr="00901C2B">
              <w:rPr>
                <w:rFonts w:cstheme="minorHAnsi"/>
                <w:color w:val="FF0000"/>
              </w:rPr>
              <w:t>Stratification</w:t>
            </w:r>
          </w:p>
        </w:tc>
        <w:tc>
          <w:tcPr>
            <w:tcW w:w="1008" w:type="dxa"/>
            <w:tcBorders>
              <w:top w:val="single" w:sz="4" w:space="0" w:color="auto"/>
              <w:left w:val="single" w:sz="4" w:space="0" w:color="auto"/>
              <w:bottom w:val="single" w:sz="4" w:space="0" w:color="auto"/>
              <w:right w:val="single" w:sz="4" w:space="0" w:color="auto"/>
            </w:tcBorders>
            <w:vAlign w:val="center"/>
            <w:hideMark/>
          </w:tcPr>
          <w:p w14:paraId="52F74294" w14:textId="77777777" w:rsidR="00901C2B" w:rsidRPr="00901C2B" w:rsidRDefault="00901C2B" w:rsidP="00050392">
            <w:pPr>
              <w:autoSpaceDE w:val="0"/>
              <w:autoSpaceDN w:val="0"/>
              <w:adjustRightInd w:val="0"/>
              <w:spacing w:after="60"/>
              <w:jc w:val="center"/>
              <w:rPr>
                <w:rFonts w:cstheme="minorHAnsi"/>
                <w:color w:val="FF0000"/>
              </w:rPr>
            </w:pPr>
            <w:r w:rsidRPr="00901C2B">
              <w:rPr>
                <w:rFonts w:cstheme="minorHAnsi"/>
                <w:color w:val="FF0000"/>
              </w:rPr>
              <w:t>Number of Plans</w:t>
            </w:r>
          </w:p>
        </w:tc>
        <w:tc>
          <w:tcPr>
            <w:tcW w:w="1632" w:type="dxa"/>
            <w:tcBorders>
              <w:top w:val="single" w:sz="4" w:space="0" w:color="auto"/>
              <w:left w:val="single" w:sz="4" w:space="0" w:color="auto"/>
              <w:bottom w:val="single" w:sz="4" w:space="0" w:color="auto"/>
              <w:right w:val="single" w:sz="4" w:space="0" w:color="auto"/>
            </w:tcBorders>
            <w:vAlign w:val="center"/>
            <w:hideMark/>
          </w:tcPr>
          <w:p w14:paraId="72C1F7C9" w14:textId="3817DCAD" w:rsidR="00901C2B" w:rsidRPr="00901C2B" w:rsidRDefault="00901C2B" w:rsidP="00050392">
            <w:pPr>
              <w:autoSpaceDE w:val="0"/>
              <w:autoSpaceDN w:val="0"/>
              <w:adjustRightInd w:val="0"/>
              <w:spacing w:after="60"/>
              <w:jc w:val="center"/>
              <w:rPr>
                <w:rFonts w:cstheme="minorHAnsi"/>
                <w:color w:val="FF0000"/>
              </w:rPr>
            </w:pPr>
            <w:r w:rsidRPr="00901C2B">
              <w:rPr>
                <w:rFonts w:cstheme="minorHAnsi"/>
                <w:color w:val="FF0000"/>
              </w:rPr>
              <w:t xml:space="preserve">Number of Eligible </w:t>
            </w:r>
            <w:r w:rsidR="0071219D">
              <w:rPr>
                <w:rFonts w:cstheme="minorHAnsi"/>
                <w:color w:val="FF0000"/>
              </w:rPr>
              <w:t>D</w:t>
            </w:r>
            <w:r w:rsidR="00E93CF4">
              <w:rPr>
                <w:rFonts w:cstheme="minorHAnsi"/>
                <w:color w:val="FF0000"/>
              </w:rPr>
              <w:t>i</w:t>
            </w:r>
            <w:r w:rsidR="0071219D">
              <w:rPr>
                <w:rFonts w:cstheme="minorHAnsi"/>
                <w:color w:val="FF0000"/>
              </w:rPr>
              <w:t>scharges</w:t>
            </w:r>
            <w:r w:rsidR="0071219D" w:rsidRPr="00901C2B">
              <w:rPr>
                <w:rFonts w:cstheme="minorHAnsi"/>
                <w:color w:val="FF0000"/>
              </w:rPr>
              <w:t xml:space="preserve"> </w:t>
            </w:r>
            <w:r w:rsidRPr="00901C2B">
              <w:rPr>
                <w:rFonts w:cstheme="minorHAnsi"/>
                <w:color w:val="FF0000"/>
              </w:rPr>
              <w:t>per Plan (min - max)</w:t>
            </w:r>
          </w:p>
        </w:tc>
        <w:tc>
          <w:tcPr>
            <w:tcW w:w="1530" w:type="dxa"/>
            <w:tcBorders>
              <w:top w:val="single" w:sz="4" w:space="0" w:color="auto"/>
              <w:left w:val="single" w:sz="4" w:space="0" w:color="auto"/>
              <w:bottom w:val="single" w:sz="4" w:space="0" w:color="auto"/>
              <w:right w:val="single" w:sz="4" w:space="0" w:color="auto"/>
            </w:tcBorders>
            <w:vAlign w:val="center"/>
            <w:hideMark/>
          </w:tcPr>
          <w:p w14:paraId="164BD9ED" w14:textId="77777777" w:rsidR="00901C2B" w:rsidRPr="00901C2B" w:rsidRDefault="00901C2B" w:rsidP="00050392">
            <w:pPr>
              <w:autoSpaceDE w:val="0"/>
              <w:autoSpaceDN w:val="0"/>
              <w:adjustRightInd w:val="0"/>
              <w:spacing w:after="60"/>
              <w:jc w:val="center"/>
              <w:rPr>
                <w:rFonts w:cstheme="minorHAnsi"/>
                <w:color w:val="FF0000"/>
              </w:rPr>
            </w:pPr>
            <w:r w:rsidRPr="00901C2B">
              <w:rPr>
                <w:rFonts w:cstheme="minorHAnsi"/>
                <w:color w:val="FF0000"/>
              </w:rPr>
              <w:t>Mean Signal-To-Noise Reliability</w:t>
            </w:r>
          </w:p>
        </w:tc>
        <w:tc>
          <w:tcPr>
            <w:tcW w:w="900" w:type="dxa"/>
            <w:tcBorders>
              <w:top w:val="single" w:sz="4" w:space="0" w:color="auto"/>
              <w:left w:val="single" w:sz="4" w:space="0" w:color="auto"/>
              <w:bottom w:val="single" w:sz="4" w:space="0" w:color="auto"/>
              <w:right w:val="single" w:sz="4" w:space="0" w:color="auto"/>
            </w:tcBorders>
            <w:vAlign w:val="center"/>
            <w:hideMark/>
          </w:tcPr>
          <w:p w14:paraId="76F40EF8" w14:textId="5A0A93CD" w:rsidR="00901C2B" w:rsidRPr="00901C2B" w:rsidRDefault="00901C2B" w:rsidP="00050392">
            <w:pPr>
              <w:autoSpaceDE w:val="0"/>
              <w:autoSpaceDN w:val="0"/>
              <w:adjustRightInd w:val="0"/>
              <w:spacing w:after="60"/>
              <w:jc w:val="center"/>
              <w:rPr>
                <w:rFonts w:cstheme="minorHAnsi"/>
                <w:color w:val="FF0000"/>
              </w:rPr>
            </w:pPr>
            <w:r w:rsidRPr="00901C2B">
              <w:rPr>
                <w:rFonts w:cstheme="minorHAnsi"/>
                <w:color w:val="FF0000"/>
              </w:rPr>
              <w:t>SE</w:t>
            </w:r>
          </w:p>
        </w:tc>
        <w:tc>
          <w:tcPr>
            <w:tcW w:w="1663" w:type="dxa"/>
            <w:tcBorders>
              <w:top w:val="single" w:sz="4" w:space="0" w:color="auto"/>
              <w:left w:val="single" w:sz="4" w:space="0" w:color="auto"/>
              <w:bottom w:val="single" w:sz="4" w:space="0" w:color="auto"/>
              <w:right w:val="single" w:sz="4" w:space="0" w:color="auto"/>
            </w:tcBorders>
            <w:vAlign w:val="center"/>
            <w:hideMark/>
          </w:tcPr>
          <w:p w14:paraId="0BEF30F0" w14:textId="77777777" w:rsidR="00901C2B" w:rsidRPr="00901C2B" w:rsidRDefault="00901C2B" w:rsidP="00050392">
            <w:pPr>
              <w:autoSpaceDE w:val="0"/>
              <w:autoSpaceDN w:val="0"/>
              <w:adjustRightInd w:val="0"/>
              <w:spacing w:after="60"/>
              <w:jc w:val="center"/>
              <w:rPr>
                <w:rFonts w:cstheme="minorHAnsi"/>
                <w:color w:val="FF0000"/>
              </w:rPr>
            </w:pPr>
            <w:r w:rsidRPr="00901C2B">
              <w:rPr>
                <w:rFonts w:cstheme="minorHAnsi"/>
                <w:color w:val="FF0000"/>
              </w:rPr>
              <w:t>95% CI</w:t>
            </w:r>
          </w:p>
        </w:tc>
      </w:tr>
      <w:tr w:rsidR="00901C2B" w:rsidRPr="00901C2B" w14:paraId="075706B3" w14:textId="77777777" w:rsidTr="0004584B">
        <w:tc>
          <w:tcPr>
            <w:tcW w:w="185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D7D18B3" w14:textId="77777777" w:rsidR="00901C2B" w:rsidRPr="00901C2B" w:rsidRDefault="00901C2B" w:rsidP="00050392">
            <w:pPr>
              <w:autoSpaceDE w:val="0"/>
              <w:autoSpaceDN w:val="0"/>
              <w:adjustRightInd w:val="0"/>
              <w:spacing w:after="60"/>
              <w:rPr>
                <w:rFonts w:cstheme="minorHAnsi"/>
                <w:b/>
                <w:bCs/>
                <w:color w:val="FF0000"/>
              </w:rPr>
            </w:pPr>
            <w:r w:rsidRPr="00901C2B">
              <w:rPr>
                <w:rFonts w:cstheme="minorHAnsi"/>
                <w:b/>
                <w:bCs/>
                <w:color w:val="FF0000"/>
              </w:rPr>
              <w:t xml:space="preserve">All Commercial </w:t>
            </w:r>
          </w:p>
        </w:tc>
        <w:tc>
          <w:tcPr>
            <w:tcW w:w="10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297773" w14:textId="2CDC660F" w:rsidR="00901C2B" w:rsidRPr="00901C2B" w:rsidRDefault="00DE63D8" w:rsidP="00050392">
            <w:pPr>
              <w:autoSpaceDE w:val="0"/>
              <w:autoSpaceDN w:val="0"/>
              <w:adjustRightInd w:val="0"/>
              <w:spacing w:after="60"/>
              <w:jc w:val="right"/>
              <w:rPr>
                <w:rFonts w:cstheme="minorHAnsi"/>
                <w:b/>
                <w:bCs/>
                <w:color w:val="FF0000"/>
              </w:rPr>
            </w:pPr>
            <w:r>
              <w:rPr>
                <w:rFonts w:cstheme="minorHAnsi"/>
                <w:b/>
                <w:bCs/>
                <w:color w:val="FF0000"/>
              </w:rPr>
              <w:t>361</w:t>
            </w:r>
          </w:p>
        </w:tc>
        <w:tc>
          <w:tcPr>
            <w:tcW w:w="1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D84A53" w14:textId="0BF75534" w:rsidR="00901C2B" w:rsidRPr="00901C2B" w:rsidRDefault="005526A1" w:rsidP="00050392">
            <w:pPr>
              <w:autoSpaceDE w:val="0"/>
              <w:autoSpaceDN w:val="0"/>
              <w:adjustRightInd w:val="0"/>
              <w:spacing w:after="60"/>
              <w:jc w:val="right"/>
              <w:rPr>
                <w:rFonts w:cstheme="minorHAnsi"/>
                <w:b/>
                <w:bCs/>
                <w:color w:val="FF0000"/>
              </w:rPr>
            </w:pPr>
            <w:r>
              <w:rPr>
                <w:rFonts w:cstheme="minorHAnsi"/>
                <w:b/>
                <w:bCs/>
                <w:color w:val="FF0000"/>
              </w:rPr>
              <w:t>30-7412</w:t>
            </w:r>
          </w:p>
        </w:tc>
        <w:tc>
          <w:tcPr>
            <w:tcW w:w="1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E06138" w14:textId="77777777" w:rsidR="00EE7657" w:rsidRPr="00EE7657" w:rsidRDefault="00EE7657" w:rsidP="00EE7657">
            <w:pPr>
              <w:autoSpaceDE w:val="0"/>
              <w:autoSpaceDN w:val="0"/>
              <w:adjustRightInd w:val="0"/>
              <w:spacing w:after="60"/>
              <w:jc w:val="right"/>
              <w:rPr>
                <w:rFonts w:cstheme="minorHAnsi"/>
                <w:b/>
                <w:bCs/>
                <w:color w:val="FF0000"/>
              </w:rPr>
            </w:pPr>
            <w:r w:rsidRPr="00EE7657">
              <w:rPr>
                <w:rFonts w:cstheme="minorHAnsi"/>
                <w:b/>
                <w:bCs/>
                <w:color w:val="FF0000"/>
              </w:rPr>
              <w:t>0.884</w:t>
            </w:r>
          </w:p>
          <w:p w14:paraId="0CA819F0" w14:textId="5449151A" w:rsidR="00901C2B" w:rsidRPr="00901C2B" w:rsidRDefault="00901C2B" w:rsidP="00050392">
            <w:pPr>
              <w:autoSpaceDE w:val="0"/>
              <w:autoSpaceDN w:val="0"/>
              <w:adjustRightInd w:val="0"/>
              <w:spacing w:after="60"/>
              <w:jc w:val="right"/>
              <w:rPr>
                <w:rFonts w:cstheme="minorHAnsi"/>
                <w:b/>
                <w:bCs/>
                <w:color w:val="FF0000"/>
              </w:rPr>
            </w:pP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F7C01D" w14:textId="3E82DF23" w:rsidR="00901C2B" w:rsidRPr="00901C2B" w:rsidRDefault="005526A1" w:rsidP="005526A1">
            <w:pPr>
              <w:autoSpaceDE w:val="0"/>
              <w:autoSpaceDN w:val="0"/>
              <w:adjustRightInd w:val="0"/>
              <w:spacing w:after="60"/>
              <w:jc w:val="right"/>
              <w:rPr>
                <w:rFonts w:cstheme="minorHAnsi"/>
                <w:b/>
                <w:bCs/>
                <w:color w:val="FF0000"/>
              </w:rPr>
            </w:pPr>
            <w:r w:rsidRPr="005526A1">
              <w:rPr>
                <w:rFonts w:cstheme="minorHAnsi"/>
                <w:b/>
                <w:bCs/>
                <w:color w:val="FF0000"/>
              </w:rPr>
              <w:t>0.006</w:t>
            </w:r>
          </w:p>
        </w:tc>
        <w:tc>
          <w:tcPr>
            <w:tcW w:w="16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7D2F92" w14:textId="5B753082" w:rsidR="0069075F" w:rsidRPr="0069075F" w:rsidRDefault="0069075F" w:rsidP="0069075F">
            <w:pPr>
              <w:autoSpaceDE w:val="0"/>
              <w:autoSpaceDN w:val="0"/>
              <w:adjustRightInd w:val="0"/>
              <w:spacing w:after="60"/>
              <w:jc w:val="right"/>
              <w:rPr>
                <w:rFonts w:cstheme="minorHAnsi"/>
                <w:b/>
                <w:bCs/>
                <w:color w:val="FF0000"/>
              </w:rPr>
            </w:pPr>
            <w:r>
              <w:rPr>
                <w:rFonts w:cstheme="minorHAnsi"/>
                <w:b/>
                <w:bCs/>
                <w:color w:val="FF0000"/>
              </w:rPr>
              <w:t>(</w:t>
            </w:r>
            <w:r w:rsidRPr="0069075F">
              <w:rPr>
                <w:rFonts w:cstheme="minorHAnsi"/>
                <w:b/>
                <w:bCs/>
                <w:color w:val="FF0000"/>
              </w:rPr>
              <w:t>0.872</w:t>
            </w:r>
            <w:r>
              <w:rPr>
                <w:rFonts w:cstheme="minorHAnsi"/>
                <w:b/>
                <w:bCs/>
                <w:color w:val="FF0000"/>
              </w:rPr>
              <w:t>, 0.895)</w:t>
            </w:r>
          </w:p>
          <w:p w14:paraId="6691EDA7" w14:textId="722D1A52" w:rsidR="00901C2B" w:rsidRPr="00901C2B" w:rsidRDefault="00901C2B" w:rsidP="00050392">
            <w:pPr>
              <w:autoSpaceDE w:val="0"/>
              <w:autoSpaceDN w:val="0"/>
              <w:adjustRightInd w:val="0"/>
              <w:spacing w:after="60"/>
              <w:jc w:val="right"/>
              <w:rPr>
                <w:rFonts w:cstheme="minorHAnsi"/>
                <w:b/>
                <w:bCs/>
                <w:color w:val="FF0000"/>
              </w:rPr>
            </w:pPr>
          </w:p>
        </w:tc>
      </w:tr>
      <w:tr w:rsidR="0004584B" w:rsidRPr="00901C2B" w14:paraId="671F0F6D" w14:textId="77777777" w:rsidTr="0004584B">
        <w:tc>
          <w:tcPr>
            <w:tcW w:w="1855" w:type="dxa"/>
            <w:tcBorders>
              <w:top w:val="single" w:sz="4" w:space="0" w:color="auto"/>
              <w:left w:val="single" w:sz="4" w:space="0" w:color="auto"/>
              <w:bottom w:val="single" w:sz="4" w:space="0" w:color="auto"/>
              <w:right w:val="single" w:sz="4" w:space="0" w:color="auto"/>
            </w:tcBorders>
            <w:hideMark/>
          </w:tcPr>
          <w:p w14:paraId="30A8AB23" w14:textId="77777777" w:rsidR="0004584B" w:rsidRPr="00901C2B" w:rsidRDefault="0004584B" w:rsidP="0004584B">
            <w:pPr>
              <w:autoSpaceDE w:val="0"/>
              <w:autoSpaceDN w:val="0"/>
              <w:adjustRightInd w:val="0"/>
              <w:spacing w:after="60"/>
              <w:jc w:val="right"/>
              <w:rPr>
                <w:rFonts w:cstheme="minorHAnsi"/>
                <w:color w:val="FF0000"/>
              </w:rPr>
            </w:pPr>
            <w:r w:rsidRPr="00901C2B">
              <w:rPr>
                <w:rFonts w:cstheme="minorHAnsi"/>
                <w:color w:val="FF0000"/>
              </w:rPr>
              <w:t>Tercile 1</w:t>
            </w:r>
          </w:p>
        </w:tc>
        <w:tc>
          <w:tcPr>
            <w:tcW w:w="1008" w:type="dxa"/>
            <w:tcBorders>
              <w:top w:val="single" w:sz="4" w:space="0" w:color="auto"/>
              <w:left w:val="single" w:sz="4" w:space="0" w:color="auto"/>
              <w:bottom w:val="single" w:sz="4" w:space="0" w:color="auto"/>
              <w:right w:val="single" w:sz="4" w:space="0" w:color="auto"/>
            </w:tcBorders>
          </w:tcPr>
          <w:p w14:paraId="51BA3AB3" w14:textId="25F6F6BB" w:rsidR="0004584B" w:rsidRPr="00901C2B" w:rsidRDefault="0004584B" w:rsidP="0004584B">
            <w:pPr>
              <w:autoSpaceDE w:val="0"/>
              <w:autoSpaceDN w:val="0"/>
              <w:adjustRightInd w:val="0"/>
              <w:spacing w:after="60"/>
              <w:jc w:val="right"/>
              <w:rPr>
                <w:rFonts w:cstheme="minorHAnsi"/>
                <w:color w:val="FF0000"/>
              </w:rPr>
            </w:pPr>
            <w:r>
              <w:rPr>
                <w:rFonts w:cstheme="minorHAnsi"/>
                <w:color w:val="FF0000"/>
              </w:rPr>
              <w:t>120</w:t>
            </w:r>
          </w:p>
        </w:tc>
        <w:tc>
          <w:tcPr>
            <w:tcW w:w="1632" w:type="dxa"/>
            <w:tcBorders>
              <w:top w:val="single" w:sz="4" w:space="0" w:color="auto"/>
              <w:left w:val="single" w:sz="4" w:space="0" w:color="auto"/>
              <w:bottom w:val="single" w:sz="4" w:space="0" w:color="auto"/>
              <w:right w:val="single" w:sz="4" w:space="0" w:color="auto"/>
            </w:tcBorders>
          </w:tcPr>
          <w:p w14:paraId="706ACED3" w14:textId="0F98BD86" w:rsidR="0004584B" w:rsidRPr="00901C2B" w:rsidRDefault="0004584B" w:rsidP="0004584B">
            <w:pPr>
              <w:autoSpaceDE w:val="0"/>
              <w:autoSpaceDN w:val="0"/>
              <w:adjustRightInd w:val="0"/>
              <w:spacing w:after="60"/>
              <w:jc w:val="right"/>
              <w:rPr>
                <w:rFonts w:cstheme="minorHAnsi"/>
                <w:color w:val="FF0000"/>
              </w:rPr>
            </w:pPr>
            <w:r>
              <w:rPr>
                <w:rFonts w:cstheme="minorHAnsi"/>
                <w:color w:val="FF0000"/>
              </w:rPr>
              <w:t>30-131</w:t>
            </w:r>
          </w:p>
        </w:tc>
        <w:tc>
          <w:tcPr>
            <w:tcW w:w="1530" w:type="dxa"/>
            <w:tcBorders>
              <w:top w:val="single" w:sz="4" w:space="0" w:color="auto"/>
              <w:left w:val="nil"/>
              <w:bottom w:val="single" w:sz="4" w:space="0" w:color="auto"/>
              <w:right w:val="single" w:sz="4" w:space="0" w:color="auto"/>
            </w:tcBorders>
            <w:shd w:val="clear" w:color="auto" w:fill="auto"/>
            <w:vAlign w:val="bottom"/>
          </w:tcPr>
          <w:p w14:paraId="4C8D60C6" w14:textId="5F60828A" w:rsidR="0004584B" w:rsidRPr="00830A40" w:rsidRDefault="0004584B" w:rsidP="0004584B">
            <w:pPr>
              <w:autoSpaceDE w:val="0"/>
              <w:autoSpaceDN w:val="0"/>
              <w:adjustRightInd w:val="0"/>
              <w:spacing w:after="60"/>
              <w:jc w:val="right"/>
              <w:rPr>
                <w:rFonts w:cstheme="minorHAnsi"/>
                <w:color w:val="FF0000"/>
              </w:rPr>
            </w:pPr>
            <w:r w:rsidRPr="00830A40">
              <w:rPr>
                <w:rFonts w:ascii="Calibri" w:hAnsi="Calibri" w:cs="Calibri"/>
                <w:color w:val="FF0000"/>
              </w:rPr>
              <w:t>0.783</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66C669F6" w14:textId="0A9DCA53" w:rsidR="0004584B" w:rsidRPr="00830A40" w:rsidRDefault="0004584B" w:rsidP="0004584B">
            <w:pPr>
              <w:autoSpaceDE w:val="0"/>
              <w:autoSpaceDN w:val="0"/>
              <w:adjustRightInd w:val="0"/>
              <w:spacing w:after="60"/>
              <w:jc w:val="right"/>
              <w:rPr>
                <w:rFonts w:cstheme="minorHAnsi"/>
                <w:color w:val="FF0000"/>
              </w:rPr>
            </w:pPr>
            <w:r w:rsidRPr="00830A40">
              <w:rPr>
                <w:rFonts w:ascii="Calibri" w:hAnsi="Calibri" w:cs="Calibri"/>
                <w:color w:val="FF0000"/>
              </w:rPr>
              <w:t>0.007</w:t>
            </w:r>
          </w:p>
        </w:tc>
        <w:tc>
          <w:tcPr>
            <w:tcW w:w="1663" w:type="dxa"/>
            <w:tcBorders>
              <w:top w:val="single" w:sz="4" w:space="0" w:color="auto"/>
              <w:left w:val="single" w:sz="4" w:space="0" w:color="auto"/>
              <w:bottom w:val="single" w:sz="4" w:space="0" w:color="auto"/>
              <w:right w:val="single" w:sz="4" w:space="0" w:color="auto"/>
            </w:tcBorders>
            <w:shd w:val="clear" w:color="auto" w:fill="auto"/>
            <w:vAlign w:val="bottom"/>
          </w:tcPr>
          <w:p w14:paraId="64DC00FE" w14:textId="0888AA27" w:rsidR="0004584B" w:rsidRPr="0004584B" w:rsidRDefault="0004584B" w:rsidP="0004584B">
            <w:pPr>
              <w:autoSpaceDE w:val="0"/>
              <w:autoSpaceDN w:val="0"/>
              <w:adjustRightInd w:val="0"/>
              <w:spacing w:after="60"/>
              <w:jc w:val="right"/>
              <w:rPr>
                <w:rFonts w:cstheme="minorHAnsi"/>
                <w:color w:val="FF0000"/>
              </w:rPr>
            </w:pPr>
            <w:r>
              <w:rPr>
                <w:rFonts w:ascii="Calibri" w:hAnsi="Calibri" w:cs="Calibri"/>
                <w:color w:val="FF0000"/>
              </w:rPr>
              <w:t>(</w:t>
            </w:r>
            <w:r w:rsidRPr="0004584B">
              <w:rPr>
                <w:rFonts w:ascii="Calibri" w:hAnsi="Calibri" w:cs="Calibri"/>
                <w:color w:val="FF0000"/>
              </w:rPr>
              <w:t>0.769</w:t>
            </w:r>
            <w:r w:rsidR="00DF54E2">
              <w:rPr>
                <w:rFonts w:ascii="Calibri" w:hAnsi="Calibri" w:cs="Calibri"/>
                <w:color w:val="FF0000"/>
              </w:rPr>
              <w:t>, 0.797</w:t>
            </w:r>
            <w:r w:rsidR="005A255C">
              <w:rPr>
                <w:rFonts w:ascii="Calibri" w:hAnsi="Calibri" w:cs="Calibri"/>
                <w:color w:val="FF0000"/>
              </w:rPr>
              <w:t>)</w:t>
            </w:r>
          </w:p>
        </w:tc>
      </w:tr>
      <w:tr w:rsidR="0004584B" w:rsidRPr="00901C2B" w14:paraId="11B6B87E" w14:textId="77777777" w:rsidTr="0004584B">
        <w:tc>
          <w:tcPr>
            <w:tcW w:w="1855" w:type="dxa"/>
            <w:tcBorders>
              <w:top w:val="single" w:sz="4" w:space="0" w:color="auto"/>
              <w:left w:val="single" w:sz="4" w:space="0" w:color="auto"/>
              <w:bottom w:val="single" w:sz="4" w:space="0" w:color="auto"/>
              <w:right w:val="single" w:sz="4" w:space="0" w:color="auto"/>
            </w:tcBorders>
            <w:hideMark/>
          </w:tcPr>
          <w:p w14:paraId="2D9FABCE" w14:textId="77777777" w:rsidR="0004584B" w:rsidRPr="00901C2B" w:rsidRDefault="0004584B" w:rsidP="0004584B">
            <w:pPr>
              <w:autoSpaceDE w:val="0"/>
              <w:autoSpaceDN w:val="0"/>
              <w:adjustRightInd w:val="0"/>
              <w:spacing w:after="60"/>
              <w:jc w:val="right"/>
              <w:rPr>
                <w:rFonts w:cstheme="minorHAnsi"/>
                <w:color w:val="FF0000"/>
              </w:rPr>
            </w:pPr>
            <w:r w:rsidRPr="00901C2B">
              <w:rPr>
                <w:rFonts w:cstheme="minorHAnsi"/>
                <w:color w:val="FF0000"/>
              </w:rPr>
              <w:t>Tercile 2</w:t>
            </w:r>
          </w:p>
        </w:tc>
        <w:tc>
          <w:tcPr>
            <w:tcW w:w="1008" w:type="dxa"/>
            <w:tcBorders>
              <w:top w:val="single" w:sz="4" w:space="0" w:color="auto"/>
              <w:left w:val="single" w:sz="4" w:space="0" w:color="auto"/>
              <w:bottom w:val="single" w:sz="4" w:space="0" w:color="auto"/>
              <w:right w:val="single" w:sz="4" w:space="0" w:color="auto"/>
            </w:tcBorders>
          </w:tcPr>
          <w:p w14:paraId="618EC431" w14:textId="078E17B8" w:rsidR="0004584B" w:rsidRPr="003F490D" w:rsidRDefault="0004584B" w:rsidP="0004584B">
            <w:pPr>
              <w:autoSpaceDE w:val="0"/>
              <w:autoSpaceDN w:val="0"/>
              <w:adjustRightInd w:val="0"/>
              <w:spacing w:after="60"/>
              <w:jc w:val="right"/>
              <w:rPr>
                <w:rFonts w:cstheme="minorHAnsi"/>
                <w:color w:val="FF0000"/>
              </w:rPr>
            </w:pPr>
            <w:r w:rsidRPr="009E35A9">
              <w:rPr>
                <w:rFonts w:ascii="Calibri" w:eastAsia="Times New Roman" w:hAnsi="Calibri" w:cs="Calibri"/>
                <w:color w:val="FF0000"/>
              </w:rPr>
              <w:t>118</w:t>
            </w:r>
          </w:p>
        </w:tc>
        <w:tc>
          <w:tcPr>
            <w:tcW w:w="1632" w:type="dxa"/>
            <w:tcBorders>
              <w:top w:val="single" w:sz="4" w:space="0" w:color="auto"/>
              <w:left w:val="single" w:sz="4" w:space="0" w:color="auto"/>
              <w:bottom w:val="single" w:sz="4" w:space="0" w:color="auto"/>
              <w:right w:val="single" w:sz="4" w:space="0" w:color="auto"/>
            </w:tcBorders>
          </w:tcPr>
          <w:p w14:paraId="3D097B25" w14:textId="7E79E5C5" w:rsidR="0004584B" w:rsidRPr="00901C2B" w:rsidRDefault="0004584B" w:rsidP="0004584B">
            <w:pPr>
              <w:autoSpaceDE w:val="0"/>
              <w:autoSpaceDN w:val="0"/>
              <w:adjustRightInd w:val="0"/>
              <w:spacing w:after="60"/>
              <w:jc w:val="right"/>
              <w:rPr>
                <w:rFonts w:cstheme="minorHAnsi"/>
                <w:color w:val="FF0000"/>
              </w:rPr>
            </w:pPr>
            <w:r>
              <w:rPr>
                <w:rFonts w:cstheme="minorHAnsi"/>
                <w:color w:val="FF0000"/>
              </w:rPr>
              <w:t>132-471</w:t>
            </w:r>
          </w:p>
        </w:tc>
        <w:tc>
          <w:tcPr>
            <w:tcW w:w="1530" w:type="dxa"/>
            <w:tcBorders>
              <w:top w:val="single" w:sz="4" w:space="0" w:color="auto"/>
              <w:left w:val="nil"/>
              <w:bottom w:val="single" w:sz="4" w:space="0" w:color="auto"/>
              <w:right w:val="single" w:sz="4" w:space="0" w:color="auto"/>
            </w:tcBorders>
            <w:shd w:val="clear" w:color="auto" w:fill="auto"/>
            <w:vAlign w:val="bottom"/>
          </w:tcPr>
          <w:p w14:paraId="2FC61122" w14:textId="147CCFFD" w:rsidR="0004584B" w:rsidRPr="00830A40" w:rsidRDefault="0004584B" w:rsidP="0004584B">
            <w:pPr>
              <w:autoSpaceDE w:val="0"/>
              <w:autoSpaceDN w:val="0"/>
              <w:adjustRightInd w:val="0"/>
              <w:spacing w:after="60"/>
              <w:jc w:val="right"/>
              <w:rPr>
                <w:rFonts w:cstheme="minorHAnsi"/>
                <w:color w:val="FF0000"/>
              </w:rPr>
            </w:pPr>
            <w:r w:rsidRPr="00830A40">
              <w:rPr>
                <w:rFonts w:ascii="Calibri" w:hAnsi="Calibri" w:cs="Calibri"/>
                <w:color w:val="FF0000"/>
              </w:rPr>
              <w:t>0.915</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5C8C2542" w14:textId="62677C56" w:rsidR="0004584B" w:rsidRPr="00830A40" w:rsidRDefault="0004584B" w:rsidP="0004584B">
            <w:pPr>
              <w:autoSpaceDE w:val="0"/>
              <w:autoSpaceDN w:val="0"/>
              <w:adjustRightInd w:val="0"/>
              <w:spacing w:after="60"/>
              <w:jc w:val="right"/>
              <w:rPr>
                <w:rFonts w:cstheme="minorHAnsi"/>
                <w:color w:val="FF0000"/>
              </w:rPr>
            </w:pPr>
            <w:r w:rsidRPr="00830A40">
              <w:rPr>
                <w:rFonts w:ascii="Calibri" w:hAnsi="Calibri" w:cs="Calibri"/>
                <w:color w:val="FF0000"/>
              </w:rPr>
              <w:t>0.003</w:t>
            </w:r>
          </w:p>
        </w:tc>
        <w:tc>
          <w:tcPr>
            <w:tcW w:w="1663" w:type="dxa"/>
            <w:tcBorders>
              <w:top w:val="single" w:sz="4" w:space="0" w:color="auto"/>
              <w:left w:val="single" w:sz="4" w:space="0" w:color="auto"/>
              <w:bottom w:val="single" w:sz="4" w:space="0" w:color="auto"/>
              <w:right w:val="single" w:sz="4" w:space="0" w:color="auto"/>
            </w:tcBorders>
            <w:shd w:val="clear" w:color="auto" w:fill="auto"/>
            <w:vAlign w:val="bottom"/>
          </w:tcPr>
          <w:p w14:paraId="077E4200" w14:textId="67B98F69" w:rsidR="0004584B" w:rsidRPr="0004584B" w:rsidRDefault="0004584B" w:rsidP="0004584B">
            <w:pPr>
              <w:autoSpaceDE w:val="0"/>
              <w:autoSpaceDN w:val="0"/>
              <w:adjustRightInd w:val="0"/>
              <w:spacing w:after="60"/>
              <w:jc w:val="right"/>
              <w:rPr>
                <w:rFonts w:cstheme="minorHAnsi"/>
                <w:color w:val="FF0000"/>
              </w:rPr>
            </w:pPr>
            <w:r>
              <w:rPr>
                <w:rFonts w:ascii="Calibri" w:hAnsi="Calibri" w:cs="Calibri"/>
                <w:color w:val="FF0000"/>
              </w:rPr>
              <w:t>(</w:t>
            </w:r>
            <w:r w:rsidRPr="0004584B">
              <w:rPr>
                <w:rFonts w:ascii="Calibri" w:hAnsi="Calibri" w:cs="Calibri"/>
                <w:color w:val="FF0000"/>
              </w:rPr>
              <w:t>0.910</w:t>
            </w:r>
            <w:r w:rsidR="00DF54E2">
              <w:rPr>
                <w:rFonts w:ascii="Calibri" w:hAnsi="Calibri" w:cs="Calibri"/>
                <w:color w:val="FF0000"/>
              </w:rPr>
              <w:t>, 0.920)</w:t>
            </w:r>
          </w:p>
        </w:tc>
      </w:tr>
      <w:tr w:rsidR="0004584B" w:rsidRPr="00901C2B" w14:paraId="6B022DE4" w14:textId="77777777" w:rsidTr="0004584B">
        <w:tc>
          <w:tcPr>
            <w:tcW w:w="1855" w:type="dxa"/>
            <w:tcBorders>
              <w:top w:val="single" w:sz="4" w:space="0" w:color="auto"/>
              <w:left w:val="single" w:sz="4" w:space="0" w:color="auto"/>
              <w:bottom w:val="single" w:sz="4" w:space="0" w:color="auto"/>
              <w:right w:val="single" w:sz="4" w:space="0" w:color="auto"/>
            </w:tcBorders>
            <w:hideMark/>
          </w:tcPr>
          <w:p w14:paraId="29D07FFC" w14:textId="77777777" w:rsidR="0004584B" w:rsidRPr="00901C2B" w:rsidRDefault="0004584B" w:rsidP="0004584B">
            <w:pPr>
              <w:autoSpaceDE w:val="0"/>
              <w:autoSpaceDN w:val="0"/>
              <w:adjustRightInd w:val="0"/>
              <w:spacing w:after="60"/>
              <w:jc w:val="right"/>
              <w:rPr>
                <w:rFonts w:cstheme="minorHAnsi"/>
                <w:color w:val="FF0000"/>
              </w:rPr>
            </w:pPr>
            <w:r w:rsidRPr="00901C2B">
              <w:rPr>
                <w:rFonts w:cstheme="minorHAnsi"/>
                <w:color w:val="FF0000"/>
              </w:rPr>
              <w:t>Tercile 3</w:t>
            </w:r>
          </w:p>
        </w:tc>
        <w:tc>
          <w:tcPr>
            <w:tcW w:w="1008" w:type="dxa"/>
            <w:tcBorders>
              <w:top w:val="single" w:sz="4" w:space="0" w:color="auto"/>
              <w:left w:val="single" w:sz="4" w:space="0" w:color="auto"/>
              <w:bottom w:val="single" w:sz="4" w:space="0" w:color="auto"/>
              <w:right w:val="single" w:sz="4" w:space="0" w:color="auto"/>
            </w:tcBorders>
          </w:tcPr>
          <w:p w14:paraId="3ECAA197" w14:textId="68E0F995" w:rsidR="0004584B" w:rsidRPr="003F490D" w:rsidRDefault="0004584B" w:rsidP="0004584B">
            <w:pPr>
              <w:autoSpaceDE w:val="0"/>
              <w:autoSpaceDN w:val="0"/>
              <w:adjustRightInd w:val="0"/>
              <w:spacing w:after="60"/>
              <w:jc w:val="right"/>
              <w:rPr>
                <w:rFonts w:cstheme="minorHAnsi"/>
                <w:color w:val="FF0000"/>
              </w:rPr>
            </w:pPr>
            <w:r w:rsidRPr="009E35A9">
              <w:rPr>
                <w:rFonts w:ascii="Calibri" w:eastAsia="Times New Roman" w:hAnsi="Calibri" w:cs="Calibri"/>
                <w:color w:val="FF0000"/>
              </w:rPr>
              <w:t>123</w:t>
            </w:r>
          </w:p>
        </w:tc>
        <w:tc>
          <w:tcPr>
            <w:tcW w:w="1632" w:type="dxa"/>
            <w:tcBorders>
              <w:top w:val="single" w:sz="4" w:space="0" w:color="auto"/>
              <w:left w:val="single" w:sz="4" w:space="0" w:color="auto"/>
              <w:bottom w:val="single" w:sz="4" w:space="0" w:color="auto"/>
              <w:right w:val="single" w:sz="4" w:space="0" w:color="auto"/>
            </w:tcBorders>
          </w:tcPr>
          <w:p w14:paraId="7EA5FCC9" w14:textId="12665A38" w:rsidR="0004584B" w:rsidRPr="00901C2B" w:rsidRDefault="0004584B" w:rsidP="0004584B">
            <w:pPr>
              <w:autoSpaceDE w:val="0"/>
              <w:autoSpaceDN w:val="0"/>
              <w:adjustRightInd w:val="0"/>
              <w:spacing w:after="60"/>
              <w:jc w:val="right"/>
              <w:rPr>
                <w:rFonts w:cstheme="minorHAnsi"/>
                <w:color w:val="FF0000"/>
              </w:rPr>
            </w:pPr>
            <w:r>
              <w:rPr>
                <w:rFonts w:cstheme="minorHAnsi"/>
                <w:color w:val="FF0000"/>
              </w:rPr>
              <w:t>482-7412</w:t>
            </w:r>
          </w:p>
        </w:tc>
        <w:tc>
          <w:tcPr>
            <w:tcW w:w="1530" w:type="dxa"/>
            <w:tcBorders>
              <w:top w:val="single" w:sz="4" w:space="0" w:color="auto"/>
              <w:left w:val="nil"/>
              <w:bottom w:val="single" w:sz="4" w:space="0" w:color="auto"/>
              <w:right w:val="single" w:sz="4" w:space="0" w:color="auto"/>
            </w:tcBorders>
            <w:shd w:val="clear" w:color="auto" w:fill="auto"/>
            <w:vAlign w:val="bottom"/>
          </w:tcPr>
          <w:p w14:paraId="40DFB08B" w14:textId="1343C6F3" w:rsidR="0004584B" w:rsidRPr="00830A40" w:rsidRDefault="0004584B" w:rsidP="0004584B">
            <w:pPr>
              <w:autoSpaceDE w:val="0"/>
              <w:autoSpaceDN w:val="0"/>
              <w:adjustRightInd w:val="0"/>
              <w:spacing w:after="60"/>
              <w:jc w:val="right"/>
              <w:rPr>
                <w:rFonts w:cstheme="minorHAnsi"/>
                <w:color w:val="FF0000"/>
              </w:rPr>
            </w:pPr>
            <w:r w:rsidRPr="00830A40">
              <w:rPr>
                <w:rFonts w:ascii="Calibri" w:hAnsi="Calibri" w:cs="Calibri"/>
                <w:color w:val="FF0000"/>
              </w:rPr>
              <w:t>0.976</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60849258" w14:textId="3719D333" w:rsidR="0004584B" w:rsidRPr="00830A40" w:rsidRDefault="0004584B" w:rsidP="0004584B">
            <w:pPr>
              <w:autoSpaceDE w:val="0"/>
              <w:autoSpaceDN w:val="0"/>
              <w:adjustRightInd w:val="0"/>
              <w:spacing w:after="60"/>
              <w:jc w:val="right"/>
              <w:rPr>
                <w:rFonts w:cstheme="minorHAnsi"/>
                <w:color w:val="FF0000"/>
              </w:rPr>
            </w:pPr>
            <w:r w:rsidRPr="00830A40">
              <w:rPr>
                <w:rFonts w:ascii="Calibri" w:hAnsi="Calibri" w:cs="Calibri"/>
                <w:color w:val="FF0000"/>
              </w:rPr>
              <w:t>0.001</w:t>
            </w:r>
          </w:p>
        </w:tc>
        <w:tc>
          <w:tcPr>
            <w:tcW w:w="1663" w:type="dxa"/>
            <w:tcBorders>
              <w:top w:val="single" w:sz="4" w:space="0" w:color="auto"/>
              <w:left w:val="single" w:sz="4" w:space="0" w:color="auto"/>
              <w:bottom w:val="single" w:sz="4" w:space="0" w:color="auto"/>
              <w:right w:val="single" w:sz="4" w:space="0" w:color="auto"/>
            </w:tcBorders>
            <w:shd w:val="clear" w:color="auto" w:fill="auto"/>
            <w:vAlign w:val="bottom"/>
          </w:tcPr>
          <w:p w14:paraId="58EF2F9B" w14:textId="09EDE524" w:rsidR="0004584B" w:rsidRPr="0004584B" w:rsidRDefault="0004584B" w:rsidP="0004584B">
            <w:pPr>
              <w:autoSpaceDE w:val="0"/>
              <w:autoSpaceDN w:val="0"/>
              <w:adjustRightInd w:val="0"/>
              <w:spacing w:after="60"/>
              <w:jc w:val="right"/>
              <w:rPr>
                <w:rFonts w:cstheme="minorHAnsi"/>
                <w:color w:val="FF0000"/>
              </w:rPr>
            </w:pPr>
            <w:r>
              <w:rPr>
                <w:rFonts w:ascii="Calibri" w:hAnsi="Calibri" w:cs="Calibri"/>
                <w:color w:val="FF0000"/>
              </w:rPr>
              <w:t>(</w:t>
            </w:r>
            <w:r w:rsidRPr="0004584B">
              <w:rPr>
                <w:rFonts w:ascii="Calibri" w:hAnsi="Calibri" w:cs="Calibri"/>
                <w:color w:val="FF0000"/>
              </w:rPr>
              <w:t>0.973</w:t>
            </w:r>
            <w:r w:rsidR="00DF54E2">
              <w:rPr>
                <w:rFonts w:ascii="Calibri" w:hAnsi="Calibri" w:cs="Calibri"/>
                <w:color w:val="FF0000"/>
              </w:rPr>
              <w:t>, 0.9</w:t>
            </w:r>
            <w:r w:rsidR="002A690E">
              <w:rPr>
                <w:rFonts w:ascii="Calibri" w:hAnsi="Calibri" w:cs="Calibri"/>
                <w:color w:val="FF0000"/>
              </w:rPr>
              <w:t>7</w:t>
            </w:r>
            <w:r w:rsidR="00DF54E2">
              <w:rPr>
                <w:rFonts w:ascii="Calibri" w:hAnsi="Calibri" w:cs="Calibri"/>
                <w:color w:val="FF0000"/>
              </w:rPr>
              <w:t>8</w:t>
            </w:r>
            <w:r w:rsidR="002A690E">
              <w:rPr>
                <w:rFonts w:ascii="Calibri" w:hAnsi="Calibri" w:cs="Calibri"/>
                <w:color w:val="FF0000"/>
              </w:rPr>
              <w:t>)</w:t>
            </w:r>
          </w:p>
        </w:tc>
      </w:tr>
      <w:tr w:rsidR="00901C2B" w:rsidRPr="00901C2B" w14:paraId="57B4E89A" w14:textId="77777777" w:rsidTr="00B27329">
        <w:tc>
          <w:tcPr>
            <w:tcW w:w="185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DA762D6" w14:textId="77777777" w:rsidR="00901C2B" w:rsidRPr="00901C2B" w:rsidRDefault="00901C2B" w:rsidP="00050392">
            <w:pPr>
              <w:autoSpaceDE w:val="0"/>
              <w:autoSpaceDN w:val="0"/>
              <w:adjustRightInd w:val="0"/>
              <w:spacing w:after="60"/>
              <w:rPr>
                <w:rFonts w:cstheme="minorHAnsi"/>
                <w:b/>
                <w:bCs/>
                <w:color w:val="FF0000"/>
              </w:rPr>
            </w:pPr>
            <w:r w:rsidRPr="00901C2B">
              <w:rPr>
                <w:rFonts w:cstheme="minorHAnsi"/>
                <w:b/>
                <w:bCs/>
                <w:color w:val="FF0000"/>
              </w:rPr>
              <w:t>All Medicaid</w:t>
            </w:r>
          </w:p>
        </w:tc>
        <w:tc>
          <w:tcPr>
            <w:tcW w:w="10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8791DF" w14:textId="7981DA7F" w:rsidR="00901C2B" w:rsidRPr="00901C2B" w:rsidRDefault="00494951" w:rsidP="00050392">
            <w:pPr>
              <w:autoSpaceDE w:val="0"/>
              <w:autoSpaceDN w:val="0"/>
              <w:adjustRightInd w:val="0"/>
              <w:spacing w:after="60"/>
              <w:jc w:val="right"/>
              <w:rPr>
                <w:rFonts w:cstheme="minorHAnsi"/>
                <w:b/>
                <w:bCs/>
                <w:color w:val="FF0000"/>
              </w:rPr>
            </w:pPr>
            <w:r>
              <w:rPr>
                <w:rFonts w:cstheme="minorHAnsi"/>
                <w:b/>
                <w:bCs/>
                <w:color w:val="FF0000"/>
              </w:rPr>
              <w:t>173</w:t>
            </w:r>
          </w:p>
        </w:tc>
        <w:tc>
          <w:tcPr>
            <w:tcW w:w="1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0439DE" w14:textId="6C29A6CE" w:rsidR="0097781D" w:rsidRPr="0097781D" w:rsidRDefault="0097781D" w:rsidP="0097781D">
            <w:pPr>
              <w:autoSpaceDE w:val="0"/>
              <w:autoSpaceDN w:val="0"/>
              <w:adjustRightInd w:val="0"/>
              <w:spacing w:after="60"/>
              <w:jc w:val="right"/>
              <w:rPr>
                <w:rFonts w:cstheme="minorHAnsi"/>
                <w:b/>
                <w:bCs/>
                <w:color w:val="FF0000"/>
              </w:rPr>
            </w:pPr>
            <w:r>
              <w:rPr>
                <w:rFonts w:cstheme="minorHAnsi"/>
                <w:b/>
                <w:bCs/>
                <w:color w:val="FF0000"/>
              </w:rPr>
              <w:t>38-</w:t>
            </w:r>
            <w:r w:rsidRPr="0097781D">
              <w:rPr>
                <w:rFonts w:cstheme="minorHAnsi"/>
                <w:b/>
                <w:bCs/>
                <w:color w:val="FF0000"/>
              </w:rPr>
              <w:t>17406</w:t>
            </w:r>
          </w:p>
          <w:p w14:paraId="50F3E197" w14:textId="54A294A4" w:rsidR="00901C2B" w:rsidRPr="00901C2B" w:rsidRDefault="00901C2B" w:rsidP="00050392">
            <w:pPr>
              <w:autoSpaceDE w:val="0"/>
              <w:autoSpaceDN w:val="0"/>
              <w:adjustRightInd w:val="0"/>
              <w:spacing w:after="60"/>
              <w:jc w:val="right"/>
              <w:rPr>
                <w:rFonts w:cstheme="minorHAnsi"/>
                <w:b/>
                <w:bCs/>
                <w:color w:val="FF0000"/>
              </w:rPr>
            </w:pPr>
          </w:p>
        </w:tc>
        <w:tc>
          <w:tcPr>
            <w:tcW w:w="1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035082" w14:textId="77777777" w:rsidR="00363379" w:rsidRPr="00363379" w:rsidRDefault="00363379" w:rsidP="00363379">
            <w:pPr>
              <w:autoSpaceDE w:val="0"/>
              <w:autoSpaceDN w:val="0"/>
              <w:adjustRightInd w:val="0"/>
              <w:spacing w:after="60"/>
              <w:jc w:val="right"/>
              <w:rPr>
                <w:rFonts w:cstheme="minorHAnsi"/>
                <w:b/>
                <w:bCs/>
                <w:color w:val="FF0000"/>
              </w:rPr>
            </w:pPr>
            <w:r w:rsidRPr="00363379">
              <w:rPr>
                <w:rFonts w:cstheme="minorHAnsi"/>
                <w:b/>
                <w:bCs/>
                <w:color w:val="FF0000"/>
              </w:rPr>
              <w:t>0.969</w:t>
            </w:r>
          </w:p>
          <w:p w14:paraId="372245EF" w14:textId="71EAE5DA" w:rsidR="00901C2B" w:rsidRPr="00901C2B" w:rsidRDefault="00901C2B" w:rsidP="00050392">
            <w:pPr>
              <w:autoSpaceDE w:val="0"/>
              <w:autoSpaceDN w:val="0"/>
              <w:adjustRightInd w:val="0"/>
              <w:spacing w:after="60"/>
              <w:jc w:val="right"/>
              <w:rPr>
                <w:rFonts w:cstheme="minorHAnsi"/>
                <w:b/>
                <w:bCs/>
                <w:color w:val="FF0000"/>
              </w:rPr>
            </w:pP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CEAE0E" w14:textId="77777777" w:rsidR="00671226" w:rsidRPr="00671226" w:rsidRDefault="00671226" w:rsidP="00671226">
            <w:pPr>
              <w:autoSpaceDE w:val="0"/>
              <w:autoSpaceDN w:val="0"/>
              <w:adjustRightInd w:val="0"/>
              <w:spacing w:after="60"/>
              <w:jc w:val="right"/>
              <w:rPr>
                <w:rFonts w:cstheme="minorHAnsi"/>
                <w:b/>
                <w:bCs/>
                <w:color w:val="FF0000"/>
              </w:rPr>
            </w:pPr>
            <w:r w:rsidRPr="00671226">
              <w:rPr>
                <w:rFonts w:cstheme="minorHAnsi"/>
                <w:b/>
                <w:bCs/>
                <w:color w:val="FF0000"/>
              </w:rPr>
              <w:t>0.003</w:t>
            </w:r>
          </w:p>
          <w:p w14:paraId="38E1A0C4" w14:textId="506593C2" w:rsidR="00901C2B" w:rsidRPr="00901C2B" w:rsidRDefault="00901C2B" w:rsidP="00050392">
            <w:pPr>
              <w:autoSpaceDE w:val="0"/>
              <w:autoSpaceDN w:val="0"/>
              <w:adjustRightInd w:val="0"/>
              <w:spacing w:after="60"/>
              <w:jc w:val="right"/>
              <w:rPr>
                <w:rFonts w:cstheme="minorHAnsi"/>
                <w:b/>
                <w:bCs/>
                <w:color w:val="FF0000"/>
              </w:rPr>
            </w:pPr>
          </w:p>
        </w:tc>
        <w:tc>
          <w:tcPr>
            <w:tcW w:w="16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5CF9FB" w14:textId="70545F30" w:rsidR="0001565F" w:rsidRPr="0001565F" w:rsidRDefault="00494951" w:rsidP="0001565F">
            <w:pPr>
              <w:autoSpaceDE w:val="0"/>
              <w:autoSpaceDN w:val="0"/>
              <w:adjustRightInd w:val="0"/>
              <w:spacing w:after="60"/>
              <w:rPr>
                <w:rFonts w:cstheme="minorHAnsi"/>
                <w:b/>
                <w:bCs/>
                <w:color w:val="FF0000"/>
              </w:rPr>
            </w:pPr>
            <w:r>
              <w:rPr>
                <w:rFonts w:cstheme="minorHAnsi"/>
                <w:b/>
                <w:bCs/>
                <w:color w:val="FF0000"/>
              </w:rPr>
              <w:t>(</w:t>
            </w:r>
            <w:r w:rsidRPr="00494951">
              <w:rPr>
                <w:rFonts w:cstheme="minorHAnsi"/>
                <w:b/>
                <w:bCs/>
                <w:color w:val="FF0000"/>
              </w:rPr>
              <w:t>0.962</w:t>
            </w:r>
            <w:r>
              <w:rPr>
                <w:rFonts w:cstheme="minorHAnsi"/>
                <w:b/>
                <w:bCs/>
                <w:color w:val="FF0000"/>
              </w:rPr>
              <w:t xml:space="preserve">, </w:t>
            </w:r>
            <w:r w:rsidR="0001565F" w:rsidRPr="0001565F">
              <w:rPr>
                <w:rFonts w:cstheme="minorHAnsi"/>
                <w:b/>
                <w:bCs/>
                <w:color w:val="FF0000"/>
              </w:rPr>
              <w:t>0.975</w:t>
            </w:r>
            <w:r w:rsidR="0001565F">
              <w:rPr>
                <w:rFonts w:cstheme="minorHAnsi"/>
                <w:b/>
                <w:bCs/>
                <w:color w:val="FF0000"/>
              </w:rPr>
              <w:t>)</w:t>
            </w:r>
          </w:p>
          <w:p w14:paraId="3C860ABB" w14:textId="4FC7A75F" w:rsidR="00494951" w:rsidRPr="00494951" w:rsidRDefault="00494951" w:rsidP="00494951">
            <w:pPr>
              <w:autoSpaceDE w:val="0"/>
              <w:autoSpaceDN w:val="0"/>
              <w:adjustRightInd w:val="0"/>
              <w:spacing w:after="60"/>
              <w:rPr>
                <w:rFonts w:cstheme="minorHAnsi"/>
                <w:b/>
                <w:bCs/>
                <w:color w:val="FF0000"/>
              </w:rPr>
            </w:pPr>
          </w:p>
          <w:p w14:paraId="42E148DC" w14:textId="02BA5243" w:rsidR="00901C2B" w:rsidRPr="00901C2B" w:rsidRDefault="00901C2B" w:rsidP="00050392">
            <w:pPr>
              <w:autoSpaceDE w:val="0"/>
              <w:autoSpaceDN w:val="0"/>
              <w:adjustRightInd w:val="0"/>
              <w:spacing w:after="60"/>
              <w:jc w:val="right"/>
              <w:rPr>
                <w:rFonts w:cstheme="minorHAnsi"/>
                <w:b/>
                <w:bCs/>
                <w:color w:val="FF0000"/>
              </w:rPr>
            </w:pPr>
          </w:p>
        </w:tc>
      </w:tr>
      <w:tr w:rsidR="00B27329" w:rsidRPr="00901C2B" w14:paraId="38E5DBBD" w14:textId="77777777" w:rsidTr="00B27329">
        <w:tc>
          <w:tcPr>
            <w:tcW w:w="1855" w:type="dxa"/>
            <w:tcBorders>
              <w:top w:val="single" w:sz="4" w:space="0" w:color="auto"/>
              <w:left w:val="single" w:sz="4" w:space="0" w:color="auto"/>
              <w:bottom w:val="single" w:sz="4" w:space="0" w:color="auto"/>
              <w:right w:val="single" w:sz="4" w:space="0" w:color="auto"/>
            </w:tcBorders>
            <w:hideMark/>
          </w:tcPr>
          <w:p w14:paraId="524C3D20" w14:textId="77777777" w:rsidR="00B27329" w:rsidRPr="00901C2B" w:rsidRDefault="00B27329" w:rsidP="00B27329">
            <w:pPr>
              <w:autoSpaceDE w:val="0"/>
              <w:autoSpaceDN w:val="0"/>
              <w:adjustRightInd w:val="0"/>
              <w:spacing w:after="60"/>
              <w:jc w:val="right"/>
              <w:rPr>
                <w:rFonts w:cstheme="minorHAnsi"/>
                <w:color w:val="FF0000"/>
              </w:rPr>
            </w:pPr>
            <w:r w:rsidRPr="00901C2B">
              <w:rPr>
                <w:rFonts w:cstheme="minorHAnsi"/>
                <w:color w:val="FF0000"/>
              </w:rPr>
              <w:t>Tercile 1</w:t>
            </w:r>
          </w:p>
        </w:tc>
        <w:tc>
          <w:tcPr>
            <w:tcW w:w="1008" w:type="dxa"/>
            <w:tcBorders>
              <w:top w:val="single" w:sz="4" w:space="0" w:color="auto"/>
              <w:left w:val="nil"/>
              <w:bottom w:val="single" w:sz="4" w:space="0" w:color="auto"/>
              <w:right w:val="single" w:sz="4" w:space="0" w:color="auto"/>
            </w:tcBorders>
            <w:shd w:val="clear" w:color="auto" w:fill="auto"/>
            <w:vAlign w:val="bottom"/>
          </w:tcPr>
          <w:p w14:paraId="51D1E504" w14:textId="2B12B1BF" w:rsidR="00B27329" w:rsidRPr="00B27329" w:rsidRDefault="00B27329" w:rsidP="00B27329">
            <w:pPr>
              <w:autoSpaceDE w:val="0"/>
              <w:autoSpaceDN w:val="0"/>
              <w:adjustRightInd w:val="0"/>
              <w:spacing w:after="60"/>
              <w:jc w:val="right"/>
              <w:rPr>
                <w:rFonts w:cstheme="minorHAnsi"/>
                <w:color w:val="FF0000"/>
              </w:rPr>
            </w:pPr>
            <w:r w:rsidRPr="00B27329">
              <w:rPr>
                <w:rFonts w:ascii="Calibri" w:hAnsi="Calibri" w:cs="Calibri"/>
                <w:color w:val="FF0000"/>
              </w:rPr>
              <w:t>57</w:t>
            </w:r>
          </w:p>
        </w:tc>
        <w:tc>
          <w:tcPr>
            <w:tcW w:w="1632" w:type="dxa"/>
            <w:tcBorders>
              <w:top w:val="single" w:sz="4" w:space="0" w:color="auto"/>
              <w:left w:val="nil"/>
              <w:bottom w:val="single" w:sz="4" w:space="0" w:color="auto"/>
              <w:right w:val="nil"/>
            </w:tcBorders>
            <w:shd w:val="clear" w:color="auto" w:fill="auto"/>
            <w:vAlign w:val="bottom"/>
          </w:tcPr>
          <w:p w14:paraId="7C4BB5F9" w14:textId="4FEB6725" w:rsidR="00B27329" w:rsidRPr="00B27329" w:rsidRDefault="00B27329" w:rsidP="00B27329">
            <w:pPr>
              <w:autoSpaceDE w:val="0"/>
              <w:autoSpaceDN w:val="0"/>
              <w:adjustRightInd w:val="0"/>
              <w:spacing w:after="60"/>
              <w:jc w:val="right"/>
              <w:rPr>
                <w:rFonts w:cstheme="minorHAnsi"/>
                <w:color w:val="FF0000"/>
              </w:rPr>
            </w:pPr>
            <w:r>
              <w:rPr>
                <w:rFonts w:ascii="Calibri" w:hAnsi="Calibri" w:cs="Calibri"/>
                <w:color w:val="FF0000"/>
              </w:rPr>
              <w:t>38-</w:t>
            </w:r>
            <w:r w:rsidRPr="00B27329">
              <w:rPr>
                <w:rFonts w:ascii="Calibri" w:hAnsi="Calibri" w:cs="Calibri"/>
                <w:color w:val="FF0000"/>
              </w:rPr>
              <w:t>482</w:t>
            </w:r>
          </w:p>
        </w:tc>
        <w:tc>
          <w:tcPr>
            <w:tcW w:w="1530" w:type="dxa"/>
            <w:tcBorders>
              <w:top w:val="single" w:sz="4" w:space="0" w:color="auto"/>
              <w:left w:val="single" w:sz="4" w:space="0" w:color="auto"/>
              <w:bottom w:val="single" w:sz="4" w:space="0" w:color="auto"/>
              <w:right w:val="single" w:sz="4" w:space="0" w:color="auto"/>
            </w:tcBorders>
            <w:vAlign w:val="bottom"/>
          </w:tcPr>
          <w:p w14:paraId="7F910465" w14:textId="626E03BA" w:rsidR="00B27329" w:rsidRPr="00901C2B" w:rsidRDefault="00B27329" w:rsidP="00B27329">
            <w:pPr>
              <w:autoSpaceDE w:val="0"/>
              <w:autoSpaceDN w:val="0"/>
              <w:adjustRightInd w:val="0"/>
              <w:spacing w:after="60"/>
              <w:jc w:val="right"/>
              <w:rPr>
                <w:rFonts w:cstheme="minorHAnsi"/>
                <w:color w:val="FF0000"/>
              </w:rPr>
            </w:pPr>
            <w:r w:rsidRPr="00403209">
              <w:rPr>
                <w:rFonts w:ascii="Calibri" w:hAnsi="Calibri" w:cs="Calibri"/>
                <w:color w:val="FF0000"/>
              </w:rPr>
              <w:t>0.933</w:t>
            </w:r>
          </w:p>
        </w:tc>
        <w:tc>
          <w:tcPr>
            <w:tcW w:w="900" w:type="dxa"/>
            <w:tcBorders>
              <w:top w:val="single" w:sz="4" w:space="0" w:color="auto"/>
              <w:left w:val="nil"/>
              <w:bottom w:val="single" w:sz="4" w:space="0" w:color="auto"/>
              <w:right w:val="single" w:sz="4" w:space="0" w:color="auto"/>
            </w:tcBorders>
            <w:shd w:val="clear" w:color="auto" w:fill="auto"/>
            <w:vAlign w:val="bottom"/>
          </w:tcPr>
          <w:p w14:paraId="7962891B" w14:textId="15671384" w:rsidR="00B27329" w:rsidRPr="00B44FCA" w:rsidRDefault="00B27329" w:rsidP="00B27329">
            <w:pPr>
              <w:autoSpaceDE w:val="0"/>
              <w:autoSpaceDN w:val="0"/>
              <w:adjustRightInd w:val="0"/>
              <w:spacing w:after="60"/>
              <w:jc w:val="right"/>
              <w:rPr>
                <w:rFonts w:cstheme="minorHAnsi"/>
                <w:color w:val="FF0000"/>
              </w:rPr>
            </w:pPr>
            <w:r w:rsidRPr="00B44FCA">
              <w:rPr>
                <w:rFonts w:ascii="Calibri" w:hAnsi="Calibri" w:cs="Calibri"/>
                <w:color w:val="FF0000"/>
              </w:rPr>
              <w:t>0.006</w:t>
            </w:r>
          </w:p>
        </w:tc>
        <w:tc>
          <w:tcPr>
            <w:tcW w:w="1663" w:type="dxa"/>
            <w:tcBorders>
              <w:top w:val="single" w:sz="4" w:space="0" w:color="auto"/>
              <w:left w:val="single" w:sz="4" w:space="0" w:color="auto"/>
              <w:bottom w:val="single" w:sz="4" w:space="0" w:color="auto"/>
              <w:right w:val="single" w:sz="4" w:space="0" w:color="auto"/>
            </w:tcBorders>
            <w:shd w:val="clear" w:color="auto" w:fill="auto"/>
            <w:vAlign w:val="bottom"/>
          </w:tcPr>
          <w:p w14:paraId="5432B8BC" w14:textId="5134DA05" w:rsidR="00B27329" w:rsidRPr="00B44FCA" w:rsidRDefault="00B27329" w:rsidP="00B27329">
            <w:pPr>
              <w:autoSpaceDE w:val="0"/>
              <w:autoSpaceDN w:val="0"/>
              <w:adjustRightInd w:val="0"/>
              <w:spacing w:after="60"/>
              <w:jc w:val="right"/>
              <w:rPr>
                <w:rFonts w:cstheme="minorHAnsi"/>
                <w:color w:val="FF0000"/>
              </w:rPr>
            </w:pPr>
            <w:r>
              <w:rPr>
                <w:rFonts w:ascii="Calibri" w:hAnsi="Calibri" w:cs="Calibri"/>
                <w:color w:val="FF0000"/>
              </w:rPr>
              <w:t>(</w:t>
            </w:r>
            <w:r w:rsidRPr="00B44FCA">
              <w:rPr>
                <w:rFonts w:ascii="Calibri" w:hAnsi="Calibri" w:cs="Calibri"/>
                <w:color w:val="FF0000"/>
              </w:rPr>
              <w:t>0.921</w:t>
            </w:r>
            <w:r>
              <w:rPr>
                <w:rFonts w:ascii="Calibri" w:hAnsi="Calibri" w:cs="Calibri"/>
                <w:color w:val="FF0000"/>
              </w:rPr>
              <w:t>, 0.946)</w:t>
            </w:r>
          </w:p>
        </w:tc>
      </w:tr>
      <w:tr w:rsidR="00B27329" w:rsidRPr="00901C2B" w14:paraId="3EE295BD" w14:textId="77777777" w:rsidTr="00B27329">
        <w:tc>
          <w:tcPr>
            <w:tcW w:w="1855" w:type="dxa"/>
            <w:tcBorders>
              <w:top w:val="single" w:sz="4" w:space="0" w:color="auto"/>
              <w:left w:val="single" w:sz="4" w:space="0" w:color="auto"/>
              <w:bottom w:val="single" w:sz="4" w:space="0" w:color="auto"/>
              <w:right w:val="single" w:sz="4" w:space="0" w:color="auto"/>
            </w:tcBorders>
            <w:hideMark/>
          </w:tcPr>
          <w:p w14:paraId="652BBA86" w14:textId="77777777" w:rsidR="00B27329" w:rsidRPr="00901C2B" w:rsidRDefault="00B27329" w:rsidP="00B27329">
            <w:pPr>
              <w:autoSpaceDE w:val="0"/>
              <w:autoSpaceDN w:val="0"/>
              <w:adjustRightInd w:val="0"/>
              <w:spacing w:after="60"/>
              <w:jc w:val="right"/>
              <w:rPr>
                <w:rFonts w:cstheme="minorHAnsi"/>
                <w:color w:val="FF0000"/>
              </w:rPr>
            </w:pPr>
            <w:r w:rsidRPr="00901C2B">
              <w:rPr>
                <w:rFonts w:cstheme="minorHAnsi"/>
                <w:color w:val="FF0000"/>
              </w:rPr>
              <w:t>Tercile 2</w:t>
            </w:r>
          </w:p>
        </w:tc>
        <w:tc>
          <w:tcPr>
            <w:tcW w:w="1008" w:type="dxa"/>
            <w:tcBorders>
              <w:top w:val="single" w:sz="4" w:space="0" w:color="auto"/>
              <w:left w:val="nil"/>
              <w:bottom w:val="single" w:sz="4" w:space="0" w:color="auto"/>
              <w:right w:val="single" w:sz="4" w:space="0" w:color="auto"/>
            </w:tcBorders>
            <w:shd w:val="clear" w:color="auto" w:fill="auto"/>
            <w:vAlign w:val="bottom"/>
          </w:tcPr>
          <w:p w14:paraId="599F90DA" w14:textId="0739AFC0" w:rsidR="00B27329" w:rsidRPr="00B27329" w:rsidRDefault="00B27329" w:rsidP="00B27329">
            <w:pPr>
              <w:autoSpaceDE w:val="0"/>
              <w:autoSpaceDN w:val="0"/>
              <w:adjustRightInd w:val="0"/>
              <w:spacing w:after="60"/>
              <w:jc w:val="right"/>
              <w:rPr>
                <w:rFonts w:cstheme="minorHAnsi"/>
                <w:color w:val="FF0000"/>
              </w:rPr>
            </w:pPr>
            <w:r w:rsidRPr="00B27329">
              <w:rPr>
                <w:rFonts w:ascii="Calibri" w:hAnsi="Calibri" w:cs="Calibri"/>
                <w:color w:val="FF0000"/>
              </w:rPr>
              <w:t>57</w:t>
            </w:r>
          </w:p>
        </w:tc>
        <w:tc>
          <w:tcPr>
            <w:tcW w:w="1632" w:type="dxa"/>
            <w:tcBorders>
              <w:top w:val="single" w:sz="4" w:space="0" w:color="auto"/>
              <w:left w:val="nil"/>
              <w:bottom w:val="single" w:sz="4" w:space="0" w:color="auto"/>
              <w:right w:val="nil"/>
            </w:tcBorders>
            <w:shd w:val="clear" w:color="auto" w:fill="auto"/>
            <w:vAlign w:val="bottom"/>
          </w:tcPr>
          <w:p w14:paraId="5984E3CB" w14:textId="3397A8AD" w:rsidR="00B27329" w:rsidRPr="00B27329" w:rsidRDefault="000D33D7" w:rsidP="00B27329">
            <w:pPr>
              <w:autoSpaceDE w:val="0"/>
              <w:autoSpaceDN w:val="0"/>
              <w:adjustRightInd w:val="0"/>
              <w:spacing w:after="60"/>
              <w:jc w:val="right"/>
              <w:rPr>
                <w:rFonts w:cstheme="minorHAnsi"/>
                <w:color w:val="FF0000"/>
              </w:rPr>
            </w:pPr>
            <w:r>
              <w:rPr>
                <w:rFonts w:ascii="Calibri" w:hAnsi="Calibri" w:cs="Calibri"/>
                <w:color w:val="FF0000"/>
              </w:rPr>
              <w:t>512-</w:t>
            </w:r>
            <w:r w:rsidR="00B27329" w:rsidRPr="00B27329">
              <w:rPr>
                <w:rFonts w:ascii="Calibri" w:hAnsi="Calibri" w:cs="Calibri"/>
                <w:color w:val="FF0000"/>
              </w:rPr>
              <w:t>2030</w:t>
            </w:r>
          </w:p>
        </w:tc>
        <w:tc>
          <w:tcPr>
            <w:tcW w:w="1530" w:type="dxa"/>
            <w:tcBorders>
              <w:top w:val="single" w:sz="4" w:space="0" w:color="auto"/>
              <w:left w:val="single" w:sz="4" w:space="0" w:color="auto"/>
              <w:bottom w:val="single" w:sz="4" w:space="0" w:color="auto"/>
              <w:right w:val="single" w:sz="4" w:space="0" w:color="auto"/>
            </w:tcBorders>
            <w:vAlign w:val="bottom"/>
          </w:tcPr>
          <w:p w14:paraId="5A23D277" w14:textId="3191F3A0" w:rsidR="00B27329" w:rsidRPr="00901C2B" w:rsidRDefault="00B27329" w:rsidP="00B27329">
            <w:pPr>
              <w:autoSpaceDE w:val="0"/>
              <w:autoSpaceDN w:val="0"/>
              <w:adjustRightInd w:val="0"/>
              <w:spacing w:after="60"/>
              <w:jc w:val="right"/>
              <w:rPr>
                <w:rFonts w:cstheme="minorHAnsi"/>
                <w:color w:val="FF0000"/>
              </w:rPr>
            </w:pPr>
            <w:r w:rsidRPr="00403209">
              <w:rPr>
                <w:rFonts w:ascii="Calibri" w:hAnsi="Calibri" w:cs="Calibri"/>
                <w:color w:val="FF0000"/>
              </w:rPr>
              <w:t>0.987</w:t>
            </w:r>
          </w:p>
        </w:tc>
        <w:tc>
          <w:tcPr>
            <w:tcW w:w="900" w:type="dxa"/>
            <w:tcBorders>
              <w:top w:val="single" w:sz="4" w:space="0" w:color="auto"/>
              <w:left w:val="nil"/>
              <w:bottom w:val="single" w:sz="4" w:space="0" w:color="auto"/>
              <w:right w:val="single" w:sz="4" w:space="0" w:color="auto"/>
            </w:tcBorders>
            <w:shd w:val="clear" w:color="auto" w:fill="auto"/>
            <w:vAlign w:val="bottom"/>
          </w:tcPr>
          <w:p w14:paraId="2B4DF267" w14:textId="2E645FA8" w:rsidR="00B27329" w:rsidRPr="00B44FCA" w:rsidRDefault="00B27329" w:rsidP="00B27329">
            <w:pPr>
              <w:autoSpaceDE w:val="0"/>
              <w:autoSpaceDN w:val="0"/>
              <w:adjustRightInd w:val="0"/>
              <w:spacing w:after="60"/>
              <w:jc w:val="right"/>
              <w:rPr>
                <w:rFonts w:cstheme="minorHAnsi"/>
                <w:color w:val="FF0000"/>
              </w:rPr>
            </w:pPr>
            <w:r w:rsidRPr="00B44FCA">
              <w:rPr>
                <w:rFonts w:ascii="Calibri" w:hAnsi="Calibri" w:cs="Calibri"/>
                <w:color w:val="FF0000"/>
              </w:rPr>
              <w:t>0.001</w:t>
            </w:r>
          </w:p>
        </w:tc>
        <w:tc>
          <w:tcPr>
            <w:tcW w:w="1663" w:type="dxa"/>
            <w:tcBorders>
              <w:top w:val="single" w:sz="4" w:space="0" w:color="auto"/>
              <w:left w:val="single" w:sz="4" w:space="0" w:color="auto"/>
              <w:bottom w:val="single" w:sz="4" w:space="0" w:color="auto"/>
              <w:right w:val="single" w:sz="4" w:space="0" w:color="auto"/>
            </w:tcBorders>
            <w:shd w:val="clear" w:color="auto" w:fill="auto"/>
            <w:vAlign w:val="bottom"/>
          </w:tcPr>
          <w:p w14:paraId="685924B8" w14:textId="6C0AC243" w:rsidR="00B27329" w:rsidRPr="00B44FCA" w:rsidRDefault="00B27329" w:rsidP="00B27329">
            <w:pPr>
              <w:autoSpaceDE w:val="0"/>
              <w:autoSpaceDN w:val="0"/>
              <w:adjustRightInd w:val="0"/>
              <w:spacing w:after="60"/>
              <w:jc w:val="right"/>
              <w:rPr>
                <w:rFonts w:cstheme="minorHAnsi"/>
                <w:color w:val="FF0000"/>
              </w:rPr>
            </w:pPr>
            <w:r>
              <w:rPr>
                <w:rFonts w:ascii="Calibri" w:hAnsi="Calibri" w:cs="Calibri"/>
                <w:color w:val="FF0000"/>
              </w:rPr>
              <w:t>(</w:t>
            </w:r>
            <w:r w:rsidRPr="00B44FCA">
              <w:rPr>
                <w:rFonts w:ascii="Calibri" w:hAnsi="Calibri" w:cs="Calibri"/>
                <w:color w:val="FF0000"/>
              </w:rPr>
              <w:t>0.986</w:t>
            </w:r>
            <w:r>
              <w:rPr>
                <w:rFonts w:ascii="Calibri" w:hAnsi="Calibri" w:cs="Calibri"/>
                <w:color w:val="FF0000"/>
              </w:rPr>
              <w:t>, 0.989)</w:t>
            </w:r>
          </w:p>
        </w:tc>
      </w:tr>
      <w:tr w:rsidR="00B27329" w:rsidRPr="00901C2B" w14:paraId="2AEF8C28" w14:textId="77777777" w:rsidTr="00B27329">
        <w:tc>
          <w:tcPr>
            <w:tcW w:w="1855" w:type="dxa"/>
            <w:tcBorders>
              <w:top w:val="single" w:sz="4" w:space="0" w:color="auto"/>
              <w:left w:val="single" w:sz="4" w:space="0" w:color="auto"/>
              <w:bottom w:val="single" w:sz="4" w:space="0" w:color="auto"/>
              <w:right w:val="single" w:sz="4" w:space="0" w:color="auto"/>
            </w:tcBorders>
            <w:hideMark/>
          </w:tcPr>
          <w:p w14:paraId="159746E9" w14:textId="77777777" w:rsidR="00B27329" w:rsidRPr="00901C2B" w:rsidRDefault="00B27329" w:rsidP="00B27329">
            <w:pPr>
              <w:autoSpaceDE w:val="0"/>
              <w:autoSpaceDN w:val="0"/>
              <w:adjustRightInd w:val="0"/>
              <w:spacing w:after="60"/>
              <w:jc w:val="right"/>
              <w:rPr>
                <w:rFonts w:cstheme="minorHAnsi"/>
                <w:color w:val="FF0000"/>
              </w:rPr>
            </w:pPr>
            <w:r w:rsidRPr="00901C2B">
              <w:rPr>
                <w:rFonts w:cstheme="minorHAnsi"/>
                <w:color w:val="FF0000"/>
              </w:rPr>
              <w:t>Tercile 3</w:t>
            </w:r>
          </w:p>
        </w:tc>
        <w:tc>
          <w:tcPr>
            <w:tcW w:w="1008" w:type="dxa"/>
            <w:tcBorders>
              <w:top w:val="single" w:sz="4" w:space="0" w:color="auto"/>
              <w:left w:val="nil"/>
              <w:bottom w:val="single" w:sz="4" w:space="0" w:color="auto"/>
              <w:right w:val="single" w:sz="4" w:space="0" w:color="auto"/>
            </w:tcBorders>
            <w:shd w:val="clear" w:color="auto" w:fill="auto"/>
            <w:vAlign w:val="bottom"/>
          </w:tcPr>
          <w:p w14:paraId="6788048D" w14:textId="4B18178A" w:rsidR="00B27329" w:rsidRPr="00B27329" w:rsidRDefault="00B27329" w:rsidP="00B27329">
            <w:pPr>
              <w:autoSpaceDE w:val="0"/>
              <w:autoSpaceDN w:val="0"/>
              <w:adjustRightInd w:val="0"/>
              <w:spacing w:after="60"/>
              <w:jc w:val="right"/>
              <w:rPr>
                <w:rFonts w:cstheme="minorHAnsi"/>
                <w:color w:val="FF0000"/>
              </w:rPr>
            </w:pPr>
            <w:r w:rsidRPr="00B27329">
              <w:rPr>
                <w:rFonts w:ascii="Calibri" w:hAnsi="Calibri" w:cs="Calibri"/>
                <w:color w:val="FF0000"/>
              </w:rPr>
              <w:t>59</w:t>
            </w:r>
          </w:p>
        </w:tc>
        <w:tc>
          <w:tcPr>
            <w:tcW w:w="1632" w:type="dxa"/>
            <w:tcBorders>
              <w:top w:val="single" w:sz="4" w:space="0" w:color="auto"/>
              <w:left w:val="nil"/>
              <w:bottom w:val="single" w:sz="4" w:space="0" w:color="auto"/>
              <w:right w:val="nil"/>
            </w:tcBorders>
            <w:shd w:val="clear" w:color="auto" w:fill="auto"/>
            <w:vAlign w:val="bottom"/>
          </w:tcPr>
          <w:p w14:paraId="68237FFE" w14:textId="4FE7F6B0" w:rsidR="00B27329" w:rsidRPr="00B27329" w:rsidRDefault="000D33D7" w:rsidP="00B27329">
            <w:pPr>
              <w:autoSpaceDE w:val="0"/>
              <w:autoSpaceDN w:val="0"/>
              <w:adjustRightInd w:val="0"/>
              <w:spacing w:after="60"/>
              <w:jc w:val="right"/>
              <w:rPr>
                <w:rFonts w:cstheme="minorHAnsi"/>
                <w:color w:val="FF0000"/>
              </w:rPr>
            </w:pPr>
            <w:r>
              <w:rPr>
                <w:rFonts w:ascii="Calibri" w:hAnsi="Calibri" w:cs="Calibri"/>
                <w:color w:val="FF0000"/>
              </w:rPr>
              <w:t>2054-</w:t>
            </w:r>
            <w:r w:rsidR="00B27329" w:rsidRPr="00B27329">
              <w:rPr>
                <w:rFonts w:ascii="Calibri" w:hAnsi="Calibri" w:cs="Calibri"/>
                <w:color w:val="FF0000"/>
              </w:rPr>
              <w:t>17406</w:t>
            </w:r>
          </w:p>
        </w:tc>
        <w:tc>
          <w:tcPr>
            <w:tcW w:w="1530" w:type="dxa"/>
            <w:tcBorders>
              <w:top w:val="single" w:sz="4" w:space="0" w:color="auto"/>
              <w:left w:val="single" w:sz="4" w:space="0" w:color="auto"/>
              <w:bottom w:val="single" w:sz="4" w:space="0" w:color="auto"/>
              <w:right w:val="single" w:sz="4" w:space="0" w:color="auto"/>
            </w:tcBorders>
            <w:vAlign w:val="bottom"/>
          </w:tcPr>
          <w:p w14:paraId="34F22D42" w14:textId="473C2108" w:rsidR="00B27329" w:rsidRPr="00901C2B" w:rsidRDefault="00B27329" w:rsidP="00B27329">
            <w:pPr>
              <w:autoSpaceDE w:val="0"/>
              <w:autoSpaceDN w:val="0"/>
              <w:adjustRightInd w:val="0"/>
              <w:spacing w:after="60"/>
              <w:jc w:val="right"/>
              <w:rPr>
                <w:rFonts w:cstheme="minorHAnsi"/>
                <w:color w:val="FF0000"/>
              </w:rPr>
            </w:pPr>
            <w:r w:rsidRPr="00403209">
              <w:rPr>
                <w:rFonts w:ascii="Calibri" w:hAnsi="Calibri" w:cs="Calibri"/>
                <w:color w:val="FF0000"/>
              </w:rPr>
              <w:t>0.994</w:t>
            </w:r>
          </w:p>
        </w:tc>
        <w:tc>
          <w:tcPr>
            <w:tcW w:w="900" w:type="dxa"/>
            <w:tcBorders>
              <w:top w:val="single" w:sz="4" w:space="0" w:color="auto"/>
              <w:left w:val="nil"/>
              <w:bottom w:val="single" w:sz="4" w:space="0" w:color="auto"/>
              <w:right w:val="single" w:sz="4" w:space="0" w:color="auto"/>
            </w:tcBorders>
            <w:shd w:val="clear" w:color="auto" w:fill="auto"/>
            <w:vAlign w:val="bottom"/>
          </w:tcPr>
          <w:p w14:paraId="49BF0BBA" w14:textId="5BB68C6B" w:rsidR="00B27329" w:rsidRPr="00B44FCA" w:rsidRDefault="00B27329" w:rsidP="00B27329">
            <w:pPr>
              <w:autoSpaceDE w:val="0"/>
              <w:autoSpaceDN w:val="0"/>
              <w:adjustRightInd w:val="0"/>
              <w:spacing w:after="60"/>
              <w:jc w:val="right"/>
              <w:rPr>
                <w:rFonts w:cstheme="minorHAnsi"/>
                <w:color w:val="FF0000"/>
              </w:rPr>
            </w:pPr>
            <w:r w:rsidRPr="00B44FCA">
              <w:rPr>
                <w:rFonts w:ascii="Calibri" w:hAnsi="Calibri" w:cs="Calibri"/>
                <w:color w:val="FF0000"/>
              </w:rPr>
              <w:t>0.000</w:t>
            </w:r>
          </w:p>
        </w:tc>
        <w:tc>
          <w:tcPr>
            <w:tcW w:w="1663" w:type="dxa"/>
            <w:tcBorders>
              <w:top w:val="single" w:sz="4" w:space="0" w:color="auto"/>
              <w:left w:val="single" w:sz="4" w:space="0" w:color="auto"/>
              <w:bottom w:val="single" w:sz="4" w:space="0" w:color="auto"/>
              <w:right w:val="single" w:sz="4" w:space="0" w:color="auto"/>
            </w:tcBorders>
            <w:shd w:val="clear" w:color="auto" w:fill="auto"/>
            <w:vAlign w:val="bottom"/>
          </w:tcPr>
          <w:p w14:paraId="4131B4BD" w14:textId="45CCA618" w:rsidR="00B27329" w:rsidRPr="00B44FCA" w:rsidRDefault="00B27329" w:rsidP="00B27329">
            <w:pPr>
              <w:autoSpaceDE w:val="0"/>
              <w:autoSpaceDN w:val="0"/>
              <w:adjustRightInd w:val="0"/>
              <w:spacing w:after="60"/>
              <w:jc w:val="right"/>
              <w:rPr>
                <w:rFonts w:cstheme="minorHAnsi"/>
                <w:color w:val="FF0000"/>
              </w:rPr>
            </w:pPr>
            <w:r>
              <w:rPr>
                <w:rFonts w:ascii="Calibri" w:hAnsi="Calibri" w:cs="Calibri"/>
                <w:color w:val="FF0000"/>
              </w:rPr>
              <w:t>(</w:t>
            </w:r>
            <w:r w:rsidRPr="00B44FCA">
              <w:rPr>
                <w:rFonts w:ascii="Calibri" w:hAnsi="Calibri" w:cs="Calibri"/>
                <w:color w:val="FF0000"/>
              </w:rPr>
              <w:t>0.993</w:t>
            </w:r>
            <w:r>
              <w:rPr>
                <w:rFonts w:ascii="Calibri" w:hAnsi="Calibri" w:cs="Calibri"/>
                <w:color w:val="FF0000"/>
              </w:rPr>
              <w:t>, 0.994)</w:t>
            </w:r>
          </w:p>
        </w:tc>
      </w:tr>
      <w:tr w:rsidR="00901C2B" w:rsidRPr="00901C2B" w14:paraId="0AD21F4C" w14:textId="77777777" w:rsidTr="00E22C97">
        <w:tc>
          <w:tcPr>
            <w:tcW w:w="1855" w:type="dxa"/>
            <w:tcBorders>
              <w:top w:val="single" w:sz="4" w:space="0" w:color="auto"/>
              <w:left w:val="single" w:sz="4" w:space="0" w:color="auto"/>
              <w:bottom w:val="single" w:sz="4" w:space="0" w:color="auto"/>
              <w:right w:val="single" w:sz="4" w:space="0" w:color="auto"/>
            </w:tcBorders>
            <w:shd w:val="clear" w:color="auto" w:fill="D9D9D9"/>
          </w:tcPr>
          <w:p w14:paraId="35EE163C" w14:textId="0B924DAF" w:rsidR="00901C2B" w:rsidRPr="00901C2B" w:rsidRDefault="00901C2B" w:rsidP="00901C2B">
            <w:pPr>
              <w:autoSpaceDE w:val="0"/>
              <w:autoSpaceDN w:val="0"/>
              <w:adjustRightInd w:val="0"/>
              <w:spacing w:after="60"/>
              <w:rPr>
                <w:rFonts w:cstheme="minorHAnsi"/>
                <w:color w:val="FF0000"/>
              </w:rPr>
            </w:pPr>
            <w:r w:rsidRPr="00901C2B">
              <w:rPr>
                <w:rFonts w:cstheme="minorHAnsi"/>
                <w:b/>
                <w:bCs/>
                <w:color w:val="FF0000"/>
              </w:rPr>
              <w:t>All Medicare</w:t>
            </w:r>
          </w:p>
        </w:tc>
        <w:tc>
          <w:tcPr>
            <w:tcW w:w="1008" w:type="dxa"/>
            <w:tcBorders>
              <w:top w:val="single" w:sz="4" w:space="0" w:color="auto"/>
              <w:left w:val="single" w:sz="4" w:space="0" w:color="auto"/>
              <w:bottom w:val="single" w:sz="4" w:space="0" w:color="auto"/>
              <w:right w:val="single" w:sz="4" w:space="0" w:color="auto"/>
            </w:tcBorders>
            <w:shd w:val="clear" w:color="auto" w:fill="D9D9D9"/>
          </w:tcPr>
          <w:p w14:paraId="09D7DA23" w14:textId="6AC0493B" w:rsidR="00901C2B" w:rsidRPr="005D79EB" w:rsidRDefault="005D79EB" w:rsidP="00901C2B">
            <w:pPr>
              <w:autoSpaceDE w:val="0"/>
              <w:autoSpaceDN w:val="0"/>
              <w:adjustRightInd w:val="0"/>
              <w:spacing w:after="60"/>
              <w:jc w:val="right"/>
              <w:rPr>
                <w:rFonts w:cstheme="minorHAnsi"/>
                <w:b/>
                <w:bCs/>
                <w:color w:val="FF0000"/>
              </w:rPr>
            </w:pPr>
            <w:r w:rsidRPr="005D79EB">
              <w:rPr>
                <w:rFonts w:cstheme="minorHAnsi"/>
                <w:b/>
                <w:bCs/>
                <w:color w:val="FF0000"/>
              </w:rPr>
              <w:t>308</w:t>
            </w:r>
          </w:p>
        </w:tc>
        <w:tc>
          <w:tcPr>
            <w:tcW w:w="1632" w:type="dxa"/>
            <w:tcBorders>
              <w:top w:val="single" w:sz="4" w:space="0" w:color="auto"/>
              <w:left w:val="single" w:sz="4" w:space="0" w:color="auto"/>
              <w:bottom w:val="single" w:sz="4" w:space="0" w:color="auto"/>
              <w:right w:val="single" w:sz="4" w:space="0" w:color="auto"/>
            </w:tcBorders>
            <w:shd w:val="clear" w:color="auto" w:fill="D9D9D9"/>
          </w:tcPr>
          <w:p w14:paraId="38D81821" w14:textId="4BF08E29" w:rsidR="00901C2B" w:rsidRPr="00901C2B" w:rsidRDefault="005D79EB" w:rsidP="00901C2B">
            <w:pPr>
              <w:autoSpaceDE w:val="0"/>
              <w:autoSpaceDN w:val="0"/>
              <w:adjustRightInd w:val="0"/>
              <w:spacing w:after="60"/>
              <w:jc w:val="right"/>
              <w:rPr>
                <w:rFonts w:cstheme="minorHAnsi"/>
                <w:color w:val="FF0000"/>
              </w:rPr>
            </w:pPr>
            <w:r w:rsidRPr="005D79EB">
              <w:rPr>
                <w:rFonts w:cstheme="minorHAnsi"/>
                <w:b/>
                <w:bCs/>
                <w:color w:val="FF0000"/>
              </w:rPr>
              <w:t>30-4224</w:t>
            </w:r>
          </w:p>
        </w:tc>
        <w:tc>
          <w:tcPr>
            <w:tcW w:w="1530" w:type="dxa"/>
            <w:tcBorders>
              <w:top w:val="single" w:sz="4" w:space="0" w:color="auto"/>
              <w:left w:val="single" w:sz="4" w:space="0" w:color="auto"/>
              <w:bottom w:val="single" w:sz="4" w:space="0" w:color="auto"/>
              <w:right w:val="single" w:sz="4" w:space="0" w:color="auto"/>
            </w:tcBorders>
            <w:shd w:val="clear" w:color="auto" w:fill="D9D9D9"/>
          </w:tcPr>
          <w:p w14:paraId="5522724B" w14:textId="3E9A23CE" w:rsidR="00901C2B" w:rsidRPr="00815CE9" w:rsidRDefault="00815CE9" w:rsidP="00815CE9">
            <w:pPr>
              <w:autoSpaceDE w:val="0"/>
              <w:autoSpaceDN w:val="0"/>
              <w:adjustRightInd w:val="0"/>
              <w:spacing w:after="60"/>
              <w:jc w:val="right"/>
              <w:rPr>
                <w:rFonts w:cstheme="minorHAnsi"/>
                <w:b/>
                <w:bCs/>
                <w:color w:val="FF0000"/>
              </w:rPr>
            </w:pPr>
            <w:r w:rsidRPr="00815CE9">
              <w:rPr>
                <w:rFonts w:cstheme="minorHAnsi"/>
                <w:b/>
                <w:bCs/>
                <w:color w:val="FF0000"/>
              </w:rPr>
              <w:t>0.900</w:t>
            </w:r>
          </w:p>
        </w:tc>
        <w:tc>
          <w:tcPr>
            <w:tcW w:w="900" w:type="dxa"/>
            <w:tcBorders>
              <w:top w:val="single" w:sz="4" w:space="0" w:color="auto"/>
              <w:left w:val="single" w:sz="4" w:space="0" w:color="auto"/>
              <w:bottom w:val="single" w:sz="4" w:space="0" w:color="auto"/>
              <w:right w:val="single" w:sz="4" w:space="0" w:color="auto"/>
            </w:tcBorders>
            <w:shd w:val="clear" w:color="auto" w:fill="D9D9D9"/>
          </w:tcPr>
          <w:p w14:paraId="25878BF4" w14:textId="0308C05A" w:rsidR="00901C2B" w:rsidRPr="001821B5" w:rsidRDefault="001821B5" w:rsidP="001821B5">
            <w:pPr>
              <w:autoSpaceDE w:val="0"/>
              <w:autoSpaceDN w:val="0"/>
              <w:adjustRightInd w:val="0"/>
              <w:spacing w:after="60"/>
              <w:jc w:val="right"/>
              <w:rPr>
                <w:rFonts w:cstheme="minorHAnsi"/>
                <w:b/>
                <w:bCs/>
                <w:color w:val="FF0000"/>
              </w:rPr>
            </w:pPr>
            <w:r w:rsidRPr="001821B5">
              <w:rPr>
                <w:rFonts w:cstheme="minorHAnsi"/>
                <w:b/>
                <w:bCs/>
                <w:color w:val="FF0000"/>
              </w:rPr>
              <w:t>0.005</w:t>
            </w:r>
          </w:p>
        </w:tc>
        <w:tc>
          <w:tcPr>
            <w:tcW w:w="1663" w:type="dxa"/>
            <w:tcBorders>
              <w:top w:val="single" w:sz="4" w:space="0" w:color="auto"/>
              <w:left w:val="single" w:sz="4" w:space="0" w:color="auto"/>
              <w:bottom w:val="single" w:sz="4" w:space="0" w:color="auto"/>
              <w:right w:val="single" w:sz="4" w:space="0" w:color="auto"/>
            </w:tcBorders>
            <w:shd w:val="clear" w:color="auto" w:fill="D9D9D9"/>
          </w:tcPr>
          <w:p w14:paraId="22A16A38" w14:textId="2DA76861" w:rsidR="00D007E6" w:rsidRPr="00D007E6" w:rsidRDefault="00D007E6" w:rsidP="00D007E6">
            <w:pPr>
              <w:autoSpaceDE w:val="0"/>
              <w:autoSpaceDN w:val="0"/>
              <w:adjustRightInd w:val="0"/>
              <w:spacing w:after="60"/>
              <w:jc w:val="right"/>
              <w:rPr>
                <w:rFonts w:cstheme="minorHAnsi"/>
                <w:b/>
                <w:bCs/>
                <w:color w:val="FF0000"/>
              </w:rPr>
            </w:pPr>
            <w:r w:rsidRPr="00D007E6">
              <w:rPr>
                <w:rFonts w:cstheme="minorHAnsi"/>
                <w:b/>
                <w:bCs/>
                <w:color w:val="FF0000"/>
              </w:rPr>
              <w:t>(0.890, 0.909)</w:t>
            </w:r>
          </w:p>
          <w:p w14:paraId="5C10C7E9" w14:textId="5CD1665B" w:rsidR="00901C2B" w:rsidRPr="00901C2B" w:rsidRDefault="00901C2B" w:rsidP="00901C2B">
            <w:pPr>
              <w:autoSpaceDE w:val="0"/>
              <w:autoSpaceDN w:val="0"/>
              <w:adjustRightInd w:val="0"/>
              <w:spacing w:after="60"/>
              <w:jc w:val="right"/>
              <w:rPr>
                <w:rFonts w:cstheme="minorHAnsi"/>
                <w:color w:val="FF0000"/>
              </w:rPr>
            </w:pPr>
          </w:p>
        </w:tc>
      </w:tr>
      <w:tr w:rsidR="00E22C97" w:rsidRPr="00901C2B" w14:paraId="1328316B" w14:textId="77777777" w:rsidTr="00E22C97">
        <w:tc>
          <w:tcPr>
            <w:tcW w:w="1855" w:type="dxa"/>
            <w:tcBorders>
              <w:top w:val="single" w:sz="4" w:space="0" w:color="auto"/>
              <w:left w:val="single" w:sz="4" w:space="0" w:color="auto"/>
              <w:bottom w:val="single" w:sz="4" w:space="0" w:color="auto"/>
              <w:right w:val="single" w:sz="4" w:space="0" w:color="auto"/>
            </w:tcBorders>
          </w:tcPr>
          <w:p w14:paraId="36D009A3" w14:textId="4745A3AB" w:rsidR="00E22C97" w:rsidRPr="00901C2B" w:rsidRDefault="00E22C97" w:rsidP="00E22C97">
            <w:pPr>
              <w:autoSpaceDE w:val="0"/>
              <w:autoSpaceDN w:val="0"/>
              <w:adjustRightInd w:val="0"/>
              <w:spacing w:after="60"/>
              <w:jc w:val="right"/>
              <w:rPr>
                <w:rFonts w:cstheme="minorHAnsi"/>
                <w:color w:val="FF0000"/>
              </w:rPr>
            </w:pPr>
            <w:r w:rsidRPr="00901C2B">
              <w:rPr>
                <w:rFonts w:cstheme="minorHAnsi"/>
                <w:color w:val="FF0000"/>
              </w:rPr>
              <w:t>Tercile 1</w:t>
            </w:r>
          </w:p>
        </w:tc>
        <w:tc>
          <w:tcPr>
            <w:tcW w:w="1008" w:type="dxa"/>
            <w:tcBorders>
              <w:top w:val="single" w:sz="4" w:space="0" w:color="auto"/>
              <w:left w:val="nil"/>
              <w:bottom w:val="single" w:sz="4" w:space="0" w:color="auto"/>
              <w:right w:val="nil"/>
            </w:tcBorders>
            <w:shd w:val="clear" w:color="auto" w:fill="auto"/>
            <w:vAlign w:val="bottom"/>
          </w:tcPr>
          <w:p w14:paraId="660E914C" w14:textId="7ABEF81A" w:rsidR="00E22C97" w:rsidRPr="008C3DF4" w:rsidRDefault="00E22C97" w:rsidP="00E22C97">
            <w:pPr>
              <w:autoSpaceDE w:val="0"/>
              <w:autoSpaceDN w:val="0"/>
              <w:adjustRightInd w:val="0"/>
              <w:spacing w:after="60"/>
              <w:jc w:val="right"/>
              <w:rPr>
                <w:rFonts w:cstheme="minorHAnsi"/>
                <w:color w:val="FF0000"/>
              </w:rPr>
            </w:pPr>
            <w:r w:rsidRPr="008C3DF4">
              <w:rPr>
                <w:rFonts w:ascii="Calibri" w:hAnsi="Calibri" w:cs="Calibri"/>
                <w:color w:val="FF0000"/>
              </w:rPr>
              <w:t>102</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bottom"/>
          </w:tcPr>
          <w:p w14:paraId="57E8FDB4" w14:textId="175E199E" w:rsidR="00E22C97" w:rsidRPr="008723D5" w:rsidRDefault="00E22C97" w:rsidP="00E22C97">
            <w:pPr>
              <w:autoSpaceDE w:val="0"/>
              <w:autoSpaceDN w:val="0"/>
              <w:adjustRightInd w:val="0"/>
              <w:spacing w:after="60"/>
              <w:jc w:val="right"/>
              <w:rPr>
                <w:rFonts w:cstheme="minorHAnsi"/>
                <w:color w:val="FF0000"/>
              </w:rPr>
            </w:pPr>
            <w:r>
              <w:rPr>
                <w:rFonts w:ascii="Calibri" w:hAnsi="Calibri" w:cs="Calibri"/>
                <w:color w:val="FF0000"/>
              </w:rPr>
              <w:t>30-</w:t>
            </w:r>
            <w:r w:rsidRPr="008723D5">
              <w:rPr>
                <w:rFonts w:ascii="Calibri" w:hAnsi="Calibri" w:cs="Calibri"/>
                <w:color w:val="FF0000"/>
              </w:rPr>
              <w:t>90</w:t>
            </w:r>
          </w:p>
        </w:tc>
        <w:tc>
          <w:tcPr>
            <w:tcW w:w="1530" w:type="dxa"/>
            <w:tcBorders>
              <w:top w:val="single" w:sz="4" w:space="0" w:color="auto"/>
              <w:left w:val="nil"/>
              <w:bottom w:val="single" w:sz="4" w:space="0" w:color="auto"/>
              <w:right w:val="single" w:sz="4" w:space="0" w:color="auto"/>
            </w:tcBorders>
            <w:shd w:val="clear" w:color="auto" w:fill="auto"/>
            <w:vAlign w:val="bottom"/>
          </w:tcPr>
          <w:p w14:paraId="2059CE37" w14:textId="4C1ACB25" w:rsidR="00E22C97" w:rsidRPr="00D9799D" w:rsidRDefault="00E22C97" w:rsidP="00E22C97">
            <w:pPr>
              <w:autoSpaceDE w:val="0"/>
              <w:autoSpaceDN w:val="0"/>
              <w:adjustRightInd w:val="0"/>
              <w:spacing w:after="60"/>
              <w:jc w:val="right"/>
              <w:rPr>
                <w:rFonts w:cstheme="minorHAnsi"/>
                <w:color w:val="FF0000"/>
              </w:rPr>
            </w:pPr>
            <w:r w:rsidRPr="00D9799D">
              <w:rPr>
                <w:rFonts w:ascii="Calibri" w:hAnsi="Calibri" w:cs="Calibri"/>
                <w:color w:val="FF0000"/>
              </w:rPr>
              <w:t>0.815</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3048D612" w14:textId="26DC69B3" w:rsidR="00E22C97" w:rsidRPr="00F84CCD" w:rsidRDefault="00E22C97" w:rsidP="00E22C97">
            <w:pPr>
              <w:autoSpaceDE w:val="0"/>
              <w:autoSpaceDN w:val="0"/>
              <w:adjustRightInd w:val="0"/>
              <w:spacing w:after="60"/>
              <w:jc w:val="right"/>
              <w:rPr>
                <w:rFonts w:cstheme="minorHAnsi"/>
                <w:color w:val="FF0000"/>
              </w:rPr>
            </w:pPr>
            <w:r w:rsidRPr="00F84CCD">
              <w:rPr>
                <w:rFonts w:ascii="Calibri" w:hAnsi="Calibri" w:cs="Calibri"/>
                <w:color w:val="FF0000"/>
              </w:rPr>
              <w:t>0.007</w:t>
            </w:r>
          </w:p>
        </w:tc>
        <w:tc>
          <w:tcPr>
            <w:tcW w:w="1663" w:type="dxa"/>
            <w:tcBorders>
              <w:top w:val="single" w:sz="4" w:space="0" w:color="auto"/>
              <w:left w:val="single" w:sz="4" w:space="0" w:color="auto"/>
              <w:bottom w:val="single" w:sz="4" w:space="0" w:color="auto"/>
              <w:right w:val="single" w:sz="4" w:space="0" w:color="auto"/>
            </w:tcBorders>
            <w:shd w:val="clear" w:color="auto" w:fill="auto"/>
            <w:vAlign w:val="bottom"/>
          </w:tcPr>
          <w:p w14:paraId="75492BF4" w14:textId="7333557E" w:rsidR="00E22C97" w:rsidRPr="00E22C97" w:rsidRDefault="00E22C97" w:rsidP="00E22C97">
            <w:pPr>
              <w:autoSpaceDE w:val="0"/>
              <w:autoSpaceDN w:val="0"/>
              <w:adjustRightInd w:val="0"/>
              <w:spacing w:after="60"/>
              <w:jc w:val="right"/>
              <w:rPr>
                <w:rFonts w:cstheme="minorHAnsi"/>
                <w:color w:val="FF0000"/>
              </w:rPr>
            </w:pPr>
            <w:r>
              <w:rPr>
                <w:rFonts w:ascii="Calibri" w:hAnsi="Calibri" w:cs="Calibri"/>
                <w:color w:val="FF0000"/>
              </w:rPr>
              <w:t>(</w:t>
            </w:r>
            <w:r w:rsidRPr="00E22C97">
              <w:rPr>
                <w:rFonts w:ascii="Calibri" w:hAnsi="Calibri" w:cs="Calibri"/>
                <w:color w:val="FF0000"/>
              </w:rPr>
              <w:t>0.802</w:t>
            </w:r>
            <w:r>
              <w:rPr>
                <w:rFonts w:ascii="Calibri" w:hAnsi="Calibri" w:cs="Calibri"/>
                <w:color w:val="FF0000"/>
              </w:rPr>
              <w:t xml:space="preserve">, </w:t>
            </w:r>
            <w:r w:rsidR="00994A26">
              <w:rPr>
                <w:rFonts w:ascii="Calibri" w:hAnsi="Calibri" w:cs="Calibri"/>
                <w:color w:val="FF0000"/>
              </w:rPr>
              <w:t>0.828)</w:t>
            </w:r>
          </w:p>
        </w:tc>
      </w:tr>
      <w:tr w:rsidR="00E22C97" w:rsidRPr="00901C2B" w14:paraId="5E183EB0" w14:textId="77777777" w:rsidTr="00E22C97">
        <w:tc>
          <w:tcPr>
            <w:tcW w:w="1855" w:type="dxa"/>
            <w:tcBorders>
              <w:top w:val="single" w:sz="4" w:space="0" w:color="auto"/>
              <w:left w:val="single" w:sz="4" w:space="0" w:color="auto"/>
              <w:bottom w:val="single" w:sz="4" w:space="0" w:color="auto"/>
              <w:right w:val="single" w:sz="4" w:space="0" w:color="auto"/>
            </w:tcBorders>
          </w:tcPr>
          <w:p w14:paraId="46D74140" w14:textId="15A3CD5F" w:rsidR="00E22C97" w:rsidRPr="00901C2B" w:rsidRDefault="00E22C97" w:rsidP="00E22C97">
            <w:pPr>
              <w:autoSpaceDE w:val="0"/>
              <w:autoSpaceDN w:val="0"/>
              <w:adjustRightInd w:val="0"/>
              <w:spacing w:after="60"/>
              <w:jc w:val="right"/>
              <w:rPr>
                <w:rFonts w:cstheme="minorHAnsi"/>
                <w:color w:val="FF0000"/>
              </w:rPr>
            </w:pPr>
            <w:r w:rsidRPr="00901C2B">
              <w:rPr>
                <w:rFonts w:cstheme="minorHAnsi"/>
                <w:color w:val="FF0000"/>
              </w:rPr>
              <w:t>Tercile 2</w:t>
            </w:r>
          </w:p>
        </w:tc>
        <w:tc>
          <w:tcPr>
            <w:tcW w:w="1008" w:type="dxa"/>
            <w:tcBorders>
              <w:top w:val="single" w:sz="4" w:space="0" w:color="auto"/>
              <w:left w:val="nil"/>
              <w:bottom w:val="single" w:sz="4" w:space="0" w:color="auto"/>
              <w:right w:val="nil"/>
            </w:tcBorders>
            <w:shd w:val="clear" w:color="auto" w:fill="auto"/>
            <w:vAlign w:val="bottom"/>
          </w:tcPr>
          <w:p w14:paraId="4AEF082B" w14:textId="0B40EF57" w:rsidR="00E22C97" w:rsidRPr="008C3DF4" w:rsidRDefault="00E22C97" w:rsidP="00E22C97">
            <w:pPr>
              <w:autoSpaceDE w:val="0"/>
              <w:autoSpaceDN w:val="0"/>
              <w:adjustRightInd w:val="0"/>
              <w:spacing w:after="60"/>
              <w:jc w:val="right"/>
              <w:rPr>
                <w:rFonts w:cstheme="minorHAnsi"/>
                <w:color w:val="FF0000"/>
              </w:rPr>
            </w:pPr>
            <w:r w:rsidRPr="008C3DF4">
              <w:rPr>
                <w:rFonts w:ascii="Calibri" w:hAnsi="Calibri" w:cs="Calibri"/>
                <w:color w:val="FF0000"/>
              </w:rPr>
              <w:t>101</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bottom"/>
          </w:tcPr>
          <w:p w14:paraId="4F19443E" w14:textId="10096EAF" w:rsidR="00E22C97" w:rsidRPr="008723D5" w:rsidRDefault="00E22C97" w:rsidP="00E22C97">
            <w:pPr>
              <w:autoSpaceDE w:val="0"/>
              <w:autoSpaceDN w:val="0"/>
              <w:adjustRightInd w:val="0"/>
              <w:spacing w:after="60"/>
              <w:jc w:val="right"/>
              <w:rPr>
                <w:rFonts w:cstheme="minorHAnsi"/>
                <w:color w:val="FF0000"/>
              </w:rPr>
            </w:pPr>
            <w:r>
              <w:rPr>
                <w:rFonts w:ascii="Calibri" w:hAnsi="Calibri" w:cs="Calibri"/>
                <w:color w:val="FF0000"/>
              </w:rPr>
              <w:t>91-</w:t>
            </w:r>
            <w:r w:rsidRPr="008723D5">
              <w:rPr>
                <w:rFonts w:ascii="Calibri" w:hAnsi="Calibri" w:cs="Calibri"/>
                <w:color w:val="FF0000"/>
              </w:rPr>
              <w:t>270</w:t>
            </w:r>
          </w:p>
        </w:tc>
        <w:tc>
          <w:tcPr>
            <w:tcW w:w="1530" w:type="dxa"/>
            <w:tcBorders>
              <w:top w:val="single" w:sz="4" w:space="0" w:color="auto"/>
              <w:left w:val="nil"/>
              <w:bottom w:val="single" w:sz="4" w:space="0" w:color="auto"/>
              <w:right w:val="single" w:sz="4" w:space="0" w:color="auto"/>
            </w:tcBorders>
            <w:shd w:val="clear" w:color="auto" w:fill="auto"/>
            <w:vAlign w:val="bottom"/>
          </w:tcPr>
          <w:p w14:paraId="175BEA93" w14:textId="3AF02EEC" w:rsidR="00E22C97" w:rsidRPr="00D9799D" w:rsidRDefault="00E22C97" w:rsidP="00E22C97">
            <w:pPr>
              <w:autoSpaceDE w:val="0"/>
              <w:autoSpaceDN w:val="0"/>
              <w:adjustRightInd w:val="0"/>
              <w:spacing w:after="60"/>
              <w:jc w:val="right"/>
              <w:rPr>
                <w:rFonts w:cstheme="minorHAnsi"/>
                <w:color w:val="FF0000"/>
              </w:rPr>
            </w:pPr>
            <w:r w:rsidRPr="00D9799D">
              <w:rPr>
                <w:rFonts w:ascii="Calibri" w:hAnsi="Calibri" w:cs="Calibri"/>
                <w:color w:val="FF0000"/>
              </w:rPr>
              <w:t>0.920</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3C42BA08" w14:textId="70CFACC6" w:rsidR="00E22C97" w:rsidRPr="00F84CCD" w:rsidRDefault="00E22C97" w:rsidP="00E22C97">
            <w:pPr>
              <w:autoSpaceDE w:val="0"/>
              <w:autoSpaceDN w:val="0"/>
              <w:adjustRightInd w:val="0"/>
              <w:spacing w:after="60"/>
              <w:jc w:val="right"/>
              <w:rPr>
                <w:rFonts w:cstheme="minorHAnsi"/>
                <w:color w:val="FF0000"/>
              </w:rPr>
            </w:pPr>
            <w:r w:rsidRPr="00F84CCD">
              <w:rPr>
                <w:rFonts w:ascii="Calibri" w:hAnsi="Calibri" w:cs="Calibri"/>
                <w:color w:val="FF0000"/>
              </w:rPr>
              <w:t>0.003</w:t>
            </w:r>
          </w:p>
        </w:tc>
        <w:tc>
          <w:tcPr>
            <w:tcW w:w="1663" w:type="dxa"/>
            <w:tcBorders>
              <w:top w:val="single" w:sz="4" w:space="0" w:color="auto"/>
              <w:left w:val="single" w:sz="4" w:space="0" w:color="auto"/>
              <w:bottom w:val="single" w:sz="4" w:space="0" w:color="auto"/>
              <w:right w:val="single" w:sz="4" w:space="0" w:color="auto"/>
            </w:tcBorders>
            <w:shd w:val="clear" w:color="auto" w:fill="auto"/>
            <w:vAlign w:val="bottom"/>
          </w:tcPr>
          <w:p w14:paraId="66E79A53" w14:textId="5312A023" w:rsidR="00E22C97" w:rsidRPr="00E22C97" w:rsidRDefault="00E22C97" w:rsidP="00E22C97">
            <w:pPr>
              <w:autoSpaceDE w:val="0"/>
              <w:autoSpaceDN w:val="0"/>
              <w:adjustRightInd w:val="0"/>
              <w:spacing w:after="60"/>
              <w:jc w:val="right"/>
              <w:rPr>
                <w:rFonts w:cstheme="minorHAnsi"/>
                <w:color w:val="FF0000"/>
              </w:rPr>
            </w:pPr>
            <w:r>
              <w:rPr>
                <w:rFonts w:ascii="Calibri" w:hAnsi="Calibri" w:cs="Calibri"/>
                <w:color w:val="FF0000"/>
              </w:rPr>
              <w:t>(</w:t>
            </w:r>
            <w:r w:rsidRPr="00E22C97">
              <w:rPr>
                <w:rFonts w:ascii="Calibri" w:hAnsi="Calibri" w:cs="Calibri"/>
                <w:color w:val="FF0000"/>
              </w:rPr>
              <w:t>0.913</w:t>
            </w:r>
            <w:r>
              <w:rPr>
                <w:rFonts w:ascii="Calibri" w:hAnsi="Calibri" w:cs="Calibri"/>
                <w:color w:val="FF0000"/>
              </w:rPr>
              <w:t>,</w:t>
            </w:r>
            <w:r w:rsidR="00994A26">
              <w:rPr>
                <w:rFonts w:ascii="Calibri" w:hAnsi="Calibri" w:cs="Calibri"/>
                <w:color w:val="FF0000"/>
              </w:rPr>
              <w:t xml:space="preserve"> 0.927)</w:t>
            </w:r>
            <w:r>
              <w:rPr>
                <w:rFonts w:ascii="Calibri" w:hAnsi="Calibri" w:cs="Calibri"/>
                <w:color w:val="FF0000"/>
              </w:rPr>
              <w:t xml:space="preserve"> </w:t>
            </w:r>
          </w:p>
        </w:tc>
      </w:tr>
      <w:tr w:rsidR="00E22C97" w:rsidRPr="00901C2B" w14:paraId="0C6C7BB1" w14:textId="77777777" w:rsidTr="00E22C97">
        <w:tc>
          <w:tcPr>
            <w:tcW w:w="1855" w:type="dxa"/>
            <w:tcBorders>
              <w:top w:val="single" w:sz="4" w:space="0" w:color="auto"/>
              <w:left w:val="single" w:sz="4" w:space="0" w:color="auto"/>
              <w:bottom w:val="single" w:sz="4" w:space="0" w:color="auto"/>
              <w:right w:val="single" w:sz="4" w:space="0" w:color="auto"/>
            </w:tcBorders>
          </w:tcPr>
          <w:p w14:paraId="6B68FAAC" w14:textId="284E3440" w:rsidR="00E22C97" w:rsidRPr="00901C2B" w:rsidRDefault="00E22C97" w:rsidP="00E22C97">
            <w:pPr>
              <w:autoSpaceDE w:val="0"/>
              <w:autoSpaceDN w:val="0"/>
              <w:adjustRightInd w:val="0"/>
              <w:spacing w:after="60"/>
              <w:jc w:val="right"/>
              <w:rPr>
                <w:rFonts w:cstheme="minorHAnsi"/>
                <w:color w:val="FF0000"/>
              </w:rPr>
            </w:pPr>
            <w:r w:rsidRPr="00901C2B">
              <w:rPr>
                <w:rFonts w:cstheme="minorHAnsi"/>
                <w:color w:val="FF0000"/>
              </w:rPr>
              <w:t>Tercile 3</w:t>
            </w:r>
          </w:p>
        </w:tc>
        <w:tc>
          <w:tcPr>
            <w:tcW w:w="1008" w:type="dxa"/>
            <w:tcBorders>
              <w:top w:val="single" w:sz="4" w:space="0" w:color="auto"/>
              <w:left w:val="nil"/>
              <w:bottom w:val="single" w:sz="4" w:space="0" w:color="auto"/>
              <w:right w:val="nil"/>
            </w:tcBorders>
            <w:shd w:val="clear" w:color="auto" w:fill="auto"/>
            <w:vAlign w:val="bottom"/>
          </w:tcPr>
          <w:p w14:paraId="356596BD" w14:textId="552A93AD" w:rsidR="00E22C97" w:rsidRPr="008C3DF4" w:rsidRDefault="00E22C97" w:rsidP="00E22C97">
            <w:pPr>
              <w:autoSpaceDE w:val="0"/>
              <w:autoSpaceDN w:val="0"/>
              <w:adjustRightInd w:val="0"/>
              <w:spacing w:after="60"/>
              <w:jc w:val="right"/>
              <w:rPr>
                <w:rFonts w:cstheme="minorHAnsi"/>
                <w:color w:val="FF0000"/>
              </w:rPr>
            </w:pPr>
            <w:r w:rsidRPr="008C3DF4">
              <w:rPr>
                <w:rFonts w:ascii="Calibri" w:hAnsi="Calibri" w:cs="Calibri"/>
                <w:color w:val="FF0000"/>
              </w:rPr>
              <w:t>105</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bottom"/>
          </w:tcPr>
          <w:p w14:paraId="1554AD0D" w14:textId="54E7F076" w:rsidR="00E22C97" w:rsidRPr="008723D5" w:rsidRDefault="00E22C97" w:rsidP="00E22C97">
            <w:pPr>
              <w:autoSpaceDE w:val="0"/>
              <w:autoSpaceDN w:val="0"/>
              <w:adjustRightInd w:val="0"/>
              <w:spacing w:after="60"/>
              <w:jc w:val="right"/>
              <w:rPr>
                <w:rFonts w:cstheme="minorHAnsi"/>
                <w:color w:val="FF0000"/>
              </w:rPr>
            </w:pPr>
            <w:r>
              <w:rPr>
                <w:rFonts w:ascii="Calibri" w:hAnsi="Calibri" w:cs="Calibri"/>
                <w:color w:val="FF0000"/>
              </w:rPr>
              <w:t>273-</w:t>
            </w:r>
            <w:r w:rsidRPr="008723D5">
              <w:rPr>
                <w:rFonts w:ascii="Calibri" w:hAnsi="Calibri" w:cs="Calibri"/>
                <w:color w:val="FF0000"/>
              </w:rPr>
              <w:t>4224</w:t>
            </w:r>
          </w:p>
        </w:tc>
        <w:tc>
          <w:tcPr>
            <w:tcW w:w="1530" w:type="dxa"/>
            <w:tcBorders>
              <w:top w:val="single" w:sz="4" w:space="0" w:color="auto"/>
              <w:left w:val="nil"/>
              <w:bottom w:val="single" w:sz="4" w:space="0" w:color="auto"/>
              <w:right w:val="single" w:sz="4" w:space="0" w:color="auto"/>
            </w:tcBorders>
            <w:shd w:val="clear" w:color="auto" w:fill="auto"/>
            <w:vAlign w:val="bottom"/>
          </w:tcPr>
          <w:p w14:paraId="6C7F7DC6" w14:textId="2B44DD77" w:rsidR="00E22C97" w:rsidRPr="00D9799D" w:rsidRDefault="00E22C97" w:rsidP="00E22C97">
            <w:pPr>
              <w:autoSpaceDE w:val="0"/>
              <w:autoSpaceDN w:val="0"/>
              <w:adjustRightInd w:val="0"/>
              <w:spacing w:after="60"/>
              <w:jc w:val="right"/>
              <w:rPr>
                <w:rFonts w:cstheme="minorHAnsi"/>
                <w:color w:val="FF0000"/>
              </w:rPr>
            </w:pPr>
            <w:r w:rsidRPr="00D9799D">
              <w:rPr>
                <w:rFonts w:ascii="Calibri" w:hAnsi="Calibri" w:cs="Calibri"/>
                <w:color w:val="FF0000"/>
              </w:rPr>
              <w:t>0.973</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7208FBA7" w14:textId="6A242356" w:rsidR="00E22C97" w:rsidRPr="00F84CCD" w:rsidRDefault="00E22C97" w:rsidP="00E22C97">
            <w:pPr>
              <w:autoSpaceDE w:val="0"/>
              <w:autoSpaceDN w:val="0"/>
              <w:adjustRightInd w:val="0"/>
              <w:spacing w:after="60"/>
              <w:jc w:val="right"/>
              <w:rPr>
                <w:rFonts w:cstheme="minorHAnsi"/>
                <w:color w:val="FF0000"/>
              </w:rPr>
            </w:pPr>
            <w:r w:rsidRPr="00F84CCD">
              <w:rPr>
                <w:rFonts w:ascii="Calibri" w:hAnsi="Calibri" w:cs="Calibri"/>
                <w:color w:val="FF0000"/>
              </w:rPr>
              <w:t>0.002</w:t>
            </w:r>
          </w:p>
        </w:tc>
        <w:tc>
          <w:tcPr>
            <w:tcW w:w="1663" w:type="dxa"/>
            <w:tcBorders>
              <w:top w:val="single" w:sz="4" w:space="0" w:color="auto"/>
              <w:left w:val="single" w:sz="4" w:space="0" w:color="auto"/>
              <w:bottom w:val="single" w:sz="4" w:space="0" w:color="auto"/>
              <w:right w:val="single" w:sz="4" w:space="0" w:color="auto"/>
            </w:tcBorders>
            <w:shd w:val="clear" w:color="auto" w:fill="auto"/>
            <w:vAlign w:val="bottom"/>
          </w:tcPr>
          <w:p w14:paraId="5DAB3711" w14:textId="01F24E62" w:rsidR="00E22C97" w:rsidRPr="00E22C97" w:rsidRDefault="00E22C97" w:rsidP="00E22C97">
            <w:pPr>
              <w:autoSpaceDE w:val="0"/>
              <w:autoSpaceDN w:val="0"/>
              <w:adjustRightInd w:val="0"/>
              <w:spacing w:after="60"/>
              <w:jc w:val="right"/>
              <w:rPr>
                <w:rFonts w:cstheme="minorHAnsi"/>
                <w:color w:val="FF0000"/>
              </w:rPr>
            </w:pPr>
            <w:r>
              <w:rPr>
                <w:rFonts w:ascii="Calibri" w:hAnsi="Calibri" w:cs="Calibri"/>
                <w:color w:val="FF0000"/>
              </w:rPr>
              <w:t>(</w:t>
            </w:r>
            <w:r w:rsidRPr="00E22C97">
              <w:rPr>
                <w:rFonts w:ascii="Calibri" w:hAnsi="Calibri" w:cs="Calibri"/>
                <w:color w:val="FF0000"/>
              </w:rPr>
              <w:t>0.970</w:t>
            </w:r>
            <w:r>
              <w:rPr>
                <w:rFonts w:ascii="Calibri" w:hAnsi="Calibri" w:cs="Calibri"/>
                <w:color w:val="FF0000"/>
              </w:rPr>
              <w:t>,</w:t>
            </w:r>
            <w:r w:rsidR="00994A26">
              <w:rPr>
                <w:rFonts w:ascii="Calibri" w:hAnsi="Calibri" w:cs="Calibri"/>
                <w:color w:val="FF0000"/>
              </w:rPr>
              <w:t xml:space="preserve"> 0.976)</w:t>
            </w:r>
            <w:r>
              <w:rPr>
                <w:rFonts w:ascii="Calibri" w:hAnsi="Calibri" w:cs="Calibri"/>
                <w:color w:val="FF0000"/>
              </w:rPr>
              <w:t xml:space="preserve"> </w:t>
            </w:r>
          </w:p>
        </w:tc>
      </w:tr>
    </w:tbl>
    <w:p w14:paraId="42E097AC" w14:textId="77777777" w:rsidR="00901C2B" w:rsidRPr="00901C2B" w:rsidRDefault="00901C2B" w:rsidP="00901C2B">
      <w:pPr>
        <w:spacing w:after="0" w:line="256" w:lineRule="auto"/>
        <w:rPr>
          <w:rFonts w:cstheme="minorHAnsi"/>
          <w:color w:val="FF0000"/>
          <w:sz w:val="18"/>
          <w:szCs w:val="18"/>
        </w:rPr>
      </w:pPr>
      <w:r w:rsidRPr="00901C2B">
        <w:rPr>
          <w:rFonts w:cstheme="minorHAnsi"/>
          <w:color w:val="FF0000"/>
          <w:sz w:val="18"/>
          <w:szCs w:val="18"/>
        </w:rPr>
        <w:t>SE: Standard Error of the mean.</w:t>
      </w:r>
    </w:p>
    <w:p w14:paraId="3D2783B7" w14:textId="77777777" w:rsidR="00901C2B" w:rsidRPr="00901C2B" w:rsidRDefault="00901C2B" w:rsidP="00901C2B">
      <w:pPr>
        <w:spacing w:after="0" w:line="256" w:lineRule="auto"/>
        <w:rPr>
          <w:rFonts w:cstheme="minorHAnsi"/>
          <w:color w:val="FF0000"/>
          <w:sz w:val="18"/>
          <w:szCs w:val="18"/>
        </w:rPr>
      </w:pPr>
      <w:r w:rsidRPr="00901C2B">
        <w:rPr>
          <w:rFonts w:cstheme="minorHAnsi"/>
          <w:color w:val="FF0000"/>
          <w:sz w:val="18"/>
          <w:szCs w:val="18"/>
        </w:rPr>
        <w:t>95% CI: 95% confidence interval.</w:t>
      </w:r>
    </w:p>
    <w:p w14:paraId="5FEAD646" w14:textId="1C94E210" w:rsidR="006F156D" w:rsidRPr="00901C2B" w:rsidRDefault="0010564D" w:rsidP="006F156D">
      <w:pPr>
        <w:spacing w:before="240" w:after="0" w:line="256" w:lineRule="auto"/>
        <w:rPr>
          <w:rFonts w:cstheme="minorHAnsi"/>
          <w:color w:val="FF0000"/>
        </w:rPr>
      </w:pPr>
      <w:r>
        <w:rPr>
          <w:rFonts w:cstheme="minorHAnsi"/>
          <w:color w:val="FF0000"/>
        </w:rPr>
        <w:t>Ta</w:t>
      </w:r>
      <w:r w:rsidR="006F156D" w:rsidRPr="00901C2B">
        <w:rPr>
          <w:rFonts w:cstheme="minorHAnsi"/>
          <w:color w:val="FF0000"/>
        </w:rPr>
        <w:t>ble 2</w:t>
      </w:r>
      <w:r w:rsidR="006F156D">
        <w:rPr>
          <w:rFonts w:cstheme="minorHAnsi"/>
          <w:color w:val="FF0000"/>
        </w:rPr>
        <w:t>b</w:t>
      </w:r>
      <w:r w:rsidR="006F156D" w:rsidRPr="00901C2B">
        <w:rPr>
          <w:rFonts w:cstheme="minorHAnsi"/>
          <w:color w:val="FF0000"/>
        </w:rPr>
        <w:t xml:space="preserve">. Mean Signal-To-Noise Reliability, Standard Error (SE) and 95% Confidence Interval (95% CI) for the </w:t>
      </w:r>
      <w:r w:rsidR="006F156D" w:rsidRPr="00901C2B">
        <w:rPr>
          <w:rFonts w:ascii="Calibri" w:hAnsi="Calibri" w:cs="Calibri"/>
          <w:color w:val="FF0000"/>
        </w:rPr>
        <w:t>Follow-Up After Hospitalization For Mental Illness - (</w:t>
      </w:r>
      <w:r w:rsidR="00461ED1">
        <w:rPr>
          <w:rFonts w:ascii="Calibri" w:hAnsi="Calibri" w:cs="Calibri"/>
          <w:color w:val="FF0000"/>
        </w:rPr>
        <w:t>30</w:t>
      </w:r>
      <w:r w:rsidR="006F156D">
        <w:rPr>
          <w:rFonts w:ascii="Calibri" w:hAnsi="Calibri" w:cs="Calibri"/>
          <w:color w:val="FF0000"/>
        </w:rPr>
        <w:t>-day</w:t>
      </w:r>
      <w:r w:rsidR="006F156D" w:rsidRPr="00901C2B">
        <w:rPr>
          <w:rFonts w:ascii="Calibri" w:hAnsi="Calibri" w:cs="Calibri"/>
          <w:color w:val="FF0000"/>
        </w:rPr>
        <w:t>)</w:t>
      </w:r>
      <w:r w:rsidR="006F156D" w:rsidRPr="00901C2B">
        <w:rPr>
          <w:rFonts w:cstheme="minorHAnsi"/>
          <w:i/>
          <w:iCs/>
          <w:color w:val="FF0000"/>
        </w:rPr>
        <w:t xml:space="preserve"> </w:t>
      </w:r>
      <w:r w:rsidR="006F156D" w:rsidRPr="00901C2B">
        <w:rPr>
          <w:rFonts w:cstheme="minorHAnsi"/>
          <w:color w:val="FF0000"/>
        </w:rPr>
        <w:t xml:space="preserve">Measure by Terciles of the Denominator Size and for All Submissions Stratified by Plan Type, Calendar Year 2018 Data </w:t>
      </w:r>
    </w:p>
    <w:tbl>
      <w:tblPr>
        <w:tblStyle w:val="TableGrid"/>
        <w:tblW w:w="0" w:type="auto"/>
        <w:tblLook w:val="04A0" w:firstRow="1" w:lastRow="0" w:firstColumn="1" w:lastColumn="0" w:noHBand="0" w:noVBand="1"/>
      </w:tblPr>
      <w:tblGrid>
        <w:gridCol w:w="1855"/>
        <w:gridCol w:w="1008"/>
        <w:gridCol w:w="1863"/>
        <w:gridCol w:w="1581"/>
        <w:gridCol w:w="802"/>
        <w:gridCol w:w="1479"/>
      </w:tblGrid>
      <w:tr w:rsidR="006F156D" w:rsidRPr="00901C2B" w14:paraId="4B34E16D" w14:textId="77777777" w:rsidTr="00050392">
        <w:tc>
          <w:tcPr>
            <w:tcW w:w="1855" w:type="dxa"/>
            <w:tcBorders>
              <w:top w:val="single" w:sz="4" w:space="0" w:color="auto"/>
              <w:left w:val="single" w:sz="4" w:space="0" w:color="auto"/>
              <w:bottom w:val="single" w:sz="4" w:space="0" w:color="auto"/>
              <w:right w:val="single" w:sz="4" w:space="0" w:color="auto"/>
            </w:tcBorders>
            <w:vAlign w:val="center"/>
            <w:hideMark/>
          </w:tcPr>
          <w:p w14:paraId="4F2B2F31" w14:textId="77777777" w:rsidR="006F156D" w:rsidRPr="00901C2B" w:rsidRDefault="006F156D" w:rsidP="00050392">
            <w:pPr>
              <w:autoSpaceDE w:val="0"/>
              <w:autoSpaceDN w:val="0"/>
              <w:adjustRightInd w:val="0"/>
              <w:spacing w:after="60"/>
              <w:jc w:val="center"/>
              <w:rPr>
                <w:rFonts w:cstheme="minorHAnsi"/>
                <w:color w:val="FF0000"/>
              </w:rPr>
            </w:pPr>
            <w:r w:rsidRPr="00901C2B">
              <w:rPr>
                <w:rFonts w:cstheme="minorHAnsi"/>
                <w:color w:val="FF0000"/>
              </w:rPr>
              <w:t>Stratification</w:t>
            </w:r>
          </w:p>
        </w:tc>
        <w:tc>
          <w:tcPr>
            <w:tcW w:w="1008" w:type="dxa"/>
            <w:tcBorders>
              <w:top w:val="single" w:sz="4" w:space="0" w:color="auto"/>
              <w:left w:val="single" w:sz="4" w:space="0" w:color="auto"/>
              <w:bottom w:val="single" w:sz="4" w:space="0" w:color="auto"/>
              <w:right w:val="single" w:sz="4" w:space="0" w:color="auto"/>
            </w:tcBorders>
            <w:vAlign w:val="center"/>
            <w:hideMark/>
          </w:tcPr>
          <w:p w14:paraId="46BE5CFE" w14:textId="77777777" w:rsidR="006F156D" w:rsidRPr="00901C2B" w:rsidRDefault="006F156D" w:rsidP="00050392">
            <w:pPr>
              <w:autoSpaceDE w:val="0"/>
              <w:autoSpaceDN w:val="0"/>
              <w:adjustRightInd w:val="0"/>
              <w:spacing w:after="60"/>
              <w:jc w:val="center"/>
              <w:rPr>
                <w:rFonts w:cstheme="minorHAnsi"/>
                <w:color w:val="FF0000"/>
              </w:rPr>
            </w:pPr>
            <w:r w:rsidRPr="00901C2B">
              <w:rPr>
                <w:rFonts w:cstheme="minorHAnsi"/>
                <w:color w:val="FF0000"/>
              </w:rPr>
              <w:t>Number of Plans</w:t>
            </w:r>
          </w:p>
        </w:tc>
        <w:tc>
          <w:tcPr>
            <w:tcW w:w="1863" w:type="dxa"/>
            <w:tcBorders>
              <w:top w:val="single" w:sz="4" w:space="0" w:color="auto"/>
              <w:left w:val="single" w:sz="4" w:space="0" w:color="auto"/>
              <w:bottom w:val="single" w:sz="4" w:space="0" w:color="auto"/>
              <w:right w:val="single" w:sz="4" w:space="0" w:color="auto"/>
            </w:tcBorders>
            <w:vAlign w:val="center"/>
            <w:hideMark/>
          </w:tcPr>
          <w:p w14:paraId="10024F39" w14:textId="0679BA8F" w:rsidR="006F156D" w:rsidRPr="00901C2B" w:rsidRDefault="006F156D" w:rsidP="00050392">
            <w:pPr>
              <w:autoSpaceDE w:val="0"/>
              <w:autoSpaceDN w:val="0"/>
              <w:adjustRightInd w:val="0"/>
              <w:spacing w:after="60"/>
              <w:jc w:val="center"/>
              <w:rPr>
                <w:rFonts w:cstheme="minorHAnsi"/>
                <w:color w:val="FF0000"/>
              </w:rPr>
            </w:pPr>
            <w:r w:rsidRPr="00901C2B">
              <w:rPr>
                <w:rFonts w:cstheme="minorHAnsi"/>
                <w:color w:val="FF0000"/>
              </w:rPr>
              <w:t xml:space="preserve">Number of Eligible </w:t>
            </w:r>
            <w:r w:rsidR="0071219D">
              <w:rPr>
                <w:rFonts w:cstheme="minorHAnsi"/>
                <w:color w:val="FF0000"/>
              </w:rPr>
              <w:lastRenderedPageBreak/>
              <w:t>Discharges</w:t>
            </w:r>
            <w:r w:rsidR="0071219D" w:rsidRPr="00901C2B">
              <w:rPr>
                <w:rFonts w:cstheme="minorHAnsi"/>
                <w:color w:val="FF0000"/>
              </w:rPr>
              <w:t xml:space="preserve"> </w:t>
            </w:r>
            <w:r w:rsidRPr="00901C2B">
              <w:rPr>
                <w:rFonts w:cstheme="minorHAnsi"/>
                <w:color w:val="FF0000"/>
              </w:rPr>
              <w:t>per Plan (min - max)</w:t>
            </w:r>
          </w:p>
        </w:tc>
        <w:tc>
          <w:tcPr>
            <w:tcW w:w="1581" w:type="dxa"/>
            <w:tcBorders>
              <w:top w:val="single" w:sz="4" w:space="0" w:color="auto"/>
              <w:left w:val="single" w:sz="4" w:space="0" w:color="auto"/>
              <w:bottom w:val="single" w:sz="4" w:space="0" w:color="auto"/>
              <w:right w:val="single" w:sz="4" w:space="0" w:color="auto"/>
            </w:tcBorders>
            <w:vAlign w:val="center"/>
            <w:hideMark/>
          </w:tcPr>
          <w:p w14:paraId="43A5F41B" w14:textId="77777777" w:rsidR="006F156D" w:rsidRPr="00901C2B" w:rsidRDefault="006F156D" w:rsidP="00050392">
            <w:pPr>
              <w:autoSpaceDE w:val="0"/>
              <w:autoSpaceDN w:val="0"/>
              <w:adjustRightInd w:val="0"/>
              <w:spacing w:after="60"/>
              <w:jc w:val="center"/>
              <w:rPr>
                <w:rFonts w:cstheme="minorHAnsi"/>
                <w:color w:val="FF0000"/>
              </w:rPr>
            </w:pPr>
            <w:r w:rsidRPr="00901C2B">
              <w:rPr>
                <w:rFonts w:cstheme="minorHAnsi"/>
                <w:color w:val="FF0000"/>
              </w:rPr>
              <w:lastRenderedPageBreak/>
              <w:t>Mean Signal-To-Noise Reliability</w:t>
            </w:r>
          </w:p>
        </w:tc>
        <w:tc>
          <w:tcPr>
            <w:tcW w:w="802" w:type="dxa"/>
            <w:tcBorders>
              <w:top w:val="single" w:sz="4" w:space="0" w:color="auto"/>
              <w:left w:val="single" w:sz="4" w:space="0" w:color="auto"/>
              <w:bottom w:val="single" w:sz="4" w:space="0" w:color="auto"/>
              <w:right w:val="single" w:sz="4" w:space="0" w:color="auto"/>
            </w:tcBorders>
            <w:vAlign w:val="center"/>
            <w:hideMark/>
          </w:tcPr>
          <w:p w14:paraId="509284B4" w14:textId="77777777" w:rsidR="006F156D" w:rsidRPr="00901C2B" w:rsidRDefault="006F156D" w:rsidP="00050392">
            <w:pPr>
              <w:autoSpaceDE w:val="0"/>
              <w:autoSpaceDN w:val="0"/>
              <w:adjustRightInd w:val="0"/>
              <w:spacing w:after="60"/>
              <w:jc w:val="center"/>
              <w:rPr>
                <w:rFonts w:cstheme="minorHAnsi"/>
                <w:color w:val="FF0000"/>
              </w:rPr>
            </w:pPr>
            <w:r w:rsidRPr="00901C2B">
              <w:rPr>
                <w:rFonts w:cstheme="minorHAnsi"/>
                <w:color w:val="FF0000"/>
              </w:rPr>
              <w:t>SE</w:t>
            </w:r>
          </w:p>
        </w:tc>
        <w:tc>
          <w:tcPr>
            <w:tcW w:w="1479" w:type="dxa"/>
            <w:tcBorders>
              <w:top w:val="single" w:sz="4" w:space="0" w:color="auto"/>
              <w:left w:val="single" w:sz="4" w:space="0" w:color="auto"/>
              <w:bottom w:val="single" w:sz="4" w:space="0" w:color="auto"/>
              <w:right w:val="single" w:sz="4" w:space="0" w:color="auto"/>
            </w:tcBorders>
            <w:vAlign w:val="center"/>
            <w:hideMark/>
          </w:tcPr>
          <w:p w14:paraId="1FF9BF84" w14:textId="77777777" w:rsidR="006F156D" w:rsidRPr="00901C2B" w:rsidRDefault="006F156D" w:rsidP="00050392">
            <w:pPr>
              <w:autoSpaceDE w:val="0"/>
              <w:autoSpaceDN w:val="0"/>
              <w:adjustRightInd w:val="0"/>
              <w:spacing w:after="60"/>
              <w:jc w:val="center"/>
              <w:rPr>
                <w:rFonts w:cstheme="minorHAnsi"/>
                <w:color w:val="FF0000"/>
              </w:rPr>
            </w:pPr>
            <w:r w:rsidRPr="00901C2B">
              <w:rPr>
                <w:rFonts w:cstheme="minorHAnsi"/>
                <w:color w:val="FF0000"/>
              </w:rPr>
              <w:t>95% CI</w:t>
            </w:r>
          </w:p>
        </w:tc>
      </w:tr>
      <w:tr w:rsidR="00DE63D8" w:rsidRPr="00901C2B" w14:paraId="655D635A" w14:textId="77777777" w:rsidTr="00EA0D82">
        <w:trPr>
          <w:trHeight w:val="70"/>
        </w:trPr>
        <w:tc>
          <w:tcPr>
            <w:tcW w:w="185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6B8EE76" w14:textId="77777777" w:rsidR="00DE63D8" w:rsidRPr="00901C2B" w:rsidRDefault="00DE63D8" w:rsidP="00DE63D8">
            <w:pPr>
              <w:autoSpaceDE w:val="0"/>
              <w:autoSpaceDN w:val="0"/>
              <w:adjustRightInd w:val="0"/>
              <w:spacing w:after="60"/>
              <w:rPr>
                <w:rFonts w:cstheme="minorHAnsi"/>
                <w:b/>
                <w:bCs/>
                <w:color w:val="FF0000"/>
              </w:rPr>
            </w:pPr>
            <w:r w:rsidRPr="00901C2B">
              <w:rPr>
                <w:rFonts w:cstheme="minorHAnsi"/>
                <w:b/>
                <w:bCs/>
                <w:color w:val="FF0000"/>
              </w:rPr>
              <w:t xml:space="preserve">All Commercial </w:t>
            </w:r>
          </w:p>
        </w:tc>
        <w:tc>
          <w:tcPr>
            <w:tcW w:w="10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A0F2DE" w14:textId="29371903" w:rsidR="00DE63D8" w:rsidRPr="00901C2B" w:rsidRDefault="00DE63D8" w:rsidP="00DE63D8">
            <w:pPr>
              <w:autoSpaceDE w:val="0"/>
              <w:autoSpaceDN w:val="0"/>
              <w:adjustRightInd w:val="0"/>
              <w:spacing w:after="60"/>
              <w:jc w:val="right"/>
              <w:rPr>
                <w:rFonts w:cstheme="minorHAnsi"/>
                <w:b/>
                <w:bCs/>
                <w:color w:val="FF0000"/>
              </w:rPr>
            </w:pPr>
            <w:r>
              <w:rPr>
                <w:rFonts w:cstheme="minorHAnsi"/>
                <w:b/>
                <w:bCs/>
                <w:color w:val="FF0000"/>
              </w:rPr>
              <w:t>361</w:t>
            </w:r>
          </w:p>
        </w:tc>
        <w:tc>
          <w:tcPr>
            <w:tcW w:w="18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920BDD" w14:textId="41C74575" w:rsidR="00DE63D8" w:rsidRPr="00901C2B" w:rsidRDefault="00DE63D8" w:rsidP="00DE63D8">
            <w:pPr>
              <w:autoSpaceDE w:val="0"/>
              <w:autoSpaceDN w:val="0"/>
              <w:adjustRightInd w:val="0"/>
              <w:spacing w:after="60"/>
              <w:jc w:val="right"/>
              <w:rPr>
                <w:rFonts w:cstheme="minorHAnsi"/>
                <w:b/>
                <w:bCs/>
                <w:color w:val="FF0000"/>
              </w:rPr>
            </w:pPr>
            <w:r>
              <w:rPr>
                <w:rFonts w:cstheme="minorHAnsi"/>
                <w:b/>
                <w:bCs/>
                <w:color w:val="FF0000"/>
              </w:rPr>
              <w:t>30-7412</w:t>
            </w:r>
          </w:p>
        </w:tc>
        <w:tc>
          <w:tcPr>
            <w:tcW w:w="158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04EC24" w14:textId="19ACB89D" w:rsidR="00EE7657" w:rsidRPr="00EE7657" w:rsidRDefault="00EE7657" w:rsidP="00EE7657">
            <w:pPr>
              <w:autoSpaceDE w:val="0"/>
              <w:autoSpaceDN w:val="0"/>
              <w:adjustRightInd w:val="0"/>
              <w:spacing w:after="60"/>
              <w:jc w:val="right"/>
              <w:rPr>
                <w:rFonts w:cstheme="minorHAnsi"/>
                <w:b/>
                <w:bCs/>
                <w:color w:val="FF0000"/>
              </w:rPr>
            </w:pPr>
            <w:r w:rsidRPr="00EE7657">
              <w:rPr>
                <w:rFonts w:cstheme="minorHAnsi"/>
                <w:b/>
                <w:bCs/>
                <w:color w:val="FF0000"/>
              </w:rPr>
              <w:t>0.88</w:t>
            </w:r>
            <w:r>
              <w:rPr>
                <w:rFonts w:cstheme="minorHAnsi"/>
                <w:b/>
                <w:bCs/>
                <w:color w:val="FF0000"/>
              </w:rPr>
              <w:t>3</w:t>
            </w:r>
          </w:p>
          <w:p w14:paraId="29DDCF44" w14:textId="77777777" w:rsidR="00DE63D8" w:rsidRPr="00901C2B" w:rsidRDefault="00DE63D8" w:rsidP="00DE63D8">
            <w:pPr>
              <w:autoSpaceDE w:val="0"/>
              <w:autoSpaceDN w:val="0"/>
              <w:adjustRightInd w:val="0"/>
              <w:spacing w:after="60"/>
              <w:jc w:val="right"/>
              <w:rPr>
                <w:rFonts w:cstheme="minorHAnsi"/>
                <w:b/>
                <w:bCs/>
                <w:color w:val="FF0000"/>
              </w:rPr>
            </w:pPr>
          </w:p>
        </w:tc>
        <w:tc>
          <w:tcPr>
            <w:tcW w:w="8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D26FED" w14:textId="77777777" w:rsidR="00DE63D8" w:rsidRPr="00DE63D8" w:rsidRDefault="00DE63D8" w:rsidP="00DE63D8">
            <w:pPr>
              <w:autoSpaceDE w:val="0"/>
              <w:autoSpaceDN w:val="0"/>
              <w:adjustRightInd w:val="0"/>
              <w:spacing w:after="60"/>
              <w:jc w:val="right"/>
              <w:rPr>
                <w:rFonts w:cstheme="minorHAnsi"/>
                <w:b/>
                <w:bCs/>
                <w:color w:val="FF0000"/>
              </w:rPr>
            </w:pPr>
            <w:r w:rsidRPr="00DE63D8">
              <w:rPr>
                <w:rFonts w:cstheme="minorHAnsi"/>
                <w:b/>
                <w:bCs/>
                <w:color w:val="FF0000"/>
              </w:rPr>
              <w:t>0.006</w:t>
            </w:r>
          </w:p>
          <w:p w14:paraId="3D651D19" w14:textId="77777777" w:rsidR="00DE63D8" w:rsidRPr="00901C2B" w:rsidRDefault="00DE63D8" w:rsidP="00DE63D8">
            <w:pPr>
              <w:autoSpaceDE w:val="0"/>
              <w:autoSpaceDN w:val="0"/>
              <w:adjustRightInd w:val="0"/>
              <w:spacing w:after="60"/>
              <w:jc w:val="right"/>
              <w:rPr>
                <w:rFonts w:cstheme="minorHAnsi"/>
                <w:b/>
                <w:bCs/>
                <w:color w:val="FF0000"/>
              </w:rPr>
            </w:pPr>
          </w:p>
        </w:tc>
        <w:tc>
          <w:tcPr>
            <w:tcW w:w="14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1A272A" w14:textId="209C0FA0" w:rsidR="00DE63D8" w:rsidRPr="00901C2B" w:rsidRDefault="0069075F" w:rsidP="0069075F">
            <w:pPr>
              <w:autoSpaceDE w:val="0"/>
              <w:autoSpaceDN w:val="0"/>
              <w:adjustRightInd w:val="0"/>
              <w:spacing w:after="60"/>
              <w:jc w:val="right"/>
              <w:rPr>
                <w:rFonts w:cstheme="minorHAnsi"/>
                <w:b/>
                <w:bCs/>
                <w:color w:val="FF0000"/>
              </w:rPr>
            </w:pPr>
            <w:r>
              <w:rPr>
                <w:rFonts w:cstheme="minorHAnsi"/>
                <w:b/>
                <w:bCs/>
                <w:color w:val="FF0000"/>
              </w:rPr>
              <w:t>(</w:t>
            </w:r>
            <w:r w:rsidRPr="0069075F">
              <w:rPr>
                <w:rFonts w:cstheme="minorHAnsi"/>
                <w:b/>
                <w:bCs/>
                <w:color w:val="FF0000"/>
              </w:rPr>
              <w:t>0.872</w:t>
            </w:r>
            <w:r>
              <w:rPr>
                <w:rFonts w:cstheme="minorHAnsi"/>
                <w:b/>
                <w:bCs/>
                <w:color w:val="FF0000"/>
              </w:rPr>
              <w:t>, 0.895)</w:t>
            </w:r>
          </w:p>
        </w:tc>
      </w:tr>
      <w:tr w:rsidR="00EA0D82" w:rsidRPr="00901C2B" w14:paraId="5E8EEF90" w14:textId="77777777" w:rsidTr="00EA0D82">
        <w:tc>
          <w:tcPr>
            <w:tcW w:w="1855" w:type="dxa"/>
            <w:tcBorders>
              <w:top w:val="single" w:sz="4" w:space="0" w:color="auto"/>
              <w:left w:val="single" w:sz="4" w:space="0" w:color="auto"/>
              <w:bottom w:val="single" w:sz="4" w:space="0" w:color="auto"/>
              <w:right w:val="single" w:sz="4" w:space="0" w:color="auto"/>
            </w:tcBorders>
            <w:hideMark/>
          </w:tcPr>
          <w:p w14:paraId="4AB95F84" w14:textId="77777777" w:rsidR="00EA0D82" w:rsidRPr="00901C2B" w:rsidRDefault="00EA0D82" w:rsidP="00EA0D82">
            <w:pPr>
              <w:autoSpaceDE w:val="0"/>
              <w:autoSpaceDN w:val="0"/>
              <w:adjustRightInd w:val="0"/>
              <w:spacing w:after="60"/>
              <w:jc w:val="right"/>
              <w:rPr>
                <w:rFonts w:cstheme="minorHAnsi"/>
                <w:color w:val="FF0000"/>
              </w:rPr>
            </w:pPr>
            <w:r w:rsidRPr="00901C2B">
              <w:rPr>
                <w:rFonts w:cstheme="minorHAnsi"/>
                <w:color w:val="FF0000"/>
              </w:rPr>
              <w:t>Tercile 1</w:t>
            </w:r>
          </w:p>
        </w:tc>
        <w:tc>
          <w:tcPr>
            <w:tcW w:w="1008" w:type="dxa"/>
            <w:tcBorders>
              <w:top w:val="single" w:sz="4" w:space="0" w:color="auto"/>
              <w:left w:val="nil"/>
              <w:bottom w:val="single" w:sz="4" w:space="0" w:color="auto"/>
              <w:right w:val="nil"/>
            </w:tcBorders>
            <w:shd w:val="clear" w:color="auto" w:fill="auto"/>
            <w:vAlign w:val="bottom"/>
          </w:tcPr>
          <w:p w14:paraId="44923367" w14:textId="669474D0" w:rsidR="00EA0D82" w:rsidRPr="0030330F" w:rsidRDefault="00EA0D82" w:rsidP="00EA0D82">
            <w:pPr>
              <w:autoSpaceDE w:val="0"/>
              <w:autoSpaceDN w:val="0"/>
              <w:adjustRightInd w:val="0"/>
              <w:spacing w:after="60"/>
              <w:jc w:val="right"/>
              <w:rPr>
                <w:rFonts w:cstheme="minorHAnsi"/>
                <w:color w:val="FF0000"/>
              </w:rPr>
            </w:pPr>
            <w:r w:rsidRPr="0030330F">
              <w:rPr>
                <w:rFonts w:ascii="Calibri" w:hAnsi="Calibri" w:cs="Calibri"/>
                <w:color w:val="FF0000"/>
              </w:rPr>
              <w:t>120</w:t>
            </w:r>
          </w:p>
        </w:tc>
        <w:tc>
          <w:tcPr>
            <w:tcW w:w="1863" w:type="dxa"/>
            <w:tcBorders>
              <w:top w:val="single" w:sz="4" w:space="0" w:color="auto"/>
              <w:left w:val="single" w:sz="4" w:space="0" w:color="auto"/>
              <w:bottom w:val="single" w:sz="4" w:space="0" w:color="auto"/>
              <w:right w:val="single" w:sz="4" w:space="0" w:color="auto"/>
            </w:tcBorders>
          </w:tcPr>
          <w:p w14:paraId="37CAD833" w14:textId="2A89E196" w:rsidR="00EA0D82" w:rsidRPr="00901C2B" w:rsidRDefault="00EA0D82" w:rsidP="00EA0D82">
            <w:pPr>
              <w:autoSpaceDE w:val="0"/>
              <w:autoSpaceDN w:val="0"/>
              <w:adjustRightInd w:val="0"/>
              <w:spacing w:after="60"/>
              <w:jc w:val="right"/>
              <w:rPr>
                <w:rFonts w:cstheme="minorHAnsi"/>
                <w:color w:val="FF0000"/>
              </w:rPr>
            </w:pPr>
            <w:r>
              <w:rPr>
                <w:rFonts w:cstheme="minorHAnsi"/>
                <w:color w:val="FF0000"/>
              </w:rPr>
              <w:t>30-131</w:t>
            </w:r>
          </w:p>
        </w:tc>
        <w:tc>
          <w:tcPr>
            <w:tcW w:w="1581" w:type="dxa"/>
            <w:tcBorders>
              <w:top w:val="single" w:sz="4" w:space="0" w:color="auto"/>
              <w:left w:val="nil"/>
              <w:bottom w:val="single" w:sz="4" w:space="0" w:color="auto"/>
              <w:right w:val="single" w:sz="4" w:space="0" w:color="auto"/>
            </w:tcBorders>
            <w:shd w:val="clear" w:color="auto" w:fill="auto"/>
            <w:vAlign w:val="bottom"/>
          </w:tcPr>
          <w:p w14:paraId="7BD4F7F0" w14:textId="0BA8027C" w:rsidR="00EA0D82" w:rsidRPr="008B6E2C" w:rsidRDefault="00EA0D82" w:rsidP="00EA0D82">
            <w:pPr>
              <w:autoSpaceDE w:val="0"/>
              <w:autoSpaceDN w:val="0"/>
              <w:adjustRightInd w:val="0"/>
              <w:spacing w:after="60"/>
              <w:jc w:val="right"/>
              <w:rPr>
                <w:rFonts w:cstheme="minorHAnsi"/>
                <w:color w:val="FF0000"/>
              </w:rPr>
            </w:pPr>
            <w:r w:rsidRPr="008B6E2C">
              <w:rPr>
                <w:rFonts w:ascii="Calibri" w:hAnsi="Calibri" w:cs="Calibri"/>
                <w:color w:val="FF0000"/>
              </w:rPr>
              <w:t>0.807</w:t>
            </w:r>
          </w:p>
        </w:tc>
        <w:tc>
          <w:tcPr>
            <w:tcW w:w="802" w:type="dxa"/>
            <w:tcBorders>
              <w:top w:val="single" w:sz="4" w:space="0" w:color="auto"/>
              <w:left w:val="single" w:sz="4" w:space="0" w:color="auto"/>
              <w:bottom w:val="single" w:sz="4" w:space="0" w:color="auto"/>
              <w:right w:val="single" w:sz="4" w:space="0" w:color="auto"/>
            </w:tcBorders>
            <w:shd w:val="clear" w:color="auto" w:fill="auto"/>
            <w:vAlign w:val="bottom"/>
          </w:tcPr>
          <w:p w14:paraId="3438A31B" w14:textId="073D898B" w:rsidR="00EA0D82" w:rsidRPr="008B6E2C" w:rsidRDefault="00EA0D82" w:rsidP="00EA0D82">
            <w:pPr>
              <w:autoSpaceDE w:val="0"/>
              <w:autoSpaceDN w:val="0"/>
              <w:adjustRightInd w:val="0"/>
              <w:spacing w:after="60"/>
              <w:jc w:val="right"/>
              <w:rPr>
                <w:rFonts w:cstheme="minorHAnsi"/>
                <w:color w:val="FF0000"/>
              </w:rPr>
            </w:pPr>
            <w:r w:rsidRPr="008B6E2C">
              <w:rPr>
                <w:rFonts w:ascii="Calibri" w:hAnsi="Calibri" w:cs="Calibri"/>
                <w:color w:val="FF0000"/>
              </w:rPr>
              <w:t>0.007</w:t>
            </w:r>
          </w:p>
        </w:tc>
        <w:tc>
          <w:tcPr>
            <w:tcW w:w="1479" w:type="dxa"/>
            <w:tcBorders>
              <w:top w:val="single" w:sz="4" w:space="0" w:color="auto"/>
              <w:left w:val="single" w:sz="4" w:space="0" w:color="auto"/>
              <w:bottom w:val="single" w:sz="4" w:space="0" w:color="auto"/>
              <w:right w:val="single" w:sz="4" w:space="0" w:color="auto"/>
            </w:tcBorders>
            <w:shd w:val="clear" w:color="auto" w:fill="auto"/>
            <w:vAlign w:val="bottom"/>
          </w:tcPr>
          <w:p w14:paraId="71CB7510" w14:textId="554FCD43" w:rsidR="000918FF" w:rsidRPr="000918FF" w:rsidRDefault="00EA0D82" w:rsidP="000918FF">
            <w:pPr>
              <w:autoSpaceDE w:val="0"/>
              <w:autoSpaceDN w:val="0"/>
              <w:adjustRightInd w:val="0"/>
              <w:spacing w:after="60"/>
              <w:jc w:val="right"/>
              <w:rPr>
                <w:rFonts w:ascii="Calibri" w:hAnsi="Calibri" w:cs="Calibri"/>
                <w:color w:val="FF0000"/>
              </w:rPr>
            </w:pPr>
            <w:r>
              <w:rPr>
                <w:rFonts w:ascii="Calibri" w:hAnsi="Calibri" w:cs="Calibri"/>
                <w:color w:val="FF0000"/>
              </w:rPr>
              <w:t>(</w:t>
            </w:r>
            <w:r w:rsidRPr="00EA0D82">
              <w:rPr>
                <w:rFonts w:ascii="Calibri" w:hAnsi="Calibri" w:cs="Calibri"/>
                <w:color w:val="FF0000"/>
              </w:rPr>
              <w:t>0.794</w:t>
            </w:r>
            <w:r w:rsidR="00843728">
              <w:rPr>
                <w:rFonts w:ascii="Calibri" w:hAnsi="Calibri" w:cs="Calibri"/>
                <w:color w:val="FF0000"/>
              </w:rPr>
              <w:t>,</w:t>
            </w:r>
            <w:r w:rsidR="000918FF">
              <w:rPr>
                <w:rFonts w:ascii="Calibri" w:hAnsi="Calibri" w:cs="Calibri"/>
                <w:color w:val="FF0000"/>
              </w:rPr>
              <w:t xml:space="preserve"> </w:t>
            </w:r>
            <w:r w:rsidR="000918FF" w:rsidRPr="000918FF">
              <w:rPr>
                <w:rFonts w:ascii="Calibri" w:hAnsi="Calibri" w:cs="Calibri"/>
                <w:color w:val="FF0000"/>
              </w:rPr>
              <w:t>0.821</w:t>
            </w:r>
            <w:r w:rsidR="000918FF">
              <w:rPr>
                <w:rFonts w:ascii="Calibri" w:hAnsi="Calibri" w:cs="Calibri"/>
                <w:color w:val="FF0000"/>
              </w:rPr>
              <w:t>)</w:t>
            </w:r>
          </w:p>
          <w:p w14:paraId="7BD61274" w14:textId="3AD21E95" w:rsidR="00EA0D82" w:rsidRPr="00EA0D82" w:rsidRDefault="000918FF" w:rsidP="00EA0D82">
            <w:pPr>
              <w:autoSpaceDE w:val="0"/>
              <w:autoSpaceDN w:val="0"/>
              <w:adjustRightInd w:val="0"/>
              <w:spacing w:after="60"/>
              <w:jc w:val="right"/>
              <w:rPr>
                <w:rFonts w:cstheme="minorHAnsi"/>
                <w:color w:val="FF0000"/>
              </w:rPr>
            </w:pPr>
            <w:r>
              <w:rPr>
                <w:rFonts w:ascii="Calibri" w:hAnsi="Calibri" w:cs="Calibri"/>
                <w:color w:val="FF0000"/>
              </w:rPr>
              <w:t xml:space="preserve"> </w:t>
            </w:r>
          </w:p>
        </w:tc>
      </w:tr>
      <w:tr w:rsidR="00EA0D82" w:rsidRPr="00901C2B" w14:paraId="0C672480" w14:textId="77777777" w:rsidTr="00EA0D82">
        <w:tc>
          <w:tcPr>
            <w:tcW w:w="1855" w:type="dxa"/>
            <w:tcBorders>
              <w:top w:val="single" w:sz="4" w:space="0" w:color="auto"/>
              <w:left w:val="single" w:sz="4" w:space="0" w:color="auto"/>
              <w:bottom w:val="single" w:sz="4" w:space="0" w:color="auto"/>
              <w:right w:val="single" w:sz="4" w:space="0" w:color="auto"/>
            </w:tcBorders>
            <w:hideMark/>
          </w:tcPr>
          <w:p w14:paraId="2C89583B" w14:textId="77777777" w:rsidR="00EA0D82" w:rsidRPr="00901C2B" w:rsidRDefault="00EA0D82" w:rsidP="00EA0D82">
            <w:pPr>
              <w:autoSpaceDE w:val="0"/>
              <w:autoSpaceDN w:val="0"/>
              <w:adjustRightInd w:val="0"/>
              <w:spacing w:after="60"/>
              <w:jc w:val="right"/>
              <w:rPr>
                <w:rFonts w:cstheme="minorHAnsi"/>
                <w:color w:val="FF0000"/>
              </w:rPr>
            </w:pPr>
            <w:r w:rsidRPr="00901C2B">
              <w:rPr>
                <w:rFonts w:cstheme="minorHAnsi"/>
                <w:color w:val="FF0000"/>
              </w:rPr>
              <w:t>Tercile 2</w:t>
            </w:r>
          </w:p>
        </w:tc>
        <w:tc>
          <w:tcPr>
            <w:tcW w:w="1008" w:type="dxa"/>
            <w:tcBorders>
              <w:top w:val="single" w:sz="4" w:space="0" w:color="auto"/>
              <w:left w:val="nil"/>
              <w:bottom w:val="single" w:sz="4" w:space="0" w:color="auto"/>
              <w:right w:val="nil"/>
            </w:tcBorders>
            <w:shd w:val="clear" w:color="auto" w:fill="auto"/>
            <w:vAlign w:val="bottom"/>
          </w:tcPr>
          <w:p w14:paraId="2C0A9F02" w14:textId="68524FD6" w:rsidR="00EA0D82" w:rsidRPr="0030330F" w:rsidRDefault="00EA0D82" w:rsidP="00EA0D82">
            <w:pPr>
              <w:autoSpaceDE w:val="0"/>
              <w:autoSpaceDN w:val="0"/>
              <w:adjustRightInd w:val="0"/>
              <w:spacing w:after="60"/>
              <w:jc w:val="right"/>
              <w:rPr>
                <w:rFonts w:cstheme="minorHAnsi"/>
                <w:color w:val="FF0000"/>
              </w:rPr>
            </w:pPr>
            <w:r w:rsidRPr="0030330F">
              <w:rPr>
                <w:rFonts w:ascii="Calibri" w:hAnsi="Calibri" w:cs="Calibri"/>
                <w:color w:val="FF0000"/>
              </w:rPr>
              <w:t>116</w:t>
            </w:r>
          </w:p>
        </w:tc>
        <w:tc>
          <w:tcPr>
            <w:tcW w:w="1863" w:type="dxa"/>
            <w:tcBorders>
              <w:top w:val="single" w:sz="4" w:space="0" w:color="auto"/>
              <w:left w:val="single" w:sz="4" w:space="0" w:color="auto"/>
              <w:bottom w:val="single" w:sz="4" w:space="0" w:color="auto"/>
              <w:right w:val="single" w:sz="4" w:space="0" w:color="auto"/>
            </w:tcBorders>
          </w:tcPr>
          <w:p w14:paraId="2E82E5D2" w14:textId="1774FDA8" w:rsidR="00EA0D82" w:rsidRPr="00901C2B" w:rsidRDefault="00EA0D82" w:rsidP="00EA0D82">
            <w:pPr>
              <w:autoSpaceDE w:val="0"/>
              <w:autoSpaceDN w:val="0"/>
              <w:adjustRightInd w:val="0"/>
              <w:spacing w:after="60"/>
              <w:jc w:val="right"/>
              <w:rPr>
                <w:rFonts w:cstheme="minorHAnsi"/>
                <w:color w:val="FF0000"/>
              </w:rPr>
            </w:pPr>
            <w:r>
              <w:rPr>
                <w:rFonts w:cstheme="minorHAnsi"/>
                <w:color w:val="FF0000"/>
              </w:rPr>
              <w:t>132-470</w:t>
            </w:r>
          </w:p>
        </w:tc>
        <w:tc>
          <w:tcPr>
            <w:tcW w:w="1581" w:type="dxa"/>
            <w:tcBorders>
              <w:top w:val="single" w:sz="4" w:space="0" w:color="auto"/>
              <w:left w:val="nil"/>
              <w:bottom w:val="single" w:sz="4" w:space="0" w:color="auto"/>
              <w:right w:val="single" w:sz="4" w:space="0" w:color="auto"/>
            </w:tcBorders>
            <w:shd w:val="clear" w:color="auto" w:fill="auto"/>
            <w:vAlign w:val="bottom"/>
          </w:tcPr>
          <w:p w14:paraId="6EB777D0" w14:textId="4773F8DB" w:rsidR="00EA0D82" w:rsidRPr="008B6E2C" w:rsidRDefault="00EA0D82" w:rsidP="00EA0D82">
            <w:pPr>
              <w:autoSpaceDE w:val="0"/>
              <w:autoSpaceDN w:val="0"/>
              <w:adjustRightInd w:val="0"/>
              <w:spacing w:after="60"/>
              <w:jc w:val="right"/>
              <w:rPr>
                <w:rFonts w:cstheme="minorHAnsi"/>
                <w:color w:val="FF0000"/>
              </w:rPr>
            </w:pPr>
            <w:r w:rsidRPr="008B6E2C">
              <w:rPr>
                <w:rFonts w:ascii="Calibri" w:hAnsi="Calibri" w:cs="Calibri"/>
                <w:color w:val="FF0000"/>
              </w:rPr>
              <w:t>0.921</w:t>
            </w:r>
          </w:p>
        </w:tc>
        <w:tc>
          <w:tcPr>
            <w:tcW w:w="802" w:type="dxa"/>
            <w:tcBorders>
              <w:top w:val="single" w:sz="4" w:space="0" w:color="auto"/>
              <w:left w:val="single" w:sz="4" w:space="0" w:color="auto"/>
              <w:bottom w:val="single" w:sz="4" w:space="0" w:color="auto"/>
              <w:right w:val="single" w:sz="4" w:space="0" w:color="auto"/>
            </w:tcBorders>
            <w:shd w:val="clear" w:color="auto" w:fill="auto"/>
            <w:vAlign w:val="bottom"/>
          </w:tcPr>
          <w:p w14:paraId="0F7C4E31" w14:textId="5ED252BD" w:rsidR="00EA0D82" w:rsidRPr="008B6E2C" w:rsidRDefault="00EA0D82" w:rsidP="00EA0D82">
            <w:pPr>
              <w:autoSpaceDE w:val="0"/>
              <w:autoSpaceDN w:val="0"/>
              <w:adjustRightInd w:val="0"/>
              <w:spacing w:after="60"/>
              <w:jc w:val="right"/>
              <w:rPr>
                <w:rFonts w:cstheme="minorHAnsi"/>
                <w:color w:val="FF0000"/>
              </w:rPr>
            </w:pPr>
            <w:r w:rsidRPr="008B6E2C">
              <w:rPr>
                <w:rFonts w:ascii="Calibri" w:hAnsi="Calibri" w:cs="Calibri"/>
                <w:color w:val="FF0000"/>
              </w:rPr>
              <w:t>0.002</w:t>
            </w:r>
          </w:p>
        </w:tc>
        <w:tc>
          <w:tcPr>
            <w:tcW w:w="1479" w:type="dxa"/>
            <w:tcBorders>
              <w:top w:val="single" w:sz="4" w:space="0" w:color="auto"/>
              <w:left w:val="single" w:sz="4" w:space="0" w:color="auto"/>
              <w:bottom w:val="single" w:sz="4" w:space="0" w:color="auto"/>
              <w:right w:val="single" w:sz="4" w:space="0" w:color="auto"/>
            </w:tcBorders>
            <w:shd w:val="clear" w:color="auto" w:fill="auto"/>
            <w:vAlign w:val="bottom"/>
          </w:tcPr>
          <w:p w14:paraId="2ED0695F" w14:textId="1EAB18A6" w:rsidR="00EA0D82" w:rsidRPr="00EA0D82" w:rsidRDefault="00EA0D82" w:rsidP="00EA0D82">
            <w:pPr>
              <w:autoSpaceDE w:val="0"/>
              <w:autoSpaceDN w:val="0"/>
              <w:adjustRightInd w:val="0"/>
              <w:spacing w:after="60"/>
              <w:jc w:val="right"/>
              <w:rPr>
                <w:rFonts w:cstheme="minorHAnsi"/>
                <w:color w:val="FF0000"/>
              </w:rPr>
            </w:pPr>
            <w:r>
              <w:rPr>
                <w:rFonts w:ascii="Calibri" w:hAnsi="Calibri" w:cs="Calibri"/>
                <w:color w:val="FF0000"/>
              </w:rPr>
              <w:t>(</w:t>
            </w:r>
            <w:r w:rsidRPr="00EA0D82">
              <w:rPr>
                <w:rFonts w:ascii="Calibri" w:hAnsi="Calibri" w:cs="Calibri"/>
                <w:color w:val="FF0000"/>
              </w:rPr>
              <w:t>0.916</w:t>
            </w:r>
            <w:r w:rsidR="00843728">
              <w:rPr>
                <w:rFonts w:ascii="Calibri" w:hAnsi="Calibri" w:cs="Calibri"/>
                <w:color w:val="FF0000"/>
              </w:rPr>
              <w:t>,</w:t>
            </w:r>
            <w:r w:rsidR="000918FF">
              <w:rPr>
                <w:rFonts w:ascii="Calibri" w:hAnsi="Calibri" w:cs="Calibri"/>
                <w:color w:val="FF0000"/>
              </w:rPr>
              <w:t xml:space="preserve"> 0.926)</w:t>
            </w:r>
          </w:p>
        </w:tc>
      </w:tr>
      <w:tr w:rsidR="00EA0D82" w:rsidRPr="00901C2B" w14:paraId="54A16635" w14:textId="77777777" w:rsidTr="00EA0D82">
        <w:tc>
          <w:tcPr>
            <w:tcW w:w="1855" w:type="dxa"/>
            <w:tcBorders>
              <w:top w:val="single" w:sz="4" w:space="0" w:color="auto"/>
              <w:left w:val="single" w:sz="4" w:space="0" w:color="auto"/>
              <w:bottom w:val="single" w:sz="4" w:space="0" w:color="auto"/>
              <w:right w:val="single" w:sz="4" w:space="0" w:color="auto"/>
            </w:tcBorders>
            <w:hideMark/>
          </w:tcPr>
          <w:p w14:paraId="6BF004CF" w14:textId="77777777" w:rsidR="00EA0D82" w:rsidRPr="00901C2B" w:rsidRDefault="00EA0D82" w:rsidP="00EA0D82">
            <w:pPr>
              <w:autoSpaceDE w:val="0"/>
              <w:autoSpaceDN w:val="0"/>
              <w:adjustRightInd w:val="0"/>
              <w:spacing w:after="60"/>
              <w:jc w:val="right"/>
              <w:rPr>
                <w:rFonts w:cstheme="minorHAnsi"/>
                <w:color w:val="FF0000"/>
              </w:rPr>
            </w:pPr>
            <w:r w:rsidRPr="00901C2B">
              <w:rPr>
                <w:rFonts w:cstheme="minorHAnsi"/>
                <w:color w:val="FF0000"/>
              </w:rPr>
              <w:t>Tercile 3</w:t>
            </w:r>
          </w:p>
        </w:tc>
        <w:tc>
          <w:tcPr>
            <w:tcW w:w="1008" w:type="dxa"/>
            <w:tcBorders>
              <w:top w:val="single" w:sz="4" w:space="0" w:color="auto"/>
              <w:left w:val="nil"/>
              <w:bottom w:val="single" w:sz="4" w:space="0" w:color="auto"/>
              <w:right w:val="nil"/>
            </w:tcBorders>
            <w:shd w:val="clear" w:color="auto" w:fill="auto"/>
            <w:vAlign w:val="bottom"/>
          </w:tcPr>
          <w:p w14:paraId="71F56FE2" w14:textId="38CDC3BF" w:rsidR="00EA0D82" w:rsidRPr="0030330F" w:rsidRDefault="00EA0D82" w:rsidP="00EA0D82">
            <w:pPr>
              <w:autoSpaceDE w:val="0"/>
              <w:autoSpaceDN w:val="0"/>
              <w:adjustRightInd w:val="0"/>
              <w:spacing w:after="60"/>
              <w:jc w:val="right"/>
              <w:rPr>
                <w:rFonts w:cstheme="minorHAnsi"/>
                <w:color w:val="FF0000"/>
              </w:rPr>
            </w:pPr>
            <w:r w:rsidRPr="0030330F">
              <w:rPr>
                <w:rFonts w:ascii="Calibri" w:hAnsi="Calibri" w:cs="Calibri"/>
                <w:color w:val="FF0000"/>
              </w:rPr>
              <w:t>122</w:t>
            </w:r>
          </w:p>
        </w:tc>
        <w:tc>
          <w:tcPr>
            <w:tcW w:w="1863" w:type="dxa"/>
            <w:tcBorders>
              <w:top w:val="single" w:sz="4" w:space="0" w:color="auto"/>
              <w:left w:val="single" w:sz="4" w:space="0" w:color="auto"/>
              <w:bottom w:val="single" w:sz="4" w:space="0" w:color="auto"/>
              <w:right w:val="single" w:sz="4" w:space="0" w:color="auto"/>
            </w:tcBorders>
          </w:tcPr>
          <w:p w14:paraId="6FD22683" w14:textId="4568B6A9" w:rsidR="00EA0D82" w:rsidRPr="00901C2B" w:rsidRDefault="00843728" w:rsidP="00EA0D82">
            <w:pPr>
              <w:autoSpaceDE w:val="0"/>
              <w:autoSpaceDN w:val="0"/>
              <w:adjustRightInd w:val="0"/>
              <w:spacing w:after="60"/>
              <w:jc w:val="right"/>
              <w:rPr>
                <w:rFonts w:cstheme="minorHAnsi"/>
                <w:color w:val="FF0000"/>
              </w:rPr>
            </w:pPr>
            <w:r>
              <w:rPr>
                <w:rFonts w:cstheme="minorHAnsi"/>
                <w:color w:val="FF0000"/>
              </w:rPr>
              <w:t>471-7412</w:t>
            </w:r>
          </w:p>
        </w:tc>
        <w:tc>
          <w:tcPr>
            <w:tcW w:w="1581" w:type="dxa"/>
            <w:tcBorders>
              <w:top w:val="single" w:sz="4" w:space="0" w:color="auto"/>
              <w:left w:val="nil"/>
              <w:bottom w:val="single" w:sz="4" w:space="0" w:color="auto"/>
              <w:right w:val="single" w:sz="4" w:space="0" w:color="auto"/>
            </w:tcBorders>
            <w:shd w:val="clear" w:color="auto" w:fill="auto"/>
            <w:vAlign w:val="bottom"/>
          </w:tcPr>
          <w:p w14:paraId="6C1C61B4" w14:textId="471ED109" w:rsidR="00EA0D82" w:rsidRPr="008B6E2C" w:rsidRDefault="00EA0D82" w:rsidP="00EA0D82">
            <w:pPr>
              <w:autoSpaceDE w:val="0"/>
              <w:autoSpaceDN w:val="0"/>
              <w:adjustRightInd w:val="0"/>
              <w:spacing w:after="60"/>
              <w:jc w:val="right"/>
              <w:rPr>
                <w:rFonts w:cstheme="minorHAnsi"/>
                <w:color w:val="FF0000"/>
              </w:rPr>
            </w:pPr>
            <w:r w:rsidRPr="008B6E2C">
              <w:rPr>
                <w:rFonts w:ascii="Calibri" w:hAnsi="Calibri" w:cs="Calibri"/>
                <w:color w:val="FF0000"/>
              </w:rPr>
              <w:t>0.971</w:t>
            </w:r>
          </w:p>
        </w:tc>
        <w:tc>
          <w:tcPr>
            <w:tcW w:w="802" w:type="dxa"/>
            <w:tcBorders>
              <w:top w:val="single" w:sz="4" w:space="0" w:color="auto"/>
              <w:left w:val="single" w:sz="4" w:space="0" w:color="auto"/>
              <w:bottom w:val="single" w:sz="4" w:space="0" w:color="auto"/>
              <w:right w:val="single" w:sz="4" w:space="0" w:color="auto"/>
            </w:tcBorders>
            <w:shd w:val="clear" w:color="auto" w:fill="auto"/>
            <w:vAlign w:val="bottom"/>
          </w:tcPr>
          <w:p w14:paraId="17DD28CF" w14:textId="45BD142C" w:rsidR="00EA0D82" w:rsidRPr="008B6E2C" w:rsidRDefault="00EA0D82" w:rsidP="00EA0D82">
            <w:pPr>
              <w:autoSpaceDE w:val="0"/>
              <w:autoSpaceDN w:val="0"/>
              <w:adjustRightInd w:val="0"/>
              <w:spacing w:after="60"/>
              <w:jc w:val="right"/>
              <w:rPr>
                <w:rFonts w:cstheme="minorHAnsi"/>
                <w:color w:val="FF0000"/>
              </w:rPr>
            </w:pPr>
            <w:r w:rsidRPr="008B6E2C">
              <w:rPr>
                <w:rFonts w:ascii="Calibri" w:hAnsi="Calibri" w:cs="Calibri"/>
                <w:color w:val="FF0000"/>
              </w:rPr>
              <w:t>0.001</w:t>
            </w:r>
          </w:p>
        </w:tc>
        <w:tc>
          <w:tcPr>
            <w:tcW w:w="1479" w:type="dxa"/>
            <w:tcBorders>
              <w:top w:val="single" w:sz="4" w:space="0" w:color="auto"/>
              <w:left w:val="single" w:sz="4" w:space="0" w:color="auto"/>
              <w:bottom w:val="single" w:sz="4" w:space="0" w:color="auto"/>
              <w:right w:val="single" w:sz="4" w:space="0" w:color="auto"/>
            </w:tcBorders>
            <w:shd w:val="clear" w:color="auto" w:fill="auto"/>
            <w:vAlign w:val="bottom"/>
          </w:tcPr>
          <w:p w14:paraId="1A734EC4" w14:textId="2612C03B" w:rsidR="00EA0D82" w:rsidRPr="00EA0D82" w:rsidRDefault="00EA0D82" w:rsidP="00EA0D82">
            <w:pPr>
              <w:autoSpaceDE w:val="0"/>
              <w:autoSpaceDN w:val="0"/>
              <w:adjustRightInd w:val="0"/>
              <w:spacing w:after="60"/>
              <w:jc w:val="right"/>
              <w:rPr>
                <w:rFonts w:cstheme="minorHAnsi"/>
                <w:color w:val="FF0000"/>
              </w:rPr>
            </w:pPr>
            <w:r>
              <w:rPr>
                <w:rFonts w:ascii="Calibri" w:hAnsi="Calibri" w:cs="Calibri"/>
                <w:color w:val="FF0000"/>
              </w:rPr>
              <w:t>(</w:t>
            </w:r>
            <w:r w:rsidRPr="00EA0D82">
              <w:rPr>
                <w:rFonts w:ascii="Calibri" w:hAnsi="Calibri" w:cs="Calibri"/>
                <w:color w:val="FF0000"/>
              </w:rPr>
              <w:t>0.969</w:t>
            </w:r>
            <w:r w:rsidR="00843728">
              <w:rPr>
                <w:rFonts w:ascii="Calibri" w:hAnsi="Calibri" w:cs="Calibri"/>
                <w:color w:val="FF0000"/>
              </w:rPr>
              <w:t>,</w:t>
            </w:r>
            <w:r w:rsidR="000918FF">
              <w:rPr>
                <w:rFonts w:ascii="Calibri" w:hAnsi="Calibri" w:cs="Calibri"/>
                <w:color w:val="FF0000"/>
              </w:rPr>
              <w:t xml:space="preserve"> 0.974)</w:t>
            </w:r>
          </w:p>
        </w:tc>
      </w:tr>
      <w:tr w:rsidR="00DE63D8" w:rsidRPr="00901C2B" w14:paraId="22762B38" w14:textId="77777777" w:rsidTr="00CA70A5">
        <w:tc>
          <w:tcPr>
            <w:tcW w:w="185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EDAD126" w14:textId="77777777" w:rsidR="00DE63D8" w:rsidRPr="00901C2B" w:rsidRDefault="00DE63D8" w:rsidP="00DE63D8">
            <w:pPr>
              <w:autoSpaceDE w:val="0"/>
              <w:autoSpaceDN w:val="0"/>
              <w:adjustRightInd w:val="0"/>
              <w:spacing w:after="60"/>
              <w:rPr>
                <w:rFonts w:cstheme="minorHAnsi"/>
                <w:b/>
                <w:bCs/>
                <w:color w:val="FF0000"/>
              </w:rPr>
            </w:pPr>
            <w:r w:rsidRPr="00901C2B">
              <w:rPr>
                <w:rFonts w:cstheme="minorHAnsi"/>
                <w:b/>
                <w:bCs/>
                <w:color w:val="FF0000"/>
              </w:rPr>
              <w:t>All Medicaid</w:t>
            </w:r>
          </w:p>
        </w:tc>
        <w:tc>
          <w:tcPr>
            <w:tcW w:w="10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968D1A" w14:textId="35CF5A1E" w:rsidR="00DE63D8" w:rsidRPr="00901C2B" w:rsidRDefault="00494951" w:rsidP="00DE63D8">
            <w:pPr>
              <w:autoSpaceDE w:val="0"/>
              <w:autoSpaceDN w:val="0"/>
              <w:adjustRightInd w:val="0"/>
              <w:spacing w:after="60"/>
              <w:jc w:val="right"/>
              <w:rPr>
                <w:rFonts w:cstheme="minorHAnsi"/>
                <w:b/>
                <w:bCs/>
                <w:color w:val="FF0000"/>
              </w:rPr>
            </w:pPr>
            <w:r>
              <w:rPr>
                <w:rFonts w:cstheme="minorHAnsi"/>
                <w:b/>
                <w:bCs/>
                <w:color w:val="FF0000"/>
              </w:rPr>
              <w:t>174</w:t>
            </w:r>
          </w:p>
        </w:tc>
        <w:tc>
          <w:tcPr>
            <w:tcW w:w="18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AFE04F" w14:textId="7E66E21D" w:rsidR="00DE63D8" w:rsidRPr="00901C2B" w:rsidRDefault="0097781D" w:rsidP="00DE63D8">
            <w:pPr>
              <w:autoSpaceDE w:val="0"/>
              <w:autoSpaceDN w:val="0"/>
              <w:adjustRightInd w:val="0"/>
              <w:spacing w:after="60"/>
              <w:jc w:val="right"/>
              <w:rPr>
                <w:rFonts w:cstheme="minorHAnsi"/>
                <w:b/>
                <w:bCs/>
                <w:color w:val="FF0000"/>
              </w:rPr>
            </w:pPr>
            <w:r>
              <w:rPr>
                <w:rFonts w:cstheme="minorHAnsi"/>
                <w:b/>
                <w:bCs/>
                <w:color w:val="FF0000"/>
              </w:rPr>
              <w:t>38-</w:t>
            </w:r>
            <w:r w:rsidRPr="0097781D">
              <w:rPr>
                <w:rFonts w:cstheme="minorHAnsi"/>
                <w:b/>
                <w:bCs/>
                <w:color w:val="FF0000"/>
              </w:rPr>
              <w:t>17406</w:t>
            </w:r>
          </w:p>
        </w:tc>
        <w:tc>
          <w:tcPr>
            <w:tcW w:w="158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FC2A55" w14:textId="25575520" w:rsidR="00363379" w:rsidRPr="00363379" w:rsidRDefault="00363379" w:rsidP="00363379">
            <w:pPr>
              <w:autoSpaceDE w:val="0"/>
              <w:autoSpaceDN w:val="0"/>
              <w:adjustRightInd w:val="0"/>
              <w:spacing w:after="60"/>
              <w:jc w:val="right"/>
              <w:rPr>
                <w:rFonts w:cstheme="minorHAnsi"/>
                <w:b/>
                <w:bCs/>
                <w:color w:val="FF0000"/>
              </w:rPr>
            </w:pPr>
            <w:r w:rsidRPr="00363379">
              <w:rPr>
                <w:rFonts w:cstheme="minorHAnsi"/>
                <w:b/>
                <w:bCs/>
                <w:color w:val="FF0000"/>
              </w:rPr>
              <w:t>0.96</w:t>
            </w:r>
            <w:r>
              <w:rPr>
                <w:rFonts w:cstheme="minorHAnsi"/>
                <w:b/>
                <w:bCs/>
                <w:color w:val="FF0000"/>
              </w:rPr>
              <w:t>7</w:t>
            </w:r>
          </w:p>
          <w:p w14:paraId="0B3D0394" w14:textId="77777777" w:rsidR="00DE63D8" w:rsidRPr="00901C2B" w:rsidRDefault="00DE63D8" w:rsidP="00DE63D8">
            <w:pPr>
              <w:autoSpaceDE w:val="0"/>
              <w:autoSpaceDN w:val="0"/>
              <w:adjustRightInd w:val="0"/>
              <w:spacing w:after="60"/>
              <w:jc w:val="right"/>
              <w:rPr>
                <w:rFonts w:cstheme="minorHAnsi"/>
                <w:b/>
                <w:bCs/>
                <w:color w:val="FF0000"/>
              </w:rPr>
            </w:pPr>
          </w:p>
        </w:tc>
        <w:tc>
          <w:tcPr>
            <w:tcW w:w="8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BF062E" w14:textId="07288CCC" w:rsidR="00DE63D8" w:rsidRPr="00901C2B" w:rsidRDefault="00036896" w:rsidP="00036896">
            <w:pPr>
              <w:autoSpaceDE w:val="0"/>
              <w:autoSpaceDN w:val="0"/>
              <w:adjustRightInd w:val="0"/>
              <w:spacing w:after="60"/>
              <w:jc w:val="right"/>
              <w:rPr>
                <w:rFonts w:cstheme="minorHAnsi"/>
                <w:b/>
                <w:bCs/>
                <w:color w:val="FF0000"/>
              </w:rPr>
            </w:pPr>
            <w:r w:rsidRPr="00036896">
              <w:rPr>
                <w:rFonts w:cstheme="minorHAnsi"/>
                <w:b/>
                <w:bCs/>
                <w:color w:val="FF0000"/>
              </w:rPr>
              <w:t>0.00</w:t>
            </w:r>
            <w:r>
              <w:rPr>
                <w:rFonts w:cstheme="minorHAnsi"/>
                <w:b/>
                <w:bCs/>
                <w:color w:val="FF0000"/>
              </w:rPr>
              <w:t>4</w:t>
            </w:r>
          </w:p>
        </w:tc>
        <w:tc>
          <w:tcPr>
            <w:tcW w:w="14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1A80CF" w14:textId="0D50891A" w:rsidR="0001565F" w:rsidRPr="0001565F" w:rsidRDefault="0001565F" w:rsidP="0001565F">
            <w:pPr>
              <w:autoSpaceDE w:val="0"/>
              <w:autoSpaceDN w:val="0"/>
              <w:adjustRightInd w:val="0"/>
              <w:spacing w:after="60"/>
              <w:rPr>
                <w:rFonts w:cstheme="minorHAnsi"/>
                <w:b/>
                <w:bCs/>
                <w:color w:val="FF0000"/>
              </w:rPr>
            </w:pPr>
            <w:r>
              <w:rPr>
                <w:rFonts w:cstheme="minorHAnsi"/>
                <w:b/>
                <w:bCs/>
                <w:color w:val="FF0000"/>
              </w:rPr>
              <w:t>(</w:t>
            </w:r>
            <w:r w:rsidRPr="00494951">
              <w:rPr>
                <w:rFonts w:cstheme="minorHAnsi"/>
                <w:b/>
                <w:bCs/>
                <w:color w:val="FF0000"/>
              </w:rPr>
              <w:t>0.96</w:t>
            </w:r>
            <w:r>
              <w:rPr>
                <w:rFonts w:cstheme="minorHAnsi"/>
                <w:b/>
                <w:bCs/>
                <w:color w:val="FF0000"/>
              </w:rPr>
              <w:t xml:space="preserve">0, </w:t>
            </w:r>
            <w:r w:rsidRPr="0001565F">
              <w:rPr>
                <w:rFonts w:cstheme="minorHAnsi"/>
                <w:b/>
                <w:bCs/>
                <w:color w:val="FF0000"/>
              </w:rPr>
              <w:t>0.975</w:t>
            </w:r>
            <w:r>
              <w:rPr>
                <w:rFonts w:cstheme="minorHAnsi"/>
                <w:b/>
                <w:bCs/>
                <w:color w:val="FF0000"/>
              </w:rPr>
              <w:t>)</w:t>
            </w:r>
          </w:p>
          <w:p w14:paraId="415CDC24" w14:textId="77777777" w:rsidR="00DE63D8" w:rsidRPr="00901C2B" w:rsidRDefault="00DE63D8" w:rsidP="00DE63D8">
            <w:pPr>
              <w:autoSpaceDE w:val="0"/>
              <w:autoSpaceDN w:val="0"/>
              <w:adjustRightInd w:val="0"/>
              <w:spacing w:after="60"/>
              <w:jc w:val="right"/>
              <w:rPr>
                <w:rFonts w:cstheme="minorHAnsi"/>
                <w:b/>
                <w:bCs/>
                <w:color w:val="FF0000"/>
              </w:rPr>
            </w:pPr>
          </w:p>
        </w:tc>
      </w:tr>
      <w:tr w:rsidR="00CA70A5" w:rsidRPr="00901C2B" w14:paraId="699EEB60" w14:textId="77777777" w:rsidTr="00CA70A5">
        <w:tc>
          <w:tcPr>
            <w:tcW w:w="1855" w:type="dxa"/>
            <w:tcBorders>
              <w:top w:val="single" w:sz="4" w:space="0" w:color="auto"/>
              <w:left w:val="single" w:sz="4" w:space="0" w:color="auto"/>
              <w:bottom w:val="single" w:sz="4" w:space="0" w:color="auto"/>
              <w:right w:val="single" w:sz="4" w:space="0" w:color="auto"/>
            </w:tcBorders>
            <w:hideMark/>
          </w:tcPr>
          <w:p w14:paraId="2A64CA87" w14:textId="77777777" w:rsidR="00CA70A5" w:rsidRPr="00901C2B" w:rsidRDefault="00CA70A5" w:rsidP="00CA70A5">
            <w:pPr>
              <w:autoSpaceDE w:val="0"/>
              <w:autoSpaceDN w:val="0"/>
              <w:adjustRightInd w:val="0"/>
              <w:spacing w:after="60"/>
              <w:jc w:val="right"/>
              <w:rPr>
                <w:rFonts w:cstheme="minorHAnsi"/>
                <w:color w:val="FF0000"/>
              </w:rPr>
            </w:pPr>
            <w:r w:rsidRPr="00901C2B">
              <w:rPr>
                <w:rFonts w:cstheme="minorHAnsi"/>
                <w:color w:val="FF0000"/>
              </w:rPr>
              <w:t>Tercile 1</w:t>
            </w:r>
          </w:p>
        </w:tc>
        <w:tc>
          <w:tcPr>
            <w:tcW w:w="1008" w:type="dxa"/>
            <w:tcBorders>
              <w:top w:val="single" w:sz="4" w:space="0" w:color="auto"/>
              <w:left w:val="nil"/>
              <w:bottom w:val="single" w:sz="4" w:space="0" w:color="auto"/>
              <w:right w:val="single" w:sz="4" w:space="0" w:color="auto"/>
            </w:tcBorders>
            <w:shd w:val="clear" w:color="auto" w:fill="auto"/>
            <w:vAlign w:val="bottom"/>
          </w:tcPr>
          <w:p w14:paraId="77BA65F2" w14:textId="1369DFB5" w:rsidR="00CA70A5" w:rsidRPr="00D81088" w:rsidRDefault="00CA70A5" w:rsidP="00CA70A5">
            <w:pPr>
              <w:autoSpaceDE w:val="0"/>
              <w:autoSpaceDN w:val="0"/>
              <w:adjustRightInd w:val="0"/>
              <w:spacing w:after="60"/>
              <w:jc w:val="right"/>
              <w:rPr>
                <w:rFonts w:cstheme="minorHAnsi"/>
                <w:color w:val="FF0000"/>
              </w:rPr>
            </w:pPr>
            <w:r w:rsidRPr="00D81088">
              <w:rPr>
                <w:rFonts w:ascii="Calibri" w:hAnsi="Calibri" w:cs="Calibri"/>
                <w:color w:val="FF0000"/>
              </w:rPr>
              <w:t>57</w:t>
            </w:r>
          </w:p>
        </w:tc>
        <w:tc>
          <w:tcPr>
            <w:tcW w:w="1863" w:type="dxa"/>
            <w:tcBorders>
              <w:top w:val="single" w:sz="4" w:space="0" w:color="auto"/>
              <w:left w:val="single" w:sz="4" w:space="0" w:color="auto"/>
              <w:bottom w:val="single" w:sz="4" w:space="0" w:color="auto"/>
              <w:right w:val="single" w:sz="4" w:space="0" w:color="auto"/>
            </w:tcBorders>
            <w:shd w:val="clear" w:color="auto" w:fill="auto"/>
            <w:vAlign w:val="bottom"/>
          </w:tcPr>
          <w:p w14:paraId="44E5EB00" w14:textId="3BA06EDF" w:rsidR="00CA70A5" w:rsidRPr="00D81088" w:rsidRDefault="00CA70A5" w:rsidP="00CA70A5">
            <w:pPr>
              <w:autoSpaceDE w:val="0"/>
              <w:autoSpaceDN w:val="0"/>
              <w:adjustRightInd w:val="0"/>
              <w:spacing w:after="60"/>
              <w:jc w:val="right"/>
              <w:rPr>
                <w:rFonts w:cstheme="minorHAnsi"/>
                <w:color w:val="FF0000"/>
              </w:rPr>
            </w:pPr>
            <w:r w:rsidRPr="00D81088">
              <w:rPr>
                <w:rFonts w:ascii="Calibri" w:hAnsi="Calibri" w:cs="Calibri"/>
                <w:color w:val="FF0000"/>
              </w:rPr>
              <w:t>38-</w:t>
            </w:r>
            <w:r>
              <w:rPr>
                <w:rFonts w:ascii="Calibri" w:hAnsi="Calibri" w:cs="Calibri"/>
                <w:color w:val="FF0000"/>
              </w:rPr>
              <w:t>512</w:t>
            </w:r>
          </w:p>
        </w:tc>
        <w:tc>
          <w:tcPr>
            <w:tcW w:w="1581" w:type="dxa"/>
            <w:tcBorders>
              <w:top w:val="single" w:sz="4" w:space="0" w:color="auto"/>
              <w:left w:val="single" w:sz="4" w:space="0" w:color="auto"/>
              <w:bottom w:val="single" w:sz="4" w:space="0" w:color="auto"/>
              <w:right w:val="single" w:sz="4" w:space="0" w:color="auto"/>
            </w:tcBorders>
            <w:shd w:val="clear" w:color="auto" w:fill="auto"/>
            <w:vAlign w:val="bottom"/>
          </w:tcPr>
          <w:p w14:paraId="43754308" w14:textId="3F357A20" w:rsidR="00CA70A5" w:rsidRPr="007304E5" w:rsidRDefault="00CA70A5" w:rsidP="00CA70A5">
            <w:pPr>
              <w:autoSpaceDE w:val="0"/>
              <w:autoSpaceDN w:val="0"/>
              <w:adjustRightInd w:val="0"/>
              <w:spacing w:after="60"/>
              <w:jc w:val="right"/>
              <w:rPr>
                <w:rFonts w:cstheme="minorHAnsi"/>
                <w:color w:val="FF0000"/>
              </w:rPr>
            </w:pPr>
            <w:r w:rsidRPr="007304E5">
              <w:rPr>
                <w:rFonts w:ascii="Calibri" w:hAnsi="Calibri" w:cs="Calibri"/>
                <w:color w:val="FF0000"/>
              </w:rPr>
              <w:t>0.932</w:t>
            </w:r>
          </w:p>
        </w:tc>
        <w:tc>
          <w:tcPr>
            <w:tcW w:w="802" w:type="dxa"/>
            <w:tcBorders>
              <w:top w:val="single" w:sz="4" w:space="0" w:color="auto"/>
              <w:left w:val="single" w:sz="4" w:space="0" w:color="auto"/>
              <w:bottom w:val="single" w:sz="4" w:space="0" w:color="auto"/>
              <w:right w:val="single" w:sz="4" w:space="0" w:color="auto"/>
            </w:tcBorders>
            <w:shd w:val="clear" w:color="auto" w:fill="auto"/>
            <w:vAlign w:val="bottom"/>
          </w:tcPr>
          <w:p w14:paraId="04995031" w14:textId="470D367D" w:rsidR="00CA70A5" w:rsidRPr="007304E5" w:rsidRDefault="00CA70A5" w:rsidP="00CA70A5">
            <w:pPr>
              <w:autoSpaceDE w:val="0"/>
              <w:autoSpaceDN w:val="0"/>
              <w:adjustRightInd w:val="0"/>
              <w:spacing w:after="60"/>
              <w:jc w:val="right"/>
              <w:rPr>
                <w:rFonts w:cstheme="minorHAnsi"/>
                <w:color w:val="FF0000"/>
              </w:rPr>
            </w:pPr>
            <w:r w:rsidRPr="007304E5">
              <w:rPr>
                <w:rFonts w:ascii="Calibri" w:hAnsi="Calibri" w:cs="Calibri"/>
                <w:color w:val="FF0000"/>
              </w:rPr>
              <w:t>0.007</w:t>
            </w:r>
          </w:p>
        </w:tc>
        <w:tc>
          <w:tcPr>
            <w:tcW w:w="1479" w:type="dxa"/>
            <w:tcBorders>
              <w:top w:val="single" w:sz="4" w:space="0" w:color="auto"/>
              <w:left w:val="single" w:sz="4" w:space="0" w:color="auto"/>
              <w:bottom w:val="single" w:sz="4" w:space="0" w:color="auto"/>
              <w:right w:val="single" w:sz="4" w:space="0" w:color="auto"/>
            </w:tcBorders>
            <w:shd w:val="clear" w:color="auto" w:fill="auto"/>
            <w:vAlign w:val="bottom"/>
          </w:tcPr>
          <w:p w14:paraId="08A629D1" w14:textId="163AF8FE" w:rsidR="00CA70A5" w:rsidRPr="00CA70A5" w:rsidRDefault="00CA70A5" w:rsidP="00CA70A5">
            <w:pPr>
              <w:autoSpaceDE w:val="0"/>
              <w:autoSpaceDN w:val="0"/>
              <w:adjustRightInd w:val="0"/>
              <w:spacing w:after="60"/>
              <w:jc w:val="right"/>
              <w:rPr>
                <w:rFonts w:cstheme="minorHAnsi"/>
                <w:color w:val="FF0000"/>
              </w:rPr>
            </w:pPr>
            <w:r>
              <w:rPr>
                <w:rFonts w:ascii="Calibri" w:hAnsi="Calibri" w:cs="Calibri"/>
                <w:color w:val="FF0000"/>
              </w:rPr>
              <w:t>(</w:t>
            </w:r>
            <w:r w:rsidRPr="00CA70A5">
              <w:rPr>
                <w:rFonts w:ascii="Calibri" w:hAnsi="Calibri" w:cs="Calibri"/>
                <w:color w:val="FF0000"/>
              </w:rPr>
              <w:t>0.919</w:t>
            </w:r>
            <w:r w:rsidR="0010564D">
              <w:rPr>
                <w:rFonts w:ascii="Calibri" w:hAnsi="Calibri" w:cs="Calibri"/>
                <w:color w:val="FF0000"/>
              </w:rPr>
              <w:t>,</w:t>
            </w:r>
            <w:r w:rsidR="0010564D">
              <w:t xml:space="preserve"> </w:t>
            </w:r>
            <w:r w:rsidR="0010564D" w:rsidRPr="0010564D">
              <w:rPr>
                <w:rFonts w:ascii="Calibri" w:hAnsi="Calibri" w:cs="Calibri"/>
                <w:color w:val="FF0000"/>
              </w:rPr>
              <w:t>0.945</w:t>
            </w:r>
            <w:r w:rsidR="0010564D">
              <w:rPr>
                <w:rFonts w:ascii="Calibri" w:hAnsi="Calibri" w:cs="Calibri"/>
                <w:color w:val="FF0000"/>
              </w:rPr>
              <w:t xml:space="preserve">) </w:t>
            </w:r>
          </w:p>
        </w:tc>
      </w:tr>
      <w:tr w:rsidR="00CA70A5" w:rsidRPr="00901C2B" w14:paraId="109AF902" w14:textId="77777777" w:rsidTr="00CA70A5">
        <w:tc>
          <w:tcPr>
            <w:tcW w:w="1855" w:type="dxa"/>
            <w:tcBorders>
              <w:top w:val="single" w:sz="4" w:space="0" w:color="auto"/>
              <w:left w:val="single" w:sz="4" w:space="0" w:color="auto"/>
              <w:bottom w:val="single" w:sz="4" w:space="0" w:color="auto"/>
              <w:right w:val="single" w:sz="4" w:space="0" w:color="auto"/>
            </w:tcBorders>
            <w:hideMark/>
          </w:tcPr>
          <w:p w14:paraId="10B8A169" w14:textId="77777777" w:rsidR="00CA70A5" w:rsidRPr="00901C2B" w:rsidRDefault="00CA70A5" w:rsidP="00CA70A5">
            <w:pPr>
              <w:autoSpaceDE w:val="0"/>
              <w:autoSpaceDN w:val="0"/>
              <w:adjustRightInd w:val="0"/>
              <w:spacing w:after="60"/>
              <w:jc w:val="right"/>
              <w:rPr>
                <w:rFonts w:cstheme="minorHAnsi"/>
                <w:color w:val="FF0000"/>
              </w:rPr>
            </w:pPr>
            <w:r w:rsidRPr="00901C2B">
              <w:rPr>
                <w:rFonts w:cstheme="minorHAnsi"/>
                <w:color w:val="FF0000"/>
              </w:rPr>
              <w:t>Tercile 2</w:t>
            </w:r>
          </w:p>
        </w:tc>
        <w:tc>
          <w:tcPr>
            <w:tcW w:w="1008" w:type="dxa"/>
            <w:tcBorders>
              <w:top w:val="single" w:sz="4" w:space="0" w:color="auto"/>
              <w:left w:val="nil"/>
              <w:bottom w:val="single" w:sz="4" w:space="0" w:color="auto"/>
              <w:right w:val="single" w:sz="4" w:space="0" w:color="auto"/>
            </w:tcBorders>
            <w:shd w:val="clear" w:color="auto" w:fill="auto"/>
            <w:vAlign w:val="bottom"/>
          </w:tcPr>
          <w:p w14:paraId="16150354" w14:textId="5FB7D807" w:rsidR="00CA70A5" w:rsidRPr="00D81088" w:rsidRDefault="00CA70A5" w:rsidP="00CA70A5">
            <w:pPr>
              <w:autoSpaceDE w:val="0"/>
              <w:autoSpaceDN w:val="0"/>
              <w:adjustRightInd w:val="0"/>
              <w:spacing w:after="60"/>
              <w:jc w:val="right"/>
              <w:rPr>
                <w:rFonts w:cstheme="minorHAnsi"/>
                <w:color w:val="FF0000"/>
              </w:rPr>
            </w:pPr>
            <w:r w:rsidRPr="00D81088">
              <w:rPr>
                <w:rFonts w:ascii="Calibri" w:hAnsi="Calibri" w:cs="Calibri"/>
                <w:color w:val="FF0000"/>
              </w:rPr>
              <w:t>56</w:t>
            </w:r>
          </w:p>
        </w:tc>
        <w:tc>
          <w:tcPr>
            <w:tcW w:w="1863" w:type="dxa"/>
            <w:tcBorders>
              <w:top w:val="single" w:sz="4" w:space="0" w:color="auto"/>
              <w:left w:val="single" w:sz="4" w:space="0" w:color="auto"/>
              <w:bottom w:val="single" w:sz="4" w:space="0" w:color="auto"/>
              <w:right w:val="single" w:sz="4" w:space="0" w:color="auto"/>
            </w:tcBorders>
            <w:shd w:val="clear" w:color="auto" w:fill="auto"/>
            <w:vAlign w:val="bottom"/>
          </w:tcPr>
          <w:p w14:paraId="3F2D5A40" w14:textId="4D94B784" w:rsidR="00CA70A5" w:rsidRPr="00D81088" w:rsidRDefault="00CA70A5" w:rsidP="00CA70A5">
            <w:pPr>
              <w:autoSpaceDE w:val="0"/>
              <w:autoSpaceDN w:val="0"/>
              <w:adjustRightInd w:val="0"/>
              <w:spacing w:after="60"/>
              <w:jc w:val="right"/>
              <w:rPr>
                <w:rFonts w:cstheme="minorHAnsi"/>
                <w:color w:val="FF0000"/>
              </w:rPr>
            </w:pPr>
            <w:r w:rsidRPr="00D81088">
              <w:rPr>
                <w:rFonts w:ascii="Calibri" w:hAnsi="Calibri" w:cs="Calibri"/>
                <w:color w:val="FF0000"/>
              </w:rPr>
              <w:t>5</w:t>
            </w:r>
            <w:r>
              <w:rPr>
                <w:rFonts w:ascii="Calibri" w:hAnsi="Calibri" w:cs="Calibri"/>
                <w:color w:val="FF0000"/>
              </w:rPr>
              <w:t>29</w:t>
            </w:r>
            <w:r w:rsidRPr="00D81088">
              <w:rPr>
                <w:rFonts w:ascii="Calibri" w:hAnsi="Calibri" w:cs="Calibri"/>
                <w:color w:val="FF0000"/>
              </w:rPr>
              <w:t>-2030</w:t>
            </w:r>
          </w:p>
        </w:tc>
        <w:tc>
          <w:tcPr>
            <w:tcW w:w="1581" w:type="dxa"/>
            <w:tcBorders>
              <w:top w:val="single" w:sz="4" w:space="0" w:color="auto"/>
              <w:left w:val="single" w:sz="4" w:space="0" w:color="auto"/>
              <w:bottom w:val="single" w:sz="4" w:space="0" w:color="auto"/>
              <w:right w:val="single" w:sz="4" w:space="0" w:color="auto"/>
            </w:tcBorders>
            <w:shd w:val="clear" w:color="auto" w:fill="auto"/>
            <w:vAlign w:val="bottom"/>
          </w:tcPr>
          <w:p w14:paraId="49EC0D96" w14:textId="019AF43F" w:rsidR="00CA70A5" w:rsidRPr="007304E5" w:rsidRDefault="00CA70A5" w:rsidP="00CA70A5">
            <w:pPr>
              <w:autoSpaceDE w:val="0"/>
              <w:autoSpaceDN w:val="0"/>
              <w:adjustRightInd w:val="0"/>
              <w:spacing w:after="60"/>
              <w:jc w:val="right"/>
              <w:rPr>
                <w:rFonts w:cstheme="minorHAnsi"/>
                <w:color w:val="FF0000"/>
              </w:rPr>
            </w:pPr>
            <w:r w:rsidRPr="007304E5">
              <w:rPr>
                <w:rFonts w:ascii="Calibri" w:hAnsi="Calibri" w:cs="Calibri"/>
                <w:color w:val="FF0000"/>
              </w:rPr>
              <w:t>0.988</w:t>
            </w:r>
          </w:p>
        </w:tc>
        <w:tc>
          <w:tcPr>
            <w:tcW w:w="802" w:type="dxa"/>
            <w:tcBorders>
              <w:top w:val="single" w:sz="4" w:space="0" w:color="auto"/>
              <w:left w:val="single" w:sz="4" w:space="0" w:color="auto"/>
              <w:bottom w:val="single" w:sz="4" w:space="0" w:color="auto"/>
              <w:right w:val="single" w:sz="4" w:space="0" w:color="auto"/>
            </w:tcBorders>
            <w:shd w:val="clear" w:color="auto" w:fill="auto"/>
            <w:vAlign w:val="bottom"/>
          </w:tcPr>
          <w:p w14:paraId="7FD20024" w14:textId="60F044A2" w:rsidR="00CA70A5" w:rsidRPr="007304E5" w:rsidRDefault="00CA70A5" w:rsidP="00CA70A5">
            <w:pPr>
              <w:autoSpaceDE w:val="0"/>
              <w:autoSpaceDN w:val="0"/>
              <w:adjustRightInd w:val="0"/>
              <w:spacing w:after="60"/>
              <w:jc w:val="right"/>
              <w:rPr>
                <w:rFonts w:cstheme="minorHAnsi"/>
                <w:color w:val="FF0000"/>
              </w:rPr>
            </w:pPr>
            <w:r w:rsidRPr="007304E5">
              <w:rPr>
                <w:rFonts w:ascii="Calibri" w:hAnsi="Calibri" w:cs="Calibri"/>
                <w:color w:val="FF0000"/>
              </w:rPr>
              <w:t>0.001</w:t>
            </w:r>
          </w:p>
        </w:tc>
        <w:tc>
          <w:tcPr>
            <w:tcW w:w="1479" w:type="dxa"/>
            <w:tcBorders>
              <w:top w:val="single" w:sz="4" w:space="0" w:color="auto"/>
              <w:left w:val="single" w:sz="4" w:space="0" w:color="auto"/>
              <w:bottom w:val="single" w:sz="4" w:space="0" w:color="auto"/>
              <w:right w:val="single" w:sz="4" w:space="0" w:color="auto"/>
            </w:tcBorders>
            <w:shd w:val="clear" w:color="auto" w:fill="auto"/>
            <w:vAlign w:val="bottom"/>
          </w:tcPr>
          <w:p w14:paraId="365C5E50" w14:textId="0570D283" w:rsidR="00CA70A5" w:rsidRPr="00CA70A5" w:rsidRDefault="00CA70A5" w:rsidP="00CA70A5">
            <w:pPr>
              <w:autoSpaceDE w:val="0"/>
              <w:autoSpaceDN w:val="0"/>
              <w:adjustRightInd w:val="0"/>
              <w:spacing w:after="60"/>
              <w:jc w:val="right"/>
              <w:rPr>
                <w:rFonts w:cstheme="minorHAnsi"/>
                <w:color w:val="FF0000"/>
              </w:rPr>
            </w:pPr>
            <w:r>
              <w:rPr>
                <w:rFonts w:ascii="Calibri" w:hAnsi="Calibri" w:cs="Calibri"/>
                <w:color w:val="FF0000"/>
              </w:rPr>
              <w:t>(</w:t>
            </w:r>
            <w:r w:rsidRPr="00CA70A5">
              <w:rPr>
                <w:rFonts w:ascii="Calibri" w:hAnsi="Calibri" w:cs="Calibri"/>
                <w:color w:val="FF0000"/>
              </w:rPr>
              <w:t>0.986</w:t>
            </w:r>
            <w:r w:rsidR="0010564D">
              <w:rPr>
                <w:rFonts w:ascii="Calibri" w:hAnsi="Calibri" w:cs="Calibri"/>
                <w:color w:val="FF0000"/>
              </w:rPr>
              <w:t>, 0.989)</w:t>
            </w:r>
          </w:p>
        </w:tc>
      </w:tr>
      <w:tr w:rsidR="00CA70A5" w:rsidRPr="00901C2B" w14:paraId="3E03155B" w14:textId="77777777" w:rsidTr="00CA70A5">
        <w:tc>
          <w:tcPr>
            <w:tcW w:w="1855" w:type="dxa"/>
            <w:tcBorders>
              <w:top w:val="single" w:sz="4" w:space="0" w:color="auto"/>
              <w:left w:val="single" w:sz="4" w:space="0" w:color="auto"/>
              <w:bottom w:val="single" w:sz="4" w:space="0" w:color="auto"/>
              <w:right w:val="single" w:sz="4" w:space="0" w:color="auto"/>
            </w:tcBorders>
            <w:hideMark/>
          </w:tcPr>
          <w:p w14:paraId="244F8251" w14:textId="77777777" w:rsidR="00CA70A5" w:rsidRPr="00901C2B" w:rsidRDefault="00CA70A5" w:rsidP="00CA70A5">
            <w:pPr>
              <w:autoSpaceDE w:val="0"/>
              <w:autoSpaceDN w:val="0"/>
              <w:adjustRightInd w:val="0"/>
              <w:spacing w:after="60"/>
              <w:jc w:val="right"/>
              <w:rPr>
                <w:rFonts w:cstheme="minorHAnsi"/>
                <w:color w:val="FF0000"/>
              </w:rPr>
            </w:pPr>
            <w:r w:rsidRPr="00901C2B">
              <w:rPr>
                <w:rFonts w:cstheme="minorHAnsi"/>
                <w:color w:val="FF0000"/>
              </w:rPr>
              <w:t>Tercile 3</w:t>
            </w:r>
          </w:p>
        </w:tc>
        <w:tc>
          <w:tcPr>
            <w:tcW w:w="1008" w:type="dxa"/>
            <w:tcBorders>
              <w:top w:val="single" w:sz="4" w:space="0" w:color="auto"/>
              <w:left w:val="nil"/>
              <w:bottom w:val="single" w:sz="4" w:space="0" w:color="auto"/>
              <w:right w:val="single" w:sz="4" w:space="0" w:color="auto"/>
            </w:tcBorders>
            <w:shd w:val="clear" w:color="auto" w:fill="auto"/>
            <w:vAlign w:val="bottom"/>
          </w:tcPr>
          <w:p w14:paraId="194726EF" w14:textId="2AE76401" w:rsidR="00CA70A5" w:rsidRPr="00D81088" w:rsidRDefault="00CA70A5" w:rsidP="00CA70A5">
            <w:pPr>
              <w:autoSpaceDE w:val="0"/>
              <w:autoSpaceDN w:val="0"/>
              <w:adjustRightInd w:val="0"/>
              <w:spacing w:after="60"/>
              <w:jc w:val="right"/>
              <w:rPr>
                <w:rFonts w:cstheme="minorHAnsi"/>
                <w:color w:val="FF0000"/>
              </w:rPr>
            </w:pPr>
            <w:r w:rsidRPr="00D81088">
              <w:rPr>
                <w:rFonts w:ascii="Calibri" w:hAnsi="Calibri" w:cs="Calibri"/>
                <w:color w:val="FF0000"/>
              </w:rPr>
              <w:t>59</w:t>
            </w:r>
          </w:p>
        </w:tc>
        <w:tc>
          <w:tcPr>
            <w:tcW w:w="1863" w:type="dxa"/>
            <w:tcBorders>
              <w:top w:val="single" w:sz="4" w:space="0" w:color="auto"/>
              <w:left w:val="single" w:sz="4" w:space="0" w:color="auto"/>
              <w:bottom w:val="single" w:sz="4" w:space="0" w:color="auto"/>
              <w:right w:val="single" w:sz="4" w:space="0" w:color="auto"/>
            </w:tcBorders>
            <w:shd w:val="clear" w:color="auto" w:fill="auto"/>
            <w:vAlign w:val="bottom"/>
          </w:tcPr>
          <w:p w14:paraId="59AD5991" w14:textId="381DB9FF" w:rsidR="00CA70A5" w:rsidRPr="00D81088" w:rsidRDefault="00CA70A5" w:rsidP="00CA70A5">
            <w:pPr>
              <w:autoSpaceDE w:val="0"/>
              <w:autoSpaceDN w:val="0"/>
              <w:adjustRightInd w:val="0"/>
              <w:spacing w:after="60"/>
              <w:jc w:val="right"/>
              <w:rPr>
                <w:rFonts w:cstheme="minorHAnsi"/>
                <w:color w:val="FF0000"/>
              </w:rPr>
            </w:pPr>
            <w:r w:rsidRPr="00D81088">
              <w:rPr>
                <w:rFonts w:ascii="Calibri" w:hAnsi="Calibri" w:cs="Calibri"/>
                <w:color w:val="FF0000"/>
              </w:rPr>
              <w:t>2054-17406</w:t>
            </w:r>
          </w:p>
        </w:tc>
        <w:tc>
          <w:tcPr>
            <w:tcW w:w="1581" w:type="dxa"/>
            <w:tcBorders>
              <w:top w:val="single" w:sz="4" w:space="0" w:color="auto"/>
              <w:left w:val="single" w:sz="4" w:space="0" w:color="auto"/>
              <w:bottom w:val="single" w:sz="4" w:space="0" w:color="auto"/>
              <w:right w:val="single" w:sz="4" w:space="0" w:color="auto"/>
            </w:tcBorders>
            <w:shd w:val="clear" w:color="auto" w:fill="auto"/>
            <w:vAlign w:val="bottom"/>
          </w:tcPr>
          <w:p w14:paraId="6A51F919" w14:textId="3098C777" w:rsidR="00CA70A5" w:rsidRPr="007304E5" w:rsidRDefault="00CA70A5" w:rsidP="00CA70A5">
            <w:pPr>
              <w:autoSpaceDE w:val="0"/>
              <w:autoSpaceDN w:val="0"/>
              <w:adjustRightInd w:val="0"/>
              <w:spacing w:after="60"/>
              <w:jc w:val="right"/>
              <w:rPr>
                <w:rFonts w:cstheme="minorHAnsi"/>
                <w:color w:val="FF0000"/>
              </w:rPr>
            </w:pPr>
            <w:r w:rsidRPr="007304E5">
              <w:rPr>
                <w:rFonts w:ascii="Calibri" w:hAnsi="Calibri" w:cs="Calibri"/>
                <w:color w:val="FF0000"/>
              </w:rPr>
              <w:t>0.994</w:t>
            </w:r>
          </w:p>
        </w:tc>
        <w:tc>
          <w:tcPr>
            <w:tcW w:w="802" w:type="dxa"/>
            <w:tcBorders>
              <w:top w:val="single" w:sz="4" w:space="0" w:color="auto"/>
              <w:left w:val="single" w:sz="4" w:space="0" w:color="auto"/>
              <w:bottom w:val="single" w:sz="4" w:space="0" w:color="auto"/>
              <w:right w:val="single" w:sz="4" w:space="0" w:color="auto"/>
            </w:tcBorders>
            <w:shd w:val="clear" w:color="auto" w:fill="auto"/>
            <w:vAlign w:val="bottom"/>
          </w:tcPr>
          <w:p w14:paraId="65CE23B9" w14:textId="7C85E8EB" w:rsidR="00CA70A5" w:rsidRPr="007304E5" w:rsidRDefault="00CA70A5" w:rsidP="00CA70A5">
            <w:pPr>
              <w:autoSpaceDE w:val="0"/>
              <w:autoSpaceDN w:val="0"/>
              <w:adjustRightInd w:val="0"/>
              <w:spacing w:after="60"/>
              <w:jc w:val="right"/>
              <w:rPr>
                <w:rFonts w:cstheme="minorHAnsi"/>
                <w:color w:val="FF0000"/>
              </w:rPr>
            </w:pPr>
            <w:r w:rsidRPr="007304E5">
              <w:rPr>
                <w:rFonts w:ascii="Calibri" w:hAnsi="Calibri" w:cs="Calibri"/>
                <w:color w:val="FF0000"/>
              </w:rPr>
              <w:t>0.000</w:t>
            </w:r>
          </w:p>
        </w:tc>
        <w:tc>
          <w:tcPr>
            <w:tcW w:w="1479" w:type="dxa"/>
            <w:tcBorders>
              <w:top w:val="single" w:sz="4" w:space="0" w:color="auto"/>
              <w:left w:val="single" w:sz="4" w:space="0" w:color="auto"/>
              <w:bottom w:val="single" w:sz="4" w:space="0" w:color="auto"/>
              <w:right w:val="single" w:sz="4" w:space="0" w:color="auto"/>
            </w:tcBorders>
            <w:shd w:val="clear" w:color="auto" w:fill="auto"/>
            <w:vAlign w:val="bottom"/>
          </w:tcPr>
          <w:p w14:paraId="303D62C6" w14:textId="71CB0E2B" w:rsidR="00CA70A5" w:rsidRPr="00CA70A5" w:rsidRDefault="00CA70A5" w:rsidP="00CA70A5">
            <w:pPr>
              <w:autoSpaceDE w:val="0"/>
              <w:autoSpaceDN w:val="0"/>
              <w:adjustRightInd w:val="0"/>
              <w:spacing w:after="60"/>
              <w:jc w:val="right"/>
              <w:rPr>
                <w:rFonts w:cstheme="minorHAnsi"/>
                <w:color w:val="FF0000"/>
              </w:rPr>
            </w:pPr>
            <w:r>
              <w:rPr>
                <w:rFonts w:ascii="Calibri" w:hAnsi="Calibri" w:cs="Calibri"/>
                <w:color w:val="FF0000"/>
              </w:rPr>
              <w:t>(</w:t>
            </w:r>
            <w:r w:rsidRPr="00CA70A5">
              <w:rPr>
                <w:rFonts w:ascii="Calibri" w:hAnsi="Calibri" w:cs="Calibri"/>
                <w:color w:val="FF0000"/>
              </w:rPr>
              <w:t>0.993</w:t>
            </w:r>
            <w:r w:rsidR="0010564D">
              <w:rPr>
                <w:rFonts w:ascii="Calibri" w:hAnsi="Calibri" w:cs="Calibri"/>
                <w:color w:val="FF0000"/>
              </w:rPr>
              <w:t>, 0.994)</w:t>
            </w:r>
          </w:p>
        </w:tc>
      </w:tr>
      <w:tr w:rsidR="00DE63D8" w:rsidRPr="00901C2B" w14:paraId="34369D68" w14:textId="77777777" w:rsidTr="00CA70A5">
        <w:tc>
          <w:tcPr>
            <w:tcW w:w="1855" w:type="dxa"/>
            <w:tcBorders>
              <w:top w:val="single" w:sz="4" w:space="0" w:color="auto"/>
              <w:left w:val="single" w:sz="4" w:space="0" w:color="auto"/>
              <w:bottom w:val="single" w:sz="4" w:space="0" w:color="auto"/>
              <w:right w:val="single" w:sz="4" w:space="0" w:color="auto"/>
            </w:tcBorders>
            <w:shd w:val="clear" w:color="auto" w:fill="D9D9D9"/>
          </w:tcPr>
          <w:p w14:paraId="17570C38" w14:textId="77777777" w:rsidR="00DE63D8" w:rsidRPr="00901C2B" w:rsidRDefault="00DE63D8" w:rsidP="00DE63D8">
            <w:pPr>
              <w:autoSpaceDE w:val="0"/>
              <w:autoSpaceDN w:val="0"/>
              <w:adjustRightInd w:val="0"/>
              <w:spacing w:after="60"/>
              <w:rPr>
                <w:rFonts w:cstheme="minorHAnsi"/>
                <w:color w:val="FF0000"/>
              </w:rPr>
            </w:pPr>
            <w:r w:rsidRPr="00901C2B">
              <w:rPr>
                <w:rFonts w:cstheme="minorHAnsi"/>
                <w:b/>
                <w:bCs/>
                <w:color w:val="FF0000"/>
              </w:rPr>
              <w:t>All Medicare</w:t>
            </w:r>
          </w:p>
        </w:tc>
        <w:tc>
          <w:tcPr>
            <w:tcW w:w="1008" w:type="dxa"/>
            <w:tcBorders>
              <w:top w:val="single" w:sz="4" w:space="0" w:color="auto"/>
              <w:left w:val="single" w:sz="4" w:space="0" w:color="auto"/>
              <w:bottom w:val="single" w:sz="4" w:space="0" w:color="auto"/>
              <w:right w:val="single" w:sz="4" w:space="0" w:color="auto"/>
            </w:tcBorders>
            <w:shd w:val="clear" w:color="auto" w:fill="D9D9D9"/>
          </w:tcPr>
          <w:p w14:paraId="017C70C0" w14:textId="618E28AF" w:rsidR="00DE63D8" w:rsidRPr="005D79EB" w:rsidRDefault="005D79EB" w:rsidP="00DE63D8">
            <w:pPr>
              <w:autoSpaceDE w:val="0"/>
              <w:autoSpaceDN w:val="0"/>
              <w:adjustRightInd w:val="0"/>
              <w:spacing w:after="60"/>
              <w:jc w:val="right"/>
              <w:rPr>
                <w:rFonts w:cstheme="minorHAnsi"/>
                <w:b/>
                <w:bCs/>
                <w:color w:val="FF0000"/>
              </w:rPr>
            </w:pPr>
            <w:r w:rsidRPr="005D79EB">
              <w:rPr>
                <w:rFonts w:cstheme="minorHAnsi"/>
                <w:b/>
                <w:bCs/>
                <w:color w:val="FF0000"/>
              </w:rPr>
              <w:t>308</w:t>
            </w:r>
          </w:p>
        </w:tc>
        <w:tc>
          <w:tcPr>
            <w:tcW w:w="1863" w:type="dxa"/>
            <w:tcBorders>
              <w:top w:val="single" w:sz="4" w:space="0" w:color="auto"/>
              <w:left w:val="single" w:sz="4" w:space="0" w:color="auto"/>
              <w:bottom w:val="single" w:sz="4" w:space="0" w:color="auto"/>
              <w:right w:val="single" w:sz="4" w:space="0" w:color="auto"/>
            </w:tcBorders>
            <w:shd w:val="clear" w:color="auto" w:fill="D9D9D9"/>
          </w:tcPr>
          <w:p w14:paraId="1DFE3644" w14:textId="0AB98980" w:rsidR="00DE63D8" w:rsidRPr="005D79EB" w:rsidRDefault="005D79EB" w:rsidP="00DE63D8">
            <w:pPr>
              <w:autoSpaceDE w:val="0"/>
              <w:autoSpaceDN w:val="0"/>
              <w:adjustRightInd w:val="0"/>
              <w:spacing w:after="60"/>
              <w:jc w:val="right"/>
              <w:rPr>
                <w:rFonts w:cstheme="minorHAnsi"/>
                <w:b/>
                <w:bCs/>
                <w:color w:val="FF0000"/>
              </w:rPr>
            </w:pPr>
            <w:r w:rsidRPr="005D79EB">
              <w:rPr>
                <w:rFonts w:cstheme="minorHAnsi"/>
                <w:b/>
                <w:bCs/>
                <w:color w:val="FF0000"/>
              </w:rPr>
              <w:t>30-4224</w:t>
            </w:r>
          </w:p>
        </w:tc>
        <w:tc>
          <w:tcPr>
            <w:tcW w:w="1581" w:type="dxa"/>
            <w:tcBorders>
              <w:top w:val="single" w:sz="4" w:space="0" w:color="auto"/>
              <w:left w:val="single" w:sz="4" w:space="0" w:color="auto"/>
              <w:bottom w:val="single" w:sz="4" w:space="0" w:color="auto"/>
              <w:right w:val="single" w:sz="4" w:space="0" w:color="auto"/>
            </w:tcBorders>
            <w:shd w:val="clear" w:color="auto" w:fill="D9D9D9"/>
          </w:tcPr>
          <w:p w14:paraId="3C74913E" w14:textId="5419994C" w:rsidR="00DE63D8" w:rsidRPr="001821B5" w:rsidRDefault="00815CE9" w:rsidP="00DE63D8">
            <w:pPr>
              <w:autoSpaceDE w:val="0"/>
              <w:autoSpaceDN w:val="0"/>
              <w:adjustRightInd w:val="0"/>
              <w:spacing w:after="60"/>
              <w:jc w:val="right"/>
              <w:rPr>
                <w:rFonts w:cstheme="minorHAnsi"/>
                <w:b/>
                <w:bCs/>
                <w:color w:val="FF0000"/>
              </w:rPr>
            </w:pPr>
            <w:r w:rsidRPr="00815CE9">
              <w:rPr>
                <w:rFonts w:cstheme="minorHAnsi"/>
                <w:b/>
                <w:bCs/>
                <w:color w:val="FF0000"/>
              </w:rPr>
              <w:t>0.9</w:t>
            </w:r>
            <w:r>
              <w:rPr>
                <w:rFonts w:cstheme="minorHAnsi"/>
                <w:b/>
                <w:bCs/>
                <w:color w:val="FF0000"/>
              </w:rPr>
              <w:t>1</w:t>
            </w:r>
            <w:r w:rsidRPr="00815CE9">
              <w:rPr>
                <w:rFonts w:cstheme="minorHAnsi"/>
                <w:b/>
                <w:bCs/>
                <w:color w:val="FF0000"/>
              </w:rPr>
              <w:t>0</w:t>
            </w:r>
          </w:p>
        </w:tc>
        <w:tc>
          <w:tcPr>
            <w:tcW w:w="802" w:type="dxa"/>
            <w:tcBorders>
              <w:top w:val="single" w:sz="4" w:space="0" w:color="auto"/>
              <w:left w:val="single" w:sz="4" w:space="0" w:color="auto"/>
              <w:bottom w:val="single" w:sz="4" w:space="0" w:color="auto"/>
              <w:right w:val="single" w:sz="4" w:space="0" w:color="auto"/>
            </w:tcBorders>
            <w:shd w:val="clear" w:color="auto" w:fill="D9D9D9"/>
          </w:tcPr>
          <w:p w14:paraId="5EF4C1E3" w14:textId="63DF72C7" w:rsidR="00DE63D8" w:rsidRPr="00901C2B" w:rsidRDefault="001821B5" w:rsidP="00DE63D8">
            <w:pPr>
              <w:autoSpaceDE w:val="0"/>
              <w:autoSpaceDN w:val="0"/>
              <w:adjustRightInd w:val="0"/>
              <w:spacing w:after="60"/>
              <w:jc w:val="right"/>
              <w:rPr>
                <w:rFonts w:cstheme="minorHAnsi"/>
                <w:color w:val="FF0000"/>
              </w:rPr>
            </w:pPr>
            <w:r>
              <w:rPr>
                <w:rFonts w:cstheme="minorHAnsi"/>
                <w:b/>
                <w:bCs/>
                <w:color w:val="FF0000"/>
              </w:rPr>
              <w:t>0</w:t>
            </w:r>
            <w:r w:rsidRPr="001821B5">
              <w:rPr>
                <w:rFonts w:cstheme="minorHAnsi"/>
                <w:b/>
                <w:bCs/>
                <w:color w:val="FF0000"/>
              </w:rPr>
              <w:t>.004</w:t>
            </w:r>
          </w:p>
        </w:tc>
        <w:tc>
          <w:tcPr>
            <w:tcW w:w="1479" w:type="dxa"/>
            <w:tcBorders>
              <w:top w:val="single" w:sz="4" w:space="0" w:color="auto"/>
              <w:left w:val="single" w:sz="4" w:space="0" w:color="auto"/>
              <w:bottom w:val="single" w:sz="4" w:space="0" w:color="auto"/>
              <w:right w:val="single" w:sz="4" w:space="0" w:color="auto"/>
            </w:tcBorders>
            <w:shd w:val="clear" w:color="auto" w:fill="D9D9D9"/>
          </w:tcPr>
          <w:p w14:paraId="1C579D0B" w14:textId="60F3BE4D" w:rsidR="0037501E" w:rsidRPr="0037501E" w:rsidRDefault="0037501E" w:rsidP="0037501E">
            <w:pPr>
              <w:autoSpaceDE w:val="0"/>
              <w:autoSpaceDN w:val="0"/>
              <w:adjustRightInd w:val="0"/>
              <w:spacing w:after="60"/>
              <w:rPr>
                <w:rFonts w:cstheme="minorHAnsi"/>
                <w:b/>
                <w:bCs/>
                <w:color w:val="FF0000"/>
              </w:rPr>
            </w:pPr>
            <w:r w:rsidRPr="0037501E">
              <w:rPr>
                <w:rFonts w:cstheme="minorHAnsi"/>
                <w:b/>
                <w:bCs/>
                <w:color w:val="FF0000"/>
              </w:rPr>
              <w:t>(0.902, 0.918)</w:t>
            </w:r>
          </w:p>
          <w:p w14:paraId="6EBF1933" w14:textId="63AD8712" w:rsidR="00DE63D8" w:rsidRPr="00901C2B" w:rsidRDefault="00DE63D8" w:rsidP="00DE63D8">
            <w:pPr>
              <w:autoSpaceDE w:val="0"/>
              <w:autoSpaceDN w:val="0"/>
              <w:adjustRightInd w:val="0"/>
              <w:spacing w:after="60"/>
              <w:jc w:val="right"/>
              <w:rPr>
                <w:rFonts w:cstheme="minorHAnsi"/>
                <w:color w:val="FF0000"/>
              </w:rPr>
            </w:pPr>
          </w:p>
        </w:tc>
      </w:tr>
      <w:tr w:rsidR="009E5B6E" w:rsidRPr="00901C2B" w14:paraId="7C2D89F7" w14:textId="77777777" w:rsidTr="00050392">
        <w:tc>
          <w:tcPr>
            <w:tcW w:w="1855" w:type="dxa"/>
            <w:tcBorders>
              <w:top w:val="single" w:sz="4" w:space="0" w:color="auto"/>
              <w:left w:val="single" w:sz="4" w:space="0" w:color="auto"/>
              <w:bottom w:val="single" w:sz="4" w:space="0" w:color="auto"/>
              <w:right w:val="single" w:sz="4" w:space="0" w:color="auto"/>
            </w:tcBorders>
          </w:tcPr>
          <w:p w14:paraId="2E417D91" w14:textId="77777777" w:rsidR="009E5B6E" w:rsidRPr="00901C2B" w:rsidRDefault="009E5B6E" w:rsidP="009E5B6E">
            <w:pPr>
              <w:autoSpaceDE w:val="0"/>
              <w:autoSpaceDN w:val="0"/>
              <w:adjustRightInd w:val="0"/>
              <w:spacing w:after="60"/>
              <w:jc w:val="right"/>
              <w:rPr>
                <w:rFonts w:cstheme="minorHAnsi"/>
                <w:color w:val="FF0000"/>
              </w:rPr>
            </w:pPr>
            <w:r w:rsidRPr="00901C2B">
              <w:rPr>
                <w:rFonts w:cstheme="minorHAnsi"/>
                <w:color w:val="FF0000"/>
              </w:rPr>
              <w:t>Tercile 1</w:t>
            </w:r>
          </w:p>
        </w:tc>
        <w:tc>
          <w:tcPr>
            <w:tcW w:w="1008" w:type="dxa"/>
            <w:tcBorders>
              <w:top w:val="single" w:sz="4" w:space="0" w:color="auto"/>
              <w:left w:val="single" w:sz="4" w:space="0" w:color="auto"/>
              <w:bottom w:val="single" w:sz="4" w:space="0" w:color="auto"/>
              <w:right w:val="single" w:sz="4" w:space="0" w:color="auto"/>
            </w:tcBorders>
            <w:vAlign w:val="bottom"/>
          </w:tcPr>
          <w:p w14:paraId="217AF4E6" w14:textId="18BAE5F1" w:rsidR="009E5B6E" w:rsidRPr="00901C2B" w:rsidRDefault="009E5B6E" w:rsidP="009E5B6E">
            <w:pPr>
              <w:autoSpaceDE w:val="0"/>
              <w:autoSpaceDN w:val="0"/>
              <w:adjustRightInd w:val="0"/>
              <w:spacing w:after="60"/>
              <w:jc w:val="right"/>
              <w:rPr>
                <w:rFonts w:cstheme="minorHAnsi"/>
                <w:color w:val="FF0000"/>
              </w:rPr>
            </w:pPr>
            <w:r w:rsidRPr="00991770">
              <w:rPr>
                <w:rFonts w:ascii="Calibri" w:hAnsi="Calibri" w:cs="Calibri"/>
                <w:color w:val="FF0000"/>
              </w:rPr>
              <w:t>102</w:t>
            </w:r>
          </w:p>
        </w:tc>
        <w:tc>
          <w:tcPr>
            <w:tcW w:w="1863" w:type="dxa"/>
            <w:tcBorders>
              <w:top w:val="single" w:sz="4" w:space="0" w:color="auto"/>
              <w:left w:val="single" w:sz="4" w:space="0" w:color="auto"/>
              <w:bottom w:val="single" w:sz="4" w:space="0" w:color="auto"/>
              <w:right w:val="single" w:sz="4" w:space="0" w:color="auto"/>
            </w:tcBorders>
            <w:vAlign w:val="bottom"/>
          </w:tcPr>
          <w:p w14:paraId="0511F180" w14:textId="55140E50" w:rsidR="009E5B6E" w:rsidRPr="00901C2B" w:rsidRDefault="009E5B6E" w:rsidP="009E5B6E">
            <w:pPr>
              <w:autoSpaceDE w:val="0"/>
              <w:autoSpaceDN w:val="0"/>
              <w:adjustRightInd w:val="0"/>
              <w:spacing w:after="60"/>
              <w:jc w:val="right"/>
              <w:rPr>
                <w:rFonts w:cstheme="minorHAnsi"/>
                <w:color w:val="FF0000"/>
              </w:rPr>
            </w:pPr>
            <w:r>
              <w:rPr>
                <w:rFonts w:ascii="Calibri" w:hAnsi="Calibri" w:cs="Calibri"/>
                <w:color w:val="FF0000"/>
              </w:rPr>
              <w:t>30-</w:t>
            </w:r>
            <w:r w:rsidRPr="008723D5">
              <w:rPr>
                <w:rFonts w:ascii="Calibri" w:hAnsi="Calibri" w:cs="Calibri"/>
                <w:color w:val="FF0000"/>
              </w:rPr>
              <w:t>90</w:t>
            </w:r>
          </w:p>
        </w:tc>
        <w:tc>
          <w:tcPr>
            <w:tcW w:w="1581" w:type="dxa"/>
            <w:tcBorders>
              <w:top w:val="single" w:sz="4" w:space="0" w:color="auto"/>
              <w:left w:val="single" w:sz="4" w:space="0" w:color="auto"/>
              <w:bottom w:val="single" w:sz="4" w:space="0" w:color="auto"/>
              <w:right w:val="single" w:sz="4" w:space="0" w:color="auto"/>
            </w:tcBorders>
            <w:vAlign w:val="bottom"/>
          </w:tcPr>
          <w:p w14:paraId="1C6A7C17" w14:textId="7D760300" w:rsidR="009E5B6E" w:rsidRPr="00901C2B" w:rsidRDefault="009E5B6E" w:rsidP="009E5B6E">
            <w:pPr>
              <w:autoSpaceDE w:val="0"/>
              <w:autoSpaceDN w:val="0"/>
              <w:adjustRightInd w:val="0"/>
              <w:spacing w:after="60"/>
              <w:jc w:val="right"/>
              <w:rPr>
                <w:rFonts w:cstheme="minorHAnsi"/>
                <w:color w:val="FF0000"/>
              </w:rPr>
            </w:pPr>
            <w:r w:rsidRPr="00991770">
              <w:rPr>
                <w:rFonts w:ascii="Calibri" w:hAnsi="Calibri" w:cs="Calibri"/>
                <w:color w:val="FF0000"/>
              </w:rPr>
              <w:t>0.838</w:t>
            </w:r>
          </w:p>
        </w:tc>
        <w:tc>
          <w:tcPr>
            <w:tcW w:w="802" w:type="dxa"/>
            <w:tcBorders>
              <w:top w:val="single" w:sz="4" w:space="0" w:color="auto"/>
              <w:left w:val="single" w:sz="4" w:space="0" w:color="auto"/>
              <w:bottom w:val="single" w:sz="4" w:space="0" w:color="auto"/>
              <w:right w:val="single" w:sz="4" w:space="0" w:color="auto"/>
            </w:tcBorders>
            <w:vAlign w:val="bottom"/>
          </w:tcPr>
          <w:p w14:paraId="3C2747DC" w14:textId="335E2571" w:rsidR="009E5B6E" w:rsidRPr="00901C2B" w:rsidRDefault="009E5B6E" w:rsidP="009E5B6E">
            <w:pPr>
              <w:autoSpaceDE w:val="0"/>
              <w:autoSpaceDN w:val="0"/>
              <w:adjustRightInd w:val="0"/>
              <w:spacing w:after="60"/>
              <w:jc w:val="right"/>
              <w:rPr>
                <w:rFonts w:cstheme="minorHAnsi"/>
                <w:color w:val="FF0000"/>
              </w:rPr>
            </w:pPr>
            <w:r w:rsidRPr="008723D5">
              <w:rPr>
                <w:rFonts w:ascii="Calibri" w:hAnsi="Calibri" w:cs="Calibri"/>
                <w:color w:val="FF0000"/>
              </w:rPr>
              <w:t>0.004</w:t>
            </w:r>
          </w:p>
        </w:tc>
        <w:tc>
          <w:tcPr>
            <w:tcW w:w="1479" w:type="dxa"/>
            <w:tcBorders>
              <w:top w:val="single" w:sz="4" w:space="0" w:color="auto"/>
              <w:left w:val="single" w:sz="4" w:space="0" w:color="auto"/>
              <w:bottom w:val="single" w:sz="4" w:space="0" w:color="auto"/>
              <w:right w:val="single" w:sz="4" w:space="0" w:color="auto"/>
            </w:tcBorders>
            <w:vAlign w:val="bottom"/>
          </w:tcPr>
          <w:p w14:paraId="49FCA407" w14:textId="3DCF1F11" w:rsidR="009E5B6E" w:rsidRPr="00901C2B" w:rsidRDefault="009E5B6E" w:rsidP="009E5B6E">
            <w:pPr>
              <w:autoSpaceDE w:val="0"/>
              <w:autoSpaceDN w:val="0"/>
              <w:adjustRightInd w:val="0"/>
              <w:spacing w:after="60"/>
              <w:jc w:val="right"/>
              <w:rPr>
                <w:rFonts w:cstheme="minorHAnsi"/>
                <w:color w:val="FF0000"/>
              </w:rPr>
            </w:pPr>
            <w:r>
              <w:rPr>
                <w:rFonts w:ascii="Calibri" w:hAnsi="Calibri" w:cs="Calibri"/>
                <w:color w:val="FF0000"/>
              </w:rPr>
              <w:t>(</w:t>
            </w:r>
            <w:r w:rsidRPr="009F14F8">
              <w:rPr>
                <w:rFonts w:ascii="Calibri" w:hAnsi="Calibri" w:cs="Calibri"/>
                <w:color w:val="FF0000"/>
              </w:rPr>
              <w:t>0.829</w:t>
            </w:r>
            <w:r>
              <w:rPr>
                <w:rFonts w:ascii="Calibri" w:hAnsi="Calibri" w:cs="Calibri"/>
                <w:color w:val="FF0000"/>
              </w:rPr>
              <w:t>, 0.847)</w:t>
            </w:r>
          </w:p>
        </w:tc>
      </w:tr>
      <w:tr w:rsidR="009E5B6E" w:rsidRPr="00901C2B" w14:paraId="66262669" w14:textId="77777777" w:rsidTr="00050392">
        <w:tc>
          <w:tcPr>
            <w:tcW w:w="1855" w:type="dxa"/>
            <w:tcBorders>
              <w:top w:val="single" w:sz="4" w:space="0" w:color="auto"/>
              <w:left w:val="single" w:sz="4" w:space="0" w:color="auto"/>
              <w:bottom w:val="single" w:sz="4" w:space="0" w:color="auto"/>
              <w:right w:val="single" w:sz="4" w:space="0" w:color="auto"/>
            </w:tcBorders>
          </w:tcPr>
          <w:p w14:paraId="7A12B85F" w14:textId="77777777" w:rsidR="009E5B6E" w:rsidRPr="00901C2B" w:rsidRDefault="009E5B6E" w:rsidP="009E5B6E">
            <w:pPr>
              <w:autoSpaceDE w:val="0"/>
              <w:autoSpaceDN w:val="0"/>
              <w:adjustRightInd w:val="0"/>
              <w:spacing w:after="60"/>
              <w:jc w:val="right"/>
              <w:rPr>
                <w:rFonts w:cstheme="minorHAnsi"/>
                <w:color w:val="FF0000"/>
              </w:rPr>
            </w:pPr>
            <w:r w:rsidRPr="00901C2B">
              <w:rPr>
                <w:rFonts w:cstheme="minorHAnsi"/>
                <w:color w:val="FF0000"/>
              </w:rPr>
              <w:t>Tercile 2</w:t>
            </w:r>
          </w:p>
        </w:tc>
        <w:tc>
          <w:tcPr>
            <w:tcW w:w="1008" w:type="dxa"/>
            <w:tcBorders>
              <w:top w:val="single" w:sz="4" w:space="0" w:color="auto"/>
              <w:left w:val="single" w:sz="4" w:space="0" w:color="auto"/>
              <w:bottom w:val="single" w:sz="4" w:space="0" w:color="auto"/>
              <w:right w:val="single" w:sz="4" w:space="0" w:color="auto"/>
            </w:tcBorders>
            <w:vAlign w:val="bottom"/>
          </w:tcPr>
          <w:p w14:paraId="3B38073A" w14:textId="4DE79FCC" w:rsidR="009E5B6E" w:rsidRPr="00901C2B" w:rsidRDefault="009E5B6E" w:rsidP="009E5B6E">
            <w:pPr>
              <w:autoSpaceDE w:val="0"/>
              <w:autoSpaceDN w:val="0"/>
              <w:adjustRightInd w:val="0"/>
              <w:spacing w:after="60"/>
              <w:jc w:val="right"/>
              <w:rPr>
                <w:rFonts w:cstheme="minorHAnsi"/>
                <w:color w:val="FF0000"/>
              </w:rPr>
            </w:pPr>
            <w:r w:rsidRPr="00991770">
              <w:rPr>
                <w:rFonts w:ascii="Calibri" w:hAnsi="Calibri" w:cs="Calibri"/>
                <w:color w:val="FF0000"/>
              </w:rPr>
              <w:t>101</w:t>
            </w:r>
          </w:p>
        </w:tc>
        <w:tc>
          <w:tcPr>
            <w:tcW w:w="1863" w:type="dxa"/>
            <w:tcBorders>
              <w:top w:val="single" w:sz="4" w:space="0" w:color="auto"/>
              <w:left w:val="single" w:sz="4" w:space="0" w:color="auto"/>
              <w:bottom w:val="single" w:sz="4" w:space="0" w:color="auto"/>
              <w:right w:val="single" w:sz="4" w:space="0" w:color="auto"/>
            </w:tcBorders>
            <w:vAlign w:val="bottom"/>
          </w:tcPr>
          <w:p w14:paraId="6F7A1981" w14:textId="49EA4008" w:rsidR="009E5B6E" w:rsidRPr="00901C2B" w:rsidRDefault="009E5B6E" w:rsidP="009E5B6E">
            <w:pPr>
              <w:autoSpaceDE w:val="0"/>
              <w:autoSpaceDN w:val="0"/>
              <w:adjustRightInd w:val="0"/>
              <w:spacing w:after="60"/>
              <w:jc w:val="right"/>
              <w:rPr>
                <w:rFonts w:cstheme="minorHAnsi"/>
                <w:color w:val="FF0000"/>
              </w:rPr>
            </w:pPr>
            <w:r>
              <w:rPr>
                <w:rFonts w:ascii="Calibri" w:hAnsi="Calibri" w:cs="Calibri"/>
                <w:color w:val="FF0000"/>
              </w:rPr>
              <w:t>91-</w:t>
            </w:r>
            <w:r w:rsidRPr="008723D5">
              <w:rPr>
                <w:rFonts w:ascii="Calibri" w:hAnsi="Calibri" w:cs="Calibri"/>
                <w:color w:val="FF0000"/>
              </w:rPr>
              <w:t>270</w:t>
            </w:r>
          </w:p>
        </w:tc>
        <w:tc>
          <w:tcPr>
            <w:tcW w:w="1581" w:type="dxa"/>
            <w:tcBorders>
              <w:top w:val="single" w:sz="4" w:space="0" w:color="auto"/>
              <w:left w:val="single" w:sz="4" w:space="0" w:color="auto"/>
              <w:bottom w:val="single" w:sz="4" w:space="0" w:color="auto"/>
              <w:right w:val="single" w:sz="4" w:space="0" w:color="auto"/>
            </w:tcBorders>
            <w:vAlign w:val="bottom"/>
          </w:tcPr>
          <w:p w14:paraId="3A31571C" w14:textId="3AA75477" w:rsidR="009E5B6E" w:rsidRPr="00901C2B" w:rsidRDefault="009E5B6E" w:rsidP="009E5B6E">
            <w:pPr>
              <w:autoSpaceDE w:val="0"/>
              <w:autoSpaceDN w:val="0"/>
              <w:adjustRightInd w:val="0"/>
              <w:spacing w:after="60"/>
              <w:jc w:val="right"/>
              <w:rPr>
                <w:rFonts w:cstheme="minorHAnsi"/>
                <w:color w:val="FF0000"/>
              </w:rPr>
            </w:pPr>
            <w:r w:rsidRPr="00991770">
              <w:rPr>
                <w:rFonts w:ascii="Calibri" w:hAnsi="Calibri" w:cs="Calibri"/>
                <w:color w:val="FF0000"/>
              </w:rPr>
              <w:t>0.933</w:t>
            </w:r>
          </w:p>
        </w:tc>
        <w:tc>
          <w:tcPr>
            <w:tcW w:w="802" w:type="dxa"/>
            <w:tcBorders>
              <w:top w:val="single" w:sz="4" w:space="0" w:color="auto"/>
              <w:left w:val="single" w:sz="4" w:space="0" w:color="auto"/>
              <w:bottom w:val="single" w:sz="4" w:space="0" w:color="auto"/>
              <w:right w:val="single" w:sz="4" w:space="0" w:color="auto"/>
            </w:tcBorders>
            <w:vAlign w:val="bottom"/>
          </w:tcPr>
          <w:p w14:paraId="11E7A0B8" w14:textId="40601FBD" w:rsidR="009E5B6E" w:rsidRPr="00901C2B" w:rsidRDefault="009E5B6E" w:rsidP="009E5B6E">
            <w:pPr>
              <w:autoSpaceDE w:val="0"/>
              <w:autoSpaceDN w:val="0"/>
              <w:adjustRightInd w:val="0"/>
              <w:spacing w:after="60"/>
              <w:jc w:val="right"/>
              <w:rPr>
                <w:rFonts w:cstheme="minorHAnsi"/>
                <w:color w:val="FF0000"/>
              </w:rPr>
            </w:pPr>
            <w:r w:rsidRPr="008723D5">
              <w:rPr>
                <w:rFonts w:ascii="Calibri" w:hAnsi="Calibri" w:cs="Calibri"/>
                <w:color w:val="FF0000"/>
              </w:rPr>
              <w:t>0.002</w:t>
            </w:r>
          </w:p>
        </w:tc>
        <w:tc>
          <w:tcPr>
            <w:tcW w:w="1479" w:type="dxa"/>
            <w:tcBorders>
              <w:top w:val="single" w:sz="4" w:space="0" w:color="auto"/>
              <w:left w:val="single" w:sz="4" w:space="0" w:color="auto"/>
              <w:bottom w:val="single" w:sz="4" w:space="0" w:color="auto"/>
              <w:right w:val="single" w:sz="4" w:space="0" w:color="auto"/>
            </w:tcBorders>
            <w:vAlign w:val="bottom"/>
          </w:tcPr>
          <w:p w14:paraId="7E0D7A9F" w14:textId="42AE6C94" w:rsidR="009E5B6E" w:rsidRPr="00901C2B" w:rsidRDefault="009E5B6E" w:rsidP="009E5B6E">
            <w:pPr>
              <w:autoSpaceDE w:val="0"/>
              <w:autoSpaceDN w:val="0"/>
              <w:adjustRightInd w:val="0"/>
              <w:spacing w:after="60"/>
              <w:jc w:val="right"/>
              <w:rPr>
                <w:rFonts w:cstheme="minorHAnsi"/>
                <w:color w:val="FF0000"/>
              </w:rPr>
            </w:pPr>
            <w:r>
              <w:rPr>
                <w:rFonts w:ascii="Calibri" w:hAnsi="Calibri" w:cs="Calibri"/>
                <w:color w:val="FF0000"/>
              </w:rPr>
              <w:t>(</w:t>
            </w:r>
            <w:r w:rsidRPr="009F14F8">
              <w:rPr>
                <w:rFonts w:ascii="Calibri" w:hAnsi="Calibri" w:cs="Calibri"/>
                <w:color w:val="FF0000"/>
              </w:rPr>
              <w:t>0.929</w:t>
            </w:r>
            <w:r>
              <w:rPr>
                <w:rFonts w:ascii="Calibri" w:hAnsi="Calibri" w:cs="Calibri"/>
                <w:color w:val="FF0000"/>
              </w:rPr>
              <w:t>, 0.937)</w:t>
            </w:r>
          </w:p>
        </w:tc>
      </w:tr>
      <w:tr w:rsidR="009E5B6E" w:rsidRPr="00901C2B" w14:paraId="4F7CF9BB" w14:textId="77777777" w:rsidTr="00050392">
        <w:tc>
          <w:tcPr>
            <w:tcW w:w="1855" w:type="dxa"/>
            <w:tcBorders>
              <w:top w:val="single" w:sz="4" w:space="0" w:color="auto"/>
              <w:left w:val="single" w:sz="4" w:space="0" w:color="auto"/>
              <w:bottom w:val="single" w:sz="4" w:space="0" w:color="auto"/>
              <w:right w:val="single" w:sz="4" w:space="0" w:color="auto"/>
            </w:tcBorders>
          </w:tcPr>
          <w:p w14:paraId="609C85B3" w14:textId="77777777" w:rsidR="009E5B6E" w:rsidRPr="00901C2B" w:rsidRDefault="009E5B6E" w:rsidP="009E5B6E">
            <w:pPr>
              <w:autoSpaceDE w:val="0"/>
              <w:autoSpaceDN w:val="0"/>
              <w:adjustRightInd w:val="0"/>
              <w:spacing w:after="60"/>
              <w:jc w:val="right"/>
              <w:rPr>
                <w:rFonts w:cstheme="minorHAnsi"/>
                <w:color w:val="FF0000"/>
              </w:rPr>
            </w:pPr>
            <w:r w:rsidRPr="00901C2B">
              <w:rPr>
                <w:rFonts w:cstheme="minorHAnsi"/>
                <w:color w:val="FF0000"/>
              </w:rPr>
              <w:t>Tercile 3</w:t>
            </w:r>
          </w:p>
        </w:tc>
        <w:tc>
          <w:tcPr>
            <w:tcW w:w="1008" w:type="dxa"/>
            <w:tcBorders>
              <w:top w:val="single" w:sz="4" w:space="0" w:color="auto"/>
              <w:left w:val="single" w:sz="4" w:space="0" w:color="auto"/>
              <w:bottom w:val="single" w:sz="4" w:space="0" w:color="auto"/>
              <w:right w:val="single" w:sz="4" w:space="0" w:color="auto"/>
            </w:tcBorders>
            <w:vAlign w:val="bottom"/>
          </w:tcPr>
          <w:p w14:paraId="6FC21205" w14:textId="38883837" w:rsidR="009E5B6E" w:rsidRPr="00901C2B" w:rsidRDefault="009E5B6E" w:rsidP="009E5B6E">
            <w:pPr>
              <w:autoSpaceDE w:val="0"/>
              <w:autoSpaceDN w:val="0"/>
              <w:adjustRightInd w:val="0"/>
              <w:spacing w:after="60"/>
              <w:jc w:val="right"/>
              <w:rPr>
                <w:rFonts w:cstheme="minorHAnsi"/>
                <w:color w:val="FF0000"/>
              </w:rPr>
            </w:pPr>
            <w:r w:rsidRPr="00991770">
              <w:rPr>
                <w:rFonts w:ascii="Calibri" w:hAnsi="Calibri" w:cs="Calibri"/>
                <w:color w:val="FF0000"/>
              </w:rPr>
              <w:t>105</w:t>
            </w:r>
          </w:p>
        </w:tc>
        <w:tc>
          <w:tcPr>
            <w:tcW w:w="1863" w:type="dxa"/>
            <w:tcBorders>
              <w:top w:val="single" w:sz="4" w:space="0" w:color="auto"/>
              <w:left w:val="single" w:sz="4" w:space="0" w:color="auto"/>
              <w:bottom w:val="single" w:sz="4" w:space="0" w:color="auto"/>
              <w:right w:val="single" w:sz="4" w:space="0" w:color="auto"/>
            </w:tcBorders>
            <w:vAlign w:val="bottom"/>
          </w:tcPr>
          <w:p w14:paraId="033A3C89" w14:textId="5CE176A3" w:rsidR="009E5B6E" w:rsidRPr="00901C2B" w:rsidRDefault="009E5B6E" w:rsidP="009E5B6E">
            <w:pPr>
              <w:autoSpaceDE w:val="0"/>
              <w:autoSpaceDN w:val="0"/>
              <w:adjustRightInd w:val="0"/>
              <w:spacing w:after="60"/>
              <w:jc w:val="right"/>
              <w:rPr>
                <w:rFonts w:cstheme="minorHAnsi"/>
                <w:color w:val="FF0000"/>
              </w:rPr>
            </w:pPr>
            <w:r>
              <w:rPr>
                <w:rFonts w:ascii="Calibri" w:hAnsi="Calibri" w:cs="Calibri"/>
                <w:color w:val="FF0000"/>
              </w:rPr>
              <w:t>273-</w:t>
            </w:r>
            <w:r w:rsidRPr="008723D5">
              <w:rPr>
                <w:rFonts w:ascii="Calibri" w:hAnsi="Calibri" w:cs="Calibri"/>
                <w:color w:val="FF0000"/>
              </w:rPr>
              <w:t>4224</w:t>
            </w:r>
          </w:p>
        </w:tc>
        <w:tc>
          <w:tcPr>
            <w:tcW w:w="1581" w:type="dxa"/>
            <w:tcBorders>
              <w:top w:val="single" w:sz="4" w:space="0" w:color="auto"/>
              <w:left w:val="single" w:sz="4" w:space="0" w:color="auto"/>
              <w:bottom w:val="single" w:sz="4" w:space="0" w:color="auto"/>
              <w:right w:val="single" w:sz="4" w:space="0" w:color="auto"/>
            </w:tcBorders>
            <w:vAlign w:val="bottom"/>
          </w:tcPr>
          <w:p w14:paraId="6C310AD7" w14:textId="50913131" w:rsidR="009E5B6E" w:rsidRPr="00901C2B" w:rsidRDefault="009E5B6E" w:rsidP="009E5B6E">
            <w:pPr>
              <w:autoSpaceDE w:val="0"/>
              <w:autoSpaceDN w:val="0"/>
              <w:adjustRightInd w:val="0"/>
              <w:spacing w:after="60"/>
              <w:jc w:val="right"/>
              <w:rPr>
                <w:rFonts w:cstheme="minorHAnsi"/>
                <w:color w:val="FF0000"/>
              </w:rPr>
            </w:pPr>
            <w:r w:rsidRPr="00991770">
              <w:rPr>
                <w:rFonts w:ascii="Calibri" w:hAnsi="Calibri" w:cs="Calibri"/>
                <w:color w:val="FF0000"/>
              </w:rPr>
              <w:t>0.974</w:t>
            </w:r>
          </w:p>
        </w:tc>
        <w:tc>
          <w:tcPr>
            <w:tcW w:w="802" w:type="dxa"/>
            <w:tcBorders>
              <w:top w:val="single" w:sz="4" w:space="0" w:color="auto"/>
              <w:left w:val="single" w:sz="4" w:space="0" w:color="auto"/>
              <w:bottom w:val="single" w:sz="4" w:space="0" w:color="auto"/>
              <w:right w:val="single" w:sz="4" w:space="0" w:color="auto"/>
            </w:tcBorders>
            <w:vAlign w:val="bottom"/>
          </w:tcPr>
          <w:p w14:paraId="3079C75B" w14:textId="6D1906CE" w:rsidR="009E5B6E" w:rsidRPr="00901C2B" w:rsidRDefault="009E5B6E" w:rsidP="009E5B6E">
            <w:pPr>
              <w:autoSpaceDE w:val="0"/>
              <w:autoSpaceDN w:val="0"/>
              <w:adjustRightInd w:val="0"/>
              <w:spacing w:after="60"/>
              <w:jc w:val="right"/>
              <w:rPr>
                <w:rFonts w:cstheme="minorHAnsi"/>
                <w:color w:val="FF0000"/>
              </w:rPr>
            </w:pPr>
            <w:r w:rsidRPr="008723D5">
              <w:rPr>
                <w:rFonts w:ascii="Calibri" w:hAnsi="Calibri" w:cs="Calibri"/>
                <w:color w:val="FF0000"/>
              </w:rPr>
              <w:t>0.001</w:t>
            </w:r>
          </w:p>
        </w:tc>
        <w:tc>
          <w:tcPr>
            <w:tcW w:w="1479" w:type="dxa"/>
            <w:tcBorders>
              <w:top w:val="single" w:sz="4" w:space="0" w:color="auto"/>
              <w:left w:val="single" w:sz="4" w:space="0" w:color="auto"/>
              <w:bottom w:val="single" w:sz="4" w:space="0" w:color="auto"/>
              <w:right w:val="single" w:sz="4" w:space="0" w:color="auto"/>
            </w:tcBorders>
            <w:vAlign w:val="bottom"/>
          </w:tcPr>
          <w:p w14:paraId="4AE1B22B" w14:textId="7426FD27" w:rsidR="009E5B6E" w:rsidRPr="00901C2B" w:rsidRDefault="009E5B6E" w:rsidP="009E5B6E">
            <w:pPr>
              <w:autoSpaceDE w:val="0"/>
              <w:autoSpaceDN w:val="0"/>
              <w:adjustRightInd w:val="0"/>
              <w:spacing w:after="60"/>
              <w:jc w:val="right"/>
              <w:rPr>
                <w:rFonts w:cstheme="minorHAnsi"/>
                <w:color w:val="FF0000"/>
              </w:rPr>
            </w:pPr>
            <w:r>
              <w:rPr>
                <w:rFonts w:ascii="Calibri" w:hAnsi="Calibri" w:cs="Calibri"/>
                <w:color w:val="FF0000"/>
              </w:rPr>
              <w:t>(</w:t>
            </w:r>
            <w:r w:rsidRPr="009F14F8">
              <w:rPr>
                <w:rFonts w:ascii="Calibri" w:hAnsi="Calibri" w:cs="Calibri"/>
                <w:color w:val="FF0000"/>
              </w:rPr>
              <w:t>0.971</w:t>
            </w:r>
            <w:r>
              <w:rPr>
                <w:rFonts w:ascii="Calibri" w:hAnsi="Calibri" w:cs="Calibri"/>
                <w:color w:val="FF0000"/>
              </w:rPr>
              <w:t>, 0.977)</w:t>
            </w:r>
          </w:p>
        </w:tc>
      </w:tr>
    </w:tbl>
    <w:p w14:paraId="08855A2C" w14:textId="77777777" w:rsidR="006F156D" w:rsidRPr="00901C2B" w:rsidRDefault="006F156D" w:rsidP="006F156D">
      <w:pPr>
        <w:spacing w:after="0" w:line="256" w:lineRule="auto"/>
        <w:rPr>
          <w:rFonts w:cstheme="minorHAnsi"/>
          <w:color w:val="FF0000"/>
          <w:sz w:val="18"/>
          <w:szCs w:val="18"/>
        </w:rPr>
      </w:pPr>
      <w:r w:rsidRPr="00901C2B">
        <w:rPr>
          <w:rFonts w:cstheme="minorHAnsi"/>
          <w:color w:val="FF0000"/>
          <w:sz w:val="18"/>
          <w:szCs w:val="18"/>
        </w:rPr>
        <w:t>SE: Standard Error of the mean.</w:t>
      </w:r>
    </w:p>
    <w:p w14:paraId="7C23C1C7" w14:textId="7EE0F849" w:rsidR="00901C2B" w:rsidRDefault="006F156D" w:rsidP="006F156D">
      <w:pPr>
        <w:pStyle w:val="NoSpacing"/>
        <w:rPr>
          <w:rFonts w:asciiTheme="minorHAnsi" w:hAnsiTheme="minorHAnsi"/>
          <w:b/>
          <w:color w:val="244061" w:themeColor="accent1" w:themeShade="80"/>
          <w:u w:val="single"/>
        </w:rPr>
      </w:pPr>
      <w:r w:rsidRPr="00901C2B">
        <w:rPr>
          <w:rFonts w:cstheme="minorHAnsi"/>
          <w:color w:val="FF0000"/>
          <w:sz w:val="18"/>
          <w:szCs w:val="18"/>
        </w:rPr>
        <w:t>95% CI: 95% confidence interval.</w:t>
      </w:r>
    </w:p>
    <w:p w14:paraId="1299512A" w14:textId="77777777" w:rsidR="004F1E0A" w:rsidRPr="009C3DC9" w:rsidRDefault="004F1E0A" w:rsidP="004F1E0A">
      <w:pPr>
        <w:spacing w:after="160" w:line="256" w:lineRule="auto"/>
        <w:rPr>
          <w:rFonts w:cstheme="minorHAnsi"/>
        </w:rPr>
      </w:pPr>
    </w:p>
    <w:p w14:paraId="1ECB8656" w14:textId="44E1FD20" w:rsidR="004F1E0A" w:rsidRPr="00C02128" w:rsidRDefault="004F1E0A" w:rsidP="004F1E0A">
      <w:pPr>
        <w:spacing w:after="160" w:line="256" w:lineRule="auto"/>
        <w:rPr>
          <w:rFonts w:cstheme="minorHAnsi"/>
          <w:color w:val="FF0000"/>
        </w:rPr>
      </w:pPr>
      <w:r w:rsidRPr="00C02128">
        <w:rPr>
          <w:rFonts w:cstheme="minorHAnsi"/>
          <w:color w:val="FF0000"/>
        </w:rPr>
        <w:t xml:space="preserve">Table 3a. Distribution of Plan-Level Signal-To-Noise Reliability for the </w:t>
      </w:r>
      <w:r w:rsidR="00C02128" w:rsidRPr="00C02128">
        <w:rPr>
          <w:rFonts w:cstheme="minorHAnsi"/>
          <w:color w:val="FF0000"/>
        </w:rPr>
        <w:t>Follow-Up after Hospitalization for Mental Illness</w:t>
      </w:r>
      <w:r w:rsidRPr="00C02128">
        <w:rPr>
          <w:rFonts w:cstheme="minorHAnsi"/>
          <w:i/>
          <w:iCs/>
          <w:color w:val="FF0000"/>
        </w:rPr>
        <w:t xml:space="preserve"> </w:t>
      </w:r>
      <w:r w:rsidR="00FC2C4D" w:rsidRPr="00FC2C4D">
        <w:rPr>
          <w:rFonts w:cstheme="minorHAnsi"/>
          <w:color w:val="FF0000"/>
        </w:rPr>
        <w:t>7-day</w:t>
      </w:r>
      <w:r w:rsidR="00FC2C4D">
        <w:rPr>
          <w:rFonts w:cstheme="minorHAnsi"/>
          <w:i/>
          <w:iCs/>
          <w:color w:val="FF0000"/>
        </w:rPr>
        <w:t xml:space="preserve"> </w:t>
      </w:r>
      <w:r w:rsidR="00C02128" w:rsidRPr="00C02128">
        <w:rPr>
          <w:rFonts w:cstheme="minorHAnsi"/>
          <w:color w:val="FF0000"/>
        </w:rPr>
        <w:t>m</w:t>
      </w:r>
      <w:r w:rsidRPr="00C02128">
        <w:rPr>
          <w:rFonts w:cstheme="minorHAnsi"/>
          <w:color w:val="FF0000"/>
        </w:rPr>
        <w:t>easure</w:t>
      </w:r>
      <w:r w:rsidR="00FC2C4D">
        <w:rPr>
          <w:rFonts w:cstheme="minorHAnsi"/>
          <w:color w:val="FF0000"/>
        </w:rPr>
        <w:t xml:space="preserve"> rate</w:t>
      </w:r>
      <w:r w:rsidRPr="00C02128">
        <w:rPr>
          <w:rFonts w:cstheme="minorHAnsi"/>
          <w:color w:val="FF0000"/>
        </w:rPr>
        <w:t xml:space="preserve"> by Terciles of the Denominator Size and for All Submissions by Plan Type, Calendar Year 201</w:t>
      </w:r>
      <w:r w:rsidR="00C02128" w:rsidRPr="00C02128">
        <w:rPr>
          <w:rFonts w:cstheme="minorHAnsi"/>
          <w:color w:val="FF0000"/>
        </w:rPr>
        <w:t>8</w:t>
      </w:r>
      <w:r w:rsidRPr="00C02128">
        <w:rPr>
          <w:rFonts w:cstheme="minorHAnsi"/>
          <w:color w:val="FF0000"/>
        </w:rPr>
        <w:t xml:space="preserve"> Data</w:t>
      </w:r>
    </w:p>
    <w:tbl>
      <w:tblPr>
        <w:tblStyle w:val="TableGrid"/>
        <w:tblW w:w="0" w:type="auto"/>
        <w:tblLook w:val="04A0" w:firstRow="1" w:lastRow="0" w:firstColumn="1" w:lastColumn="0" w:noHBand="0" w:noVBand="1"/>
      </w:tblPr>
      <w:tblGrid>
        <w:gridCol w:w="1857"/>
        <w:gridCol w:w="1074"/>
        <w:gridCol w:w="854"/>
        <w:gridCol w:w="926"/>
        <w:gridCol w:w="926"/>
        <w:gridCol w:w="926"/>
        <w:gridCol w:w="926"/>
        <w:gridCol w:w="926"/>
        <w:gridCol w:w="935"/>
      </w:tblGrid>
      <w:tr w:rsidR="00C73E11" w:rsidRPr="00C73E11" w14:paraId="434A9AAD" w14:textId="77777777" w:rsidTr="00050392">
        <w:tc>
          <w:tcPr>
            <w:tcW w:w="1857" w:type="dxa"/>
            <w:tcBorders>
              <w:top w:val="single" w:sz="4" w:space="0" w:color="auto"/>
              <w:left w:val="single" w:sz="4" w:space="0" w:color="auto"/>
              <w:bottom w:val="single" w:sz="4" w:space="0" w:color="auto"/>
              <w:right w:val="single" w:sz="4" w:space="0" w:color="auto"/>
            </w:tcBorders>
          </w:tcPr>
          <w:p w14:paraId="00ED4F10" w14:textId="77777777" w:rsidR="004F1E0A" w:rsidRPr="00C73E11" w:rsidRDefault="004F1E0A" w:rsidP="00050392">
            <w:pPr>
              <w:autoSpaceDE w:val="0"/>
              <w:autoSpaceDN w:val="0"/>
              <w:adjustRightInd w:val="0"/>
              <w:spacing w:after="60"/>
              <w:rPr>
                <w:rFonts w:cstheme="minorHAnsi"/>
                <w:color w:val="FF0000"/>
              </w:rPr>
            </w:pPr>
          </w:p>
        </w:tc>
        <w:tc>
          <w:tcPr>
            <w:tcW w:w="1074" w:type="dxa"/>
            <w:tcBorders>
              <w:top w:val="single" w:sz="4" w:space="0" w:color="auto"/>
              <w:left w:val="single" w:sz="4" w:space="0" w:color="auto"/>
              <w:bottom w:val="single" w:sz="4" w:space="0" w:color="auto"/>
              <w:right w:val="single" w:sz="4" w:space="0" w:color="auto"/>
            </w:tcBorders>
          </w:tcPr>
          <w:p w14:paraId="2AFEC6AC" w14:textId="77777777" w:rsidR="004F1E0A" w:rsidRPr="00C73E11" w:rsidRDefault="004F1E0A" w:rsidP="00050392">
            <w:pPr>
              <w:autoSpaceDE w:val="0"/>
              <w:autoSpaceDN w:val="0"/>
              <w:adjustRightInd w:val="0"/>
              <w:spacing w:after="60"/>
              <w:rPr>
                <w:rFonts w:cstheme="minorHAnsi"/>
                <w:color w:val="FF0000"/>
              </w:rPr>
            </w:pPr>
          </w:p>
        </w:tc>
        <w:tc>
          <w:tcPr>
            <w:tcW w:w="6419" w:type="dxa"/>
            <w:gridSpan w:val="7"/>
            <w:tcBorders>
              <w:top w:val="single" w:sz="4" w:space="0" w:color="auto"/>
              <w:left w:val="single" w:sz="4" w:space="0" w:color="auto"/>
              <w:bottom w:val="single" w:sz="4" w:space="0" w:color="auto"/>
              <w:right w:val="single" w:sz="4" w:space="0" w:color="auto"/>
            </w:tcBorders>
            <w:hideMark/>
          </w:tcPr>
          <w:p w14:paraId="0B186E42" w14:textId="77777777" w:rsidR="004F1E0A" w:rsidRPr="00C73E11" w:rsidRDefault="004F1E0A" w:rsidP="00050392">
            <w:pPr>
              <w:autoSpaceDE w:val="0"/>
              <w:autoSpaceDN w:val="0"/>
              <w:adjustRightInd w:val="0"/>
              <w:spacing w:after="60"/>
              <w:jc w:val="center"/>
              <w:rPr>
                <w:rFonts w:cstheme="minorHAnsi"/>
                <w:color w:val="FF0000"/>
              </w:rPr>
            </w:pPr>
            <w:r w:rsidRPr="00C73E11">
              <w:rPr>
                <w:rFonts w:cstheme="minorHAnsi"/>
                <w:color w:val="FF0000"/>
              </w:rPr>
              <w:t>Distribution of Plan Estimates of Signal-to-Noise Reliability</w:t>
            </w:r>
          </w:p>
        </w:tc>
      </w:tr>
      <w:tr w:rsidR="00C73E11" w:rsidRPr="00C73E11" w14:paraId="3671BBE6" w14:textId="77777777" w:rsidTr="008F5542">
        <w:tc>
          <w:tcPr>
            <w:tcW w:w="1857" w:type="dxa"/>
            <w:tcBorders>
              <w:top w:val="single" w:sz="4" w:space="0" w:color="auto"/>
              <w:left w:val="single" w:sz="4" w:space="0" w:color="auto"/>
              <w:bottom w:val="single" w:sz="4" w:space="0" w:color="auto"/>
              <w:right w:val="single" w:sz="4" w:space="0" w:color="auto"/>
            </w:tcBorders>
            <w:vAlign w:val="center"/>
            <w:hideMark/>
          </w:tcPr>
          <w:p w14:paraId="201CC5FD" w14:textId="77777777" w:rsidR="004F1E0A" w:rsidRPr="00C73E11" w:rsidRDefault="004F1E0A" w:rsidP="00050392">
            <w:pPr>
              <w:autoSpaceDE w:val="0"/>
              <w:autoSpaceDN w:val="0"/>
              <w:adjustRightInd w:val="0"/>
              <w:spacing w:after="60"/>
              <w:jc w:val="right"/>
              <w:rPr>
                <w:rFonts w:cstheme="minorHAnsi"/>
                <w:color w:val="FF0000"/>
              </w:rPr>
            </w:pPr>
            <w:r w:rsidRPr="00C73E11">
              <w:rPr>
                <w:rFonts w:cstheme="minorHAnsi"/>
                <w:color w:val="FF0000"/>
              </w:rPr>
              <w:t>Stratification</w:t>
            </w:r>
          </w:p>
        </w:tc>
        <w:tc>
          <w:tcPr>
            <w:tcW w:w="1074" w:type="dxa"/>
            <w:tcBorders>
              <w:top w:val="single" w:sz="4" w:space="0" w:color="auto"/>
              <w:left w:val="single" w:sz="4" w:space="0" w:color="auto"/>
              <w:bottom w:val="single" w:sz="4" w:space="0" w:color="auto"/>
              <w:right w:val="single" w:sz="4" w:space="0" w:color="auto"/>
            </w:tcBorders>
            <w:vAlign w:val="center"/>
            <w:hideMark/>
          </w:tcPr>
          <w:p w14:paraId="0AE442B2" w14:textId="77777777" w:rsidR="004F1E0A" w:rsidRPr="00C73E11" w:rsidRDefault="004F1E0A" w:rsidP="00050392">
            <w:pPr>
              <w:autoSpaceDE w:val="0"/>
              <w:autoSpaceDN w:val="0"/>
              <w:adjustRightInd w:val="0"/>
              <w:spacing w:after="60"/>
              <w:jc w:val="right"/>
              <w:rPr>
                <w:rFonts w:cstheme="minorHAnsi"/>
                <w:color w:val="FF0000"/>
              </w:rPr>
            </w:pPr>
            <w:r w:rsidRPr="00C73E11">
              <w:rPr>
                <w:rFonts w:cstheme="minorHAnsi"/>
                <w:color w:val="FF0000"/>
              </w:rPr>
              <w:t>Number of Plans</w:t>
            </w:r>
          </w:p>
        </w:tc>
        <w:tc>
          <w:tcPr>
            <w:tcW w:w="854" w:type="dxa"/>
            <w:tcBorders>
              <w:top w:val="single" w:sz="4" w:space="0" w:color="auto"/>
              <w:left w:val="single" w:sz="4" w:space="0" w:color="auto"/>
              <w:bottom w:val="single" w:sz="4" w:space="0" w:color="auto"/>
              <w:right w:val="single" w:sz="4" w:space="0" w:color="auto"/>
            </w:tcBorders>
            <w:vAlign w:val="center"/>
            <w:hideMark/>
          </w:tcPr>
          <w:p w14:paraId="71DF5A96" w14:textId="77777777" w:rsidR="004F1E0A" w:rsidRPr="00C73E11" w:rsidRDefault="004F1E0A" w:rsidP="00050392">
            <w:pPr>
              <w:autoSpaceDE w:val="0"/>
              <w:autoSpaceDN w:val="0"/>
              <w:adjustRightInd w:val="0"/>
              <w:spacing w:after="60"/>
              <w:jc w:val="right"/>
              <w:rPr>
                <w:rFonts w:cstheme="minorHAnsi"/>
                <w:color w:val="FF0000"/>
              </w:rPr>
            </w:pPr>
            <w:r w:rsidRPr="00C73E11">
              <w:rPr>
                <w:rFonts w:cstheme="minorHAnsi"/>
                <w:color w:val="FF0000"/>
              </w:rPr>
              <w:t>Min</w:t>
            </w:r>
          </w:p>
        </w:tc>
        <w:tc>
          <w:tcPr>
            <w:tcW w:w="926" w:type="dxa"/>
            <w:tcBorders>
              <w:top w:val="single" w:sz="4" w:space="0" w:color="auto"/>
              <w:left w:val="single" w:sz="4" w:space="0" w:color="auto"/>
              <w:bottom w:val="single" w:sz="4" w:space="0" w:color="auto"/>
              <w:right w:val="single" w:sz="4" w:space="0" w:color="auto"/>
            </w:tcBorders>
            <w:vAlign w:val="center"/>
            <w:hideMark/>
          </w:tcPr>
          <w:p w14:paraId="20A327FA" w14:textId="77777777" w:rsidR="004F1E0A" w:rsidRPr="00C73E11" w:rsidRDefault="004F1E0A" w:rsidP="00050392">
            <w:pPr>
              <w:autoSpaceDE w:val="0"/>
              <w:autoSpaceDN w:val="0"/>
              <w:adjustRightInd w:val="0"/>
              <w:spacing w:after="60"/>
              <w:jc w:val="right"/>
              <w:rPr>
                <w:rFonts w:cstheme="minorHAnsi"/>
                <w:color w:val="FF0000"/>
              </w:rPr>
            </w:pPr>
            <w:r w:rsidRPr="00C73E11">
              <w:rPr>
                <w:rFonts w:cstheme="minorHAnsi"/>
                <w:color w:val="FF0000"/>
              </w:rPr>
              <w:t>P10</w:t>
            </w:r>
          </w:p>
        </w:tc>
        <w:tc>
          <w:tcPr>
            <w:tcW w:w="926" w:type="dxa"/>
            <w:tcBorders>
              <w:top w:val="single" w:sz="4" w:space="0" w:color="auto"/>
              <w:left w:val="single" w:sz="4" w:space="0" w:color="auto"/>
              <w:bottom w:val="single" w:sz="4" w:space="0" w:color="auto"/>
              <w:right w:val="single" w:sz="4" w:space="0" w:color="auto"/>
            </w:tcBorders>
            <w:vAlign w:val="center"/>
            <w:hideMark/>
          </w:tcPr>
          <w:p w14:paraId="2E41627C" w14:textId="77777777" w:rsidR="004F1E0A" w:rsidRPr="00C73E11" w:rsidRDefault="004F1E0A" w:rsidP="00050392">
            <w:pPr>
              <w:autoSpaceDE w:val="0"/>
              <w:autoSpaceDN w:val="0"/>
              <w:adjustRightInd w:val="0"/>
              <w:spacing w:after="60"/>
              <w:jc w:val="right"/>
              <w:rPr>
                <w:rFonts w:cstheme="minorHAnsi"/>
                <w:color w:val="FF0000"/>
              </w:rPr>
            </w:pPr>
            <w:r w:rsidRPr="00C73E11">
              <w:rPr>
                <w:rFonts w:cstheme="minorHAnsi"/>
                <w:color w:val="FF0000"/>
              </w:rPr>
              <w:t>P25</w:t>
            </w:r>
          </w:p>
        </w:tc>
        <w:tc>
          <w:tcPr>
            <w:tcW w:w="926" w:type="dxa"/>
            <w:tcBorders>
              <w:top w:val="single" w:sz="4" w:space="0" w:color="auto"/>
              <w:left w:val="single" w:sz="4" w:space="0" w:color="auto"/>
              <w:bottom w:val="single" w:sz="4" w:space="0" w:color="auto"/>
              <w:right w:val="single" w:sz="4" w:space="0" w:color="auto"/>
            </w:tcBorders>
            <w:vAlign w:val="center"/>
            <w:hideMark/>
          </w:tcPr>
          <w:p w14:paraId="1D6BFF86" w14:textId="77777777" w:rsidR="004F1E0A" w:rsidRPr="00C73E11" w:rsidRDefault="004F1E0A" w:rsidP="00050392">
            <w:pPr>
              <w:autoSpaceDE w:val="0"/>
              <w:autoSpaceDN w:val="0"/>
              <w:adjustRightInd w:val="0"/>
              <w:spacing w:after="60"/>
              <w:jc w:val="right"/>
              <w:rPr>
                <w:rFonts w:cstheme="minorHAnsi"/>
                <w:color w:val="FF0000"/>
              </w:rPr>
            </w:pPr>
            <w:r w:rsidRPr="00C73E11">
              <w:rPr>
                <w:rFonts w:cstheme="minorHAnsi"/>
                <w:color w:val="FF0000"/>
              </w:rPr>
              <w:t>P50</w:t>
            </w:r>
          </w:p>
        </w:tc>
        <w:tc>
          <w:tcPr>
            <w:tcW w:w="926" w:type="dxa"/>
            <w:tcBorders>
              <w:top w:val="single" w:sz="4" w:space="0" w:color="auto"/>
              <w:left w:val="single" w:sz="4" w:space="0" w:color="auto"/>
              <w:bottom w:val="single" w:sz="4" w:space="0" w:color="auto"/>
              <w:right w:val="single" w:sz="4" w:space="0" w:color="auto"/>
            </w:tcBorders>
            <w:vAlign w:val="center"/>
            <w:hideMark/>
          </w:tcPr>
          <w:p w14:paraId="53366E4D" w14:textId="77777777" w:rsidR="004F1E0A" w:rsidRPr="00C73E11" w:rsidRDefault="004F1E0A" w:rsidP="00050392">
            <w:pPr>
              <w:autoSpaceDE w:val="0"/>
              <w:autoSpaceDN w:val="0"/>
              <w:adjustRightInd w:val="0"/>
              <w:spacing w:after="60"/>
              <w:jc w:val="right"/>
              <w:rPr>
                <w:rFonts w:cstheme="minorHAnsi"/>
                <w:color w:val="FF0000"/>
              </w:rPr>
            </w:pPr>
            <w:r w:rsidRPr="00C73E11">
              <w:rPr>
                <w:rFonts w:cstheme="minorHAnsi"/>
                <w:color w:val="FF0000"/>
              </w:rPr>
              <w:t>P75</w:t>
            </w:r>
          </w:p>
        </w:tc>
        <w:tc>
          <w:tcPr>
            <w:tcW w:w="926" w:type="dxa"/>
            <w:tcBorders>
              <w:top w:val="single" w:sz="4" w:space="0" w:color="auto"/>
              <w:left w:val="single" w:sz="4" w:space="0" w:color="auto"/>
              <w:bottom w:val="single" w:sz="4" w:space="0" w:color="auto"/>
              <w:right w:val="single" w:sz="4" w:space="0" w:color="auto"/>
            </w:tcBorders>
            <w:vAlign w:val="center"/>
            <w:hideMark/>
          </w:tcPr>
          <w:p w14:paraId="6A3269C5" w14:textId="77777777" w:rsidR="004F1E0A" w:rsidRPr="00C73E11" w:rsidRDefault="004F1E0A" w:rsidP="00050392">
            <w:pPr>
              <w:autoSpaceDE w:val="0"/>
              <w:autoSpaceDN w:val="0"/>
              <w:adjustRightInd w:val="0"/>
              <w:spacing w:after="60"/>
              <w:jc w:val="right"/>
              <w:rPr>
                <w:rFonts w:cstheme="minorHAnsi"/>
                <w:color w:val="FF0000"/>
              </w:rPr>
            </w:pPr>
            <w:r w:rsidRPr="00C73E11">
              <w:rPr>
                <w:rFonts w:cstheme="minorHAnsi"/>
                <w:color w:val="FF0000"/>
              </w:rPr>
              <w:t>P90</w:t>
            </w:r>
          </w:p>
        </w:tc>
        <w:tc>
          <w:tcPr>
            <w:tcW w:w="935" w:type="dxa"/>
            <w:tcBorders>
              <w:top w:val="single" w:sz="4" w:space="0" w:color="auto"/>
              <w:left w:val="single" w:sz="4" w:space="0" w:color="auto"/>
              <w:bottom w:val="single" w:sz="4" w:space="0" w:color="auto"/>
              <w:right w:val="single" w:sz="4" w:space="0" w:color="auto"/>
            </w:tcBorders>
            <w:vAlign w:val="center"/>
            <w:hideMark/>
          </w:tcPr>
          <w:p w14:paraId="2B1096B1" w14:textId="77777777" w:rsidR="004F1E0A" w:rsidRPr="00C73E11" w:rsidRDefault="004F1E0A" w:rsidP="00050392">
            <w:pPr>
              <w:autoSpaceDE w:val="0"/>
              <w:autoSpaceDN w:val="0"/>
              <w:adjustRightInd w:val="0"/>
              <w:spacing w:after="60"/>
              <w:jc w:val="right"/>
              <w:rPr>
                <w:rFonts w:cstheme="minorHAnsi"/>
                <w:color w:val="FF0000"/>
              </w:rPr>
            </w:pPr>
            <w:r w:rsidRPr="00C73E11">
              <w:rPr>
                <w:rFonts w:cstheme="minorHAnsi"/>
                <w:color w:val="FF0000"/>
              </w:rPr>
              <w:t>Max</w:t>
            </w:r>
          </w:p>
        </w:tc>
      </w:tr>
      <w:tr w:rsidR="00C73E11" w:rsidRPr="00C73E11" w14:paraId="6DE9AFCB" w14:textId="77777777" w:rsidTr="00C73E11">
        <w:tc>
          <w:tcPr>
            <w:tcW w:w="185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44237DA" w14:textId="77777777" w:rsidR="00C704E3" w:rsidRPr="00C73E11" w:rsidRDefault="00C704E3" w:rsidP="00C704E3">
            <w:pPr>
              <w:autoSpaceDE w:val="0"/>
              <w:autoSpaceDN w:val="0"/>
              <w:adjustRightInd w:val="0"/>
              <w:spacing w:after="60"/>
              <w:rPr>
                <w:rFonts w:cstheme="minorHAnsi"/>
                <w:b/>
                <w:bCs/>
                <w:color w:val="FF0000"/>
              </w:rPr>
            </w:pPr>
            <w:r w:rsidRPr="00C73E11">
              <w:rPr>
                <w:rFonts w:cstheme="minorHAnsi"/>
                <w:b/>
                <w:bCs/>
                <w:color w:val="FF0000"/>
              </w:rPr>
              <w:t>All Commercial</w:t>
            </w:r>
          </w:p>
        </w:tc>
        <w:tc>
          <w:tcPr>
            <w:tcW w:w="1074" w:type="dxa"/>
            <w:tcBorders>
              <w:top w:val="single" w:sz="4" w:space="0" w:color="auto"/>
              <w:left w:val="nil"/>
              <w:bottom w:val="single" w:sz="4" w:space="0" w:color="auto"/>
              <w:right w:val="single" w:sz="4" w:space="0" w:color="auto"/>
            </w:tcBorders>
            <w:shd w:val="clear" w:color="auto" w:fill="D9D9D9"/>
            <w:vAlign w:val="bottom"/>
          </w:tcPr>
          <w:p w14:paraId="3B65831B" w14:textId="64791004" w:rsidR="00C704E3" w:rsidRPr="00C73E11" w:rsidRDefault="00C704E3" w:rsidP="00C704E3">
            <w:pPr>
              <w:autoSpaceDE w:val="0"/>
              <w:autoSpaceDN w:val="0"/>
              <w:adjustRightInd w:val="0"/>
              <w:spacing w:after="60"/>
              <w:jc w:val="right"/>
              <w:rPr>
                <w:rFonts w:cstheme="minorHAnsi"/>
                <w:b/>
                <w:bCs/>
                <w:color w:val="FF0000"/>
              </w:rPr>
            </w:pPr>
            <w:r w:rsidRPr="00C73E11">
              <w:rPr>
                <w:rFonts w:ascii="Calibri" w:hAnsi="Calibri" w:cs="Calibri"/>
                <w:b/>
                <w:bCs/>
                <w:color w:val="FF0000"/>
              </w:rPr>
              <w:t>361</w:t>
            </w:r>
          </w:p>
        </w:tc>
        <w:tc>
          <w:tcPr>
            <w:tcW w:w="854" w:type="dxa"/>
            <w:tcBorders>
              <w:top w:val="single" w:sz="4" w:space="0" w:color="auto"/>
              <w:left w:val="single" w:sz="4" w:space="0" w:color="auto"/>
              <w:bottom w:val="single" w:sz="4" w:space="0" w:color="auto"/>
              <w:right w:val="single" w:sz="4" w:space="0" w:color="auto"/>
            </w:tcBorders>
            <w:shd w:val="clear" w:color="auto" w:fill="D9D9D9"/>
            <w:vAlign w:val="bottom"/>
          </w:tcPr>
          <w:p w14:paraId="406385A4" w14:textId="23A7F1E0" w:rsidR="00C704E3" w:rsidRPr="00C73E11" w:rsidRDefault="00C704E3" w:rsidP="00C704E3">
            <w:pPr>
              <w:autoSpaceDE w:val="0"/>
              <w:autoSpaceDN w:val="0"/>
              <w:adjustRightInd w:val="0"/>
              <w:spacing w:after="60"/>
              <w:jc w:val="right"/>
              <w:rPr>
                <w:rFonts w:cstheme="minorHAnsi"/>
                <w:b/>
                <w:bCs/>
                <w:color w:val="FF0000"/>
              </w:rPr>
            </w:pPr>
            <w:r w:rsidRPr="00C73E11">
              <w:rPr>
                <w:rFonts w:ascii="Calibri" w:hAnsi="Calibri" w:cs="Calibri"/>
                <w:b/>
                <w:bCs/>
                <w:color w:val="FF0000"/>
              </w:rPr>
              <w:t>0.567</w:t>
            </w:r>
          </w:p>
        </w:tc>
        <w:tc>
          <w:tcPr>
            <w:tcW w:w="926" w:type="dxa"/>
            <w:tcBorders>
              <w:top w:val="single" w:sz="4" w:space="0" w:color="auto"/>
              <w:left w:val="single" w:sz="4" w:space="0" w:color="auto"/>
              <w:bottom w:val="single" w:sz="4" w:space="0" w:color="auto"/>
              <w:right w:val="single" w:sz="4" w:space="0" w:color="auto"/>
            </w:tcBorders>
            <w:shd w:val="clear" w:color="auto" w:fill="D9D9D9"/>
            <w:vAlign w:val="bottom"/>
          </w:tcPr>
          <w:p w14:paraId="450AAE75" w14:textId="25CEB37F" w:rsidR="00C704E3" w:rsidRPr="00C73E11" w:rsidRDefault="00C704E3" w:rsidP="00C704E3">
            <w:pPr>
              <w:autoSpaceDE w:val="0"/>
              <w:autoSpaceDN w:val="0"/>
              <w:adjustRightInd w:val="0"/>
              <w:spacing w:after="60"/>
              <w:jc w:val="right"/>
              <w:rPr>
                <w:rFonts w:cstheme="minorHAnsi"/>
                <w:b/>
                <w:bCs/>
                <w:color w:val="FF0000"/>
              </w:rPr>
            </w:pPr>
            <w:r w:rsidRPr="00C73E11">
              <w:rPr>
                <w:rFonts w:ascii="Calibri" w:hAnsi="Calibri" w:cs="Calibri"/>
                <w:b/>
                <w:bCs/>
                <w:color w:val="FF0000"/>
              </w:rPr>
              <w:t>0.708</w:t>
            </w:r>
          </w:p>
        </w:tc>
        <w:tc>
          <w:tcPr>
            <w:tcW w:w="926" w:type="dxa"/>
            <w:tcBorders>
              <w:top w:val="single" w:sz="4" w:space="0" w:color="auto"/>
              <w:left w:val="single" w:sz="4" w:space="0" w:color="auto"/>
              <w:bottom w:val="single" w:sz="4" w:space="0" w:color="auto"/>
              <w:right w:val="single" w:sz="4" w:space="0" w:color="auto"/>
            </w:tcBorders>
            <w:shd w:val="clear" w:color="auto" w:fill="D9D9D9"/>
            <w:vAlign w:val="bottom"/>
          </w:tcPr>
          <w:p w14:paraId="45D39C17" w14:textId="0434B7D0" w:rsidR="00C704E3" w:rsidRPr="00C73E11" w:rsidRDefault="00C704E3" w:rsidP="00C704E3">
            <w:pPr>
              <w:autoSpaceDE w:val="0"/>
              <w:autoSpaceDN w:val="0"/>
              <w:adjustRightInd w:val="0"/>
              <w:spacing w:after="60"/>
              <w:jc w:val="right"/>
              <w:rPr>
                <w:rFonts w:cstheme="minorHAnsi"/>
                <w:b/>
                <w:bCs/>
                <w:color w:val="FF0000"/>
              </w:rPr>
            </w:pPr>
            <w:r w:rsidRPr="00C73E11">
              <w:rPr>
                <w:rFonts w:ascii="Calibri" w:hAnsi="Calibri" w:cs="Calibri"/>
                <w:b/>
                <w:bCs/>
                <w:color w:val="FF0000"/>
              </w:rPr>
              <w:t>0.826</w:t>
            </w:r>
          </w:p>
        </w:tc>
        <w:tc>
          <w:tcPr>
            <w:tcW w:w="926" w:type="dxa"/>
            <w:tcBorders>
              <w:top w:val="single" w:sz="4" w:space="0" w:color="auto"/>
              <w:left w:val="single" w:sz="4" w:space="0" w:color="auto"/>
              <w:bottom w:val="single" w:sz="4" w:space="0" w:color="auto"/>
              <w:right w:val="single" w:sz="4" w:space="0" w:color="auto"/>
            </w:tcBorders>
            <w:shd w:val="clear" w:color="auto" w:fill="D9D9D9"/>
            <w:vAlign w:val="bottom"/>
          </w:tcPr>
          <w:p w14:paraId="6217F32C" w14:textId="3C8BDAD8" w:rsidR="00C704E3" w:rsidRPr="00C73E11" w:rsidRDefault="00C704E3" w:rsidP="00C704E3">
            <w:pPr>
              <w:autoSpaceDE w:val="0"/>
              <w:autoSpaceDN w:val="0"/>
              <w:adjustRightInd w:val="0"/>
              <w:spacing w:after="60"/>
              <w:jc w:val="right"/>
              <w:rPr>
                <w:rFonts w:cstheme="minorHAnsi"/>
                <w:b/>
                <w:bCs/>
                <w:color w:val="FF0000"/>
              </w:rPr>
            </w:pPr>
            <w:r w:rsidRPr="00C73E11">
              <w:rPr>
                <w:rFonts w:ascii="Calibri" w:hAnsi="Calibri" w:cs="Calibri"/>
                <w:b/>
                <w:bCs/>
                <w:color w:val="FF0000"/>
              </w:rPr>
              <w:t>0.884</w:t>
            </w:r>
          </w:p>
        </w:tc>
        <w:tc>
          <w:tcPr>
            <w:tcW w:w="926" w:type="dxa"/>
            <w:tcBorders>
              <w:top w:val="single" w:sz="4" w:space="0" w:color="auto"/>
              <w:left w:val="single" w:sz="4" w:space="0" w:color="auto"/>
              <w:bottom w:val="single" w:sz="4" w:space="0" w:color="auto"/>
              <w:right w:val="single" w:sz="4" w:space="0" w:color="auto"/>
            </w:tcBorders>
            <w:shd w:val="clear" w:color="auto" w:fill="D9D9D9"/>
            <w:vAlign w:val="bottom"/>
          </w:tcPr>
          <w:p w14:paraId="4BD8D080" w14:textId="1DEFC8E5" w:rsidR="00C704E3" w:rsidRPr="00C73E11" w:rsidRDefault="00C704E3" w:rsidP="00C704E3">
            <w:pPr>
              <w:autoSpaceDE w:val="0"/>
              <w:autoSpaceDN w:val="0"/>
              <w:adjustRightInd w:val="0"/>
              <w:spacing w:after="60"/>
              <w:jc w:val="right"/>
              <w:rPr>
                <w:rFonts w:cstheme="minorHAnsi"/>
                <w:b/>
                <w:bCs/>
                <w:color w:val="FF0000"/>
              </w:rPr>
            </w:pPr>
            <w:r w:rsidRPr="00C73E11">
              <w:rPr>
                <w:rFonts w:ascii="Calibri" w:hAnsi="Calibri" w:cs="Calibri"/>
                <w:b/>
                <w:bCs/>
                <w:color w:val="FF0000"/>
              </w:rPr>
              <w:t>0.972</w:t>
            </w:r>
          </w:p>
        </w:tc>
        <w:tc>
          <w:tcPr>
            <w:tcW w:w="926" w:type="dxa"/>
            <w:tcBorders>
              <w:top w:val="single" w:sz="4" w:space="0" w:color="auto"/>
              <w:left w:val="single" w:sz="4" w:space="0" w:color="auto"/>
              <w:bottom w:val="single" w:sz="4" w:space="0" w:color="auto"/>
              <w:right w:val="single" w:sz="4" w:space="0" w:color="auto"/>
            </w:tcBorders>
            <w:shd w:val="clear" w:color="auto" w:fill="D9D9D9"/>
            <w:vAlign w:val="bottom"/>
          </w:tcPr>
          <w:p w14:paraId="57C39F75" w14:textId="37B3174B" w:rsidR="00C704E3" w:rsidRPr="00C73E11" w:rsidRDefault="00C704E3" w:rsidP="00C704E3">
            <w:pPr>
              <w:autoSpaceDE w:val="0"/>
              <w:autoSpaceDN w:val="0"/>
              <w:adjustRightInd w:val="0"/>
              <w:spacing w:after="60"/>
              <w:jc w:val="right"/>
              <w:rPr>
                <w:rFonts w:cstheme="minorHAnsi"/>
                <w:b/>
                <w:bCs/>
                <w:color w:val="FF0000"/>
              </w:rPr>
            </w:pPr>
            <w:r w:rsidRPr="00C73E11">
              <w:rPr>
                <w:rFonts w:ascii="Calibri" w:hAnsi="Calibri" w:cs="Calibri"/>
                <w:b/>
                <w:bCs/>
                <w:color w:val="FF0000"/>
              </w:rPr>
              <w:t>0.987</w:t>
            </w:r>
          </w:p>
        </w:tc>
        <w:tc>
          <w:tcPr>
            <w:tcW w:w="935" w:type="dxa"/>
            <w:tcBorders>
              <w:top w:val="single" w:sz="4" w:space="0" w:color="auto"/>
              <w:left w:val="single" w:sz="4" w:space="0" w:color="auto"/>
              <w:bottom w:val="single" w:sz="4" w:space="0" w:color="auto"/>
              <w:right w:val="single" w:sz="4" w:space="0" w:color="auto"/>
            </w:tcBorders>
            <w:shd w:val="clear" w:color="auto" w:fill="D9D9D9"/>
            <w:vAlign w:val="bottom"/>
          </w:tcPr>
          <w:p w14:paraId="06C926FF" w14:textId="1EC7B639" w:rsidR="00C704E3" w:rsidRPr="00C73E11" w:rsidRDefault="00C704E3" w:rsidP="00C704E3">
            <w:pPr>
              <w:autoSpaceDE w:val="0"/>
              <w:autoSpaceDN w:val="0"/>
              <w:adjustRightInd w:val="0"/>
              <w:spacing w:after="60"/>
              <w:jc w:val="right"/>
              <w:rPr>
                <w:rFonts w:cstheme="minorHAnsi"/>
                <w:b/>
                <w:bCs/>
                <w:color w:val="FF0000"/>
              </w:rPr>
            </w:pPr>
            <w:r w:rsidRPr="00C73E11">
              <w:rPr>
                <w:rFonts w:ascii="Calibri" w:hAnsi="Calibri" w:cs="Calibri"/>
                <w:b/>
                <w:bCs/>
                <w:color w:val="FF0000"/>
              </w:rPr>
              <w:t>1.000</w:t>
            </w:r>
          </w:p>
        </w:tc>
      </w:tr>
      <w:tr w:rsidR="00C73E11" w:rsidRPr="00C73E11" w14:paraId="709783B7" w14:textId="77777777" w:rsidTr="008F5542">
        <w:tc>
          <w:tcPr>
            <w:tcW w:w="1857" w:type="dxa"/>
            <w:tcBorders>
              <w:top w:val="single" w:sz="4" w:space="0" w:color="auto"/>
              <w:left w:val="single" w:sz="4" w:space="0" w:color="auto"/>
              <w:bottom w:val="single" w:sz="4" w:space="0" w:color="auto"/>
              <w:right w:val="single" w:sz="4" w:space="0" w:color="auto"/>
            </w:tcBorders>
            <w:hideMark/>
          </w:tcPr>
          <w:p w14:paraId="3909F090" w14:textId="77777777" w:rsidR="009974C8" w:rsidRPr="00C73E11" w:rsidRDefault="009974C8" w:rsidP="009974C8">
            <w:pPr>
              <w:autoSpaceDE w:val="0"/>
              <w:autoSpaceDN w:val="0"/>
              <w:adjustRightInd w:val="0"/>
              <w:spacing w:after="60"/>
              <w:jc w:val="right"/>
              <w:rPr>
                <w:rFonts w:cstheme="minorHAnsi"/>
                <w:color w:val="FF0000"/>
              </w:rPr>
            </w:pPr>
            <w:r w:rsidRPr="00C73E11">
              <w:rPr>
                <w:rFonts w:cstheme="minorHAnsi"/>
                <w:color w:val="FF0000"/>
              </w:rPr>
              <w:t>Tercile 1</w:t>
            </w:r>
          </w:p>
        </w:tc>
        <w:tc>
          <w:tcPr>
            <w:tcW w:w="1074" w:type="dxa"/>
            <w:tcBorders>
              <w:top w:val="single" w:sz="4" w:space="0" w:color="auto"/>
              <w:left w:val="single" w:sz="4" w:space="0" w:color="auto"/>
              <w:bottom w:val="single" w:sz="4" w:space="0" w:color="auto"/>
              <w:right w:val="single" w:sz="4" w:space="0" w:color="auto"/>
            </w:tcBorders>
            <w:vAlign w:val="bottom"/>
          </w:tcPr>
          <w:p w14:paraId="4D5E9ADB" w14:textId="77931F24" w:rsidR="009974C8" w:rsidRPr="00C73E11" w:rsidRDefault="009974C8" w:rsidP="009974C8">
            <w:pPr>
              <w:autoSpaceDE w:val="0"/>
              <w:autoSpaceDN w:val="0"/>
              <w:adjustRightInd w:val="0"/>
              <w:spacing w:after="60"/>
              <w:jc w:val="right"/>
              <w:rPr>
                <w:rFonts w:cstheme="minorHAnsi"/>
                <w:color w:val="FF0000"/>
              </w:rPr>
            </w:pPr>
            <w:r w:rsidRPr="00C73E11">
              <w:rPr>
                <w:rFonts w:ascii="Calibri" w:hAnsi="Calibri" w:cs="Calibri"/>
                <w:color w:val="FF0000"/>
              </w:rPr>
              <w:t>120</w:t>
            </w:r>
          </w:p>
        </w:tc>
        <w:tc>
          <w:tcPr>
            <w:tcW w:w="854" w:type="dxa"/>
            <w:tcBorders>
              <w:top w:val="single" w:sz="4" w:space="0" w:color="auto"/>
              <w:left w:val="single" w:sz="4" w:space="0" w:color="auto"/>
              <w:bottom w:val="single" w:sz="4" w:space="0" w:color="auto"/>
              <w:right w:val="single" w:sz="4" w:space="0" w:color="auto"/>
            </w:tcBorders>
            <w:vAlign w:val="bottom"/>
          </w:tcPr>
          <w:p w14:paraId="41679588" w14:textId="621EB05F" w:rsidR="009974C8" w:rsidRPr="00C73E11" w:rsidRDefault="009974C8" w:rsidP="009974C8">
            <w:pPr>
              <w:autoSpaceDE w:val="0"/>
              <w:autoSpaceDN w:val="0"/>
              <w:adjustRightInd w:val="0"/>
              <w:spacing w:after="60"/>
              <w:jc w:val="right"/>
              <w:rPr>
                <w:rFonts w:cstheme="minorHAnsi"/>
                <w:color w:val="FF0000"/>
              </w:rPr>
            </w:pPr>
            <w:r w:rsidRPr="00C73E11">
              <w:rPr>
                <w:rFonts w:ascii="Calibri" w:hAnsi="Calibri" w:cs="Calibri"/>
                <w:color w:val="FF0000"/>
              </w:rPr>
              <w:t>0.608</w:t>
            </w:r>
          </w:p>
        </w:tc>
        <w:tc>
          <w:tcPr>
            <w:tcW w:w="926" w:type="dxa"/>
            <w:tcBorders>
              <w:top w:val="single" w:sz="4" w:space="0" w:color="auto"/>
              <w:left w:val="single" w:sz="4" w:space="0" w:color="auto"/>
              <w:bottom w:val="single" w:sz="4" w:space="0" w:color="auto"/>
              <w:right w:val="single" w:sz="4" w:space="0" w:color="auto"/>
            </w:tcBorders>
            <w:vAlign w:val="bottom"/>
          </w:tcPr>
          <w:p w14:paraId="3DE0514E" w14:textId="4E6115EF" w:rsidR="009974C8" w:rsidRPr="00C73E11" w:rsidRDefault="009974C8" w:rsidP="009974C8">
            <w:pPr>
              <w:autoSpaceDE w:val="0"/>
              <w:autoSpaceDN w:val="0"/>
              <w:adjustRightInd w:val="0"/>
              <w:spacing w:after="60"/>
              <w:jc w:val="right"/>
              <w:rPr>
                <w:rFonts w:cstheme="minorHAnsi"/>
                <w:color w:val="FF0000"/>
              </w:rPr>
            </w:pPr>
            <w:r w:rsidRPr="00C73E11">
              <w:rPr>
                <w:rFonts w:ascii="Calibri" w:hAnsi="Calibri" w:cs="Calibri"/>
                <w:color w:val="FF0000"/>
              </w:rPr>
              <w:t>0.670</w:t>
            </w:r>
          </w:p>
        </w:tc>
        <w:tc>
          <w:tcPr>
            <w:tcW w:w="926" w:type="dxa"/>
            <w:tcBorders>
              <w:top w:val="single" w:sz="4" w:space="0" w:color="auto"/>
              <w:left w:val="single" w:sz="4" w:space="0" w:color="auto"/>
              <w:bottom w:val="single" w:sz="4" w:space="0" w:color="auto"/>
              <w:right w:val="single" w:sz="4" w:space="0" w:color="auto"/>
            </w:tcBorders>
            <w:vAlign w:val="bottom"/>
          </w:tcPr>
          <w:p w14:paraId="619C0170" w14:textId="7D936177" w:rsidR="009974C8" w:rsidRPr="00C73E11" w:rsidRDefault="009974C8" w:rsidP="009974C8">
            <w:pPr>
              <w:autoSpaceDE w:val="0"/>
              <w:autoSpaceDN w:val="0"/>
              <w:adjustRightInd w:val="0"/>
              <w:spacing w:after="60"/>
              <w:jc w:val="right"/>
              <w:rPr>
                <w:rFonts w:cstheme="minorHAnsi"/>
                <w:color w:val="FF0000"/>
              </w:rPr>
            </w:pPr>
            <w:r w:rsidRPr="00C73E11">
              <w:rPr>
                <w:rFonts w:ascii="Calibri" w:hAnsi="Calibri" w:cs="Calibri"/>
                <w:color w:val="FF0000"/>
              </w:rPr>
              <w:t>0.735</w:t>
            </w:r>
          </w:p>
        </w:tc>
        <w:tc>
          <w:tcPr>
            <w:tcW w:w="926" w:type="dxa"/>
            <w:tcBorders>
              <w:top w:val="single" w:sz="4" w:space="0" w:color="auto"/>
              <w:left w:val="single" w:sz="4" w:space="0" w:color="auto"/>
              <w:bottom w:val="single" w:sz="4" w:space="0" w:color="auto"/>
              <w:right w:val="single" w:sz="4" w:space="0" w:color="auto"/>
            </w:tcBorders>
            <w:vAlign w:val="bottom"/>
          </w:tcPr>
          <w:p w14:paraId="38F0194D" w14:textId="1A0F04CC" w:rsidR="009974C8" w:rsidRPr="00C73E11" w:rsidRDefault="009974C8" w:rsidP="009974C8">
            <w:pPr>
              <w:autoSpaceDE w:val="0"/>
              <w:autoSpaceDN w:val="0"/>
              <w:adjustRightInd w:val="0"/>
              <w:spacing w:after="60"/>
              <w:jc w:val="right"/>
              <w:rPr>
                <w:rFonts w:cstheme="minorHAnsi"/>
                <w:color w:val="FF0000"/>
              </w:rPr>
            </w:pPr>
            <w:r w:rsidRPr="00C73E11">
              <w:rPr>
                <w:rFonts w:ascii="Calibri" w:hAnsi="Calibri" w:cs="Calibri"/>
                <w:color w:val="FF0000"/>
              </w:rPr>
              <w:t>0.783</w:t>
            </w:r>
          </w:p>
        </w:tc>
        <w:tc>
          <w:tcPr>
            <w:tcW w:w="926" w:type="dxa"/>
            <w:tcBorders>
              <w:top w:val="single" w:sz="4" w:space="0" w:color="auto"/>
              <w:left w:val="single" w:sz="4" w:space="0" w:color="auto"/>
              <w:bottom w:val="single" w:sz="4" w:space="0" w:color="auto"/>
              <w:right w:val="single" w:sz="4" w:space="0" w:color="auto"/>
            </w:tcBorders>
            <w:vAlign w:val="bottom"/>
          </w:tcPr>
          <w:p w14:paraId="6E078339" w14:textId="4D37D59C" w:rsidR="009974C8" w:rsidRPr="00C73E11" w:rsidRDefault="009974C8" w:rsidP="009974C8">
            <w:pPr>
              <w:autoSpaceDE w:val="0"/>
              <w:autoSpaceDN w:val="0"/>
              <w:adjustRightInd w:val="0"/>
              <w:spacing w:after="60"/>
              <w:jc w:val="right"/>
              <w:rPr>
                <w:rFonts w:cstheme="minorHAnsi"/>
                <w:color w:val="FF0000"/>
              </w:rPr>
            </w:pPr>
            <w:r w:rsidRPr="00C73E11">
              <w:rPr>
                <w:rFonts w:ascii="Calibri" w:hAnsi="Calibri" w:cs="Calibri"/>
                <w:color w:val="FF0000"/>
              </w:rPr>
              <w:t>0.849</w:t>
            </w:r>
          </w:p>
        </w:tc>
        <w:tc>
          <w:tcPr>
            <w:tcW w:w="926" w:type="dxa"/>
            <w:tcBorders>
              <w:top w:val="single" w:sz="4" w:space="0" w:color="auto"/>
              <w:left w:val="single" w:sz="4" w:space="0" w:color="auto"/>
              <w:bottom w:val="single" w:sz="4" w:space="0" w:color="auto"/>
              <w:right w:val="single" w:sz="4" w:space="0" w:color="auto"/>
            </w:tcBorders>
            <w:vAlign w:val="bottom"/>
          </w:tcPr>
          <w:p w14:paraId="31422342" w14:textId="720A90CB" w:rsidR="009974C8" w:rsidRPr="00C73E11" w:rsidRDefault="009974C8" w:rsidP="009974C8">
            <w:pPr>
              <w:autoSpaceDE w:val="0"/>
              <w:autoSpaceDN w:val="0"/>
              <w:adjustRightInd w:val="0"/>
              <w:spacing w:after="60"/>
              <w:jc w:val="right"/>
              <w:rPr>
                <w:rFonts w:cstheme="minorHAnsi"/>
                <w:color w:val="FF0000"/>
              </w:rPr>
            </w:pPr>
            <w:r w:rsidRPr="00C73E11">
              <w:rPr>
                <w:rFonts w:ascii="Calibri" w:hAnsi="Calibri" w:cs="Calibri"/>
                <w:color w:val="FF0000"/>
              </w:rPr>
              <w:t>0.865</w:t>
            </w:r>
          </w:p>
        </w:tc>
        <w:tc>
          <w:tcPr>
            <w:tcW w:w="935" w:type="dxa"/>
            <w:tcBorders>
              <w:top w:val="single" w:sz="4" w:space="0" w:color="auto"/>
              <w:left w:val="single" w:sz="4" w:space="0" w:color="auto"/>
              <w:bottom w:val="single" w:sz="4" w:space="0" w:color="auto"/>
              <w:right w:val="single" w:sz="4" w:space="0" w:color="auto"/>
            </w:tcBorders>
            <w:vAlign w:val="bottom"/>
          </w:tcPr>
          <w:p w14:paraId="514F7710" w14:textId="1A61B4C2" w:rsidR="009974C8" w:rsidRPr="00C73E11" w:rsidRDefault="009974C8" w:rsidP="009974C8">
            <w:pPr>
              <w:autoSpaceDE w:val="0"/>
              <w:autoSpaceDN w:val="0"/>
              <w:adjustRightInd w:val="0"/>
              <w:spacing w:after="60"/>
              <w:jc w:val="right"/>
              <w:rPr>
                <w:rFonts w:cstheme="minorHAnsi"/>
                <w:color w:val="FF0000"/>
              </w:rPr>
            </w:pPr>
            <w:r w:rsidRPr="00C73E11">
              <w:rPr>
                <w:rFonts w:ascii="Calibri" w:hAnsi="Calibri" w:cs="Calibri"/>
                <w:color w:val="FF0000"/>
              </w:rPr>
              <w:t>1.000</w:t>
            </w:r>
          </w:p>
        </w:tc>
      </w:tr>
      <w:tr w:rsidR="00C73E11" w:rsidRPr="00C73E11" w14:paraId="6E1F82F3" w14:textId="77777777" w:rsidTr="00FC2C4D">
        <w:tc>
          <w:tcPr>
            <w:tcW w:w="1857" w:type="dxa"/>
            <w:tcBorders>
              <w:top w:val="single" w:sz="4" w:space="0" w:color="auto"/>
              <w:left w:val="single" w:sz="4" w:space="0" w:color="auto"/>
              <w:bottom w:val="single" w:sz="4" w:space="0" w:color="auto"/>
              <w:right w:val="single" w:sz="4" w:space="0" w:color="auto"/>
            </w:tcBorders>
            <w:hideMark/>
          </w:tcPr>
          <w:p w14:paraId="7FA4FAB0" w14:textId="77777777" w:rsidR="009974C8" w:rsidRPr="00C73E11" w:rsidRDefault="009974C8" w:rsidP="009974C8">
            <w:pPr>
              <w:autoSpaceDE w:val="0"/>
              <w:autoSpaceDN w:val="0"/>
              <w:adjustRightInd w:val="0"/>
              <w:spacing w:after="60"/>
              <w:jc w:val="right"/>
              <w:rPr>
                <w:rFonts w:cstheme="minorHAnsi"/>
                <w:color w:val="FF0000"/>
              </w:rPr>
            </w:pPr>
            <w:r w:rsidRPr="00C73E11">
              <w:rPr>
                <w:rFonts w:cstheme="minorHAnsi"/>
                <w:color w:val="FF0000"/>
              </w:rPr>
              <w:t>Tercile 2</w:t>
            </w:r>
          </w:p>
        </w:tc>
        <w:tc>
          <w:tcPr>
            <w:tcW w:w="1074" w:type="dxa"/>
            <w:tcBorders>
              <w:top w:val="single" w:sz="4" w:space="0" w:color="auto"/>
              <w:left w:val="single" w:sz="4" w:space="0" w:color="auto"/>
              <w:bottom w:val="single" w:sz="4" w:space="0" w:color="auto"/>
              <w:right w:val="single" w:sz="4" w:space="0" w:color="auto"/>
            </w:tcBorders>
            <w:vAlign w:val="bottom"/>
          </w:tcPr>
          <w:p w14:paraId="773231D6" w14:textId="31603771" w:rsidR="009974C8" w:rsidRPr="00C73E11" w:rsidRDefault="009974C8" w:rsidP="009974C8">
            <w:pPr>
              <w:autoSpaceDE w:val="0"/>
              <w:autoSpaceDN w:val="0"/>
              <w:adjustRightInd w:val="0"/>
              <w:spacing w:after="60"/>
              <w:jc w:val="right"/>
              <w:rPr>
                <w:rFonts w:cstheme="minorHAnsi"/>
                <w:color w:val="FF0000"/>
              </w:rPr>
            </w:pPr>
            <w:r w:rsidRPr="00C73E11">
              <w:rPr>
                <w:rFonts w:ascii="Calibri" w:hAnsi="Calibri" w:cs="Calibri"/>
                <w:color w:val="FF0000"/>
              </w:rPr>
              <w:t>118</w:t>
            </w:r>
          </w:p>
        </w:tc>
        <w:tc>
          <w:tcPr>
            <w:tcW w:w="854" w:type="dxa"/>
            <w:tcBorders>
              <w:top w:val="single" w:sz="4" w:space="0" w:color="auto"/>
              <w:left w:val="single" w:sz="4" w:space="0" w:color="auto"/>
              <w:bottom w:val="single" w:sz="4" w:space="0" w:color="auto"/>
              <w:right w:val="single" w:sz="4" w:space="0" w:color="auto"/>
            </w:tcBorders>
            <w:vAlign w:val="bottom"/>
          </w:tcPr>
          <w:p w14:paraId="5BAEE157" w14:textId="533BB008" w:rsidR="009974C8" w:rsidRPr="00C73E11" w:rsidRDefault="009974C8" w:rsidP="009974C8">
            <w:pPr>
              <w:autoSpaceDE w:val="0"/>
              <w:autoSpaceDN w:val="0"/>
              <w:adjustRightInd w:val="0"/>
              <w:spacing w:after="60"/>
              <w:jc w:val="right"/>
              <w:rPr>
                <w:rFonts w:cstheme="minorHAnsi"/>
                <w:color w:val="FF0000"/>
              </w:rPr>
            </w:pPr>
            <w:r w:rsidRPr="00C73E11">
              <w:rPr>
                <w:rFonts w:ascii="Calibri" w:hAnsi="Calibri" w:cs="Calibri"/>
                <w:color w:val="FF0000"/>
              </w:rPr>
              <w:t>0.852</w:t>
            </w:r>
          </w:p>
        </w:tc>
        <w:tc>
          <w:tcPr>
            <w:tcW w:w="926" w:type="dxa"/>
            <w:tcBorders>
              <w:top w:val="single" w:sz="4" w:space="0" w:color="auto"/>
              <w:left w:val="single" w:sz="4" w:space="0" w:color="auto"/>
              <w:bottom w:val="single" w:sz="4" w:space="0" w:color="auto"/>
              <w:right w:val="single" w:sz="4" w:space="0" w:color="auto"/>
            </w:tcBorders>
            <w:vAlign w:val="bottom"/>
          </w:tcPr>
          <w:p w14:paraId="5F07B785" w14:textId="33DD15C6" w:rsidR="009974C8" w:rsidRPr="00C73E11" w:rsidRDefault="009974C8" w:rsidP="009974C8">
            <w:pPr>
              <w:autoSpaceDE w:val="0"/>
              <w:autoSpaceDN w:val="0"/>
              <w:adjustRightInd w:val="0"/>
              <w:spacing w:after="60"/>
              <w:jc w:val="right"/>
              <w:rPr>
                <w:rFonts w:cstheme="minorHAnsi"/>
                <w:color w:val="FF0000"/>
              </w:rPr>
            </w:pPr>
            <w:r w:rsidRPr="00C73E11">
              <w:rPr>
                <w:rFonts w:ascii="Calibri" w:hAnsi="Calibri" w:cs="Calibri"/>
                <w:color w:val="FF0000"/>
              </w:rPr>
              <w:t>0.876</w:t>
            </w:r>
          </w:p>
        </w:tc>
        <w:tc>
          <w:tcPr>
            <w:tcW w:w="926" w:type="dxa"/>
            <w:tcBorders>
              <w:top w:val="single" w:sz="4" w:space="0" w:color="auto"/>
              <w:left w:val="single" w:sz="4" w:space="0" w:color="auto"/>
              <w:bottom w:val="single" w:sz="4" w:space="0" w:color="auto"/>
              <w:right w:val="single" w:sz="4" w:space="0" w:color="auto"/>
            </w:tcBorders>
            <w:vAlign w:val="bottom"/>
          </w:tcPr>
          <w:p w14:paraId="46185F41" w14:textId="439911DD" w:rsidR="009974C8" w:rsidRPr="00C73E11" w:rsidRDefault="009974C8" w:rsidP="009974C8">
            <w:pPr>
              <w:autoSpaceDE w:val="0"/>
              <w:autoSpaceDN w:val="0"/>
              <w:adjustRightInd w:val="0"/>
              <w:spacing w:after="60"/>
              <w:jc w:val="right"/>
              <w:rPr>
                <w:rFonts w:cstheme="minorHAnsi"/>
                <w:color w:val="FF0000"/>
              </w:rPr>
            </w:pPr>
            <w:r w:rsidRPr="00C73E11">
              <w:rPr>
                <w:rFonts w:ascii="Calibri" w:hAnsi="Calibri" w:cs="Calibri"/>
                <w:color w:val="FF0000"/>
              </w:rPr>
              <w:t>0.894</w:t>
            </w:r>
          </w:p>
        </w:tc>
        <w:tc>
          <w:tcPr>
            <w:tcW w:w="926" w:type="dxa"/>
            <w:tcBorders>
              <w:top w:val="single" w:sz="4" w:space="0" w:color="auto"/>
              <w:left w:val="single" w:sz="4" w:space="0" w:color="auto"/>
              <w:bottom w:val="single" w:sz="4" w:space="0" w:color="auto"/>
              <w:right w:val="single" w:sz="4" w:space="0" w:color="auto"/>
            </w:tcBorders>
            <w:vAlign w:val="bottom"/>
          </w:tcPr>
          <w:p w14:paraId="300B16B5" w14:textId="624F2952" w:rsidR="009974C8" w:rsidRPr="00C73E11" w:rsidRDefault="009974C8" w:rsidP="009974C8">
            <w:pPr>
              <w:autoSpaceDE w:val="0"/>
              <w:autoSpaceDN w:val="0"/>
              <w:adjustRightInd w:val="0"/>
              <w:spacing w:after="60"/>
              <w:jc w:val="right"/>
              <w:rPr>
                <w:rFonts w:cstheme="minorHAnsi"/>
                <w:color w:val="FF0000"/>
              </w:rPr>
            </w:pPr>
            <w:r w:rsidRPr="00C73E11">
              <w:rPr>
                <w:rFonts w:ascii="Calibri" w:hAnsi="Calibri" w:cs="Calibri"/>
                <w:color w:val="FF0000"/>
              </w:rPr>
              <w:t>0.915</w:t>
            </w:r>
          </w:p>
        </w:tc>
        <w:tc>
          <w:tcPr>
            <w:tcW w:w="926" w:type="dxa"/>
            <w:tcBorders>
              <w:top w:val="single" w:sz="4" w:space="0" w:color="auto"/>
              <w:left w:val="single" w:sz="4" w:space="0" w:color="auto"/>
              <w:bottom w:val="single" w:sz="4" w:space="0" w:color="auto"/>
              <w:right w:val="single" w:sz="4" w:space="0" w:color="auto"/>
            </w:tcBorders>
            <w:vAlign w:val="bottom"/>
          </w:tcPr>
          <w:p w14:paraId="3472EC48" w14:textId="11F1070F" w:rsidR="009974C8" w:rsidRPr="00C73E11" w:rsidRDefault="009974C8" w:rsidP="009974C8">
            <w:pPr>
              <w:autoSpaceDE w:val="0"/>
              <w:autoSpaceDN w:val="0"/>
              <w:adjustRightInd w:val="0"/>
              <w:spacing w:after="60"/>
              <w:jc w:val="right"/>
              <w:rPr>
                <w:rFonts w:cstheme="minorHAnsi"/>
                <w:color w:val="FF0000"/>
              </w:rPr>
            </w:pPr>
            <w:r w:rsidRPr="00C73E11">
              <w:rPr>
                <w:rFonts w:ascii="Calibri" w:hAnsi="Calibri" w:cs="Calibri"/>
                <w:color w:val="FF0000"/>
              </w:rPr>
              <w:t>0.941</w:t>
            </w:r>
          </w:p>
        </w:tc>
        <w:tc>
          <w:tcPr>
            <w:tcW w:w="926" w:type="dxa"/>
            <w:tcBorders>
              <w:top w:val="single" w:sz="4" w:space="0" w:color="auto"/>
              <w:left w:val="single" w:sz="4" w:space="0" w:color="auto"/>
              <w:bottom w:val="single" w:sz="4" w:space="0" w:color="auto"/>
              <w:right w:val="single" w:sz="4" w:space="0" w:color="auto"/>
            </w:tcBorders>
            <w:vAlign w:val="bottom"/>
          </w:tcPr>
          <w:p w14:paraId="37DF476B" w14:textId="66A87CE0" w:rsidR="009974C8" w:rsidRPr="00C73E11" w:rsidRDefault="009974C8" w:rsidP="009974C8">
            <w:pPr>
              <w:autoSpaceDE w:val="0"/>
              <w:autoSpaceDN w:val="0"/>
              <w:adjustRightInd w:val="0"/>
              <w:spacing w:after="60"/>
              <w:jc w:val="right"/>
              <w:rPr>
                <w:rFonts w:cstheme="minorHAnsi"/>
                <w:color w:val="FF0000"/>
              </w:rPr>
            </w:pPr>
            <w:r w:rsidRPr="00C73E11">
              <w:rPr>
                <w:rFonts w:ascii="Calibri" w:hAnsi="Calibri" w:cs="Calibri"/>
                <w:color w:val="FF0000"/>
              </w:rPr>
              <w:t>0.948</w:t>
            </w:r>
          </w:p>
        </w:tc>
        <w:tc>
          <w:tcPr>
            <w:tcW w:w="935" w:type="dxa"/>
            <w:tcBorders>
              <w:top w:val="single" w:sz="4" w:space="0" w:color="auto"/>
              <w:left w:val="single" w:sz="4" w:space="0" w:color="auto"/>
              <w:bottom w:val="single" w:sz="4" w:space="0" w:color="auto"/>
              <w:right w:val="single" w:sz="4" w:space="0" w:color="auto"/>
            </w:tcBorders>
            <w:vAlign w:val="bottom"/>
          </w:tcPr>
          <w:p w14:paraId="0BC3B5BB" w14:textId="68CB8094" w:rsidR="009974C8" w:rsidRPr="00C73E11" w:rsidRDefault="009974C8" w:rsidP="009974C8">
            <w:pPr>
              <w:autoSpaceDE w:val="0"/>
              <w:autoSpaceDN w:val="0"/>
              <w:adjustRightInd w:val="0"/>
              <w:spacing w:after="60"/>
              <w:jc w:val="right"/>
              <w:rPr>
                <w:rFonts w:cstheme="minorHAnsi"/>
                <w:color w:val="FF0000"/>
              </w:rPr>
            </w:pPr>
            <w:r w:rsidRPr="00C73E11">
              <w:rPr>
                <w:rFonts w:ascii="Calibri" w:hAnsi="Calibri" w:cs="Calibri"/>
                <w:color w:val="FF0000"/>
              </w:rPr>
              <w:t>0.959</w:t>
            </w:r>
          </w:p>
        </w:tc>
      </w:tr>
      <w:tr w:rsidR="00C73E11" w:rsidRPr="00C73E11" w14:paraId="1AF3CD9B" w14:textId="77777777" w:rsidTr="00FC2C4D">
        <w:tc>
          <w:tcPr>
            <w:tcW w:w="1857" w:type="dxa"/>
            <w:tcBorders>
              <w:top w:val="single" w:sz="4" w:space="0" w:color="auto"/>
              <w:left w:val="single" w:sz="4" w:space="0" w:color="auto"/>
              <w:bottom w:val="single" w:sz="4" w:space="0" w:color="auto"/>
              <w:right w:val="single" w:sz="4" w:space="0" w:color="auto"/>
            </w:tcBorders>
            <w:hideMark/>
          </w:tcPr>
          <w:p w14:paraId="49EF9113" w14:textId="77777777" w:rsidR="009974C8" w:rsidRPr="00C73E11" w:rsidRDefault="009974C8" w:rsidP="009974C8">
            <w:pPr>
              <w:autoSpaceDE w:val="0"/>
              <w:autoSpaceDN w:val="0"/>
              <w:adjustRightInd w:val="0"/>
              <w:spacing w:after="60"/>
              <w:jc w:val="right"/>
              <w:rPr>
                <w:rFonts w:cstheme="minorHAnsi"/>
                <w:color w:val="FF0000"/>
              </w:rPr>
            </w:pPr>
            <w:r w:rsidRPr="00C73E11">
              <w:rPr>
                <w:rFonts w:cstheme="minorHAnsi"/>
                <w:color w:val="FF0000"/>
              </w:rPr>
              <w:t>Tercile 3</w:t>
            </w:r>
          </w:p>
        </w:tc>
        <w:tc>
          <w:tcPr>
            <w:tcW w:w="1074" w:type="dxa"/>
            <w:tcBorders>
              <w:top w:val="single" w:sz="4" w:space="0" w:color="auto"/>
              <w:left w:val="single" w:sz="4" w:space="0" w:color="auto"/>
              <w:bottom w:val="single" w:sz="4" w:space="0" w:color="auto"/>
              <w:right w:val="single" w:sz="4" w:space="0" w:color="auto"/>
            </w:tcBorders>
            <w:vAlign w:val="bottom"/>
          </w:tcPr>
          <w:p w14:paraId="069D55DB" w14:textId="62109A7C" w:rsidR="009974C8" w:rsidRPr="00C73E11" w:rsidRDefault="009974C8" w:rsidP="009974C8">
            <w:pPr>
              <w:autoSpaceDE w:val="0"/>
              <w:autoSpaceDN w:val="0"/>
              <w:adjustRightInd w:val="0"/>
              <w:spacing w:after="60"/>
              <w:jc w:val="right"/>
              <w:rPr>
                <w:rFonts w:cstheme="minorHAnsi"/>
                <w:color w:val="FF0000"/>
              </w:rPr>
            </w:pPr>
            <w:r w:rsidRPr="00C73E11">
              <w:rPr>
                <w:rFonts w:ascii="Calibri" w:hAnsi="Calibri" w:cs="Calibri"/>
                <w:color w:val="FF0000"/>
              </w:rPr>
              <w:t>123</w:t>
            </w:r>
          </w:p>
        </w:tc>
        <w:tc>
          <w:tcPr>
            <w:tcW w:w="854" w:type="dxa"/>
            <w:tcBorders>
              <w:top w:val="single" w:sz="4" w:space="0" w:color="auto"/>
              <w:left w:val="single" w:sz="4" w:space="0" w:color="auto"/>
              <w:bottom w:val="single" w:sz="4" w:space="0" w:color="auto"/>
              <w:right w:val="single" w:sz="4" w:space="0" w:color="auto"/>
            </w:tcBorders>
            <w:vAlign w:val="bottom"/>
          </w:tcPr>
          <w:p w14:paraId="5CF35EC4" w14:textId="32037664" w:rsidR="009974C8" w:rsidRPr="00C73E11" w:rsidRDefault="009974C8" w:rsidP="009974C8">
            <w:pPr>
              <w:autoSpaceDE w:val="0"/>
              <w:autoSpaceDN w:val="0"/>
              <w:adjustRightInd w:val="0"/>
              <w:spacing w:after="60"/>
              <w:jc w:val="right"/>
              <w:rPr>
                <w:rFonts w:cstheme="minorHAnsi"/>
                <w:color w:val="FF0000"/>
              </w:rPr>
            </w:pPr>
            <w:r w:rsidRPr="00C73E11">
              <w:rPr>
                <w:rFonts w:ascii="Calibri" w:hAnsi="Calibri" w:cs="Calibri"/>
                <w:color w:val="FF0000"/>
              </w:rPr>
              <w:t>0.947</w:t>
            </w:r>
          </w:p>
        </w:tc>
        <w:tc>
          <w:tcPr>
            <w:tcW w:w="926" w:type="dxa"/>
            <w:tcBorders>
              <w:top w:val="single" w:sz="4" w:space="0" w:color="auto"/>
              <w:left w:val="single" w:sz="4" w:space="0" w:color="auto"/>
              <w:bottom w:val="single" w:sz="4" w:space="0" w:color="auto"/>
              <w:right w:val="single" w:sz="4" w:space="0" w:color="auto"/>
            </w:tcBorders>
            <w:vAlign w:val="bottom"/>
          </w:tcPr>
          <w:p w14:paraId="7F87657C" w14:textId="49E1B105" w:rsidR="009974C8" w:rsidRPr="00C73E11" w:rsidRDefault="009974C8" w:rsidP="009974C8">
            <w:pPr>
              <w:autoSpaceDE w:val="0"/>
              <w:autoSpaceDN w:val="0"/>
              <w:adjustRightInd w:val="0"/>
              <w:spacing w:after="60"/>
              <w:jc w:val="right"/>
              <w:rPr>
                <w:rFonts w:cstheme="minorHAnsi"/>
                <w:color w:val="FF0000"/>
              </w:rPr>
            </w:pPr>
            <w:r w:rsidRPr="00C73E11">
              <w:rPr>
                <w:rFonts w:ascii="Calibri" w:hAnsi="Calibri" w:cs="Calibri"/>
                <w:color w:val="FF0000"/>
              </w:rPr>
              <w:t>0.957</w:t>
            </w:r>
          </w:p>
        </w:tc>
        <w:tc>
          <w:tcPr>
            <w:tcW w:w="926" w:type="dxa"/>
            <w:tcBorders>
              <w:top w:val="single" w:sz="4" w:space="0" w:color="auto"/>
              <w:left w:val="single" w:sz="4" w:space="0" w:color="auto"/>
              <w:bottom w:val="single" w:sz="4" w:space="0" w:color="auto"/>
              <w:right w:val="single" w:sz="4" w:space="0" w:color="auto"/>
            </w:tcBorders>
            <w:vAlign w:val="bottom"/>
          </w:tcPr>
          <w:p w14:paraId="084D2F8D" w14:textId="7250ECB9" w:rsidR="009974C8" w:rsidRPr="00C73E11" w:rsidRDefault="009974C8" w:rsidP="009974C8">
            <w:pPr>
              <w:autoSpaceDE w:val="0"/>
              <w:autoSpaceDN w:val="0"/>
              <w:adjustRightInd w:val="0"/>
              <w:spacing w:after="60"/>
              <w:jc w:val="right"/>
              <w:rPr>
                <w:rFonts w:cstheme="minorHAnsi"/>
                <w:color w:val="FF0000"/>
              </w:rPr>
            </w:pPr>
            <w:r w:rsidRPr="00C73E11">
              <w:rPr>
                <w:rFonts w:ascii="Calibri" w:hAnsi="Calibri" w:cs="Calibri"/>
                <w:color w:val="FF0000"/>
              </w:rPr>
              <w:t>0.966</w:t>
            </w:r>
          </w:p>
        </w:tc>
        <w:tc>
          <w:tcPr>
            <w:tcW w:w="926" w:type="dxa"/>
            <w:tcBorders>
              <w:top w:val="single" w:sz="4" w:space="0" w:color="auto"/>
              <w:left w:val="single" w:sz="4" w:space="0" w:color="auto"/>
              <w:bottom w:val="single" w:sz="4" w:space="0" w:color="auto"/>
              <w:right w:val="single" w:sz="4" w:space="0" w:color="auto"/>
            </w:tcBorders>
            <w:vAlign w:val="bottom"/>
          </w:tcPr>
          <w:p w14:paraId="1425DE1C" w14:textId="2596623B" w:rsidR="009974C8" w:rsidRPr="00C73E11" w:rsidRDefault="009974C8" w:rsidP="009974C8">
            <w:pPr>
              <w:autoSpaceDE w:val="0"/>
              <w:autoSpaceDN w:val="0"/>
              <w:adjustRightInd w:val="0"/>
              <w:spacing w:after="60"/>
              <w:jc w:val="right"/>
              <w:rPr>
                <w:rFonts w:cstheme="minorHAnsi"/>
                <w:color w:val="FF0000"/>
              </w:rPr>
            </w:pPr>
            <w:r w:rsidRPr="00C73E11">
              <w:rPr>
                <w:rFonts w:ascii="Calibri" w:hAnsi="Calibri" w:cs="Calibri"/>
                <w:color w:val="FF0000"/>
              </w:rPr>
              <w:t>0.976</w:t>
            </w:r>
          </w:p>
        </w:tc>
        <w:tc>
          <w:tcPr>
            <w:tcW w:w="926" w:type="dxa"/>
            <w:tcBorders>
              <w:top w:val="single" w:sz="4" w:space="0" w:color="auto"/>
              <w:left w:val="single" w:sz="4" w:space="0" w:color="auto"/>
              <w:bottom w:val="single" w:sz="4" w:space="0" w:color="auto"/>
              <w:right w:val="single" w:sz="4" w:space="0" w:color="auto"/>
            </w:tcBorders>
            <w:vAlign w:val="bottom"/>
          </w:tcPr>
          <w:p w14:paraId="0BC6A042" w14:textId="15433000" w:rsidR="009974C8" w:rsidRPr="00C73E11" w:rsidRDefault="009974C8" w:rsidP="009974C8">
            <w:pPr>
              <w:autoSpaceDE w:val="0"/>
              <w:autoSpaceDN w:val="0"/>
              <w:adjustRightInd w:val="0"/>
              <w:spacing w:after="60"/>
              <w:jc w:val="right"/>
              <w:rPr>
                <w:rFonts w:cstheme="minorHAnsi"/>
                <w:color w:val="FF0000"/>
              </w:rPr>
            </w:pPr>
            <w:r w:rsidRPr="00C73E11">
              <w:rPr>
                <w:rFonts w:ascii="Calibri" w:hAnsi="Calibri" w:cs="Calibri"/>
                <w:color w:val="FF0000"/>
              </w:rPr>
              <w:t>0.986</w:t>
            </w:r>
          </w:p>
        </w:tc>
        <w:tc>
          <w:tcPr>
            <w:tcW w:w="926" w:type="dxa"/>
            <w:tcBorders>
              <w:top w:val="single" w:sz="4" w:space="0" w:color="auto"/>
              <w:left w:val="single" w:sz="4" w:space="0" w:color="auto"/>
              <w:bottom w:val="single" w:sz="4" w:space="0" w:color="auto"/>
              <w:right w:val="single" w:sz="4" w:space="0" w:color="auto"/>
            </w:tcBorders>
            <w:vAlign w:val="bottom"/>
          </w:tcPr>
          <w:p w14:paraId="5DFEAD69" w14:textId="4D953D2D" w:rsidR="009974C8" w:rsidRPr="00C73E11" w:rsidRDefault="009974C8" w:rsidP="009974C8">
            <w:pPr>
              <w:autoSpaceDE w:val="0"/>
              <w:autoSpaceDN w:val="0"/>
              <w:adjustRightInd w:val="0"/>
              <w:spacing w:after="60"/>
              <w:jc w:val="right"/>
              <w:rPr>
                <w:rFonts w:cstheme="minorHAnsi"/>
                <w:color w:val="FF0000"/>
              </w:rPr>
            </w:pPr>
            <w:r w:rsidRPr="00C73E11">
              <w:rPr>
                <w:rFonts w:ascii="Calibri" w:hAnsi="Calibri" w:cs="Calibri"/>
                <w:color w:val="FF0000"/>
              </w:rPr>
              <w:t>0.992</w:t>
            </w:r>
          </w:p>
        </w:tc>
        <w:tc>
          <w:tcPr>
            <w:tcW w:w="935" w:type="dxa"/>
            <w:tcBorders>
              <w:top w:val="single" w:sz="4" w:space="0" w:color="auto"/>
              <w:left w:val="single" w:sz="4" w:space="0" w:color="auto"/>
              <w:bottom w:val="single" w:sz="4" w:space="0" w:color="auto"/>
              <w:right w:val="single" w:sz="4" w:space="0" w:color="auto"/>
            </w:tcBorders>
            <w:vAlign w:val="bottom"/>
          </w:tcPr>
          <w:p w14:paraId="0E4F8025" w14:textId="7158C4A1" w:rsidR="009974C8" w:rsidRPr="00C73E11" w:rsidRDefault="009974C8" w:rsidP="009974C8">
            <w:pPr>
              <w:autoSpaceDE w:val="0"/>
              <w:autoSpaceDN w:val="0"/>
              <w:adjustRightInd w:val="0"/>
              <w:spacing w:after="60"/>
              <w:jc w:val="right"/>
              <w:rPr>
                <w:rFonts w:cstheme="minorHAnsi"/>
                <w:color w:val="FF0000"/>
              </w:rPr>
            </w:pPr>
            <w:r w:rsidRPr="00C73E11">
              <w:rPr>
                <w:rFonts w:ascii="Calibri" w:hAnsi="Calibri" w:cs="Calibri"/>
                <w:color w:val="FF0000"/>
              </w:rPr>
              <w:t>0.997</w:t>
            </w:r>
          </w:p>
        </w:tc>
      </w:tr>
      <w:tr w:rsidR="00C73E11" w:rsidRPr="00C73E11" w14:paraId="24ADCF6E" w14:textId="77777777" w:rsidTr="00FC2C4D">
        <w:tc>
          <w:tcPr>
            <w:tcW w:w="185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62375B3" w14:textId="77777777" w:rsidR="001C2E9B" w:rsidRPr="00C73E11" w:rsidRDefault="001C2E9B" w:rsidP="001C2E9B">
            <w:pPr>
              <w:autoSpaceDE w:val="0"/>
              <w:autoSpaceDN w:val="0"/>
              <w:adjustRightInd w:val="0"/>
              <w:spacing w:after="60"/>
              <w:rPr>
                <w:rFonts w:cstheme="minorHAnsi"/>
                <w:b/>
                <w:bCs/>
                <w:color w:val="FF0000"/>
              </w:rPr>
            </w:pPr>
            <w:r w:rsidRPr="00C73E11">
              <w:rPr>
                <w:rFonts w:cstheme="minorHAnsi"/>
                <w:b/>
                <w:bCs/>
                <w:color w:val="FF0000"/>
              </w:rPr>
              <w:t>All Medicaid</w:t>
            </w:r>
          </w:p>
        </w:tc>
        <w:tc>
          <w:tcPr>
            <w:tcW w:w="1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96704F4" w14:textId="000AF03E" w:rsidR="001C2E9B" w:rsidRPr="00C73E11" w:rsidRDefault="001C2E9B" w:rsidP="001C2E9B">
            <w:pPr>
              <w:autoSpaceDE w:val="0"/>
              <w:autoSpaceDN w:val="0"/>
              <w:adjustRightInd w:val="0"/>
              <w:spacing w:after="60"/>
              <w:jc w:val="right"/>
              <w:rPr>
                <w:rFonts w:cstheme="minorHAnsi"/>
                <w:b/>
                <w:bCs/>
                <w:color w:val="FF0000"/>
              </w:rPr>
            </w:pPr>
            <w:r w:rsidRPr="00C73E11">
              <w:rPr>
                <w:rFonts w:ascii="Calibri" w:hAnsi="Calibri" w:cs="Calibri"/>
                <w:b/>
                <w:bCs/>
                <w:color w:val="FF0000"/>
              </w:rPr>
              <w:t>173</w:t>
            </w:r>
          </w:p>
        </w:tc>
        <w:tc>
          <w:tcPr>
            <w:tcW w:w="85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035F5EF" w14:textId="3EAF1B58" w:rsidR="001C2E9B" w:rsidRPr="00C73E11" w:rsidRDefault="001C2E9B" w:rsidP="001C2E9B">
            <w:pPr>
              <w:autoSpaceDE w:val="0"/>
              <w:autoSpaceDN w:val="0"/>
              <w:adjustRightInd w:val="0"/>
              <w:spacing w:after="60"/>
              <w:jc w:val="right"/>
              <w:rPr>
                <w:rFonts w:cstheme="minorHAnsi"/>
                <w:b/>
                <w:bCs/>
                <w:color w:val="FF0000"/>
              </w:rPr>
            </w:pPr>
            <w:r w:rsidRPr="00C73E11">
              <w:rPr>
                <w:rFonts w:ascii="Calibri" w:hAnsi="Calibri" w:cs="Calibri"/>
                <w:b/>
                <w:bCs/>
                <w:color w:val="FF0000"/>
              </w:rPr>
              <w:t>0.743</w:t>
            </w:r>
          </w:p>
        </w:tc>
        <w:tc>
          <w:tcPr>
            <w:tcW w:w="9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21289DE1" w14:textId="5EB8C7E0" w:rsidR="001C2E9B" w:rsidRPr="00C73E11" w:rsidRDefault="001C2E9B" w:rsidP="001C2E9B">
            <w:pPr>
              <w:autoSpaceDE w:val="0"/>
              <w:autoSpaceDN w:val="0"/>
              <w:adjustRightInd w:val="0"/>
              <w:spacing w:after="60"/>
              <w:jc w:val="right"/>
              <w:rPr>
                <w:rFonts w:cstheme="minorHAnsi"/>
                <w:b/>
                <w:bCs/>
                <w:color w:val="FF0000"/>
              </w:rPr>
            </w:pPr>
            <w:r w:rsidRPr="00C73E11">
              <w:rPr>
                <w:rFonts w:ascii="Calibri" w:hAnsi="Calibri" w:cs="Calibri"/>
                <w:b/>
                <w:bCs/>
                <w:color w:val="FF0000"/>
              </w:rPr>
              <w:t>0.916</w:t>
            </w:r>
          </w:p>
        </w:tc>
        <w:tc>
          <w:tcPr>
            <w:tcW w:w="9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2E3D823A" w14:textId="71D8B9BC" w:rsidR="001C2E9B" w:rsidRPr="00C73E11" w:rsidRDefault="001C2E9B" w:rsidP="001C2E9B">
            <w:pPr>
              <w:autoSpaceDE w:val="0"/>
              <w:autoSpaceDN w:val="0"/>
              <w:adjustRightInd w:val="0"/>
              <w:spacing w:after="60"/>
              <w:jc w:val="right"/>
              <w:rPr>
                <w:rFonts w:cstheme="minorHAnsi"/>
                <w:b/>
                <w:bCs/>
                <w:color w:val="FF0000"/>
              </w:rPr>
            </w:pPr>
            <w:r w:rsidRPr="00C73E11">
              <w:rPr>
                <w:rFonts w:ascii="Calibri" w:hAnsi="Calibri" w:cs="Calibri"/>
                <w:b/>
                <w:bCs/>
                <w:color w:val="FF0000"/>
              </w:rPr>
              <w:t>0.964</w:t>
            </w:r>
          </w:p>
        </w:tc>
        <w:tc>
          <w:tcPr>
            <w:tcW w:w="9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08B9BB79" w14:textId="225A4793" w:rsidR="001C2E9B" w:rsidRPr="00C73E11" w:rsidRDefault="001C2E9B" w:rsidP="001C2E9B">
            <w:pPr>
              <w:autoSpaceDE w:val="0"/>
              <w:autoSpaceDN w:val="0"/>
              <w:adjustRightInd w:val="0"/>
              <w:spacing w:after="60"/>
              <w:jc w:val="right"/>
              <w:rPr>
                <w:rFonts w:cstheme="minorHAnsi"/>
                <w:b/>
                <w:bCs/>
                <w:color w:val="FF0000"/>
              </w:rPr>
            </w:pPr>
            <w:r w:rsidRPr="00C73E11">
              <w:rPr>
                <w:rFonts w:ascii="Calibri" w:hAnsi="Calibri" w:cs="Calibri"/>
                <w:b/>
                <w:bCs/>
                <w:color w:val="FF0000"/>
              </w:rPr>
              <w:t>0.969</w:t>
            </w:r>
          </w:p>
        </w:tc>
        <w:tc>
          <w:tcPr>
            <w:tcW w:w="9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5859C09C" w14:textId="7C78A9FD" w:rsidR="001C2E9B" w:rsidRPr="00C73E11" w:rsidRDefault="001C2E9B" w:rsidP="001C2E9B">
            <w:pPr>
              <w:autoSpaceDE w:val="0"/>
              <w:autoSpaceDN w:val="0"/>
              <w:adjustRightInd w:val="0"/>
              <w:spacing w:after="60"/>
              <w:jc w:val="right"/>
              <w:rPr>
                <w:rFonts w:cstheme="minorHAnsi"/>
                <w:b/>
                <w:bCs/>
                <w:color w:val="FF0000"/>
              </w:rPr>
            </w:pPr>
            <w:r w:rsidRPr="00C73E11">
              <w:rPr>
                <w:rFonts w:ascii="Calibri" w:hAnsi="Calibri" w:cs="Calibri"/>
                <w:b/>
                <w:bCs/>
                <w:color w:val="FF0000"/>
              </w:rPr>
              <w:t>0.995</w:t>
            </w:r>
          </w:p>
        </w:tc>
        <w:tc>
          <w:tcPr>
            <w:tcW w:w="9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063F0E98" w14:textId="3C1E5C13" w:rsidR="001C2E9B" w:rsidRPr="00C73E11" w:rsidRDefault="001C2E9B" w:rsidP="001C2E9B">
            <w:pPr>
              <w:autoSpaceDE w:val="0"/>
              <w:autoSpaceDN w:val="0"/>
              <w:adjustRightInd w:val="0"/>
              <w:spacing w:after="60"/>
              <w:jc w:val="right"/>
              <w:rPr>
                <w:rFonts w:cstheme="minorHAnsi"/>
                <w:b/>
                <w:bCs/>
                <w:color w:val="FF0000"/>
              </w:rPr>
            </w:pPr>
            <w:r w:rsidRPr="00C73E11">
              <w:rPr>
                <w:rFonts w:ascii="Calibri" w:hAnsi="Calibri" w:cs="Calibri"/>
                <w:b/>
                <w:bCs/>
                <w:color w:val="FF0000"/>
              </w:rPr>
              <w:t>0.997</w:t>
            </w:r>
          </w:p>
        </w:tc>
        <w:tc>
          <w:tcPr>
            <w:tcW w:w="9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C1FA29A" w14:textId="73BF26D5" w:rsidR="001C2E9B" w:rsidRPr="00C73E11" w:rsidRDefault="001C2E9B" w:rsidP="001C2E9B">
            <w:pPr>
              <w:autoSpaceDE w:val="0"/>
              <w:autoSpaceDN w:val="0"/>
              <w:adjustRightInd w:val="0"/>
              <w:spacing w:after="60"/>
              <w:jc w:val="right"/>
              <w:rPr>
                <w:rFonts w:cstheme="minorHAnsi"/>
                <w:b/>
                <w:bCs/>
                <w:color w:val="FF0000"/>
              </w:rPr>
            </w:pPr>
            <w:r w:rsidRPr="00C73E11">
              <w:rPr>
                <w:rFonts w:ascii="Calibri" w:hAnsi="Calibri" w:cs="Calibri"/>
                <w:b/>
                <w:bCs/>
                <w:color w:val="FF0000"/>
              </w:rPr>
              <w:t>0.999</w:t>
            </w:r>
          </w:p>
        </w:tc>
      </w:tr>
      <w:tr w:rsidR="00C73E11" w:rsidRPr="00C73E11" w14:paraId="25EB318F" w14:textId="77777777" w:rsidTr="00FC2C4D">
        <w:tc>
          <w:tcPr>
            <w:tcW w:w="1857" w:type="dxa"/>
            <w:tcBorders>
              <w:top w:val="single" w:sz="4" w:space="0" w:color="auto"/>
              <w:left w:val="single" w:sz="4" w:space="0" w:color="auto"/>
              <w:bottom w:val="single" w:sz="4" w:space="0" w:color="auto"/>
              <w:right w:val="single" w:sz="4" w:space="0" w:color="auto"/>
            </w:tcBorders>
            <w:hideMark/>
          </w:tcPr>
          <w:p w14:paraId="3AFB6E80" w14:textId="77777777" w:rsidR="00EE7507" w:rsidRPr="00C73E11" w:rsidRDefault="00EE7507" w:rsidP="00EE7507">
            <w:pPr>
              <w:autoSpaceDE w:val="0"/>
              <w:autoSpaceDN w:val="0"/>
              <w:adjustRightInd w:val="0"/>
              <w:spacing w:after="60"/>
              <w:jc w:val="right"/>
              <w:rPr>
                <w:rFonts w:cstheme="minorHAnsi"/>
                <w:color w:val="FF0000"/>
              </w:rPr>
            </w:pPr>
            <w:r w:rsidRPr="00C73E11">
              <w:rPr>
                <w:rFonts w:cstheme="minorHAnsi"/>
                <w:color w:val="FF0000"/>
              </w:rPr>
              <w:t>Tercile 1</w:t>
            </w:r>
          </w:p>
        </w:tc>
        <w:tc>
          <w:tcPr>
            <w:tcW w:w="1074" w:type="dxa"/>
            <w:tcBorders>
              <w:top w:val="single" w:sz="4" w:space="0" w:color="auto"/>
              <w:left w:val="single" w:sz="4" w:space="0" w:color="auto"/>
              <w:bottom w:val="single" w:sz="4" w:space="0" w:color="auto"/>
              <w:right w:val="single" w:sz="4" w:space="0" w:color="auto"/>
            </w:tcBorders>
            <w:vAlign w:val="bottom"/>
          </w:tcPr>
          <w:p w14:paraId="5ACAFF89" w14:textId="1A8F87A6"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57</w:t>
            </w:r>
          </w:p>
        </w:tc>
        <w:tc>
          <w:tcPr>
            <w:tcW w:w="854" w:type="dxa"/>
            <w:tcBorders>
              <w:top w:val="single" w:sz="4" w:space="0" w:color="auto"/>
              <w:left w:val="single" w:sz="4" w:space="0" w:color="auto"/>
              <w:bottom w:val="single" w:sz="4" w:space="0" w:color="auto"/>
              <w:right w:val="single" w:sz="4" w:space="0" w:color="auto"/>
            </w:tcBorders>
            <w:vAlign w:val="bottom"/>
          </w:tcPr>
          <w:p w14:paraId="38BA1F35" w14:textId="0F53A587"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0.770</w:t>
            </w:r>
          </w:p>
        </w:tc>
        <w:tc>
          <w:tcPr>
            <w:tcW w:w="926" w:type="dxa"/>
            <w:tcBorders>
              <w:top w:val="single" w:sz="4" w:space="0" w:color="auto"/>
              <w:left w:val="single" w:sz="4" w:space="0" w:color="auto"/>
              <w:bottom w:val="single" w:sz="4" w:space="0" w:color="auto"/>
              <w:right w:val="single" w:sz="4" w:space="0" w:color="auto"/>
            </w:tcBorders>
            <w:vAlign w:val="bottom"/>
          </w:tcPr>
          <w:p w14:paraId="574C186F" w14:textId="1701E4B1"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0.867</w:t>
            </w:r>
          </w:p>
        </w:tc>
        <w:tc>
          <w:tcPr>
            <w:tcW w:w="926" w:type="dxa"/>
            <w:tcBorders>
              <w:top w:val="single" w:sz="4" w:space="0" w:color="auto"/>
              <w:left w:val="single" w:sz="4" w:space="0" w:color="auto"/>
              <w:bottom w:val="single" w:sz="4" w:space="0" w:color="auto"/>
              <w:right w:val="single" w:sz="4" w:space="0" w:color="auto"/>
            </w:tcBorders>
            <w:vAlign w:val="bottom"/>
          </w:tcPr>
          <w:p w14:paraId="1D522E8C" w14:textId="3EAF1A11"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0.906</w:t>
            </w:r>
          </w:p>
        </w:tc>
        <w:tc>
          <w:tcPr>
            <w:tcW w:w="926" w:type="dxa"/>
            <w:tcBorders>
              <w:top w:val="single" w:sz="4" w:space="0" w:color="auto"/>
              <w:left w:val="single" w:sz="4" w:space="0" w:color="auto"/>
              <w:bottom w:val="single" w:sz="4" w:space="0" w:color="auto"/>
              <w:right w:val="single" w:sz="4" w:space="0" w:color="auto"/>
            </w:tcBorders>
            <w:vAlign w:val="bottom"/>
          </w:tcPr>
          <w:p w14:paraId="74D06AA0" w14:textId="5E87C7C1"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0.933</w:t>
            </w:r>
          </w:p>
        </w:tc>
        <w:tc>
          <w:tcPr>
            <w:tcW w:w="926" w:type="dxa"/>
            <w:tcBorders>
              <w:top w:val="single" w:sz="4" w:space="0" w:color="auto"/>
              <w:left w:val="single" w:sz="4" w:space="0" w:color="auto"/>
              <w:bottom w:val="single" w:sz="4" w:space="0" w:color="auto"/>
              <w:right w:val="single" w:sz="4" w:space="0" w:color="auto"/>
            </w:tcBorders>
            <w:vAlign w:val="bottom"/>
          </w:tcPr>
          <w:p w14:paraId="7A977E0C" w14:textId="1A071F31"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0.969</w:t>
            </w:r>
          </w:p>
        </w:tc>
        <w:tc>
          <w:tcPr>
            <w:tcW w:w="926" w:type="dxa"/>
            <w:tcBorders>
              <w:top w:val="single" w:sz="4" w:space="0" w:color="auto"/>
              <w:left w:val="single" w:sz="4" w:space="0" w:color="auto"/>
              <w:bottom w:val="single" w:sz="4" w:space="0" w:color="auto"/>
              <w:right w:val="single" w:sz="4" w:space="0" w:color="auto"/>
            </w:tcBorders>
            <w:vAlign w:val="bottom"/>
          </w:tcPr>
          <w:p w14:paraId="20CB915D" w14:textId="1E4459BE"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0.973</w:t>
            </w:r>
          </w:p>
        </w:tc>
        <w:tc>
          <w:tcPr>
            <w:tcW w:w="935" w:type="dxa"/>
            <w:tcBorders>
              <w:top w:val="single" w:sz="4" w:space="0" w:color="auto"/>
              <w:left w:val="single" w:sz="4" w:space="0" w:color="auto"/>
              <w:bottom w:val="single" w:sz="4" w:space="0" w:color="auto"/>
              <w:right w:val="single" w:sz="4" w:space="0" w:color="auto"/>
            </w:tcBorders>
            <w:vAlign w:val="bottom"/>
          </w:tcPr>
          <w:p w14:paraId="3C947221" w14:textId="3F3397AE"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0.985</w:t>
            </w:r>
          </w:p>
        </w:tc>
      </w:tr>
      <w:tr w:rsidR="00C73E11" w:rsidRPr="00C73E11" w14:paraId="39DD9FAF" w14:textId="77777777" w:rsidTr="00FC2C4D">
        <w:tc>
          <w:tcPr>
            <w:tcW w:w="1857" w:type="dxa"/>
            <w:tcBorders>
              <w:top w:val="single" w:sz="4" w:space="0" w:color="auto"/>
              <w:left w:val="single" w:sz="4" w:space="0" w:color="auto"/>
              <w:bottom w:val="single" w:sz="4" w:space="0" w:color="auto"/>
              <w:right w:val="single" w:sz="4" w:space="0" w:color="auto"/>
            </w:tcBorders>
            <w:hideMark/>
          </w:tcPr>
          <w:p w14:paraId="4AD8FF0F" w14:textId="77777777" w:rsidR="00EE7507" w:rsidRPr="00C73E11" w:rsidRDefault="00EE7507" w:rsidP="00EE7507">
            <w:pPr>
              <w:autoSpaceDE w:val="0"/>
              <w:autoSpaceDN w:val="0"/>
              <w:adjustRightInd w:val="0"/>
              <w:spacing w:after="60"/>
              <w:jc w:val="right"/>
              <w:rPr>
                <w:rFonts w:cstheme="minorHAnsi"/>
                <w:color w:val="FF0000"/>
              </w:rPr>
            </w:pPr>
            <w:r w:rsidRPr="00C73E11">
              <w:rPr>
                <w:rFonts w:cstheme="minorHAnsi"/>
                <w:color w:val="FF0000"/>
              </w:rPr>
              <w:t>Tercile 2</w:t>
            </w:r>
          </w:p>
        </w:tc>
        <w:tc>
          <w:tcPr>
            <w:tcW w:w="1074" w:type="dxa"/>
            <w:tcBorders>
              <w:top w:val="single" w:sz="4" w:space="0" w:color="auto"/>
              <w:left w:val="single" w:sz="4" w:space="0" w:color="auto"/>
              <w:bottom w:val="single" w:sz="4" w:space="0" w:color="auto"/>
              <w:right w:val="single" w:sz="4" w:space="0" w:color="auto"/>
            </w:tcBorders>
            <w:vAlign w:val="bottom"/>
          </w:tcPr>
          <w:p w14:paraId="01BDC090" w14:textId="394EB6E4"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57</w:t>
            </w:r>
          </w:p>
        </w:tc>
        <w:tc>
          <w:tcPr>
            <w:tcW w:w="854" w:type="dxa"/>
            <w:tcBorders>
              <w:top w:val="single" w:sz="4" w:space="0" w:color="auto"/>
              <w:left w:val="single" w:sz="4" w:space="0" w:color="auto"/>
              <w:bottom w:val="single" w:sz="4" w:space="0" w:color="auto"/>
              <w:right w:val="single" w:sz="4" w:space="0" w:color="auto"/>
            </w:tcBorders>
            <w:vAlign w:val="bottom"/>
          </w:tcPr>
          <w:p w14:paraId="67910D2E" w14:textId="1BCB2A03"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0.976</w:t>
            </w:r>
          </w:p>
        </w:tc>
        <w:tc>
          <w:tcPr>
            <w:tcW w:w="926" w:type="dxa"/>
            <w:tcBorders>
              <w:top w:val="single" w:sz="4" w:space="0" w:color="auto"/>
              <w:left w:val="single" w:sz="4" w:space="0" w:color="auto"/>
              <w:bottom w:val="single" w:sz="4" w:space="0" w:color="auto"/>
              <w:right w:val="single" w:sz="4" w:space="0" w:color="auto"/>
            </w:tcBorders>
            <w:vAlign w:val="bottom"/>
          </w:tcPr>
          <w:p w14:paraId="42B398BF" w14:textId="5C177F1E"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0.979</w:t>
            </w:r>
          </w:p>
        </w:tc>
        <w:tc>
          <w:tcPr>
            <w:tcW w:w="926" w:type="dxa"/>
            <w:tcBorders>
              <w:top w:val="single" w:sz="4" w:space="0" w:color="auto"/>
              <w:left w:val="single" w:sz="4" w:space="0" w:color="auto"/>
              <w:bottom w:val="single" w:sz="4" w:space="0" w:color="auto"/>
              <w:right w:val="single" w:sz="4" w:space="0" w:color="auto"/>
            </w:tcBorders>
            <w:vAlign w:val="bottom"/>
          </w:tcPr>
          <w:p w14:paraId="7EF7AB9A" w14:textId="0C748D6D"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0.983</w:t>
            </w:r>
          </w:p>
        </w:tc>
        <w:tc>
          <w:tcPr>
            <w:tcW w:w="926" w:type="dxa"/>
            <w:tcBorders>
              <w:top w:val="single" w:sz="4" w:space="0" w:color="auto"/>
              <w:left w:val="single" w:sz="4" w:space="0" w:color="auto"/>
              <w:bottom w:val="single" w:sz="4" w:space="0" w:color="auto"/>
              <w:right w:val="single" w:sz="4" w:space="0" w:color="auto"/>
            </w:tcBorders>
            <w:vAlign w:val="bottom"/>
          </w:tcPr>
          <w:p w14:paraId="7E7F3970" w14:textId="6E6234CF"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0.987</w:t>
            </w:r>
          </w:p>
        </w:tc>
        <w:tc>
          <w:tcPr>
            <w:tcW w:w="926" w:type="dxa"/>
            <w:tcBorders>
              <w:top w:val="single" w:sz="4" w:space="0" w:color="auto"/>
              <w:left w:val="single" w:sz="4" w:space="0" w:color="auto"/>
              <w:bottom w:val="single" w:sz="4" w:space="0" w:color="auto"/>
              <w:right w:val="single" w:sz="4" w:space="0" w:color="auto"/>
            </w:tcBorders>
            <w:vAlign w:val="bottom"/>
          </w:tcPr>
          <w:p w14:paraId="71CB7FAF" w14:textId="4890DB77"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0.991</w:t>
            </w:r>
          </w:p>
        </w:tc>
        <w:tc>
          <w:tcPr>
            <w:tcW w:w="926" w:type="dxa"/>
            <w:tcBorders>
              <w:top w:val="single" w:sz="4" w:space="0" w:color="auto"/>
              <w:left w:val="single" w:sz="4" w:space="0" w:color="auto"/>
              <w:bottom w:val="single" w:sz="4" w:space="0" w:color="auto"/>
              <w:right w:val="single" w:sz="4" w:space="0" w:color="auto"/>
            </w:tcBorders>
            <w:vAlign w:val="bottom"/>
          </w:tcPr>
          <w:p w14:paraId="26EE6279" w14:textId="78403E37"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0.993</w:t>
            </w:r>
          </w:p>
        </w:tc>
        <w:tc>
          <w:tcPr>
            <w:tcW w:w="935" w:type="dxa"/>
            <w:tcBorders>
              <w:top w:val="single" w:sz="4" w:space="0" w:color="auto"/>
              <w:left w:val="single" w:sz="4" w:space="0" w:color="auto"/>
              <w:bottom w:val="single" w:sz="4" w:space="0" w:color="auto"/>
              <w:right w:val="single" w:sz="4" w:space="0" w:color="auto"/>
            </w:tcBorders>
            <w:vAlign w:val="bottom"/>
          </w:tcPr>
          <w:p w14:paraId="22448637" w14:textId="539FC9F4"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0.997</w:t>
            </w:r>
          </w:p>
        </w:tc>
      </w:tr>
      <w:tr w:rsidR="00C73E11" w:rsidRPr="00C73E11" w14:paraId="380C8C00" w14:textId="77777777" w:rsidTr="00FC2C4D">
        <w:tc>
          <w:tcPr>
            <w:tcW w:w="1857" w:type="dxa"/>
            <w:tcBorders>
              <w:top w:val="single" w:sz="4" w:space="0" w:color="auto"/>
              <w:left w:val="single" w:sz="4" w:space="0" w:color="auto"/>
              <w:bottom w:val="single" w:sz="4" w:space="0" w:color="auto"/>
              <w:right w:val="single" w:sz="4" w:space="0" w:color="auto"/>
            </w:tcBorders>
            <w:hideMark/>
          </w:tcPr>
          <w:p w14:paraId="0643BCCB" w14:textId="77777777" w:rsidR="00EE7507" w:rsidRPr="00C73E11" w:rsidRDefault="00EE7507" w:rsidP="00EE7507">
            <w:pPr>
              <w:autoSpaceDE w:val="0"/>
              <w:autoSpaceDN w:val="0"/>
              <w:adjustRightInd w:val="0"/>
              <w:spacing w:after="60"/>
              <w:jc w:val="right"/>
              <w:rPr>
                <w:rFonts w:cstheme="minorHAnsi"/>
                <w:color w:val="FF0000"/>
              </w:rPr>
            </w:pPr>
            <w:r w:rsidRPr="00C73E11">
              <w:rPr>
                <w:rFonts w:cstheme="minorHAnsi"/>
                <w:color w:val="FF0000"/>
              </w:rPr>
              <w:t>Tercile 3</w:t>
            </w:r>
          </w:p>
        </w:tc>
        <w:tc>
          <w:tcPr>
            <w:tcW w:w="1074" w:type="dxa"/>
            <w:tcBorders>
              <w:top w:val="single" w:sz="4" w:space="0" w:color="auto"/>
              <w:left w:val="single" w:sz="4" w:space="0" w:color="auto"/>
              <w:bottom w:val="single" w:sz="4" w:space="0" w:color="auto"/>
              <w:right w:val="single" w:sz="4" w:space="0" w:color="auto"/>
            </w:tcBorders>
            <w:vAlign w:val="bottom"/>
          </w:tcPr>
          <w:p w14:paraId="6FAE5E68" w14:textId="341366CA"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59</w:t>
            </w:r>
          </w:p>
        </w:tc>
        <w:tc>
          <w:tcPr>
            <w:tcW w:w="854" w:type="dxa"/>
            <w:tcBorders>
              <w:top w:val="single" w:sz="4" w:space="0" w:color="auto"/>
              <w:left w:val="single" w:sz="4" w:space="0" w:color="auto"/>
              <w:bottom w:val="single" w:sz="4" w:space="0" w:color="auto"/>
              <w:right w:val="single" w:sz="4" w:space="0" w:color="auto"/>
            </w:tcBorders>
            <w:vAlign w:val="bottom"/>
          </w:tcPr>
          <w:p w14:paraId="0F68B17F" w14:textId="675B225B"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0.988</w:t>
            </w:r>
          </w:p>
        </w:tc>
        <w:tc>
          <w:tcPr>
            <w:tcW w:w="926" w:type="dxa"/>
            <w:tcBorders>
              <w:top w:val="single" w:sz="4" w:space="0" w:color="auto"/>
              <w:left w:val="single" w:sz="4" w:space="0" w:color="auto"/>
              <w:bottom w:val="single" w:sz="4" w:space="0" w:color="auto"/>
              <w:right w:val="single" w:sz="4" w:space="0" w:color="auto"/>
            </w:tcBorders>
            <w:vAlign w:val="bottom"/>
          </w:tcPr>
          <w:p w14:paraId="3E6E1666" w14:textId="2E41E822"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0.991</w:t>
            </w:r>
          </w:p>
        </w:tc>
        <w:tc>
          <w:tcPr>
            <w:tcW w:w="926" w:type="dxa"/>
            <w:tcBorders>
              <w:top w:val="single" w:sz="4" w:space="0" w:color="auto"/>
              <w:left w:val="single" w:sz="4" w:space="0" w:color="auto"/>
              <w:bottom w:val="single" w:sz="4" w:space="0" w:color="auto"/>
              <w:right w:val="single" w:sz="4" w:space="0" w:color="auto"/>
            </w:tcBorders>
            <w:vAlign w:val="bottom"/>
          </w:tcPr>
          <w:p w14:paraId="205E28EA" w14:textId="3173297C"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0.992</w:t>
            </w:r>
          </w:p>
        </w:tc>
        <w:tc>
          <w:tcPr>
            <w:tcW w:w="926" w:type="dxa"/>
            <w:tcBorders>
              <w:top w:val="single" w:sz="4" w:space="0" w:color="auto"/>
              <w:left w:val="single" w:sz="4" w:space="0" w:color="auto"/>
              <w:bottom w:val="single" w:sz="4" w:space="0" w:color="auto"/>
              <w:right w:val="single" w:sz="4" w:space="0" w:color="auto"/>
            </w:tcBorders>
            <w:vAlign w:val="bottom"/>
          </w:tcPr>
          <w:p w14:paraId="57545506" w14:textId="2A0B3850"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0.994</w:t>
            </w:r>
          </w:p>
        </w:tc>
        <w:tc>
          <w:tcPr>
            <w:tcW w:w="926" w:type="dxa"/>
            <w:tcBorders>
              <w:top w:val="single" w:sz="4" w:space="0" w:color="auto"/>
              <w:left w:val="single" w:sz="4" w:space="0" w:color="auto"/>
              <w:bottom w:val="single" w:sz="4" w:space="0" w:color="auto"/>
              <w:right w:val="single" w:sz="4" w:space="0" w:color="auto"/>
            </w:tcBorders>
            <w:vAlign w:val="bottom"/>
          </w:tcPr>
          <w:p w14:paraId="594EB3F9" w14:textId="0B7C2CBB"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0.996</w:t>
            </w:r>
          </w:p>
        </w:tc>
        <w:tc>
          <w:tcPr>
            <w:tcW w:w="926" w:type="dxa"/>
            <w:tcBorders>
              <w:top w:val="single" w:sz="4" w:space="0" w:color="auto"/>
              <w:left w:val="single" w:sz="4" w:space="0" w:color="auto"/>
              <w:bottom w:val="single" w:sz="4" w:space="0" w:color="auto"/>
              <w:right w:val="single" w:sz="4" w:space="0" w:color="auto"/>
            </w:tcBorders>
            <w:vAlign w:val="bottom"/>
          </w:tcPr>
          <w:p w14:paraId="3B5B4DC5" w14:textId="35CCC957"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0.997</w:t>
            </w:r>
          </w:p>
        </w:tc>
        <w:tc>
          <w:tcPr>
            <w:tcW w:w="935" w:type="dxa"/>
            <w:tcBorders>
              <w:top w:val="single" w:sz="4" w:space="0" w:color="auto"/>
              <w:left w:val="single" w:sz="4" w:space="0" w:color="auto"/>
              <w:bottom w:val="single" w:sz="4" w:space="0" w:color="auto"/>
              <w:right w:val="single" w:sz="4" w:space="0" w:color="auto"/>
            </w:tcBorders>
            <w:vAlign w:val="bottom"/>
          </w:tcPr>
          <w:p w14:paraId="38C35123" w14:textId="0C54EC6B"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0.999</w:t>
            </w:r>
          </w:p>
        </w:tc>
      </w:tr>
      <w:tr w:rsidR="00C73E11" w:rsidRPr="00C73E11" w14:paraId="59E9CC9E" w14:textId="77777777" w:rsidTr="00C02128">
        <w:tc>
          <w:tcPr>
            <w:tcW w:w="1857" w:type="dxa"/>
            <w:tcBorders>
              <w:top w:val="single" w:sz="4" w:space="0" w:color="auto"/>
              <w:left w:val="single" w:sz="4" w:space="0" w:color="auto"/>
              <w:bottom w:val="single" w:sz="4" w:space="0" w:color="auto"/>
              <w:right w:val="single" w:sz="4" w:space="0" w:color="auto"/>
            </w:tcBorders>
            <w:shd w:val="clear" w:color="auto" w:fill="D9D9D9"/>
          </w:tcPr>
          <w:p w14:paraId="257960EE" w14:textId="5DE480AD" w:rsidR="00A67F9E" w:rsidRPr="00C73E11" w:rsidRDefault="00A67F9E" w:rsidP="00A67F9E">
            <w:pPr>
              <w:autoSpaceDE w:val="0"/>
              <w:autoSpaceDN w:val="0"/>
              <w:adjustRightInd w:val="0"/>
              <w:spacing w:after="60"/>
              <w:rPr>
                <w:rFonts w:cstheme="minorHAnsi"/>
                <w:color w:val="FF0000"/>
              </w:rPr>
            </w:pPr>
            <w:r w:rsidRPr="00C73E11">
              <w:rPr>
                <w:rFonts w:cstheme="minorHAnsi"/>
                <w:b/>
                <w:bCs/>
                <w:color w:val="FF0000"/>
              </w:rPr>
              <w:t>All Medicare</w:t>
            </w:r>
          </w:p>
        </w:tc>
        <w:tc>
          <w:tcPr>
            <w:tcW w:w="1074" w:type="dxa"/>
            <w:tcBorders>
              <w:top w:val="single" w:sz="4" w:space="0" w:color="auto"/>
              <w:left w:val="single" w:sz="4" w:space="0" w:color="auto"/>
              <w:bottom w:val="single" w:sz="4" w:space="0" w:color="auto"/>
              <w:right w:val="single" w:sz="4" w:space="0" w:color="auto"/>
            </w:tcBorders>
            <w:shd w:val="clear" w:color="auto" w:fill="D9D9D9"/>
            <w:vAlign w:val="bottom"/>
          </w:tcPr>
          <w:p w14:paraId="3C885E75" w14:textId="5FBED3AF" w:rsidR="00A67F9E" w:rsidRPr="00C73E11" w:rsidRDefault="00A67F9E" w:rsidP="00A67F9E">
            <w:pPr>
              <w:autoSpaceDE w:val="0"/>
              <w:autoSpaceDN w:val="0"/>
              <w:adjustRightInd w:val="0"/>
              <w:spacing w:after="60"/>
              <w:jc w:val="right"/>
              <w:rPr>
                <w:rFonts w:cstheme="minorHAnsi"/>
                <w:b/>
                <w:bCs/>
                <w:color w:val="FF0000"/>
              </w:rPr>
            </w:pPr>
            <w:r w:rsidRPr="00C73E11">
              <w:rPr>
                <w:rFonts w:ascii="Calibri" w:hAnsi="Calibri" w:cs="Calibri"/>
                <w:b/>
                <w:bCs/>
                <w:color w:val="FF0000"/>
              </w:rPr>
              <w:t>308</w:t>
            </w:r>
          </w:p>
        </w:tc>
        <w:tc>
          <w:tcPr>
            <w:tcW w:w="854" w:type="dxa"/>
            <w:tcBorders>
              <w:top w:val="single" w:sz="4" w:space="0" w:color="auto"/>
              <w:left w:val="single" w:sz="4" w:space="0" w:color="auto"/>
              <w:bottom w:val="single" w:sz="4" w:space="0" w:color="auto"/>
              <w:right w:val="single" w:sz="4" w:space="0" w:color="auto"/>
            </w:tcBorders>
            <w:shd w:val="clear" w:color="auto" w:fill="D9D9D9"/>
            <w:vAlign w:val="bottom"/>
          </w:tcPr>
          <w:p w14:paraId="569C79BB" w14:textId="36CBC0B5" w:rsidR="00A67F9E" w:rsidRPr="00C73E11" w:rsidRDefault="00A67F9E" w:rsidP="00A67F9E">
            <w:pPr>
              <w:autoSpaceDE w:val="0"/>
              <w:autoSpaceDN w:val="0"/>
              <w:adjustRightInd w:val="0"/>
              <w:spacing w:after="60"/>
              <w:jc w:val="right"/>
              <w:rPr>
                <w:rFonts w:cstheme="minorHAnsi"/>
                <w:b/>
                <w:bCs/>
                <w:color w:val="FF0000"/>
              </w:rPr>
            </w:pPr>
            <w:r w:rsidRPr="00C73E11">
              <w:rPr>
                <w:rFonts w:ascii="Calibri" w:hAnsi="Calibri" w:cs="Calibri"/>
                <w:b/>
                <w:bCs/>
                <w:color w:val="FF0000"/>
              </w:rPr>
              <w:t>0.653</w:t>
            </w:r>
          </w:p>
        </w:tc>
        <w:tc>
          <w:tcPr>
            <w:tcW w:w="926" w:type="dxa"/>
            <w:tcBorders>
              <w:top w:val="single" w:sz="4" w:space="0" w:color="auto"/>
              <w:left w:val="single" w:sz="4" w:space="0" w:color="auto"/>
              <w:bottom w:val="single" w:sz="4" w:space="0" w:color="auto"/>
              <w:right w:val="single" w:sz="4" w:space="0" w:color="auto"/>
            </w:tcBorders>
            <w:shd w:val="clear" w:color="auto" w:fill="D9D9D9"/>
            <w:vAlign w:val="bottom"/>
          </w:tcPr>
          <w:p w14:paraId="4BF6E2DC" w14:textId="41ACBB51" w:rsidR="00A67F9E" w:rsidRPr="00C73E11" w:rsidRDefault="00A67F9E" w:rsidP="00A67F9E">
            <w:pPr>
              <w:autoSpaceDE w:val="0"/>
              <w:autoSpaceDN w:val="0"/>
              <w:adjustRightInd w:val="0"/>
              <w:spacing w:after="60"/>
              <w:jc w:val="right"/>
              <w:rPr>
                <w:rFonts w:cstheme="minorHAnsi"/>
                <w:b/>
                <w:bCs/>
                <w:color w:val="FF0000"/>
              </w:rPr>
            </w:pPr>
            <w:r w:rsidRPr="00C73E11">
              <w:rPr>
                <w:rFonts w:ascii="Calibri" w:hAnsi="Calibri" w:cs="Calibri"/>
                <w:b/>
                <w:bCs/>
                <w:color w:val="FF0000"/>
              </w:rPr>
              <w:t>0.771</w:t>
            </w:r>
          </w:p>
        </w:tc>
        <w:tc>
          <w:tcPr>
            <w:tcW w:w="926" w:type="dxa"/>
            <w:tcBorders>
              <w:top w:val="single" w:sz="4" w:space="0" w:color="auto"/>
              <w:left w:val="single" w:sz="4" w:space="0" w:color="auto"/>
              <w:bottom w:val="single" w:sz="4" w:space="0" w:color="auto"/>
              <w:right w:val="single" w:sz="4" w:space="0" w:color="auto"/>
            </w:tcBorders>
            <w:shd w:val="clear" w:color="auto" w:fill="D9D9D9"/>
            <w:vAlign w:val="bottom"/>
          </w:tcPr>
          <w:p w14:paraId="5969E949" w14:textId="1A9AEAEB" w:rsidR="00A67F9E" w:rsidRPr="00C73E11" w:rsidRDefault="00A67F9E" w:rsidP="00A67F9E">
            <w:pPr>
              <w:autoSpaceDE w:val="0"/>
              <w:autoSpaceDN w:val="0"/>
              <w:adjustRightInd w:val="0"/>
              <w:spacing w:after="60"/>
              <w:jc w:val="right"/>
              <w:rPr>
                <w:rFonts w:cstheme="minorHAnsi"/>
                <w:b/>
                <w:bCs/>
                <w:color w:val="FF0000"/>
              </w:rPr>
            </w:pPr>
            <w:r w:rsidRPr="00C73E11">
              <w:rPr>
                <w:rFonts w:ascii="Calibri" w:hAnsi="Calibri" w:cs="Calibri"/>
                <w:b/>
                <w:bCs/>
                <w:color w:val="FF0000"/>
              </w:rPr>
              <w:t>0.848</w:t>
            </w:r>
          </w:p>
        </w:tc>
        <w:tc>
          <w:tcPr>
            <w:tcW w:w="926" w:type="dxa"/>
            <w:tcBorders>
              <w:top w:val="single" w:sz="4" w:space="0" w:color="auto"/>
              <w:left w:val="single" w:sz="4" w:space="0" w:color="auto"/>
              <w:bottom w:val="single" w:sz="4" w:space="0" w:color="auto"/>
              <w:right w:val="single" w:sz="4" w:space="0" w:color="auto"/>
            </w:tcBorders>
            <w:shd w:val="clear" w:color="auto" w:fill="D9D9D9"/>
            <w:vAlign w:val="bottom"/>
          </w:tcPr>
          <w:p w14:paraId="4F278DC7" w14:textId="443300B4" w:rsidR="00A67F9E" w:rsidRPr="00C73E11" w:rsidRDefault="00A67F9E" w:rsidP="00A67F9E">
            <w:pPr>
              <w:autoSpaceDE w:val="0"/>
              <w:autoSpaceDN w:val="0"/>
              <w:adjustRightInd w:val="0"/>
              <w:spacing w:after="60"/>
              <w:jc w:val="right"/>
              <w:rPr>
                <w:rFonts w:cstheme="minorHAnsi"/>
                <w:b/>
                <w:bCs/>
                <w:color w:val="FF0000"/>
              </w:rPr>
            </w:pPr>
            <w:r w:rsidRPr="00C73E11">
              <w:rPr>
                <w:rFonts w:ascii="Calibri" w:hAnsi="Calibri" w:cs="Calibri"/>
                <w:b/>
                <w:bCs/>
                <w:color w:val="FF0000"/>
              </w:rPr>
              <w:t>0.900</w:t>
            </w:r>
          </w:p>
        </w:tc>
        <w:tc>
          <w:tcPr>
            <w:tcW w:w="926" w:type="dxa"/>
            <w:tcBorders>
              <w:top w:val="single" w:sz="4" w:space="0" w:color="auto"/>
              <w:left w:val="single" w:sz="4" w:space="0" w:color="auto"/>
              <w:bottom w:val="single" w:sz="4" w:space="0" w:color="auto"/>
              <w:right w:val="single" w:sz="4" w:space="0" w:color="auto"/>
            </w:tcBorders>
            <w:shd w:val="clear" w:color="auto" w:fill="D9D9D9"/>
            <w:vAlign w:val="bottom"/>
          </w:tcPr>
          <w:p w14:paraId="3B76F997" w14:textId="73AED03B" w:rsidR="00A67F9E" w:rsidRPr="00C73E11" w:rsidRDefault="00A67F9E" w:rsidP="00A67F9E">
            <w:pPr>
              <w:autoSpaceDE w:val="0"/>
              <w:autoSpaceDN w:val="0"/>
              <w:adjustRightInd w:val="0"/>
              <w:spacing w:after="60"/>
              <w:jc w:val="right"/>
              <w:rPr>
                <w:rFonts w:cstheme="minorHAnsi"/>
                <w:b/>
                <w:bCs/>
                <w:color w:val="FF0000"/>
              </w:rPr>
            </w:pPr>
            <w:r w:rsidRPr="00C73E11">
              <w:rPr>
                <w:rFonts w:ascii="Calibri" w:hAnsi="Calibri" w:cs="Calibri"/>
                <w:b/>
                <w:bCs/>
                <w:color w:val="FF0000"/>
              </w:rPr>
              <w:t>0.967</w:t>
            </w:r>
          </w:p>
        </w:tc>
        <w:tc>
          <w:tcPr>
            <w:tcW w:w="926" w:type="dxa"/>
            <w:tcBorders>
              <w:top w:val="single" w:sz="4" w:space="0" w:color="auto"/>
              <w:left w:val="single" w:sz="4" w:space="0" w:color="auto"/>
              <w:bottom w:val="single" w:sz="4" w:space="0" w:color="auto"/>
              <w:right w:val="single" w:sz="4" w:space="0" w:color="auto"/>
            </w:tcBorders>
            <w:shd w:val="clear" w:color="auto" w:fill="D9D9D9"/>
            <w:vAlign w:val="bottom"/>
          </w:tcPr>
          <w:p w14:paraId="5E51D7B7" w14:textId="14775548" w:rsidR="00A67F9E" w:rsidRPr="00C73E11" w:rsidRDefault="00A67F9E" w:rsidP="00A67F9E">
            <w:pPr>
              <w:autoSpaceDE w:val="0"/>
              <w:autoSpaceDN w:val="0"/>
              <w:adjustRightInd w:val="0"/>
              <w:spacing w:after="60"/>
              <w:jc w:val="right"/>
              <w:rPr>
                <w:rFonts w:cstheme="minorHAnsi"/>
                <w:b/>
                <w:bCs/>
                <w:color w:val="FF0000"/>
              </w:rPr>
            </w:pPr>
            <w:r w:rsidRPr="00C73E11">
              <w:rPr>
                <w:rFonts w:ascii="Calibri" w:hAnsi="Calibri" w:cs="Calibri"/>
                <w:b/>
                <w:bCs/>
                <w:color w:val="FF0000"/>
              </w:rPr>
              <w:t>0.987</w:t>
            </w:r>
          </w:p>
        </w:tc>
        <w:tc>
          <w:tcPr>
            <w:tcW w:w="935" w:type="dxa"/>
            <w:tcBorders>
              <w:top w:val="single" w:sz="4" w:space="0" w:color="auto"/>
              <w:left w:val="single" w:sz="4" w:space="0" w:color="auto"/>
              <w:bottom w:val="single" w:sz="4" w:space="0" w:color="auto"/>
              <w:right w:val="single" w:sz="4" w:space="0" w:color="auto"/>
            </w:tcBorders>
            <w:shd w:val="clear" w:color="auto" w:fill="D9D9D9"/>
            <w:vAlign w:val="bottom"/>
          </w:tcPr>
          <w:p w14:paraId="04CD7AB9" w14:textId="410F69B9" w:rsidR="00A67F9E" w:rsidRPr="00C73E11" w:rsidRDefault="00A67F9E" w:rsidP="00A67F9E">
            <w:pPr>
              <w:autoSpaceDE w:val="0"/>
              <w:autoSpaceDN w:val="0"/>
              <w:adjustRightInd w:val="0"/>
              <w:spacing w:after="60"/>
              <w:jc w:val="right"/>
              <w:rPr>
                <w:rFonts w:cstheme="minorHAnsi"/>
                <w:b/>
                <w:bCs/>
                <w:color w:val="FF0000"/>
              </w:rPr>
            </w:pPr>
            <w:r w:rsidRPr="00C73E11">
              <w:rPr>
                <w:rFonts w:ascii="Calibri" w:hAnsi="Calibri" w:cs="Calibri"/>
                <w:b/>
                <w:bCs/>
                <w:color w:val="FF0000"/>
              </w:rPr>
              <w:t>1.000</w:t>
            </w:r>
          </w:p>
        </w:tc>
      </w:tr>
      <w:tr w:rsidR="00253818" w:rsidRPr="00C73E11" w14:paraId="497CB64E" w14:textId="77777777" w:rsidTr="00050392">
        <w:tc>
          <w:tcPr>
            <w:tcW w:w="1857" w:type="dxa"/>
            <w:tcBorders>
              <w:top w:val="single" w:sz="4" w:space="0" w:color="auto"/>
              <w:left w:val="single" w:sz="4" w:space="0" w:color="auto"/>
              <w:bottom w:val="single" w:sz="4" w:space="0" w:color="auto"/>
              <w:right w:val="single" w:sz="4" w:space="0" w:color="auto"/>
            </w:tcBorders>
          </w:tcPr>
          <w:p w14:paraId="67BE1FB1" w14:textId="2DE99D87" w:rsidR="00253818" w:rsidRPr="00C73E11" w:rsidRDefault="00253818" w:rsidP="00253818">
            <w:pPr>
              <w:autoSpaceDE w:val="0"/>
              <w:autoSpaceDN w:val="0"/>
              <w:adjustRightInd w:val="0"/>
              <w:spacing w:after="60"/>
              <w:jc w:val="right"/>
              <w:rPr>
                <w:rFonts w:cstheme="minorHAnsi"/>
                <w:color w:val="FF0000"/>
              </w:rPr>
            </w:pPr>
            <w:r w:rsidRPr="00C73E11">
              <w:rPr>
                <w:rFonts w:cstheme="minorHAnsi"/>
                <w:color w:val="FF0000"/>
              </w:rPr>
              <w:t>Tercile 1</w:t>
            </w:r>
          </w:p>
        </w:tc>
        <w:tc>
          <w:tcPr>
            <w:tcW w:w="1074" w:type="dxa"/>
            <w:tcBorders>
              <w:top w:val="single" w:sz="4" w:space="0" w:color="auto"/>
              <w:left w:val="single" w:sz="4" w:space="0" w:color="auto"/>
              <w:bottom w:val="single" w:sz="4" w:space="0" w:color="auto"/>
              <w:right w:val="single" w:sz="4" w:space="0" w:color="auto"/>
            </w:tcBorders>
            <w:vAlign w:val="bottom"/>
          </w:tcPr>
          <w:p w14:paraId="03D2B55A" w14:textId="12E4ED2F"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102</w:t>
            </w:r>
          </w:p>
        </w:tc>
        <w:tc>
          <w:tcPr>
            <w:tcW w:w="854" w:type="dxa"/>
            <w:tcBorders>
              <w:top w:val="single" w:sz="4" w:space="0" w:color="auto"/>
              <w:left w:val="single" w:sz="4" w:space="0" w:color="auto"/>
              <w:bottom w:val="single" w:sz="4" w:space="0" w:color="auto"/>
              <w:right w:val="single" w:sz="4" w:space="0" w:color="auto"/>
            </w:tcBorders>
            <w:vAlign w:val="bottom"/>
          </w:tcPr>
          <w:p w14:paraId="4583EE53" w14:textId="736BE8EE"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0.667</w:t>
            </w:r>
          </w:p>
        </w:tc>
        <w:tc>
          <w:tcPr>
            <w:tcW w:w="926" w:type="dxa"/>
            <w:tcBorders>
              <w:top w:val="single" w:sz="4" w:space="0" w:color="auto"/>
              <w:left w:val="single" w:sz="4" w:space="0" w:color="auto"/>
              <w:bottom w:val="single" w:sz="4" w:space="0" w:color="auto"/>
              <w:right w:val="single" w:sz="4" w:space="0" w:color="auto"/>
            </w:tcBorders>
            <w:vAlign w:val="bottom"/>
          </w:tcPr>
          <w:p w14:paraId="715ABB91" w14:textId="0DD3EFE5"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0.721</w:t>
            </w:r>
          </w:p>
        </w:tc>
        <w:tc>
          <w:tcPr>
            <w:tcW w:w="926" w:type="dxa"/>
            <w:tcBorders>
              <w:top w:val="single" w:sz="4" w:space="0" w:color="auto"/>
              <w:left w:val="single" w:sz="4" w:space="0" w:color="auto"/>
              <w:bottom w:val="single" w:sz="4" w:space="0" w:color="auto"/>
              <w:right w:val="single" w:sz="4" w:space="0" w:color="auto"/>
            </w:tcBorders>
            <w:vAlign w:val="bottom"/>
          </w:tcPr>
          <w:p w14:paraId="40DAAC93" w14:textId="16A6DA5E"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0.776</w:t>
            </w:r>
          </w:p>
        </w:tc>
        <w:tc>
          <w:tcPr>
            <w:tcW w:w="926" w:type="dxa"/>
            <w:tcBorders>
              <w:top w:val="single" w:sz="4" w:space="0" w:color="auto"/>
              <w:left w:val="single" w:sz="4" w:space="0" w:color="auto"/>
              <w:bottom w:val="single" w:sz="4" w:space="0" w:color="auto"/>
              <w:right w:val="single" w:sz="4" w:space="0" w:color="auto"/>
            </w:tcBorders>
            <w:vAlign w:val="bottom"/>
          </w:tcPr>
          <w:p w14:paraId="201B69D5" w14:textId="1A140824"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0.815</w:t>
            </w:r>
          </w:p>
        </w:tc>
        <w:tc>
          <w:tcPr>
            <w:tcW w:w="926" w:type="dxa"/>
            <w:tcBorders>
              <w:top w:val="single" w:sz="4" w:space="0" w:color="auto"/>
              <w:left w:val="single" w:sz="4" w:space="0" w:color="auto"/>
              <w:bottom w:val="single" w:sz="4" w:space="0" w:color="auto"/>
              <w:right w:val="single" w:sz="4" w:space="0" w:color="auto"/>
            </w:tcBorders>
            <w:vAlign w:val="bottom"/>
          </w:tcPr>
          <w:p w14:paraId="56B7CF78" w14:textId="0D890534"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0.859</w:t>
            </w:r>
          </w:p>
        </w:tc>
        <w:tc>
          <w:tcPr>
            <w:tcW w:w="926" w:type="dxa"/>
            <w:tcBorders>
              <w:top w:val="single" w:sz="4" w:space="0" w:color="auto"/>
              <w:left w:val="single" w:sz="4" w:space="0" w:color="auto"/>
              <w:bottom w:val="single" w:sz="4" w:space="0" w:color="auto"/>
              <w:right w:val="single" w:sz="4" w:space="0" w:color="auto"/>
            </w:tcBorders>
            <w:vAlign w:val="bottom"/>
          </w:tcPr>
          <w:p w14:paraId="649F062F" w14:textId="5C99513D"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0.902</w:t>
            </w:r>
          </w:p>
        </w:tc>
        <w:tc>
          <w:tcPr>
            <w:tcW w:w="935" w:type="dxa"/>
            <w:tcBorders>
              <w:top w:val="single" w:sz="4" w:space="0" w:color="auto"/>
              <w:left w:val="single" w:sz="4" w:space="0" w:color="auto"/>
              <w:bottom w:val="single" w:sz="4" w:space="0" w:color="auto"/>
              <w:right w:val="single" w:sz="4" w:space="0" w:color="auto"/>
            </w:tcBorders>
            <w:vAlign w:val="bottom"/>
          </w:tcPr>
          <w:p w14:paraId="43BD1FE0" w14:textId="00CE7797"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1.000</w:t>
            </w:r>
          </w:p>
        </w:tc>
      </w:tr>
      <w:tr w:rsidR="00253818" w:rsidRPr="00C73E11" w14:paraId="261D1559" w14:textId="77777777" w:rsidTr="00050392">
        <w:tc>
          <w:tcPr>
            <w:tcW w:w="1857" w:type="dxa"/>
            <w:tcBorders>
              <w:top w:val="single" w:sz="4" w:space="0" w:color="auto"/>
              <w:left w:val="single" w:sz="4" w:space="0" w:color="auto"/>
              <w:bottom w:val="single" w:sz="4" w:space="0" w:color="auto"/>
              <w:right w:val="single" w:sz="4" w:space="0" w:color="auto"/>
            </w:tcBorders>
          </w:tcPr>
          <w:p w14:paraId="47A71931" w14:textId="764D07ED" w:rsidR="00253818" w:rsidRPr="00C73E11" w:rsidRDefault="00253818" w:rsidP="00253818">
            <w:pPr>
              <w:autoSpaceDE w:val="0"/>
              <w:autoSpaceDN w:val="0"/>
              <w:adjustRightInd w:val="0"/>
              <w:spacing w:after="60"/>
              <w:jc w:val="right"/>
              <w:rPr>
                <w:rFonts w:cstheme="minorHAnsi"/>
                <w:color w:val="FF0000"/>
              </w:rPr>
            </w:pPr>
            <w:r w:rsidRPr="00C73E11">
              <w:rPr>
                <w:rFonts w:cstheme="minorHAnsi"/>
                <w:color w:val="FF0000"/>
              </w:rPr>
              <w:t>Tercile 2</w:t>
            </w:r>
          </w:p>
        </w:tc>
        <w:tc>
          <w:tcPr>
            <w:tcW w:w="1074" w:type="dxa"/>
            <w:tcBorders>
              <w:top w:val="single" w:sz="4" w:space="0" w:color="auto"/>
              <w:left w:val="single" w:sz="4" w:space="0" w:color="auto"/>
              <w:bottom w:val="single" w:sz="4" w:space="0" w:color="auto"/>
              <w:right w:val="single" w:sz="4" w:space="0" w:color="auto"/>
            </w:tcBorders>
            <w:vAlign w:val="bottom"/>
          </w:tcPr>
          <w:p w14:paraId="707E4DE8" w14:textId="0BCE9AF3"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101</w:t>
            </w:r>
          </w:p>
        </w:tc>
        <w:tc>
          <w:tcPr>
            <w:tcW w:w="854" w:type="dxa"/>
            <w:tcBorders>
              <w:top w:val="single" w:sz="4" w:space="0" w:color="auto"/>
              <w:left w:val="single" w:sz="4" w:space="0" w:color="auto"/>
              <w:bottom w:val="single" w:sz="4" w:space="0" w:color="auto"/>
              <w:right w:val="single" w:sz="4" w:space="0" w:color="auto"/>
            </w:tcBorders>
            <w:vAlign w:val="bottom"/>
          </w:tcPr>
          <w:p w14:paraId="387FB518" w14:textId="101B0D82"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0.845</w:t>
            </w:r>
          </w:p>
        </w:tc>
        <w:tc>
          <w:tcPr>
            <w:tcW w:w="926" w:type="dxa"/>
            <w:tcBorders>
              <w:top w:val="single" w:sz="4" w:space="0" w:color="auto"/>
              <w:left w:val="single" w:sz="4" w:space="0" w:color="auto"/>
              <w:bottom w:val="single" w:sz="4" w:space="0" w:color="auto"/>
              <w:right w:val="single" w:sz="4" w:space="0" w:color="auto"/>
            </w:tcBorders>
            <w:vAlign w:val="bottom"/>
          </w:tcPr>
          <w:p w14:paraId="16531E48" w14:textId="78E2002A"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0.869</w:t>
            </w:r>
          </w:p>
        </w:tc>
        <w:tc>
          <w:tcPr>
            <w:tcW w:w="926" w:type="dxa"/>
            <w:tcBorders>
              <w:top w:val="single" w:sz="4" w:space="0" w:color="auto"/>
              <w:left w:val="single" w:sz="4" w:space="0" w:color="auto"/>
              <w:bottom w:val="single" w:sz="4" w:space="0" w:color="auto"/>
              <w:right w:val="single" w:sz="4" w:space="0" w:color="auto"/>
            </w:tcBorders>
            <w:vAlign w:val="bottom"/>
          </w:tcPr>
          <w:p w14:paraId="0DBD6B5A" w14:textId="112D3BD7"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0.893</w:t>
            </w:r>
          </w:p>
        </w:tc>
        <w:tc>
          <w:tcPr>
            <w:tcW w:w="926" w:type="dxa"/>
            <w:tcBorders>
              <w:top w:val="single" w:sz="4" w:space="0" w:color="auto"/>
              <w:left w:val="single" w:sz="4" w:space="0" w:color="auto"/>
              <w:bottom w:val="single" w:sz="4" w:space="0" w:color="auto"/>
              <w:right w:val="single" w:sz="4" w:space="0" w:color="auto"/>
            </w:tcBorders>
            <w:vAlign w:val="bottom"/>
          </w:tcPr>
          <w:p w14:paraId="36CC2234" w14:textId="0F5D6A9F"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0.920</w:t>
            </w:r>
          </w:p>
        </w:tc>
        <w:tc>
          <w:tcPr>
            <w:tcW w:w="926" w:type="dxa"/>
            <w:tcBorders>
              <w:top w:val="single" w:sz="4" w:space="0" w:color="auto"/>
              <w:left w:val="single" w:sz="4" w:space="0" w:color="auto"/>
              <w:bottom w:val="single" w:sz="4" w:space="0" w:color="auto"/>
              <w:right w:val="single" w:sz="4" w:space="0" w:color="auto"/>
            </w:tcBorders>
            <w:vAlign w:val="bottom"/>
          </w:tcPr>
          <w:p w14:paraId="5048FBCF" w14:textId="0DCFFC21"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0.944</w:t>
            </w:r>
          </w:p>
        </w:tc>
        <w:tc>
          <w:tcPr>
            <w:tcW w:w="926" w:type="dxa"/>
            <w:tcBorders>
              <w:top w:val="single" w:sz="4" w:space="0" w:color="auto"/>
              <w:left w:val="single" w:sz="4" w:space="0" w:color="auto"/>
              <w:bottom w:val="single" w:sz="4" w:space="0" w:color="auto"/>
              <w:right w:val="single" w:sz="4" w:space="0" w:color="auto"/>
            </w:tcBorders>
            <w:vAlign w:val="bottom"/>
          </w:tcPr>
          <w:p w14:paraId="1AF102A7" w14:textId="7F083176"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0.964</w:t>
            </w:r>
          </w:p>
        </w:tc>
        <w:tc>
          <w:tcPr>
            <w:tcW w:w="935" w:type="dxa"/>
            <w:tcBorders>
              <w:top w:val="single" w:sz="4" w:space="0" w:color="auto"/>
              <w:left w:val="single" w:sz="4" w:space="0" w:color="auto"/>
              <w:bottom w:val="single" w:sz="4" w:space="0" w:color="auto"/>
              <w:right w:val="single" w:sz="4" w:space="0" w:color="auto"/>
            </w:tcBorders>
            <w:vAlign w:val="bottom"/>
          </w:tcPr>
          <w:p w14:paraId="2AFF7AF7" w14:textId="785E73E6"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0.985</w:t>
            </w:r>
          </w:p>
        </w:tc>
      </w:tr>
      <w:tr w:rsidR="00253818" w:rsidRPr="00C73E11" w14:paraId="124700A4" w14:textId="77777777" w:rsidTr="00050392">
        <w:tc>
          <w:tcPr>
            <w:tcW w:w="1857" w:type="dxa"/>
            <w:tcBorders>
              <w:top w:val="single" w:sz="4" w:space="0" w:color="auto"/>
              <w:left w:val="single" w:sz="4" w:space="0" w:color="auto"/>
              <w:bottom w:val="single" w:sz="4" w:space="0" w:color="auto"/>
              <w:right w:val="single" w:sz="4" w:space="0" w:color="auto"/>
            </w:tcBorders>
          </w:tcPr>
          <w:p w14:paraId="0B64D736" w14:textId="0435FEAB" w:rsidR="00253818" w:rsidRPr="00C73E11" w:rsidRDefault="00253818" w:rsidP="00253818">
            <w:pPr>
              <w:autoSpaceDE w:val="0"/>
              <w:autoSpaceDN w:val="0"/>
              <w:adjustRightInd w:val="0"/>
              <w:spacing w:after="60"/>
              <w:jc w:val="right"/>
              <w:rPr>
                <w:rFonts w:cstheme="minorHAnsi"/>
                <w:color w:val="FF0000"/>
              </w:rPr>
            </w:pPr>
            <w:r w:rsidRPr="00C73E11">
              <w:rPr>
                <w:rFonts w:cstheme="minorHAnsi"/>
                <w:color w:val="FF0000"/>
              </w:rPr>
              <w:t>Tercile 3</w:t>
            </w:r>
          </w:p>
        </w:tc>
        <w:tc>
          <w:tcPr>
            <w:tcW w:w="1074" w:type="dxa"/>
            <w:tcBorders>
              <w:top w:val="single" w:sz="4" w:space="0" w:color="auto"/>
              <w:left w:val="single" w:sz="4" w:space="0" w:color="auto"/>
              <w:bottom w:val="single" w:sz="4" w:space="0" w:color="auto"/>
              <w:right w:val="single" w:sz="4" w:space="0" w:color="auto"/>
            </w:tcBorders>
            <w:vAlign w:val="bottom"/>
          </w:tcPr>
          <w:p w14:paraId="36A0F6BA" w14:textId="5A913E75"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105</w:t>
            </w:r>
          </w:p>
        </w:tc>
        <w:tc>
          <w:tcPr>
            <w:tcW w:w="854" w:type="dxa"/>
            <w:tcBorders>
              <w:top w:val="single" w:sz="4" w:space="0" w:color="auto"/>
              <w:left w:val="single" w:sz="4" w:space="0" w:color="auto"/>
              <w:bottom w:val="single" w:sz="4" w:space="0" w:color="auto"/>
              <w:right w:val="single" w:sz="4" w:space="0" w:color="auto"/>
            </w:tcBorders>
            <w:vAlign w:val="bottom"/>
          </w:tcPr>
          <w:p w14:paraId="58261BAE" w14:textId="1115EABE"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0.939</w:t>
            </w:r>
          </w:p>
        </w:tc>
        <w:tc>
          <w:tcPr>
            <w:tcW w:w="926" w:type="dxa"/>
            <w:tcBorders>
              <w:top w:val="single" w:sz="4" w:space="0" w:color="auto"/>
              <w:left w:val="single" w:sz="4" w:space="0" w:color="auto"/>
              <w:bottom w:val="single" w:sz="4" w:space="0" w:color="auto"/>
              <w:right w:val="single" w:sz="4" w:space="0" w:color="auto"/>
            </w:tcBorders>
            <w:vAlign w:val="bottom"/>
          </w:tcPr>
          <w:p w14:paraId="4900C172" w14:textId="10DB4581"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0.952</w:t>
            </w:r>
          </w:p>
        </w:tc>
        <w:tc>
          <w:tcPr>
            <w:tcW w:w="926" w:type="dxa"/>
            <w:tcBorders>
              <w:top w:val="single" w:sz="4" w:space="0" w:color="auto"/>
              <w:left w:val="single" w:sz="4" w:space="0" w:color="auto"/>
              <w:bottom w:val="single" w:sz="4" w:space="0" w:color="auto"/>
              <w:right w:val="single" w:sz="4" w:space="0" w:color="auto"/>
            </w:tcBorders>
            <w:vAlign w:val="bottom"/>
          </w:tcPr>
          <w:p w14:paraId="3D0A0715" w14:textId="47062E78"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0.958</w:t>
            </w:r>
          </w:p>
        </w:tc>
        <w:tc>
          <w:tcPr>
            <w:tcW w:w="926" w:type="dxa"/>
            <w:tcBorders>
              <w:top w:val="single" w:sz="4" w:space="0" w:color="auto"/>
              <w:left w:val="single" w:sz="4" w:space="0" w:color="auto"/>
              <w:bottom w:val="single" w:sz="4" w:space="0" w:color="auto"/>
              <w:right w:val="single" w:sz="4" w:space="0" w:color="auto"/>
            </w:tcBorders>
            <w:vAlign w:val="bottom"/>
          </w:tcPr>
          <w:p w14:paraId="44BE9435" w14:textId="53318BCE"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0.973</w:t>
            </w:r>
          </w:p>
        </w:tc>
        <w:tc>
          <w:tcPr>
            <w:tcW w:w="926" w:type="dxa"/>
            <w:tcBorders>
              <w:top w:val="single" w:sz="4" w:space="0" w:color="auto"/>
              <w:left w:val="single" w:sz="4" w:space="0" w:color="auto"/>
              <w:bottom w:val="single" w:sz="4" w:space="0" w:color="auto"/>
              <w:right w:val="single" w:sz="4" w:space="0" w:color="auto"/>
            </w:tcBorders>
            <w:vAlign w:val="bottom"/>
          </w:tcPr>
          <w:p w14:paraId="5E489E74" w14:textId="2ECD525A"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0.988</w:t>
            </w:r>
          </w:p>
        </w:tc>
        <w:tc>
          <w:tcPr>
            <w:tcW w:w="926" w:type="dxa"/>
            <w:tcBorders>
              <w:top w:val="single" w:sz="4" w:space="0" w:color="auto"/>
              <w:left w:val="single" w:sz="4" w:space="0" w:color="auto"/>
              <w:bottom w:val="single" w:sz="4" w:space="0" w:color="auto"/>
              <w:right w:val="single" w:sz="4" w:space="0" w:color="auto"/>
            </w:tcBorders>
            <w:vAlign w:val="bottom"/>
          </w:tcPr>
          <w:p w14:paraId="22F3A2E2" w14:textId="15DD0B7B"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0.993</w:t>
            </w:r>
          </w:p>
        </w:tc>
        <w:tc>
          <w:tcPr>
            <w:tcW w:w="935" w:type="dxa"/>
            <w:tcBorders>
              <w:top w:val="single" w:sz="4" w:space="0" w:color="auto"/>
              <w:left w:val="single" w:sz="4" w:space="0" w:color="auto"/>
              <w:bottom w:val="single" w:sz="4" w:space="0" w:color="auto"/>
              <w:right w:val="single" w:sz="4" w:space="0" w:color="auto"/>
            </w:tcBorders>
            <w:vAlign w:val="bottom"/>
          </w:tcPr>
          <w:p w14:paraId="77BC6A4D" w14:textId="5C0E3DC8"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0.997</w:t>
            </w:r>
          </w:p>
        </w:tc>
      </w:tr>
    </w:tbl>
    <w:p w14:paraId="624F4599" w14:textId="77777777" w:rsidR="00FC54F5" w:rsidRDefault="00FC54F5" w:rsidP="001908B5">
      <w:pPr>
        <w:pStyle w:val="NoSpacing"/>
        <w:rPr>
          <w:rFonts w:asciiTheme="minorHAnsi" w:hAnsiTheme="minorHAnsi"/>
          <w:b/>
          <w:color w:val="244061" w:themeColor="accent1" w:themeShade="80"/>
          <w:u w:val="single"/>
        </w:rPr>
      </w:pPr>
    </w:p>
    <w:p w14:paraId="19C18470" w14:textId="77777777" w:rsidR="00FC2C4D" w:rsidRDefault="00FC2C4D" w:rsidP="001908B5">
      <w:pPr>
        <w:pStyle w:val="NoSpacing"/>
        <w:rPr>
          <w:rFonts w:asciiTheme="minorHAnsi" w:hAnsiTheme="minorHAnsi"/>
          <w:b/>
          <w:color w:val="244061" w:themeColor="accent1" w:themeShade="80"/>
          <w:u w:val="single"/>
        </w:rPr>
      </w:pPr>
    </w:p>
    <w:p w14:paraId="733A7585" w14:textId="6F378DA6" w:rsidR="00FC2C4D" w:rsidRPr="00C02128" w:rsidRDefault="00FC2C4D" w:rsidP="00FC2C4D">
      <w:pPr>
        <w:spacing w:after="160" w:line="256" w:lineRule="auto"/>
        <w:rPr>
          <w:rFonts w:cstheme="minorHAnsi"/>
          <w:color w:val="FF0000"/>
        </w:rPr>
      </w:pPr>
      <w:r w:rsidRPr="00C02128">
        <w:rPr>
          <w:rFonts w:cstheme="minorHAnsi"/>
          <w:color w:val="FF0000"/>
        </w:rPr>
        <w:t>Table 3</w:t>
      </w:r>
      <w:r>
        <w:rPr>
          <w:rFonts w:cstheme="minorHAnsi"/>
          <w:color w:val="FF0000"/>
        </w:rPr>
        <w:t>b</w:t>
      </w:r>
      <w:r w:rsidRPr="00C02128">
        <w:rPr>
          <w:rFonts w:cstheme="minorHAnsi"/>
          <w:color w:val="FF0000"/>
        </w:rPr>
        <w:t>. Distribution of Plan-Level Signal-To-Noise Reliability for the Follow-Up after Hospitalization for Mental Illness</w:t>
      </w:r>
      <w:r w:rsidRPr="00C02128">
        <w:rPr>
          <w:rFonts w:cstheme="minorHAnsi"/>
          <w:i/>
          <w:iCs/>
          <w:color w:val="FF0000"/>
        </w:rPr>
        <w:t xml:space="preserve"> </w:t>
      </w:r>
      <w:r>
        <w:rPr>
          <w:rFonts w:cstheme="minorHAnsi"/>
          <w:color w:val="FF0000"/>
        </w:rPr>
        <w:t>30</w:t>
      </w:r>
      <w:r w:rsidRPr="00FC2C4D">
        <w:rPr>
          <w:rFonts w:cstheme="minorHAnsi"/>
          <w:color w:val="FF0000"/>
        </w:rPr>
        <w:t>-day</w:t>
      </w:r>
      <w:r>
        <w:rPr>
          <w:rFonts w:cstheme="minorHAnsi"/>
          <w:i/>
          <w:iCs/>
          <w:color w:val="FF0000"/>
        </w:rPr>
        <w:t xml:space="preserve"> </w:t>
      </w:r>
      <w:r w:rsidRPr="00C02128">
        <w:rPr>
          <w:rFonts w:cstheme="minorHAnsi"/>
          <w:color w:val="FF0000"/>
        </w:rPr>
        <w:t>measure</w:t>
      </w:r>
      <w:r>
        <w:rPr>
          <w:rFonts w:cstheme="minorHAnsi"/>
          <w:color w:val="FF0000"/>
        </w:rPr>
        <w:t xml:space="preserve"> rate</w:t>
      </w:r>
      <w:r w:rsidRPr="00C02128">
        <w:rPr>
          <w:rFonts w:cstheme="minorHAnsi"/>
          <w:color w:val="FF0000"/>
        </w:rPr>
        <w:t xml:space="preserve"> by Terciles of the Denominator Size and for All Submissions by Plan Type, Calendar Year 2018 Data</w:t>
      </w:r>
    </w:p>
    <w:tbl>
      <w:tblPr>
        <w:tblStyle w:val="TableGrid"/>
        <w:tblW w:w="0" w:type="auto"/>
        <w:tblLook w:val="04A0" w:firstRow="1" w:lastRow="0" w:firstColumn="1" w:lastColumn="0" w:noHBand="0" w:noVBand="1"/>
      </w:tblPr>
      <w:tblGrid>
        <w:gridCol w:w="1857"/>
        <w:gridCol w:w="1074"/>
        <w:gridCol w:w="854"/>
        <w:gridCol w:w="926"/>
        <w:gridCol w:w="926"/>
        <w:gridCol w:w="926"/>
        <w:gridCol w:w="926"/>
        <w:gridCol w:w="926"/>
        <w:gridCol w:w="935"/>
      </w:tblGrid>
      <w:tr w:rsidR="00C73E11" w:rsidRPr="00C73E11" w14:paraId="61033FF4" w14:textId="77777777" w:rsidTr="00050392">
        <w:tc>
          <w:tcPr>
            <w:tcW w:w="1857" w:type="dxa"/>
            <w:tcBorders>
              <w:top w:val="single" w:sz="4" w:space="0" w:color="auto"/>
              <w:left w:val="single" w:sz="4" w:space="0" w:color="auto"/>
              <w:bottom w:val="single" w:sz="4" w:space="0" w:color="auto"/>
              <w:right w:val="single" w:sz="4" w:space="0" w:color="auto"/>
            </w:tcBorders>
          </w:tcPr>
          <w:p w14:paraId="24BB7152" w14:textId="77777777" w:rsidR="00FC2C4D" w:rsidRPr="00C73E11" w:rsidRDefault="00FC2C4D" w:rsidP="00050392">
            <w:pPr>
              <w:autoSpaceDE w:val="0"/>
              <w:autoSpaceDN w:val="0"/>
              <w:adjustRightInd w:val="0"/>
              <w:spacing w:after="60"/>
              <w:rPr>
                <w:rFonts w:cstheme="minorHAnsi"/>
                <w:color w:val="FF0000"/>
              </w:rPr>
            </w:pPr>
          </w:p>
        </w:tc>
        <w:tc>
          <w:tcPr>
            <w:tcW w:w="1074" w:type="dxa"/>
            <w:tcBorders>
              <w:top w:val="single" w:sz="4" w:space="0" w:color="auto"/>
              <w:left w:val="single" w:sz="4" w:space="0" w:color="auto"/>
              <w:bottom w:val="single" w:sz="4" w:space="0" w:color="auto"/>
              <w:right w:val="single" w:sz="4" w:space="0" w:color="auto"/>
            </w:tcBorders>
          </w:tcPr>
          <w:p w14:paraId="45F70FF6" w14:textId="77777777" w:rsidR="00FC2C4D" w:rsidRPr="00C73E11" w:rsidRDefault="00FC2C4D" w:rsidP="00050392">
            <w:pPr>
              <w:autoSpaceDE w:val="0"/>
              <w:autoSpaceDN w:val="0"/>
              <w:adjustRightInd w:val="0"/>
              <w:spacing w:after="60"/>
              <w:rPr>
                <w:rFonts w:cstheme="minorHAnsi"/>
                <w:color w:val="FF0000"/>
              </w:rPr>
            </w:pPr>
          </w:p>
        </w:tc>
        <w:tc>
          <w:tcPr>
            <w:tcW w:w="6419" w:type="dxa"/>
            <w:gridSpan w:val="7"/>
            <w:tcBorders>
              <w:top w:val="single" w:sz="4" w:space="0" w:color="auto"/>
              <w:left w:val="single" w:sz="4" w:space="0" w:color="auto"/>
              <w:bottom w:val="single" w:sz="4" w:space="0" w:color="auto"/>
              <w:right w:val="single" w:sz="4" w:space="0" w:color="auto"/>
            </w:tcBorders>
            <w:hideMark/>
          </w:tcPr>
          <w:p w14:paraId="322C1A8C" w14:textId="77777777" w:rsidR="00FC2C4D" w:rsidRPr="00C73E11" w:rsidRDefault="00FC2C4D" w:rsidP="00050392">
            <w:pPr>
              <w:autoSpaceDE w:val="0"/>
              <w:autoSpaceDN w:val="0"/>
              <w:adjustRightInd w:val="0"/>
              <w:spacing w:after="60"/>
              <w:jc w:val="center"/>
              <w:rPr>
                <w:rFonts w:cstheme="minorHAnsi"/>
                <w:color w:val="FF0000"/>
              </w:rPr>
            </w:pPr>
            <w:r w:rsidRPr="00C73E11">
              <w:rPr>
                <w:rFonts w:cstheme="minorHAnsi"/>
                <w:color w:val="FF0000"/>
              </w:rPr>
              <w:t>Distribution of Plan Estimates of Signal-to-Noise Reliability</w:t>
            </w:r>
          </w:p>
        </w:tc>
      </w:tr>
      <w:tr w:rsidR="00C73E11" w:rsidRPr="00C73E11" w14:paraId="6A54C892" w14:textId="77777777" w:rsidTr="00050392">
        <w:tc>
          <w:tcPr>
            <w:tcW w:w="1857" w:type="dxa"/>
            <w:tcBorders>
              <w:top w:val="single" w:sz="4" w:space="0" w:color="auto"/>
              <w:left w:val="single" w:sz="4" w:space="0" w:color="auto"/>
              <w:bottom w:val="single" w:sz="4" w:space="0" w:color="auto"/>
              <w:right w:val="single" w:sz="4" w:space="0" w:color="auto"/>
            </w:tcBorders>
            <w:vAlign w:val="center"/>
            <w:hideMark/>
          </w:tcPr>
          <w:p w14:paraId="54B95E56" w14:textId="77777777" w:rsidR="00FC2C4D" w:rsidRPr="00C73E11" w:rsidRDefault="00FC2C4D" w:rsidP="00050392">
            <w:pPr>
              <w:autoSpaceDE w:val="0"/>
              <w:autoSpaceDN w:val="0"/>
              <w:adjustRightInd w:val="0"/>
              <w:spacing w:after="60"/>
              <w:jc w:val="right"/>
              <w:rPr>
                <w:rFonts w:cstheme="minorHAnsi"/>
                <w:color w:val="FF0000"/>
              </w:rPr>
            </w:pPr>
            <w:r w:rsidRPr="00C73E11">
              <w:rPr>
                <w:rFonts w:cstheme="minorHAnsi"/>
                <w:color w:val="FF0000"/>
              </w:rPr>
              <w:t>Stratification</w:t>
            </w:r>
          </w:p>
        </w:tc>
        <w:tc>
          <w:tcPr>
            <w:tcW w:w="1074" w:type="dxa"/>
            <w:tcBorders>
              <w:top w:val="single" w:sz="4" w:space="0" w:color="auto"/>
              <w:left w:val="single" w:sz="4" w:space="0" w:color="auto"/>
              <w:bottom w:val="single" w:sz="4" w:space="0" w:color="auto"/>
              <w:right w:val="single" w:sz="4" w:space="0" w:color="auto"/>
            </w:tcBorders>
            <w:vAlign w:val="center"/>
            <w:hideMark/>
          </w:tcPr>
          <w:p w14:paraId="6664FC41" w14:textId="77777777" w:rsidR="00FC2C4D" w:rsidRPr="00C73E11" w:rsidRDefault="00FC2C4D" w:rsidP="00050392">
            <w:pPr>
              <w:autoSpaceDE w:val="0"/>
              <w:autoSpaceDN w:val="0"/>
              <w:adjustRightInd w:val="0"/>
              <w:spacing w:after="60"/>
              <w:jc w:val="right"/>
              <w:rPr>
                <w:rFonts w:cstheme="minorHAnsi"/>
                <w:color w:val="FF0000"/>
              </w:rPr>
            </w:pPr>
            <w:r w:rsidRPr="00C73E11">
              <w:rPr>
                <w:rFonts w:cstheme="minorHAnsi"/>
                <w:color w:val="FF0000"/>
              </w:rPr>
              <w:t>Number of Plans</w:t>
            </w:r>
          </w:p>
        </w:tc>
        <w:tc>
          <w:tcPr>
            <w:tcW w:w="854" w:type="dxa"/>
            <w:tcBorders>
              <w:top w:val="single" w:sz="4" w:space="0" w:color="auto"/>
              <w:left w:val="single" w:sz="4" w:space="0" w:color="auto"/>
              <w:bottom w:val="single" w:sz="4" w:space="0" w:color="auto"/>
              <w:right w:val="single" w:sz="4" w:space="0" w:color="auto"/>
            </w:tcBorders>
            <w:vAlign w:val="center"/>
            <w:hideMark/>
          </w:tcPr>
          <w:p w14:paraId="4B2E42D9" w14:textId="77777777" w:rsidR="00FC2C4D" w:rsidRPr="00C73E11" w:rsidRDefault="00FC2C4D" w:rsidP="00050392">
            <w:pPr>
              <w:autoSpaceDE w:val="0"/>
              <w:autoSpaceDN w:val="0"/>
              <w:adjustRightInd w:val="0"/>
              <w:spacing w:after="60"/>
              <w:jc w:val="right"/>
              <w:rPr>
                <w:rFonts w:cstheme="minorHAnsi"/>
                <w:color w:val="FF0000"/>
              </w:rPr>
            </w:pPr>
            <w:r w:rsidRPr="00C73E11">
              <w:rPr>
                <w:rFonts w:cstheme="minorHAnsi"/>
                <w:color w:val="FF0000"/>
              </w:rPr>
              <w:t>Min</w:t>
            </w:r>
          </w:p>
        </w:tc>
        <w:tc>
          <w:tcPr>
            <w:tcW w:w="926" w:type="dxa"/>
            <w:tcBorders>
              <w:top w:val="single" w:sz="4" w:space="0" w:color="auto"/>
              <w:left w:val="single" w:sz="4" w:space="0" w:color="auto"/>
              <w:bottom w:val="single" w:sz="4" w:space="0" w:color="auto"/>
              <w:right w:val="single" w:sz="4" w:space="0" w:color="auto"/>
            </w:tcBorders>
            <w:vAlign w:val="center"/>
            <w:hideMark/>
          </w:tcPr>
          <w:p w14:paraId="48C754A0" w14:textId="77777777" w:rsidR="00FC2C4D" w:rsidRPr="00C73E11" w:rsidRDefault="00FC2C4D" w:rsidP="00050392">
            <w:pPr>
              <w:autoSpaceDE w:val="0"/>
              <w:autoSpaceDN w:val="0"/>
              <w:adjustRightInd w:val="0"/>
              <w:spacing w:after="60"/>
              <w:jc w:val="right"/>
              <w:rPr>
                <w:rFonts w:cstheme="minorHAnsi"/>
                <w:color w:val="FF0000"/>
              </w:rPr>
            </w:pPr>
            <w:r w:rsidRPr="00C73E11">
              <w:rPr>
                <w:rFonts w:cstheme="minorHAnsi"/>
                <w:color w:val="FF0000"/>
              </w:rPr>
              <w:t>P10</w:t>
            </w:r>
          </w:p>
        </w:tc>
        <w:tc>
          <w:tcPr>
            <w:tcW w:w="926" w:type="dxa"/>
            <w:tcBorders>
              <w:top w:val="single" w:sz="4" w:space="0" w:color="auto"/>
              <w:left w:val="single" w:sz="4" w:space="0" w:color="auto"/>
              <w:bottom w:val="single" w:sz="4" w:space="0" w:color="auto"/>
              <w:right w:val="single" w:sz="4" w:space="0" w:color="auto"/>
            </w:tcBorders>
            <w:vAlign w:val="center"/>
            <w:hideMark/>
          </w:tcPr>
          <w:p w14:paraId="22065724" w14:textId="77777777" w:rsidR="00FC2C4D" w:rsidRPr="00C73E11" w:rsidRDefault="00FC2C4D" w:rsidP="00050392">
            <w:pPr>
              <w:autoSpaceDE w:val="0"/>
              <w:autoSpaceDN w:val="0"/>
              <w:adjustRightInd w:val="0"/>
              <w:spacing w:after="60"/>
              <w:jc w:val="right"/>
              <w:rPr>
                <w:rFonts w:cstheme="minorHAnsi"/>
                <w:color w:val="FF0000"/>
              </w:rPr>
            </w:pPr>
            <w:r w:rsidRPr="00C73E11">
              <w:rPr>
                <w:rFonts w:cstheme="minorHAnsi"/>
                <w:color w:val="FF0000"/>
              </w:rPr>
              <w:t>P25</w:t>
            </w:r>
          </w:p>
        </w:tc>
        <w:tc>
          <w:tcPr>
            <w:tcW w:w="926" w:type="dxa"/>
            <w:tcBorders>
              <w:top w:val="single" w:sz="4" w:space="0" w:color="auto"/>
              <w:left w:val="single" w:sz="4" w:space="0" w:color="auto"/>
              <w:bottom w:val="single" w:sz="4" w:space="0" w:color="auto"/>
              <w:right w:val="single" w:sz="4" w:space="0" w:color="auto"/>
            </w:tcBorders>
            <w:vAlign w:val="center"/>
            <w:hideMark/>
          </w:tcPr>
          <w:p w14:paraId="6849D1D3" w14:textId="77777777" w:rsidR="00FC2C4D" w:rsidRPr="00C73E11" w:rsidRDefault="00FC2C4D" w:rsidP="00050392">
            <w:pPr>
              <w:autoSpaceDE w:val="0"/>
              <w:autoSpaceDN w:val="0"/>
              <w:adjustRightInd w:val="0"/>
              <w:spacing w:after="60"/>
              <w:jc w:val="right"/>
              <w:rPr>
                <w:rFonts w:cstheme="minorHAnsi"/>
                <w:color w:val="FF0000"/>
              </w:rPr>
            </w:pPr>
            <w:r w:rsidRPr="00C73E11">
              <w:rPr>
                <w:rFonts w:cstheme="minorHAnsi"/>
                <w:color w:val="FF0000"/>
              </w:rPr>
              <w:t>P50</w:t>
            </w:r>
          </w:p>
        </w:tc>
        <w:tc>
          <w:tcPr>
            <w:tcW w:w="926" w:type="dxa"/>
            <w:tcBorders>
              <w:top w:val="single" w:sz="4" w:space="0" w:color="auto"/>
              <w:left w:val="single" w:sz="4" w:space="0" w:color="auto"/>
              <w:bottom w:val="single" w:sz="4" w:space="0" w:color="auto"/>
              <w:right w:val="single" w:sz="4" w:space="0" w:color="auto"/>
            </w:tcBorders>
            <w:vAlign w:val="center"/>
            <w:hideMark/>
          </w:tcPr>
          <w:p w14:paraId="73036C02" w14:textId="77777777" w:rsidR="00FC2C4D" w:rsidRPr="00C73E11" w:rsidRDefault="00FC2C4D" w:rsidP="00050392">
            <w:pPr>
              <w:autoSpaceDE w:val="0"/>
              <w:autoSpaceDN w:val="0"/>
              <w:adjustRightInd w:val="0"/>
              <w:spacing w:after="60"/>
              <w:jc w:val="right"/>
              <w:rPr>
                <w:rFonts w:cstheme="minorHAnsi"/>
                <w:color w:val="FF0000"/>
              </w:rPr>
            </w:pPr>
            <w:r w:rsidRPr="00C73E11">
              <w:rPr>
                <w:rFonts w:cstheme="minorHAnsi"/>
                <w:color w:val="FF0000"/>
              </w:rPr>
              <w:t>P75</w:t>
            </w:r>
          </w:p>
        </w:tc>
        <w:tc>
          <w:tcPr>
            <w:tcW w:w="926" w:type="dxa"/>
            <w:tcBorders>
              <w:top w:val="single" w:sz="4" w:space="0" w:color="auto"/>
              <w:left w:val="single" w:sz="4" w:space="0" w:color="auto"/>
              <w:bottom w:val="single" w:sz="4" w:space="0" w:color="auto"/>
              <w:right w:val="single" w:sz="4" w:space="0" w:color="auto"/>
            </w:tcBorders>
            <w:vAlign w:val="center"/>
            <w:hideMark/>
          </w:tcPr>
          <w:p w14:paraId="65537931" w14:textId="77777777" w:rsidR="00FC2C4D" w:rsidRPr="00C73E11" w:rsidRDefault="00FC2C4D" w:rsidP="00050392">
            <w:pPr>
              <w:autoSpaceDE w:val="0"/>
              <w:autoSpaceDN w:val="0"/>
              <w:adjustRightInd w:val="0"/>
              <w:spacing w:after="60"/>
              <w:jc w:val="right"/>
              <w:rPr>
                <w:rFonts w:cstheme="minorHAnsi"/>
                <w:color w:val="FF0000"/>
              </w:rPr>
            </w:pPr>
            <w:r w:rsidRPr="00C73E11">
              <w:rPr>
                <w:rFonts w:cstheme="minorHAnsi"/>
                <w:color w:val="FF0000"/>
              </w:rPr>
              <w:t>P90</w:t>
            </w:r>
          </w:p>
        </w:tc>
        <w:tc>
          <w:tcPr>
            <w:tcW w:w="935" w:type="dxa"/>
            <w:tcBorders>
              <w:top w:val="single" w:sz="4" w:space="0" w:color="auto"/>
              <w:left w:val="single" w:sz="4" w:space="0" w:color="auto"/>
              <w:bottom w:val="single" w:sz="4" w:space="0" w:color="auto"/>
              <w:right w:val="single" w:sz="4" w:space="0" w:color="auto"/>
            </w:tcBorders>
            <w:vAlign w:val="center"/>
            <w:hideMark/>
          </w:tcPr>
          <w:p w14:paraId="4E5D3F5E" w14:textId="77777777" w:rsidR="00FC2C4D" w:rsidRPr="00C73E11" w:rsidRDefault="00FC2C4D" w:rsidP="00050392">
            <w:pPr>
              <w:autoSpaceDE w:val="0"/>
              <w:autoSpaceDN w:val="0"/>
              <w:adjustRightInd w:val="0"/>
              <w:spacing w:after="60"/>
              <w:jc w:val="right"/>
              <w:rPr>
                <w:rFonts w:cstheme="minorHAnsi"/>
                <w:color w:val="FF0000"/>
              </w:rPr>
            </w:pPr>
            <w:r w:rsidRPr="00C73E11">
              <w:rPr>
                <w:rFonts w:cstheme="minorHAnsi"/>
                <w:color w:val="FF0000"/>
              </w:rPr>
              <w:t>Max</w:t>
            </w:r>
          </w:p>
        </w:tc>
      </w:tr>
      <w:tr w:rsidR="00C73E11" w:rsidRPr="00C73E11" w14:paraId="546BB81C" w14:textId="77777777" w:rsidTr="00050392">
        <w:tc>
          <w:tcPr>
            <w:tcW w:w="185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19F778F" w14:textId="77777777" w:rsidR="00196D00" w:rsidRPr="00C73E11" w:rsidRDefault="00196D00" w:rsidP="00196D00">
            <w:pPr>
              <w:autoSpaceDE w:val="0"/>
              <w:autoSpaceDN w:val="0"/>
              <w:adjustRightInd w:val="0"/>
              <w:spacing w:after="60"/>
              <w:rPr>
                <w:rFonts w:cstheme="minorHAnsi"/>
                <w:b/>
                <w:bCs/>
                <w:color w:val="FF0000"/>
              </w:rPr>
            </w:pPr>
            <w:r w:rsidRPr="00C73E11">
              <w:rPr>
                <w:rFonts w:cstheme="minorHAnsi"/>
                <w:b/>
                <w:bCs/>
                <w:color w:val="FF0000"/>
              </w:rPr>
              <w:t>All Commercial</w:t>
            </w:r>
          </w:p>
        </w:tc>
        <w:tc>
          <w:tcPr>
            <w:tcW w:w="1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DBA7FB7" w14:textId="14774C64" w:rsidR="00196D00" w:rsidRPr="00C73E11" w:rsidRDefault="00196D00" w:rsidP="00196D00">
            <w:pPr>
              <w:autoSpaceDE w:val="0"/>
              <w:autoSpaceDN w:val="0"/>
              <w:adjustRightInd w:val="0"/>
              <w:spacing w:after="60"/>
              <w:jc w:val="right"/>
              <w:rPr>
                <w:rFonts w:cstheme="minorHAnsi"/>
                <w:b/>
                <w:bCs/>
                <w:color w:val="FF0000"/>
              </w:rPr>
            </w:pPr>
            <w:r w:rsidRPr="00C73E11">
              <w:rPr>
                <w:rFonts w:ascii="Calibri" w:hAnsi="Calibri" w:cs="Calibri"/>
                <w:b/>
                <w:bCs/>
                <w:color w:val="FF0000"/>
              </w:rPr>
              <w:t>358</w:t>
            </w:r>
          </w:p>
        </w:tc>
        <w:tc>
          <w:tcPr>
            <w:tcW w:w="85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26C2765C" w14:textId="3FBA4B94" w:rsidR="00196D00" w:rsidRPr="00C73E11" w:rsidRDefault="00196D00" w:rsidP="00196D00">
            <w:pPr>
              <w:autoSpaceDE w:val="0"/>
              <w:autoSpaceDN w:val="0"/>
              <w:adjustRightInd w:val="0"/>
              <w:spacing w:after="60"/>
              <w:jc w:val="right"/>
              <w:rPr>
                <w:rFonts w:cstheme="minorHAnsi"/>
                <w:b/>
                <w:bCs/>
                <w:color w:val="FF0000"/>
              </w:rPr>
            </w:pPr>
            <w:r w:rsidRPr="00C73E11">
              <w:rPr>
                <w:rFonts w:ascii="Calibri" w:hAnsi="Calibri" w:cs="Calibri"/>
                <w:b/>
                <w:bCs/>
                <w:color w:val="FF0000"/>
              </w:rPr>
              <w:t>0.541</w:t>
            </w:r>
          </w:p>
        </w:tc>
        <w:tc>
          <w:tcPr>
            <w:tcW w:w="9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0D436A09" w14:textId="68F24FE5" w:rsidR="00196D00" w:rsidRPr="00C73E11" w:rsidRDefault="00196D00" w:rsidP="00196D00">
            <w:pPr>
              <w:autoSpaceDE w:val="0"/>
              <w:autoSpaceDN w:val="0"/>
              <w:adjustRightInd w:val="0"/>
              <w:spacing w:after="60"/>
              <w:jc w:val="right"/>
              <w:rPr>
                <w:rFonts w:cstheme="minorHAnsi"/>
                <w:b/>
                <w:bCs/>
                <w:color w:val="FF0000"/>
              </w:rPr>
            </w:pPr>
            <w:r w:rsidRPr="00C73E11">
              <w:rPr>
                <w:rFonts w:ascii="Calibri" w:hAnsi="Calibri" w:cs="Calibri"/>
                <w:b/>
                <w:bCs/>
                <w:color w:val="FF0000"/>
              </w:rPr>
              <w:t>0.701</w:t>
            </w:r>
          </w:p>
        </w:tc>
        <w:tc>
          <w:tcPr>
            <w:tcW w:w="9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E47A11A" w14:textId="32EFE9F2" w:rsidR="00196D00" w:rsidRPr="00C73E11" w:rsidRDefault="00196D00" w:rsidP="00196D00">
            <w:pPr>
              <w:autoSpaceDE w:val="0"/>
              <w:autoSpaceDN w:val="0"/>
              <w:adjustRightInd w:val="0"/>
              <w:spacing w:after="60"/>
              <w:jc w:val="right"/>
              <w:rPr>
                <w:rFonts w:cstheme="minorHAnsi"/>
                <w:b/>
                <w:bCs/>
                <w:color w:val="FF0000"/>
              </w:rPr>
            </w:pPr>
            <w:r w:rsidRPr="00C73E11">
              <w:rPr>
                <w:rFonts w:ascii="Calibri" w:hAnsi="Calibri" w:cs="Calibri"/>
                <w:b/>
                <w:bCs/>
                <w:color w:val="FF0000"/>
              </w:rPr>
              <w:t>0.821</w:t>
            </w:r>
          </w:p>
        </w:tc>
        <w:tc>
          <w:tcPr>
            <w:tcW w:w="9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4CFC4760" w14:textId="38EEB604" w:rsidR="00196D00" w:rsidRPr="00C73E11" w:rsidRDefault="00196D00" w:rsidP="00196D00">
            <w:pPr>
              <w:autoSpaceDE w:val="0"/>
              <w:autoSpaceDN w:val="0"/>
              <w:adjustRightInd w:val="0"/>
              <w:spacing w:after="60"/>
              <w:jc w:val="right"/>
              <w:rPr>
                <w:rFonts w:cstheme="minorHAnsi"/>
                <w:b/>
                <w:bCs/>
                <w:color w:val="FF0000"/>
              </w:rPr>
            </w:pPr>
            <w:r w:rsidRPr="00C73E11">
              <w:rPr>
                <w:rFonts w:ascii="Calibri" w:hAnsi="Calibri" w:cs="Calibri"/>
                <w:b/>
                <w:bCs/>
                <w:color w:val="FF0000"/>
              </w:rPr>
              <w:t>0.883</w:t>
            </w:r>
          </w:p>
        </w:tc>
        <w:tc>
          <w:tcPr>
            <w:tcW w:w="9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054AFB21" w14:textId="38C98DC5" w:rsidR="00196D00" w:rsidRPr="00C73E11" w:rsidRDefault="00196D00" w:rsidP="00196D00">
            <w:pPr>
              <w:autoSpaceDE w:val="0"/>
              <w:autoSpaceDN w:val="0"/>
              <w:adjustRightInd w:val="0"/>
              <w:spacing w:after="60"/>
              <w:jc w:val="right"/>
              <w:rPr>
                <w:rFonts w:cstheme="minorHAnsi"/>
                <w:b/>
                <w:bCs/>
                <w:color w:val="FF0000"/>
              </w:rPr>
            </w:pPr>
            <w:r w:rsidRPr="00C73E11">
              <w:rPr>
                <w:rFonts w:ascii="Calibri" w:hAnsi="Calibri" w:cs="Calibri"/>
                <w:b/>
                <w:bCs/>
                <w:color w:val="FF0000"/>
              </w:rPr>
              <w:t>0.973</w:t>
            </w:r>
          </w:p>
        </w:tc>
        <w:tc>
          <w:tcPr>
            <w:tcW w:w="9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2890DEE1" w14:textId="2750A200" w:rsidR="00196D00" w:rsidRPr="00C73E11" w:rsidRDefault="00196D00" w:rsidP="00196D00">
            <w:pPr>
              <w:autoSpaceDE w:val="0"/>
              <w:autoSpaceDN w:val="0"/>
              <w:adjustRightInd w:val="0"/>
              <w:spacing w:after="60"/>
              <w:jc w:val="right"/>
              <w:rPr>
                <w:rFonts w:cstheme="minorHAnsi"/>
                <w:b/>
                <w:bCs/>
                <w:color w:val="FF0000"/>
              </w:rPr>
            </w:pPr>
            <w:r w:rsidRPr="00C73E11">
              <w:rPr>
                <w:rFonts w:ascii="Calibri" w:hAnsi="Calibri" w:cs="Calibri"/>
                <w:b/>
                <w:bCs/>
                <w:color w:val="FF0000"/>
              </w:rPr>
              <w:t>0.988</w:t>
            </w:r>
          </w:p>
        </w:tc>
        <w:tc>
          <w:tcPr>
            <w:tcW w:w="9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58C338ED" w14:textId="5B638EE6" w:rsidR="00196D00" w:rsidRPr="00C73E11" w:rsidRDefault="00196D00" w:rsidP="00196D00">
            <w:pPr>
              <w:autoSpaceDE w:val="0"/>
              <w:autoSpaceDN w:val="0"/>
              <w:adjustRightInd w:val="0"/>
              <w:spacing w:after="60"/>
              <w:jc w:val="right"/>
              <w:rPr>
                <w:rFonts w:cstheme="minorHAnsi"/>
                <w:b/>
                <w:bCs/>
                <w:color w:val="FF0000"/>
              </w:rPr>
            </w:pPr>
            <w:r w:rsidRPr="00C73E11">
              <w:rPr>
                <w:rFonts w:ascii="Calibri" w:hAnsi="Calibri" w:cs="Calibri"/>
                <w:b/>
                <w:bCs/>
                <w:color w:val="FF0000"/>
              </w:rPr>
              <w:t>1.000</w:t>
            </w:r>
          </w:p>
        </w:tc>
      </w:tr>
      <w:tr w:rsidR="00C73E11" w:rsidRPr="00C73E11" w14:paraId="48732FAC" w14:textId="77777777" w:rsidTr="00050392">
        <w:tc>
          <w:tcPr>
            <w:tcW w:w="1857" w:type="dxa"/>
            <w:tcBorders>
              <w:top w:val="single" w:sz="4" w:space="0" w:color="auto"/>
              <w:left w:val="single" w:sz="4" w:space="0" w:color="auto"/>
              <w:bottom w:val="single" w:sz="4" w:space="0" w:color="auto"/>
              <w:right w:val="single" w:sz="4" w:space="0" w:color="auto"/>
            </w:tcBorders>
            <w:hideMark/>
          </w:tcPr>
          <w:p w14:paraId="4382E61C" w14:textId="77777777" w:rsidR="00EE7507" w:rsidRPr="00C73E11" w:rsidRDefault="00EE7507" w:rsidP="00EE7507">
            <w:pPr>
              <w:autoSpaceDE w:val="0"/>
              <w:autoSpaceDN w:val="0"/>
              <w:adjustRightInd w:val="0"/>
              <w:spacing w:after="60"/>
              <w:jc w:val="right"/>
              <w:rPr>
                <w:rFonts w:cstheme="minorHAnsi"/>
                <w:color w:val="FF0000"/>
              </w:rPr>
            </w:pPr>
            <w:r w:rsidRPr="00C73E11">
              <w:rPr>
                <w:rFonts w:cstheme="minorHAnsi"/>
                <w:color w:val="FF0000"/>
              </w:rPr>
              <w:t>Tercile 1</w:t>
            </w:r>
          </w:p>
        </w:tc>
        <w:tc>
          <w:tcPr>
            <w:tcW w:w="1074" w:type="dxa"/>
            <w:tcBorders>
              <w:top w:val="single" w:sz="4" w:space="0" w:color="auto"/>
              <w:left w:val="single" w:sz="4" w:space="0" w:color="auto"/>
              <w:bottom w:val="single" w:sz="4" w:space="0" w:color="auto"/>
              <w:right w:val="single" w:sz="4" w:space="0" w:color="auto"/>
            </w:tcBorders>
            <w:vAlign w:val="bottom"/>
          </w:tcPr>
          <w:p w14:paraId="0FC29525" w14:textId="0FF22814"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120</w:t>
            </w:r>
          </w:p>
        </w:tc>
        <w:tc>
          <w:tcPr>
            <w:tcW w:w="854" w:type="dxa"/>
            <w:tcBorders>
              <w:top w:val="single" w:sz="4" w:space="0" w:color="auto"/>
              <w:left w:val="single" w:sz="4" w:space="0" w:color="auto"/>
              <w:bottom w:val="single" w:sz="4" w:space="0" w:color="auto"/>
              <w:right w:val="single" w:sz="4" w:space="0" w:color="auto"/>
            </w:tcBorders>
            <w:vAlign w:val="bottom"/>
          </w:tcPr>
          <w:p w14:paraId="36E05F2B" w14:textId="57F84C80"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0.622</w:t>
            </w:r>
          </w:p>
        </w:tc>
        <w:tc>
          <w:tcPr>
            <w:tcW w:w="926" w:type="dxa"/>
            <w:tcBorders>
              <w:top w:val="single" w:sz="4" w:space="0" w:color="auto"/>
              <w:left w:val="single" w:sz="4" w:space="0" w:color="auto"/>
              <w:bottom w:val="single" w:sz="4" w:space="0" w:color="auto"/>
              <w:right w:val="single" w:sz="4" w:space="0" w:color="auto"/>
            </w:tcBorders>
            <w:vAlign w:val="bottom"/>
          </w:tcPr>
          <w:p w14:paraId="58AFCD56" w14:textId="6B9B9E0B"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0.702</w:t>
            </w:r>
          </w:p>
        </w:tc>
        <w:tc>
          <w:tcPr>
            <w:tcW w:w="926" w:type="dxa"/>
            <w:tcBorders>
              <w:top w:val="single" w:sz="4" w:space="0" w:color="auto"/>
              <w:left w:val="single" w:sz="4" w:space="0" w:color="auto"/>
              <w:bottom w:val="single" w:sz="4" w:space="0" w:color="auto"/>
              <w:right w:val="single" w:sz="4" w:space="0" w:color="auto"/>
            </w:tcBorders>
            <w:vAlign w:val="bottom"/>
          </w:tcPr>
          <w:p w14:paraId="6B65387A" w14:textId="4C0AFA24"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0.757</w:t>
            </w:r>
          </w:p>
        </w:tc>
        <w:tc>
          <w:tcPr>
            <w:tcW w:w="926" w:type="dxa"/>
            <w:tcBorders>
              <w:top w:val="single" w:sz="4" w:space="0" w:color="auto"/>
              <w:left w:val="single" w:sz="4" w:space="0" w:color="auto"/>
              <w:bottom w:val="single" w:sz="4" w:space="0" w:color="auto"/>
              <w:right w:val="single" w:sz="4" w:space="0" w:color="auto"/>
            </w:tcBorders>
            <w:vAlign w:val="bottom"/>
          </w:tcPr>
          <w:p w14:paraId="2534912A" w14:textId="5C2B1184"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0.807</w:t>
            </w:r>
          </w:p>
        </w:tc>
        <w:tc>
          <w:tcPr>
            <w:tcW w:w="926" w:type="dxa"/>
            <w:tcBorders>
              <w:top w:val="single" w:sz="4" w:space="0" w:color="auto"/>
              <w:left w:val="single" w:sz="4" w:space="0" w:color="auto"/>
              <w:bottom w:val="single" w:sz="4" w:space="0" w:color="auto"/>
              <w:right w:val="single" w:sz="4" w:space="0" w:color="auto"/>
            </w:tcBorders>
            <w:vAlign w:val="bottom"/>
          </w:tcPr>
          <w:p w14:paraId="6CB1C103" w14:textId="7B4BD801"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0.865</w:t>
            </w:r>
          </w:p>
        </w:tc>
        <w:tc>
          <w:tcPr>
            <w:tcW w:w="926" w:type="dxa"/>
            <w:tcBorders>
              <w:top w:val="single" w:sz="4" w:space="0" w:color="auto"/>
              <w:left w:val="single" w:sz="4" w:space="0" w:color="auto"/>
              <w:bottom w:val="single" w:sz="4" w:space="0" w:color="auto"/>
              <w:right w:val="single" w:sz="4" w:space="0" w:color="auto"/>
            </w:tcBorders>
            <w:vAlign w:val="bottom"/>
          </w:tcPr>
          <w:p w14:paraId="7A46783D" w14:textId="27AAA383"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0.891</w:t>
            </w:r>
          </w:p>
        </w:tc>
        <w:tc>
          <w:tcPr>
            <w:tcW w:w="935" w:type="dxa"/>
            <w:tcBorders>
              <w:top w:val="single" w:sz="4" w:space="0" w:color="auto"/>
              <w:left w:val="single" w:sz="4" w:space="0" w:color="auto"/>
              <w:bottom w:val="single" w:sz="4" w:space="0" w:color="auto"/>
              <w:right w:val="single" w:sz="4" w:space="0" w:color="auto"/>
            </w:tcBorders>
            <w:vAlign w:val="bottom"/>
          </w:tcPr>
          <w:p w14:paraId="7C7FA894" w14:textId="584FA9E3"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1.000</w:t>
            </w:r>
          </w:p>
        </w:tc>
      </w:tr>
      <w:tr w:rsidR="00C73E11" w:rsidRPr="00C73E11" w14:paraId="144E9517" w14:textId="77777777" w:rsidTr="00050392">
        <w:tc>
          <w:tcPr>
            <w:tcW w:w="1857" w:type="dxa"/>
            <w:tcBorders>
              <w:top w:val="single" w:sz="4" w:space="0" w:color="auto"/>
              <w:left w:val="single" w:sz="4" w:space="0" w:color="auto"/>
              <w:bottom w:val="single" w:sz="4" w:space="0" w:color="auto"/>
              <w:right w:val="single" w:sz="4" w:space="0" w:color="auto"/>
            </w:tcBorders>
            <w:hideMark/>
          </w:tcPr>
          <w:p w14:paraId="05F8C7B5" w14:textId="77777777" w:rsidR="00EE7507" w:rsidRPr="00C73E11" w:rsidRDefault="00EE7507" w:rsidP="00EE7507">
            <w:pPr>
              <w:autoSpaceDE w:val="0"/>
              <w:autoSpaceDN w:val="0"/>
              <w:adjustRightInd w:val="0"/>
              <w:spacing w:after="60"/>
              <w:jc w:val="right"/>
              <w:rPr>
                <w:rFonts w:cstheme="minorHAnsi"/>
                <w:color w:val="FF0000"/>
              </w:rPr>
            </w:pPr>
            <w:r w:rsidRPr="00C73E11">
              <w:rPr>
                <w:rFonts w:cstheme="minorHAnsi"/>
                <w:color w:val="FF0000"/>
              </w:rPr>
              <w:t>Tercile 2</w:t>
            </w:r>
          </w:p>
        </w:tc>
        <w:tc>
          <w:tcPr>
            <w:tcW w:w="1074" w:type="dxa"/>
            <w:tcBorders>
              <w:top w:val="single" w:sz="4" w:space="0" w:color="auto"/>
              <w:left w:val="single" w:sz="4" w:space="0" w:color="auto"/>
              <w:bottom w:val="single" w:sz="4" w:space="0" w:color="auto"/>
              <w:right w:val="single" w:sz="4" w:space="0" w:color="auto"/>
            </w:tcBorders>
            <w:vAlign w:val="bottom"/>
          </w:tcPr>
          <w:p w14:paraId="341225A6" w14:textId="03354661"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116</w:t>
            </w:r>
          </w:p>
        </w:tc>
        <w:tc>
          <w:tcPr>
            <w:tcW w:w="854" w:type="dxa"/>
            <w:tcBorders>
              <w:top w:val="single" w:sz="4" w:space="0" w:color="auto"/>
              <w:left w:val="single" w:sz="4" w:space="0" w:color="auto"/>
              <w:bottom w:val="single" w:sz="4" w:space="0" w:color="auto"/>
              <w:right w:val="single" w:sz="4" w:space="0" w:color="auto"/>
            </w:tcBorders>
            <w:vAlign w:val="bottom"/>
          </w:tcPr>
          <w:p w14:paraId="373B224E" w14:textId="2DD9B3B5"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0.846</w:t>
            </w:r>
          </w:p>
        </w:tc>
        <w:tc>
          <w:tcPr>
            <w:tcW w:w="926" w:type="dxa"/>
            <w:tcBorders>
              <w:top w:val="single" w:sz="4" w:space="0" w:color="auto"/>
              <w:left w:val="single" w:sz="4" w:space="0" w:color="auto"/>
              <w:bottom w:val="single" w:sz="4" w:space="0" w:color="auto"/>
              <w:right w:val="single" w:sz="4" w:space="0" w:color="auto"/>
            </w:tcBorders>
            <w:vAlign w:val="bottom"/>
          </w:tcPr>
          <w:p w14:paraId="729FCB5F" w14:textId="13CFF0A3"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0.881</w:t>
            </w:r>
          </w:p>
        </w:tc>
        <w:tc>
          <w:tcPr>
            <w:tcW w:w="926" w:type="dxa"/>
            <w:tcBorders>
              <w:top w:val="single" w:sz="4" w:space="0" w:color="auto"/>
              <w:left w:val="single" w:sz="4" w:space="0" w:color="auto"/>
              <w:bottom w:val="single" w:sz="4" w:space="0" w:color="auto"/>
              <w:right w:val="single" w:sz="4" w:space="0" w:color="auto"/>
            </w:tcBorders>
            <w:vAlign w:val="bottom"/>
          </w:tcPr>
          <w:p w14:paraId="7749EED3" w14:textId="2B4F6B71"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0.903</w:t>
            </w:r>
          </w:p>
        </w:tc>
        <w:tc>
          <w:tcPr>
            <w:tcW w:w="926" w:type="dxa"/>
            <w:tcBorders>
              <w:top w:val="single" w:sz="4" w:space="0" w:color="auto"/>
              <w:left w:val="single" w:sz="4" w:space="0" w:color="auto"/>
              <w:bottom w:val="single" w:sz="4" w:space="0" w:color="auto"/>
              <w:right w:val="single" w:sz="4" w:space="0" w:color="auto"/>
            </w:tcBorders>
            <w:vAlign w:val="bottom"/>
          </w:tcPr>
          <w:p w14:paraId="6A5C0378" w14:textId="20D999CE"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0.921</w:t>
            </w:r>
          </w:p>
        </w:tc>
        <w:tc>
          <w:tcPr>
            <w:tcW w:w="926" w:type="dxa"/>
            <w:tcBorders>
              <w:top w:val="single" w:sz="4" w:space="0" w:color="auto"/>
              <w:left w:val="single" w:sz="4" w:space="0" w:color="auto"/>
              <w:bottom w:val="single" w:sz="4" w:space="0" w:color="auto"/>
              <w:right w:val="single" w:sz="4" w:space="0" w:color="auto"/>
            </w:tcBorders>
            <w:vAlign w:val="bottom"/>
          </w:tcPr>
          <w:p w14:paraId="66FE054F" w14:textId="56EE3FD0"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0.943</w:t>
            </w:r>
          </w:p>
        </w:tc>
        <w:tc>
          <w:tcPr>
            <w:tcW w:w="926" w:type="dxa"/>
            <w:tcBorders>
              <w:top w:val="single" w:sz="4" w:space="0" w:color="auto"/>
              <w:left w:val="single" w:sz="4" w:space="0" w:color="auto"/>
              <w:bottom w:val="single" w:sz="4" w:space="0" w:color="auto"/>
              <w:right w:val="single" w:sz="4" w:space="0" w:color="auto"/>
            </w:tcBorders>
            <w:vAlign w:val="bottom"/>
          </w:tcPr>
          <w:p w14:paraId="3A1E8510" w14:textId="0D12EF73"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0.951</w:t>
            </w:r>
          </w:p>
        </w:tc>
        <w:tc>
          <w:tcPr>
            <w:tcW w:w="935" w:type="dxa"/>
            <w:tcBorders>
              <w:top w:val="single" w:sz="4" w:space="0" w:color="auto"/>
              <w:left w:val="single" w:sz="4" w:space="0" w:color="auto"/>
              <w:bottom w:val="single" w:sz="4" w:space="0" w:color="auto"/>
              <w:right w:val="single" w:sz="4" w:space="0" w:color="auto"/>
            </w:tcBorders>
            <w:vAlign w:val="bottom"/>
          </w:tcPr>
          <w:p w14:paraId="3FE376BA" w14:textId="2A78BCEF"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0.968</w:t>
            </w:r>
          </w:p>
        </w:tc>
      </w:tr>
      <w:tr w:rsidR="00C73E11" w:rsidRPr="00C73E11" w14:paraId="4AD42324" w14:textId="77777777" w:rsidTr="00050392">
        <w:tc>
          <w:tcPr>
            <w:tcW w:w="1857" w:type="dxa"/>
            <w:tcBorders>
              <w:top w:val="single" w:sz="4" w:space="0" w:color="auto"/>
              <w:left w:val="single" w:sz="4" w:space="0" w:color="auto"/>
              <w:bottom w:val="single" w:sz="4" w:space="0" w:color="auto"/>
              <w:right w:val="single" w:sz="4" w:space="0" w:color="auto"/>
            </w:tcBorders>
            <w:hideMark/>
          </w:tcPr>
          <w:p w14:paraId="25BA4CD4" w14:textId="77777777" w:rsidR="00EE7507" w:rsidRPr="00C73E11" w:rsidRDefault="00EE7507" w:rsidP="00EE7507">
            <w:pPr>
              <w:autoSpaceDE w:val="0"/>
              <w:autoSpaceDN w:val="0"/>
              <w:adjustRightInd w:val="0"/>
              <w:spacing w:after="60"/>
              <w:jc w:val="right"/>
              <w:rPr>
                <w:rFonts w:cstheme="minorHAnsi"/>
                <w:color w:val="FF0000"/>
              </w:rPr>
            </w:pPr>
            <w:r w:rsidRPr="00C73E11">
              <w:rPr>
                <w:rFonts w:cstheme="minorHAnsi"/>
                <w:color w:val="FF0000"/>
              </w:rPr>
              <w:t>Tercile 3</w:t>
            </w:r>
          </w:p>
        </w:tc>
        <w:tc>
          <w:tcPr>
            <w:tcW w:w="1074" w:type="dxa"/>
            <w:tcBorders>
              <w:top w:val="single" w:sz="4" w:space="0" w:color="auto"/>
              <w:left w:val="single" w:sz="4" w:space="0" w:color="auto"/>
              <w:bottom w:val="single" w:sz="4" w:space="0" w:color="auto"/>
              <w:right w:val="single" w:sz="4" w:space="0" w:color="auto"/>
            </w:tcBorders>
            <w:vAlign w:val="bottom"/>
          </w:tcPr>
          <w:p w14:paraId="772220B4" w14:textId="74F4F277"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122</w:t>
            </w:r>
          </w:p>
        </w:tc>
        <w:tc>
          <w:tcPr>
            <w:tcW w:w="854" w:type="dxa"/>
            <w:tcBorders>
              <w:top w:val="single" w:sz="4" w:space="0" w:color="auto"/>
              <w:left w:val="single" w:sz="4" w:space="0" w:color="auto"/>
              <w:bottom w:val="single" w:sz="4" w:space="0" w:color="auto"/>
              <w:right w:val="single" w:sz="4" w:space="0" w:color="auto"/>
            </w:tcBorders>
            <w:vAlign w:val="bottom"/>
          </w:tcPr>
          <w:p w14:paraId="734D825D" w14:textId="7406B0AB"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0.935</w:t>
            </w:r>
          </w:p>
        </w:tc>
        <w:tc>
          <w:tcPr>
            <w:tcW w:w="926" w:type="dxa"/>
            <w:tcBorders>
              <w:top w:val="single" w:sz="4" w:space="0" w:color="auto"/>
              <w:left w:val="single" w:sz="4" w:space="0" w:color="auto"/>
              <w:bottom w:val="single" w:sz="4" w:space="0" w:color="auto"/>
              <w:right w:val="single" w:sz="4" w:space="0" w:color="auto"/>
            </w:tcBorders>
            <w:vAlign w:val="bottom"/>
          </w:tcPr>
          <w:p w14:paraId="7F8F160E" w14:textId="3FB490A0"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0.949</w:t>
            </w:r>
          </w:p>
        </w:tc>
        <w:tc>
          <w:tcPr>
            <w:tcW w:w="926" w:type="dxa"/>
            <w:tcBorders>
              <w:top w:val="single" w:sz="4" w:space="0" w:color="auto"/>
              <w:left w:val="single" w:sz="4" w:space="0" w:color="auto"/>
              <w:bottom w:val="single" w:sz="4" w:space="0" w:color="auto"/>
              <w:right w:val="single" w:sz="4" w:space="0" w:color="auto"/>
            </w:tcBorders>
            <w:vAlign w:val="bottom"/>
          </w:tcPr>
          <w:p w14:paraId="2F4E030F" w14:textId="0D1D1163"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0.960</w:t>
            </w:r>
          </w:p>
        </w:tc>
        <w:tc>
          <w:tcPr>
            <w:tcW w:w="926" w:type="dxa"/>
            <w:tcBorders>
              <w:top w:val="single" w:sz="4" w:space="0" w:color="auto"/>
              <w:left w:val="single" w:sz="4" w:space="0" w:color="auto"/>
              <w:bottom w:val="single" w:sz="4" w:space="0" w:color="auto"/>
              <w:right w:val="single" w:sz="4" w:space="0" w:color="auto"/>
            </w:tcBorders>
            <w:vAlign w:val="bottom"/>
          </w:tcPr>
          <w:p w14:paraId="5ED8268C" w14:textId="2F30AC7A"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0.971</w:t>
            </w:r>
          </w:p>
        </w:tc>
        <w:tc>
          <w:tcPr>
            <w:tcW w:w="926" w:type="dxa"/>
            <w:tcBorders>
              <w:top w:val="single" w:sz="4" w:space="0" w:color="auto"/>
              <w:left w:val="single" w:sz="4" w:space="0" w:color="auto"/>
              <w:bottom w:val="single" w:sz="4" w:space="0" w:color="auto"/>
              <w:right w:val="single" w:sz="4" w:space="0" w:color="auto"/>
            </w:tcBorders>
            <w:vAlign w:val="bottom"/>
          </w:tcPr>
          <w:p w14:paraId="254BA95E" w14:textId="79558FEB"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0.984</w:t>
            </w:r>
          </w:p>
        </w:tc>
        <w:tc>
          <w:tcPr>
            <w:tcW w:w="926" w:type="dxa"/>
            <w:tcBorders>
              <w:top w:val="single" w:sz="4" w:space="0" w:color="auto"/>
              <w:left w:val="single" w:sz="4" w:space="0" w:color="auto"/>
              <w:bottom w:val="single" w:sz="4" w:space="0" w:color="auto"/>
              <w:right w:val="single" w:sz="4" w:space="0" w:color="auto"/>
            </w:tcBorders>
            <w:vAlign w:val="bottom"/>
          </w:tcPr>
          <w:p w14:paraId="62AD5330" w14:textId="627F3523"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0.990</w:t>
            </w:r>
          </w:p>
        </w:tc>
        <w:tc>
          <w:tcPr>
            <w:tcW w:w="935" w:type="dxa"/>
            <w:tcBorders>
              <w:top w:val="single" w:sz="4" w:space="0" w:color="auto"/>
              <w:left w:val="single" w:sz="4" w:space="0" w:color="auto"/>
              <w:bottom w:val="single" w:sz="4" w:space="0" w:color="auto"/>
              <w:right w:val="single" w:sz="4" w:space="0" w:color="auto"/>
            </w:tcBorders>
            <w:vAlign w:val="bottom"/>
          </w:tcPr>
          <w:p w14:paraId="2E5D42B0" w14:textId="452668D7" w:rsidR="00EE7507" w:rsidRPr="00C73E11" w:rsidRDefault="00EE7507" w:rsidP="00EE7507">
            <w:pPr>
              <w:autoSpaceDE w:val="0"/>
              <w:autoSpaceDN w:val="0"/>
              <w:adjustRightInd w:val="0"/>
              <w:spacing w:after="60"/>
              <w:jc w:val="right"/>
              <w:rPr>
                <w:rFonts w:cstheme="minorHAnsi"/>
                <w:color w:val="FF0000"/>
              </w:rPr>
            </w:pPr>
            <w:r w:rsidRPr="00C73E11">
              <w:rPr>
                <w:rFonts w:ascii="Calibri" w:hAnsi="Calibri" w:cs="Calibri"/>
                <w:color w:val="FF0000"/>
              </w:rPr>
              <w:t>0.997</w:t>
            </w:r>
          </w:p>
        </w:tc>
      </w:tr>
      <w:tr w:rsidR="00C73E11" w:rsidRPr="00C73E11" w14:paraId="7B733D18" w14:textId="77777777" w:rsidTr="00050392">
        <w:tc>
          <w:tcPr>
            <w:tcW w:w="185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75507AD" w14:textId="77777777" w:rsidR="001C2E9B" w:rsidRPr="00C73E11" w:rsidRDefault="001C2E9B" w:rsidP="001C2E9B">
            <w:pPr>
              <w:autoSpaceDE w:val="0"/>
              <w:autoSpaceDN w:val="0"/>
              <w:adjustRightInd w:val="0"/>
              <w:spacing w:after="60"/>
              <w:rPr>
                <w:rFonts w:cstheme="minorHAnsi"/>
                <w:b/>
                <w:bCs/>
                <w:color w:val="FF0000"/>
              </w:rPr>
            </w:pPr>
            <w:r w:rsidRPr="00C73E11">
              <w:rPr>
                <w:rFonts w:cstheme="minorHAnsi"/>
                <w:b/>
                <w:bCs/>
                <w:color w:val="FF0000"/>
              </w:rPr>
              <w:t>All Medicaid</w:t>
            </w:r>
          </w:p>
        </w:tc>
        <w:tc>
          <w:tcPr>
            <w:tcW w:w="1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24144B65" w14:textId="654962B5" w:rsidR="001C2E9B" w:rsidRPr="00C73E11" w:rsidRDefault="001C2E9B" w:rsidP="001C2E9B">
            <w:pPr>
              <w:autoSpaceDE w:val="0"/>
              <w:autoSpaceDN w:val="0"/>
              <w:adjustRightInd w:val="0"/>
              <w:spacing w:after="60"/>
              <w:jc w:val="right"/>
              <w:rPr>
                <w:rFonts w:cstheme="minorHAnsi"/>
                <w:b/>
                <w:bCs/>
                <w:color w:val="FF0000"/>
              </w:rPr>
            </w:pPr>
            <w:r w:rsidRPr="00C73E11">
              <w:rPr>
                <w:rFonts w:ascii="Calibri" w:hAnsi="Calibri" w:cs="Calibri"/>
                <w:b/>
                <w:bCs/>
                <w:color w:val="FF0000"/>
              </w:rPr>
              <w:t>172</w:t>
            </w:r>
          </w:p>
        </w:tc>
        <w:tc>
          <w:tcPr>
            <w:tcW w:w="85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99D2979" w14:textId="4B5CB9CE" w:rsidR="001C2E9B" w:rsidRPr="00C73E11" w:rsidRDefault="001C2E9B" w:rsidP="001C2E9B">
            <w:pPr>
              <w:autoSpaceDE w:val="0"/>
              <w:autoSpaceDN w:val="0"/>
              <w:adjustRightInd w:val="0"/>
              <w:spacing w:after="60"/>
              <w:jc w:val="right"/>
              <w:rPr>
                <w:rFonts w:cstheme="minorHAnsi"/>
                <w:b/>
                <w:bCs/>
                <w:color w:val="FF0000"/>
              </w:rPr>
            </w:pPr>
            <w:r w:rsidRPr="00C73E11">
              <w:rPr>
                <w:rFonts w:ascii="Calibri" w:hAnsi="Calibri" w:cs="Calibri"/>
                <w:b/>
                <w:bCs/>
                <w:color w:val="FF0000"/>
              </w:rPr>
              <w:t>0.708</w:t>
            </w:r>
          </w:p>
        </w:tc>
        <w:tc>
          <w:tcPr>
            <w:tcW w:w="9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5D4CE13F" w14:textId="3F50FDEF" w:rsidR="001C2E9B" w:rsidRPr="00C73E11" w:rsidRDefault="001C2E9B" w:rsidP="001C2E9B">
            <w:pPr>
              <w:autoSpaceDE w:val="0"/>
              <w:autoSpaceDN w:val="0"/>
              <w:adjustRightInd w:val="0"/>
              <w:spacing w:after="60"/>
              <w:jc w:val="right"/>
              <w:rPr>
                <w:rFonts w:cstheme="minorHAnsi"/>
                <w:b/>
                <w:bCs/>
                <w:color w:val="FF0000"/>
              </w:rPr>
            </w:pPr>
            <w:r w:rsidRPr="00C73E11">
              <w:rPr>
                <w:rFonts w:ascii="Calibri" w:hAnsi="Calibri" w:cs="Calibri"/>
                <w:b/>
                <w:bCs/>
                <w:color w:val="FF0000"/>
              </w:rPr>
              <w:t>0.908</w:t>
            </w:r>
          </w:p>
        </w:tc>
        <w:tc>
          <w:tcPr>
            <w:tcW w:w="9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96A0301" w14:textId="212A9B75" w:rsidR="001C2E9B" w:rsidRPr="00C73E11" w:rsidRDefault="001C2E9B" w:rsidP="001C2E9B">
            <w:pPr>
              <w:autoSpaceDE w:val="0"/>
              <w:autoSpaceDN w:val="0"/>
              <w:adjustRightInd w:val="0"/>
              <w:spacing w:after="60"/>
              <w:jc w:val="right"/>
              <w:rPr>
                <w:rFonts w:cstheme="minorHAnsi"/>
                <w:b/>
                <w:bCs/>
                <w:color w:val="FF0000"/>
              </w:rPr>
            </w:pPr>
            <w:r w:rsidRPr="00C73E11">
              <w:rPr>
                <w:rFonts w:ascii="Calibri" w:hAnsi="Calibri" w:cs="Calibri"/>
                <w:b/>
                <w:bCs/>
                <w:color w:val="FF0000"/>
              </w:rPr>
              <w:t>0.963</w:t>
            </w:r>
          </w:p>
        </w:tc>
        <w:tc>
          <w:tcPr>
            <w:tcW w:w="9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23022464" w14:textId="7A9AA4FA" w:rsidR="001C2E9B" w:rsidRPr="00C73E11" w:rsidRDefault="001C2E9B" w:rsidP="001C2E9B">
            <w:pPr>
              <w:autoSpaceDE w:val="0"/>
              <w:autoSpaceDN w:val="0"/>
              <w:adjustRightInd w:val="0"/>
              <w:spacing w:after="60"/>
              <w:jc w:val="right"/>
              <w:rPr>
                <w:rFonts w:cstheme="minorHAnsi"/>
                <w:b/>
                <w:bCs/>
                <w:color w:val="FF0000"/>
              </w:rPr>
            </w:pPr>
            <w:r w:rsidRPr="00C73E11">
              <w:rPr>
                <w:rFonts w:ascii="Calibri" w:hAnsi="Calibri" w:cs="Calibri"/>
                <w:b/>
                <w:bCs/>
                <w:color w:val="FF0000"/>
              </w:rPr>
              <w:t>0.967</w:t>
            </w:r>
          </w:p>
        </w:tc>
        <w:tc>
          <w:tcPr>
            <w:tcW w:w="9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243AE0CE" w14:textId="19B803FB" w:rsidR="001C2E9B" w:rsidRPr="00C73E11" w:rsidRDefault="001C2E9B" w:rsidP="001C2E9B">
            <w:pPr>
              <w:autoSpaceDE w:val="0"/>
              <w:autoSpaceDN w:val="0"/>
              <w:adjustRightInd w:val="0"/>
              <w:spacing w:after="60"/>
              <w:jc w:val="right"/>
              <w:rPr>
                <w:rFonts w:cstheme="minorHAnsi"/>
                <w:b/>
                <w:bCs/>
                <w:color w:val="FF0000"/>
              </w:rPr>
            </w:pPr>
            <w:r w:rsidRPr="00C73E11">
              <w:rPr>
                <w:rFonts w:ascii="Calibri" w:hAnsi="Calibri" w:cs="Calibri"/>
                <w:b/>
                <w:bCs/>
                <w:color w:val="FF0000"/>
              </w:rPr>
              <w:t>0.995</w:t>
            </w:r>
          </w:p>
        </w:tc>
        <w:tc>
          <w:tcPr>
            <w:tcW w:w="9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01CEF576" w14:textId="437D8315" w:rsidR="001C2E9B" w:rsidRPr="00C73E11" w:rsidRDefault="001C2E9B" w:rsidP="001C2E9B">
            <w:pPr>
              <w:autoSpaceDE w:val="0"/>
              <w:autoSpaceDN w:val="0"/>
              <w:adjustRightInd w:val="0"/>
              <w:spacing w:after="60"/>
              <w:jc w:val="right"/>
              <w:rPr>
                <w:rFonts w:cstheme="minorHAnsi"/>
                <w:b/>
                <w:bCs/>
                <w:color w:val="FF0000"/>
              </w:rPr>
            </w:pPr>
            <w:r w:rsidRPr="00C73E11">
              <w:rPr>
                <w:rFonts w:ascii="Calibri" w:hAnsi="Calibri" w:cs="Calibri"/>
                <w:b/>
                <w:bCs/>
                <w:color w:val="FF0000"/>
              </w:rPr>
              <w:t>0.997</w:t>
            </w:r>
          </w:p>
        </w:tc>
        <w:tc>
          <w:tcPr>
            <w:tcW w:w="9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7BAB734D" w14:textId="411AA0BC" w:rsidR="001C2E9B" w:rsidRPr="00C73E11" w:rsidRDefault="001C2E9B" w:rsidP="001C2E9B">
            <w:pPr>
              <w:autoSpaceDE w:val="0"/>
              <w:autoSpaceDN w:val="0"/>
              <w:adjustRightInd w:val="0"/>
              <w:spacing w:after="60"/>
              <w:jc w:val="right"/>
              <w:rPr>
                <w:rFonts w:cstheme="minorHAnsi"/>
                <w:b/>
                <w:bCs/>
                <w:color w:val="FF0000"/>
              </w:rPr>
            </w:pPr>
            <w:r w:rsidRPr="00C73E11">
              <w:rPr>
                <w:rFonts w:ascii="Calibri" w:hAnsi="Calibri" w:cs="Calibri"/>
                <w:b/>
                <w:bCs/>
                <w:color w:val="FF0000"/>
              </w:rPr>
              <w:t>0.999</w:t>
            </w:r>
          </w:p>
        </w:tc>
      </w:tr>
      <w:tr w:rsidR="00C73E11" w:rsidRPr="00C73E11" w14:paraId="61E73B65" w14:textId="77777777" w:rsidTr="00050392">
        <w:tc>
          <w:tcPr>
            <w:tcW w:w="1857" w:type="dxa"/>
            <w:tcBorders>
              <w:top w:val="single" w:sz="4" w:space="0" w:color="auto"/>
              <w:left w:val="single" w:sz="4" w:space="0" w:color="auto"/>
              <w:bottom w:val="single" w:sz="4" w:space="0" w:color="auto"/>
              <w:right w:val="single" w:sz="4" w:space="0" w:color="auto"/>
            </w:tcBorders>
            <w:hideMark/>
          </w:tcPr>
          <w:p w14:paraId="0EFBB6AF" w14:textId="77777777" w:rsidR="00253818" w:rsidRPr="00C73E11" w:rsidRDefault="00253818" w:rsidP="00253818">
            <w:pPr>
              <w:autoSpaceDE w:val="0"/>
              <w:autoSpaceDN w:val="0"/>
              <w:adjustRightInd w:val="0"/>
              <w:spacing w:after="60"/>
              <w:jc w:val="right"/>
              <w:rPr>
                <w:rFonts w:cstheme="minorHAnsi"/>
                <w:color w:val="FF0000"/>
              </w:rPr>
            </w:pPr>
            <w:r w:rsidRPr="00C73E11">
              <w:rPr>
                <w:rFonts w:cstheme="minorHAnsi"/>
                <w:color w:val="FF0000"/>
              </w:rPr>
              <w:t>Tercile 1</w:t>
            </w:r>
          </w:p>
        </w:tc>
        <w:tc>
          <w:tcPr>
            <w:tcW w:w="1074" w:type="dxa"/>
            <w:tcBorders>
              <w:top w:val="single" w:sz="4" w:space="0" w:color="auto"/>
              <w:left w:val="single" w:sz="4" w:space="0" w:color="auto"/>
              <w:bottom w:val="single" w:sz="4" w:space="0" w:color="auto"/>
              <w:right w:val="single" w:sz="4" w:space="0" w:color="auto"/>
            </w:tcBorders>
            <w:vAlign w:val="bottom"/>
          </w:tcPr>
          <w:p w14:paraId="699C1FE1" w14:textId="550796A4"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57</w:t>
            </w:r>
          </w:p>
        </w:tc>
        <w:tc>
          <w:tcPr>
            <w:tcW w:w="854" w:type="dxa"/>
            <w:tcBorders>
              <w:top w:val="single" w:sz="4" w:space="0" w:color="auto"/>
              <w:left w:val="single" w:sz="4" w:space="0" w:color="auto"/>
              <w:bottom w:val="single" w:sz="4" w:space="0" w:color="auto"/>
              <w:right w:val="single" w:sz="4" w:space="0" w:color="auto"/>
            </w:tcBorders>
            <w:vAlign w:val="bottom"/>
          </w:tcPr>
          <w:p w14:paraId="257FDF72" w14:textId="1F2AFED3"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0.747</w:t>
            </w:r>
          </w:p>
        </w:tc>
        <w:tc>
          <w:tcPr>
            <w:tcW w:w="926" w:type="dxa"/>
            <w:tcBorders>
              <w:top w:val="single" w:sz="4" w:space="0" w:color="auto"/>
              <w:left w:val="single" w:sz="4" w:space="0" w:color="auto"/>
              <w:bottom w:val="single" w:sz="4" w:space="0" w:color="auto"/>
              <w:right w:val="single" w:sz="4" w:space="0" w:color="auto"/>
            </w:tcBorders>
            <w:vAlign w:val="bottom"/>
          </w:tcPr>
          <w:p w14:paraId="35ABD0B0" w14:textId="4F7EB80C"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0.860</w:t>
            </w:r>
          </w:p>
        </w:tc>
        <w:tc>
          <w:tcPr>
            <w:tcW w:w="926" w:type="dxa"/>
            <w:tcBorders>
              <w:top w:val="single" w:sz="4" w:space="0" w:color="auto"/>
              <w:left w:val="single" w:sz="4" w:space="0" w:color="auto"/>
              <w:bottom w:val="single" w:sz="4" w:space="0" w:color="auto"/>
              <w:right w:val="single" w:sz="4" w:space="0" w:color="auto"/>
            </w:tcBorders>
            <w:vAlign w:val="bottom"/>
          </w:tcPr>
          <w:p w14:paraId="1B71B33A" w14:textId="4B678491"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0.910</w:t>
            </w:r>
          </w:p>
        </w:tc>
        <w:tc>
          <w:tcPr>
            <w:tcW w:w="926" w:type="dxa"/>
            <w:tcBorders>
              <w:top w:val="single" w:sz="4" w:space="0" w:color="auto"/>
              <w:left w:val="single" w:sz="4" w:space="0" w:color="auto"/>
              <w:bottom w:val="single" w:sz="4" w:space="0" w:color="auto"/>
              <w:right w:val="single" w:sz="4" w:space="0" w:color="auto"/>
            </w:tcBorders>
            <w:vAlign w:val="bottom"/>
          </w:tcPr>
          <w:p w14:paraId="73F56FE4" w14:textId="5D559134"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0.932</w:t>
            </w:r>
          </w:p>
        </w:tc>
        <w:tc>
          <w:tcPr>
            <w:tcW w:w="926" w:type="dxa"/>
            <w:tcBorders>
              <w:top w:val="single" w:sz="4" w:space="0" w:color="auto"/>
              <w:left w:val="single" w:sz="4" w:space="0" w:color="auto"/>
              <w:bottom w:val="single" w:sz="4" w:space="0" w:color="auto"/>
              <w:right w:val="single" w:sz="4" w:space="0" w:color="auto"/>
            </w:tcBorders>
            <w:vAlign w:val="bottom"/>
          </w:tcPr>
          <w:p w14:paraId="29D26408" w14:textId="36B072A0"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0.969</w:t>
            </w:r>
          </w:p>
        </w:tc>
        <w:tc>
          <w:tcPr>
            <w:tcW w:w="926" w:type="dxa"/>
            <w:tcBorders>
              <w:top w:val="single" w:sz="4" w:space="0" w:color="auto"/>
              <w:left w:val="single" w:sz="4" w:space="0" w:color="auto"/>
              <w:bottom w:val="single" w:sz="4" w:space="0" w:color="auto"/>
              <w:right w:val="single" w:sz="4" w:space="0" w:color="auto"/>
            </w:tcBorders>
            <w:vAlign w:val="bottom"/>
          </w:tcPr>
          <w:p w14:paraId="07545775" w14:textId="2A2A2BD5"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0.975</w:t>
            </w:r>
          </w:p>
        </w:tc>
        <w:tc>
          <w:tcPr>
            <w:tcW w:w="935" w:type="dxa"/>
            <w:tcBorders>
              <w:top w:val="single" w:sz="4" w:space="0" w:color="auto"/>
              <w:left w:val="single" w:sz="4" w:space="0" w:color="auto"/>
              <w:bottom w:val="single" w:sz="4" w:space="0" w:color="auto"/>
              <w:right w:val="single" w:sz="4" w:space="0" w:color="auto"/>
            </w:tcBorders>
            <w:vAlign w:val="bottom"/>
          </w:tcPr>
          <w:p w14:paraId="49ABE118" w14:textId="2EE05DB3"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0.983</w:t>
            </w:r>
          </w:p>
        </w:tc>
      </w:tr>
      <w:tr w:rsidR="00C73E11" w:rsidRPr="00C73E11" w14:paraId="69432561" w14:textId="77777777" w:rsidTr="00050392">
        <w:tc>
          <w:tcPr>
            <w:tcW w:w="1857" w:type="dxa"/>
            <w:tcBorders>
              <w:top w:val="single" w:sz="4" w:space="0" w:color="auto"/>
              <w:left w:val="single" w:sz="4" w:space="0" w:color="auto"/>
              <w:bottom w:val="single" w:sz="4" w:space="0" w:color="auto"/>
              <w:right w:val="single" w:sz="4" w:space="0" w:color="auto"/>
            </w:tcBorders>
            <w:hideMark/>
          </w:tcPr>
          <w:p w14:paraId="7EDE7E2F" w14:textId="77777777" w:rsidR="00253818" w:rsidRPr="00C73E11" w:rsidRDefault="00253818" w:rsidP="00253818">
            <w:pPr>
              <w:autoSpaceDE w:val="0"/>
              <w:autoSpaceDN w:val="0"/>
              <w:adjustRightInd w:val="0"/>
              <w:spacing w:after="60"/>
              <w:jc w:val="right"/>
              <w:rPr>
                <w:rFonts w:cstheme="minorHAnsi"/>
                <w:color w:val="FF0000"/>
              </w:rPr>
            </w:pPr>
            <w:r w:rsidRPr="00C73E11">
              <w:rPr>
                <w:rFonts w:cstheme="minorHAnsi"/>
                <w:color w:val="FF0000"/>
              </w:rPr>
              <w:t>Tercile 2</w:t>
            </w:r>
          </w:p>
        </w:tc>
        <w:tc>
          <w:tcPr>
            <w:tcW w:w="1074" w:type="dxa"/>
            <w:tcBorders>
              <w:top w:val="single" w:sz="4" w:space="0" w:color="auto"/>
              <w:left w:val="single" w:sz="4" w:space="0" w:color="auto"/>
              <w:bottom w:val="single" w:sz="4" w:space="0" w:color="auto"/>
              <w:right w:val="single" w:sz="4" w:space="0" w:color="auto"/>
            </w:tcBorders>
            <w:vAlign w:val="bottom"/>
          </w:tcPr>
          <w:p w14:paraId="389BD1E0" w14:textId="70777544"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56</w:t>
            </w:r>
          </w:p>
        </w:tc>
        <w:tc>
          <w:tcPr>
            <w:tcW w:w="854" w:type="dxa"/>
            <w:tcBorders>
              <w:top w:val="single" w:sz="4" w:space="0" w:color="auto"/>
              <w:left w:val="single" w:sz="4" w:space="0" w:color="auto"/>
              <w:bottom w:val="single" w:sz="4" w:space="0" w:color="auto"/>
              <w:right w:val="single" w:sz="4" w:space="0" w:color="auto"/>
            </w:tcBorders>
            <w:vAlign w:val="bottom"/>
          </w:tcPr>
          <w:p w14:paraId="4CCF6181" w14:textId="31DA985B"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0.975</w:t>
            </w:r>
          </w:p>
        </w:tc>
        <w:tc>
          <w:tcPr>
            <w:tcW w:w="926" w:type="dxa"/>
            <w:tcBorders>
              <w:top w:val="single" w:sz="4" w:space="0" w:color="auto"/>
              <w:left w:val="single" w:sz="4" w:space="0" w:color="auto"/>
              <w:bottom w:val="single" w:sz="4" w:space="0" w:color="auto"/>
              <w:right w:val="single" w:sz="4" w:space="0" w:color="auto"/>
            </w:tcBorders>
            <w:vAlign w:val="bottom"/>
          </w:tcPr>
          <w:p w14:paraId="4ADC779E" w14:textId="2A13AF34"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0.979</w:t>
            </w:r>
          </w:p>
        </w:tc>
        <w:tc>
          <w:tcPr>
            <w:tcW w:w="926" w:type="dxa"/>
            <w:tcBorders>
              <w:top w:val="single" w:sz="4" w:space="0" w:color="auto"/>
              <w:left w:val="single" w:sz="4" w:space="0" w:color="auto"/>
              <w:bottom w:val="single" w:sz="4" w:space="0" w:color="auto"/>
              <w:right w:val="single" w:sz="4" w:space="0" w:color="auto"/>
            </w:tcBorders>
            <w:vAlign w:val="bottom"/>
          </w:tcPr>
          <w:p w14:paraId="06E5B581" w14:textId="5035370E"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0.984</w:t>
            </w:r>
          </w:p>
        </w:tc>
        <w:tc>
          <w:tcPr>
            <w:tcW w:w="926" w:type="dxa"/>
            <w:tcBorders>
              <w:top w:val="single" w:sz="4" w:space="0" w:color="auto"/>
              <w:left w:val="single" w:sz="4" w:space="0" w:color="auto"/>
              <w:bottom w:val="single" w:sz="4" w:space="0" w:color="auto"/>
              <w:right w:val="single" w:sz="4" w:space="0" w:color="auto"/>
            </w:tcBorders>
            <w:vAlign w:val="bottom"/>
          </w:tcPr>
          <w:p w14:paraId="3570C5D2" w14:textId="248DF3C5"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0.988</w:t>
            </w:r>
          </w:p>
        </w:tc>
        <w:tc>
          <w:tcPr>
            <w:tcW w:w="926" w:type="dxa"/>
            <w:tcBorders>
              <w:top w:val="single" w:sz="4" w:space="0" w:color="auto"/>
              <w:left w:val="single" w:sz="4" w:space="0" w:color="auto"/>
              <w:bottom w:val="single" w:sz="4" w:space="0" w:color="auto"/>
              <w:right w:val="single" w:sz="4" w:space="0" w:color="auto"/>
            </w:tcBorders>
            <w:vAlign w:val="bottom"/>
          </w:tcPr>
          <w:p w14:paraId="4261C65B" w14:textId="74CDA4AE"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0.992</w:t>
            </w:r>
          </w:p>
        </w:tc>
        <w:tc>
          <w:tcPr>
            <w:tcW w:w="926" w:type="dxa"/>
            <w:tcBorders>
              <w:top w:val="single" w:sz="4" w:space="0" w:color="auto"/>
              <w:left w:val="single" w:sz="4" w:space="0" w:color="auto"/>
              <w:bottom w:val="single" w:sz="4" w:space="0" w:color="auto"/>
              <w:right w:val="single" w:sz="4" w:space="0" w:color="auto"/>
            </w:tcBorders>
            <w:vAlign w:val="bottom"/>
          </w:tcPr>
          <w:p w14:paraId="3C036C52" w14:textId="1033986E"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0.994</w:t>
            </w:r>
          </w:p>
        </w:tc>
        <w:tc>
          <w:tcPr>
            <w:tcW w:w="935" w:type="dxa"/>
            <w:tcBorders>
              <w:top w:val="single" w:sz="4" w:space="0" w:color="auto"/>
              <w:left w:val="single" w:sz="4" w:space="0" w:color="auto"/>
              <w:bottom w:val="single" w:sz="4" w:space="0" w:color="auto"/>
              <w:right w:val="single" w:sz="4" w:space="0" w:color="auto"/>
            </w:tcBorders>
            <w:vAlign w:val="bottom"/>
          </w:tcPr>
          <w:p w14:paraId="6A5F68C4" w14:textId="266B791F"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0.995</w:t>
            </w:r>
          </w:p>
        </w:tc>
      </w:tr>
      <w:tr w:rsidR="00C73E11" w:rsidRPr="00C73E11" w14:paraId="62EBC953" w14:textId="77777777" w:rsidTr="00050392">
        <w:tc>
          <w:tcPr>
            <w:tcW w:w="1857" w:type="dxa"/>
            <w:tcBorders>
              <w:top w:val="single" w:sz="4" w:space="0" w:color="auto"/>
              <w:left w:val="single" w:sz="4" w:space="0" w:color="auto"/>
              <w:bottom w:val="single" w:sz="4" w:space="0" w:color="auto"/>
              <w:right w:val="single" w:sz="4" w:space="0" w:color="auto"/>
            </w:tcBorders>
            <w:hideMark/>
          </w:tcPr>
          <w:p w14:paraId="4FFDF5F2" w14:textId="77777777" w:rsidR="00253818" w:rsidRPr="00C73E11" w:rsidRDefault="00253818" w:rsidP="00253818">
            <w:pPr>
              <w:autoSpaceDE w:val="0"/>
              <w:autoSpaceDN w:val="0"/>
              <w:adjustRightInd w:val="0"/>
              <w:spacing w:after="60"/>
              <w:jc w:val="right"/>
              <w:rPr>
                <w:rFonts w:cstheme="minorHAnsi"/>
                <w:color w:val="FF0000"/>
              </w:rPr>
            </w:pPr>
            <w:r w:rsidRPr="00C73E11">
              <w:rPr>
                <w:rFonts w:cstheme="minorHAnsi"/>
                <w:color w:val="FF0000"/>
              </w:rPr>
              <w:t>Tercile 3</w:t>
            </w:r>
          </w:p>
        </w:tc>
        <w:tc>
          <w:tcPr>
            <w:tcW w:w="1074" w:type="dxa"/>
            <w:tcBorders>
              <w:top w:val="single" w:sz="4" w:space="0" w:color="auto"/>
              <w:left w:val="single" w:sz="4" w:space="0" w:color="auto"/>
              <w:bottom w:val="single" w:sz="4" w:space="0" w:color="auto"/>
              <w:right w:val="single" w:sz="4" w:space="0" w:color="auto"/>
            </w:tcBorders>
            <w:vAlign w:val="bottom"/>
          </w:tcPr>
          <w:p w14:paraId="5CD11A7B" w14:textId="041266D8"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59</w:t>
            </w:r>
          </w:p>
        </w:tc>
        <w:tc>
          <w:tcPr>
            <w:tcW w:w="854" w:type="dxa"/>
            <w:tcBorders>
              <w:top w:val="single" w:sz="4" w:space="0" w:color="auto"/>
              <w:left w:val="single" w:sz="4" w:space="0" w:color="auto"/>
              <w:bottom w:val="single" w:sz="4" w:space="0" w:color="auto"/>
              <w:right w:val="single" w:sz="4" w:space="0" w:color="auto"/>
            </w:tcBorders>
            <w:vAlign w:val="bottom"/>
          </w:tcPr>
          <w:p w14:paraId="5CF1CB28" w14:textId="51001202"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0.989</w:t>
            </w:r>
          </w:p>
        </w:tc>
        <w:tc>
          <w:tcPr>
            <w:tcW w:w="926" w:type="dxa"/>
            <w:tcBorders>
              <w:top w:val="single" w:sz="4" w:space="0" w:color="auto"/>
              <w:left w:val="single" w:sz="4" w:space="0" w:color="auto"/>
              <w:bottom w:val="single" w:sz="4" w:space="0" w:color="auto"/>
              <w:right w:val="single" w:sz="4" w:space="0" w:color="auto"/>
            </w:tcBorders>
            <w:vAlign w:val="bottom"/>
          </w:tcPr>
          <w:p w14:paraId="430B9BA4" w14:textId="0ABFB0A5"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0.991</w:t>
            </w:r>
          </w:p>
        </w:tc>
        <w:tc>
          <w:tcPr>
            <w:tcW w:w="926" w:type="dxa"/>
            <w:tcBorders>
              <w:top w:val="single" w:sz="4" w:space="0" w:color="auto"/>
              <w:left w:val="single" w:sz="4" w:space="0" w:color="auto"/>
              <w:bottom w:val="single" w:sz="4" w:space="0" w:color="auto"/>
              <w:right w:val="single" w:sz="4" w:space="0" w:color="auto"/>
            </w:tcBorders>
            <w:vAlign w:val="bottom"/>
          </w:tcPr>
          <w:p w14:paraId="2F5EC1D0" w14:textId="76E85C37"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0.992</w:t>
            </w:r>
          </w:p>
        </w:tc>
        <w:tc>
          <w:tcPr>
            <w:tcW w:w="926" w:type="dxa"/>
            <w:tcBorders>
              <w:top w:val="single" w:sz="4" w:space="0" w:color="auto"/>
              <w:left w:val="single" w:sz="4" w:space="0" w:color="auto"/>
              <w:bottom w:val="single" w:sz="4" w:space="0" w:color="auto"/>
              <w:right w:val="single" w:sz="4" w:space="0" w:color="auto"/>
            </w:tcBorders>
            <w:vAlign w:val="bottom"/>
          </w:tcPr>
          <w:p w14:paraId="613E1D3B" w14:textId="4B26A59D"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0.994</w:t>
            </w:r>
          </w:p>
        </w:tc>
        <w:tc>
          <w:tcPr>
            <w:tcW w:w="926" w:type="dxa"/>
            <w:tcBorders>
              <w:top w:val="single" w:sz="4" w:space="0" w:color="auto"/>
              <w:left w:val="single" w:sz="4" w:space="0" w:color="auto"/>
              <w:bottom w:val="single" w:sz="4" w:space="0" w:color="auto"/>
              <w:right w:val="single" w:sz="4" w:space="0" w:color="auto"/>
            </w:tcBorders>
            <w:vAlign w:val="bottom"/>
          </w:tcPr>
          <w:p w14:paraId="26F44404" w14:textId="24AC46C9"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0.996</w:t>
            </w:r>
          </w:p>
        </w:tc>
        <w:tc>
          <w:tcPr>
            <w:tcW w:w="926" w:type="dxa"/>
            <w:tcBorders>
              <w:top w:val="single" w:sz="4" w:space="0" w:color="auto"/>
              <w:left w:val="single" w:sz="4" w:space="0" w:color="auto"/>
              <w:bottom w:val="single" w:sz="4" w:space="0" w:color="auto"/>
              <w:right w:val="single" w:sz="4" w:space="0" w:color="auto"/>
            </w:tcBorders>
            <w:vAlign w:val="bottom"/>
          </w:tcPr>
          <w:p w14:paraId="03E2104B" w14:textId="00246331"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0.997</w:t>
            </w:r>
          </w:p>
        </w:tc>
        <w:tc>
          <w:tcPr>
            <w:tcW w:w="935" w:type="dxa"/>
            <w:tcBorders>
              <w:top w:val="single" w:sz="4" w:space="0" w:color="auto"/>
              <w:left w:val="single" w:sz="4" w:space="0" w:color="auto"/>
              <w:bottom w:val="single" w:sz="4" w:space="0" w:color="auto"/>
              <w:right w:val="single" w:sz="4" w:space="0" w:color="auto"/>
            </w:tcBorders>
            <w:vAlign w:val="bottom"/>
          </w:tcPr>
          <w:p w14:paraId="1297C1A0" w14:textId="0EFDFDEF" w:rsidR="00253818" w:rsidRPr="00C73E11" w:rsidRDefault="00253818" w:rsidP="00253818">
            <w:pPr>
              <w:autoSpaceDE w:val="0"/>
              <w:autoSpaceDN w:val="0"/>
              <w:adjustRightInd w:val="0"/>
              <w:spacing w:after="60"/>
              <w:jc w:val="right"/>
              <w:rPr>
                <w:rFonts w:cstheme="minorHAnsi"/>
                <w:color w:val="FF0000"/>
              </w:rPr>
            </w:pPr>
            <w:r w:rsidRPr="00C73E11">
              <w:rPr>
                <w:rFonts w:ascii="Calibri" w:hAnsi="Calibri" w:cs="Calibri"/>
                <w:color w:val="FF0000"/>
              </w:rPr>
              <w:t>0.999</w:t>
            </w:r>
          </w:p>
        </w:tc>
      </w:tr>
      <w:tr w:rsidR="00C73E11" w:rsidRPr="00C73E11" w14:paraId="4B2BABF5" w14:textId="77777777" w:rsidTr="00050392">
        <w:tc>
          <w:tcPr>
            <w:tcW w:w="1857" w:type="dxa"/>
            <w:tcBorders>
              <w:top w:val="single" w:sz="4" w:space="0" w:color="auto"/>
              <w:left w:val="single" w:sz="4" w:space="0" w:color="auto"/>
              <w:bottom w:val="single" w:sz="4" w:space="0" w:color="auto"/>
              <w:right w:val="single" w:sz="4" w:space="0" w:color="auto"/>
            </w:tcBorders>
            <w:shd w:val="clear" w:color="auto" w:fill="D9D9D9"/>
          </w:tcPr>
          <w:p w14:paraId="0A9769D2" w14:textId="77777777" w:rsidR="00A67F9E" w:rsidRPr="00C73E11" w:rsidRDefault="00A67F9E" w:rsidP="00A67F9E">
            <w:pPr>
              <w:autoSpaceDE w:val="0"/>
              <w:autoSpaceDN w:val="0"/>
              <w:adjustRightInd w:val="0"/>
              <w:spacing w:after="60"/>
              <w:rPr>
                <w:rFonts w:cstheme="minorHAnsi"/>
                <w:color w:val="FF0000"/>
              </w:rPr>
            </w:pPr>
            <w:r w:rsidRPr="00C73E11">
              <w:rPr>
                <w:rFonts w:cstheme="minorHAnsi"/>
                <w:b/>
                <w:bCs/>
                <w:color w:val="FF0000"/>
              </w:rPr>
              <w:t>All Medicare</w:t>
            </w:r>
          </w:p>
        </w:tc>
        <w:tc>
          <w:tcPr>
            <w:tcW w:w="1074" w:type="dxa"/>
            <w:tcBorders>
              <w:top w:val="single" w:sz="4" w:space="0" w:color="auto"/>
              <w:left w:val="single" w:sz="4" w:space="0" w:color="auto"/>
              <w:bottom w:val="single" w:sz="4" w:space="0" w:color="auto"/>
              <w:right w:val="single" w:sz="4" w:space="0" w:color="auto"/>
            </w:tcBorders>
            <w:shd w:val="clear" w:color="auto" w:fill="D9D9D9"/>
            <w:vAlign w:val="bottom"/>
          </w:tcPr>
          <w:p w14:paraId="6DC349A5" w14:textId="30A4930D" w:rsidR="00A67F9E" w:rsidRPr="00C73E11" w:rsidRDefault="00A67F9E" w:rsidP="00A67F9E">
            <w:pPr>
              <w:autoSpaceDE w:val="0"/>
              <w:autoSpaceDN w:val="0"/>
              <w:adjustRightInd w:val="0"/>
              <w:spacing w:after="60"/>
              <w:jc w:val="right"/>
              <w:rPr>
                <w:rFonts w:cstheme="minorHAnsi"/>
                <w:b/>
                <w:bCs/>
                <w:color w:val="FF0000"/>
              </w:rPr>
            </w:pPr>
            <w:r w:rsidRPr="00C73E11">
              <w:rPr>
                <w:rFonts w:ascii="Calibri" w:hAnsi="Calibri" w:cs="Calibri"/>
                <w:b/>
                <w:bCs/>
                <w:color w:val="FF0000"/>
              </w:rPr>
              <w:t>308</w:t>
            </w:r>
          </w:p>
        </w:tc>
        <w:tc>
          <w:tcPr>
            <w:tcW w:w="854" w:type="dxa"/>
            <w:tcBorders>
              <w:top w:val="single" w:sz="4" w:space="0" w:color="auto"/>
              <w:left w:val="single" w:sz="4" w:space="0" w:color="auto"/>
              <w:bottom w:val="single" w:sz="4" w:space="0" w:color="auto"/>
              <w:right w:val="single" w:sz="4" w:space="0" w:color="auto"/>
            </w:tcBorders>
            <w:shd w:val="clear" w:color="auto" w:fill="D9D9D9"/>
            <w:vAlign w:val="bottom"/>
          </w:tcPr>
          <w:p w14:paraId="77ED2D28" w14:textId="34AA2BC5" w:rsidR="00A67F9E" w:rsidRPr="00C73E11" w:rsidRDefault="00A67F9E" w:rsidP="00A67F9E">
            <w:pPr>
              <w:autoSpaceDE w:val="0"/>
              <w:autoSpaceDN w:val="0"/>
              <w:adjustRightInd w:val="0"/>
              <w:spacing w:after="60"/>
              <w:jc w:val="right"/>
              <w:rPr>
                <w:rFonts w:cstheme="minorHAnsi"/>
                <w:b/>
                <w:bCs/>
                <w:color w:val="FF0000"/>
              </w:rPr>
            </w:pPr>
            <w:r w:rsidRPr="00C73E11">
              <w:rPr>
                <w:rFonts w:ascii="Calibri" w:hAnsi="Calibri" w:cs="Calibri"/>
                <w:b/>
                <w:bCs/>
                <w:color w:val="FF0000"/>
              </w:rPr>
              <w:t>0.714</w:t>
            </w:r>
          </w:p>
        </w:tc>
        <w:tc>
          <w:tcPr>
            <w:tcW w:w="926" w:type="dxa"/>
            <w:tcBorders>
              <w:top w:val="single" w:sz="4" w:space="0" w:color="auto"/>
              <w:left w:val="single" w:sz="4" w:space="0" w:color="auto"/>
              <w:bottom w:val="single" w:sz="4" w:space="0" w:color="auto"/>
              <w:right w:val="single" w:sz="4" w:space="0" w:color="auto"/>
            </w:tcBorders>
            <w:shd w:val="clear" w:color="auto" w:fill="D9D9D9"/>
            <w:vAlign w:val="bottom"/>
          </w:tcPr>
          <w:p w14:paraId="60EA5F3A" w14:textId="7F5DFA6E" w:rsidR="00A67F9E" w:rsidRPr="00C73E11" w:rsidRDefault="00A67F9E" w:rsidP="00A67F9E">
            <w:pPr>
              <w:autoSpaceDE w:val="0"/>
              <w:autoSpaceDN w:val="0"/>
              <w:adjustRightInd w:val="0"/>
              <w:spacing w:after="60"/>
              <w:jc w:val="right"/>
              <w:rPr>
                <w:rFonts w:cstheme="minorHAnsi"/>
                <w:b/>
                <w:bCs/>
                <w:color w:val="FF0000"/>
              </w:rPr>
            </w:pPr>
            <w:r w:rsidRPr="00C73E11">
              <w:rPr>
                <w:rFonts w:ascii="Calibri" w:hAnsi="Calibri" w:cs="Calibri"/>
                <w:b/>
                <w:bCs/>
                <w:color w:val="FF0000"/>
              </w:rPr>
              <w:t>0.788</w:t>
            </w:r>
          </w:p>
        </w:tc>
        <w:tc>
          <w:tcPr>
            <w:tcW w:w="926" w:type="dxa"/>
            <w:tcBorders>
              <w:top w:val="single" w:sz="4" w:space="0" w:color="auto"/>
              <w:left w:val="single" w:sz="4" w:space="0" w:color="auto"/>
              <w:bottom w:val="single" w:sz="4" w:space="0" w:color="auto"/>
              <w:right w:val="single" w:sz="4" w:space="0" w:color="auto"/>
            </w:tcBorders>
            <w:shd w:val="clear" w:color="auto" w:fill="D9D9D9"/>
            <w:vAlign w:val="bottom"/>
          </w:tcPr>
          <w:p w14:paraId="1A540C1D" w14:textId="535D544E" w:rsidR="00A67F9E" w:rsidRPr="00C73E11" w:rsidRDefault="00A67F9E" w:rsidP="00A67F9E">
            <w:pPr>
              <w:autoSpaceDE w:val="0"/>
              <w:autoSpaceDN w:val="0"/>
              <w:adjustRightInd w:val="0"/>
              <w:spacing w:after="60"/>
              <w:jc w:val="right"/>
              <w:rPr>
                <w:rFonts w:cstheme="minorHAnsi"/>
                <w:b/>
                <w:bCs/>
                <w:color w:val="FF0000"/>
              </w:rPr>
            </w:pPr>
            <w:r w:rsidRPr="00C73E11">
              <w:rPr>
                <w:rFonts w:ascii="Calibri" w:hAnsi="Calibri" w:cs="Calibri"/>
                <w:b/>
                <w:bCs/>
                <w:color w:val="FF0000"/>
              </w:rPr>
              <w:t>0.861</w:t>
            </w:r>
          </w:p>
        </w:tc>
        <w:tc>
          <w:tcPr>
            <w:tcW w:w="926" w:type="dxa"/>
            <w:tcBorders>
              <w:top w:val="single" w:sz="4" w:space="0" w:color="auto"/>
              <w:left w:val="single" w:sz="4" w:space="0" w:color="auto"/>
              <w:bottom w:val="single" w:sz="4" w:space="0" w:color="auto"/>
              <w:right w:val="single" w:sz="4" w:space="0" w:color="auto"/>
            </w:tcBorders>
            <w:shd w:val="clear" w:color="auto" w:fill="D9D9D9"/>
            <w:vAlign w:val="bottom"/>
          </w:tcPr>
          <w:p w14:paraId="2561786C" w14:textId="3E782866" w:rsidR="00A67F9E" w:rsidRPr="00C73E11" w:rsidRDefault="00A67F9E" w:rsidP="00A67F9E">
            <w:pPr>
              <w:autoSpaceDE w:val="0"/>
              <w:autoSpaceDN w:val="0"/>
              <w:adjustRightInd w:val="0"/>
              <w:spacing w:after="60"/>
              <w:jc w:val="right"/>
              <w:rPr>
                <w:rFonts w:cstheme="minorHAnsi"/>
                <w:b/>
                <w:bCs/>
                <w:color w:val="FF0000"/>
              </w:rPr>
            </w:pPr>
            <w:r w:rsidRPr="00C73E11">
              <w:rPr>
                <w:rFonts w:ascii="Calibri" w:hAnsi="Calibri" w:cs="Calibri"/>
                <w:b/>
                <w:bCs/>
                <w:color w:val="FF0000"/>
              </w:rPr>
              <w:t>0.910</w:t>
            </w:r>
          </w:p>
        </w:tc>
        <w:tc>
          <w:tcPr>
            <w:tcW w:w="926" w:type="dxa"/>
            <w:tcBorders>
              <w:top w:val="single" w:sz="4" w:space="0" w:color="auto"/>
              <w:left w:val="single" w:sz="4" w:space="0" w:color="auto"/>
              <w:bottom w:val="single" w:sz="4" w:space="0" w:color="auto"/>
              <w:right w:val="single" w:sz="4" w:space="0" w:color="auto"/>
            </w:tcBorders>
            <w:shd w:val="clear" w:color="auto" w:fill="D9D9D9"/>
            <w:vAlign w:val="bottom"/>
          </w:tcPr>
          <w:p w14:paraId="27559071" w14:textId="22B2B8C2" w:rsidR="00A67F9E" w:rsidRPr="00C73E11" w:rsidRDefault="00A67F9E" w:rsidP="00A67F9E">
            <w:pPr>
              <w:autoSpaceDE w:val="0"/>
              <w:autoSpaceDN w:val="0"/>
              <w:adjustRightInd w:val="0"/>
              <w:spacing w:after="60"/>
              <w:jc w:val="right"/>
              <w:rPr>
                <w:rFonts w:cstheme="minorHAnsi"/>
                <w:b/>
                <w:bCs/>
                <w:color w:val="FF0000"/>
              </w:rPr>
            </w:pPr>
            <w:r w:rsidRPr="00C73E11">
              <w:rPr>
                <w:rFonts w:ascii="Calibri" w:hAnsi="Calibri" w:cs="Calibri"/>
                <w:b/>
                <w:bCs/>
                <w:color w:val="FF0000"/>
              </w:rPr>
              <w:t>0.967</w:t>
            </w:r>
          </w:p>
        </w:tc>
        <w:tc>
          <w:tcPr>
            <w:tcW w:w="926" w:type="dxa"/>
            <w:tcBorders>
              <w:top w:val="single" w:sz="4" w:space="0" w:color="auto"/>
              <w:left w:val="single" w:sz="4" w:space="0" w:color="auto"/>
              <w:bottom w:val="single" w:sz="4" w:space="0" w:color="auto"/>
              <w:right w:val="single" w:sz="4" w:space="0" w:color="auto"/>
            </w:tcBorders>
            <w:shd w:val="clear" w:color="auto" w:fill="D9D9D9"/>
            <w:vAlign w:val="bottom"/>
          </w:tcPr>
          <w:p w14:paraId="1893044A" w14:textId="3D66ACF0" w:rsidR="00A67F9E" w:rsidRPr="00C73E11" w:rsidRDefault="00A67F9E" w:rsidP="00A67F9E">
            <w:pPr>
              <w:autoSpaceDE w:val="0"/>
              <w:autoSpaceDN w:val="0"/>
              <w:adjustRightInd w:val="0"/>
              <w:spacing w:after="60"/>
              <w:jc w:val="right"/>
              <w:rPr>
                <w:rFonts w:cstheme="minorHAnsi"/>
                <w:b/>
                <w:bCs/>
                <w:color w:val="FF0000"/>
              </w:rPr>
            </w:pPr>
            <w:r w:rsidRPr="00C73E11">
              <w:rPr>
                <w:rFonts w:ascii="Calibri" w:hAnsi="Calibri" w:cs="Calibri"/>
                <w:b/>
                <w:bCs/>
                <w:color w:val="FF0000"/>
              </w:rPr>
              <w:t>0.989</w:t>
            </w:r>
          </w:p>
        </w:tc>
        <w:tc>
          <w:tcPr>
            <w:tcW w:w="935" w:type="dxa"/>
            <w:tcBorders>
              <w:top w:val="single" w:sz="4" w:space="0" w:color="auto"/>
              <w:left w:val="single" w:sz="4" w:space="0" w:color="auto"/>
              <w:bottom w:val="single" w:sz="4" w:space="0" w:color="auto"/>
              <w:right w:val="single" w:sz="4" w:space="0" w:color="auto"/>
            </w:tcBorders>
            <w:shd w:val="clear" w:color="auto" w:fill="D9D9D9"/>
            <w:vAlign w:val="bottom"/>
          </w:tcPr>
          <w:p w14:paraId="5B183810" w14:textId="27055173" w:rsidR="00A67F9E" w:rsidRPr="00C73E11" w:rsidRDefault="00A67F9E" w:rsidP="00A67F9E">
            <w:pPr>
              <w:autoSpaceDE w:val="0"/>
              <w:autoSpaceDN w:val="0"/>
              <w:adjustRightInd w:val="0"/>
              <w:spacing w:after="60"/>
              <w:jc w:val="right"/>
              <w:rPr>
                <w:rFonts w:cstheme="minorHAnsi"/>
                <w:b/>
                <w:bCs/>
                <w:color w:val="FF0000"/>
              </w:rPr>
            </w:pPr>
            <w:r w:rsidRPr="00C73E11">
              <w:rPr>
                <w:rFonts w:ascii="Calibri" w:hAnsi="Calibri" w:cs="Calibri"/>
                <w:b/>
                <w:bCs/>
                <w:color w:val="FF0000"/>
              </w:rPr>
              <w:t>0.997</w:t>
            </w:r>
          </w:p>
        </w:tc>
      </w:tr>
      <w:tr w:rsidR="00C73E11" w:rsidRPr="00C73E11" w14:paraId="049C1EDF" w14:textId="77777777" w:rsidTr="00050392">
        <w:tc>
          <w:tcPr>
            <w:tcW w:w="1857" w:type="dxa"/>
            <w:tcBorders>
              <w:top w:val="single" w:sz="4" w:space="0" w:color="auto"/>
              <w:left w:val="single" w:sz="4" w:space="0" w:color="auto"/>
              <w:bottom w:val="single" w:sz="4" w:space="0" w:color="auto"/>
              <w:right w:val="single" w:sz="4" w:space="0" w:color="auto"/>
            </w:tcBorders>
          </w:tcPr>
          <w:p w14:paraId="6570B04A" w14:textId="77777777" w:rsidR="00C73E11" w:rsidRPr="00C73E11" w:rsidRDefault="00C73E11" w:rsidP="00C73E11">
            <w:pPr>
              <w:autoSpaceDE w:val="0"/>
              <w:autoSpaceDN w:val="0"/>
              <w:adjustRightInd w:val="0"/>
              <w:spacing w:after="60"/>
              <w:jc w:val="right"/>
              <w:rPr>
                <w:rFonts w:cstheme="minorHAnsi"/>
                <w:color w:val="FF0000"/>
              </w:rPr>
            </w:pPr>
            <w:r w:rsidRPr="00C73E11">
              <w:rPr>
                <w:rFonts w:cstheme="minorHAnsi"/>
                <w:color w:val="FF0000"/>
              </w:rPr>
              <w:t>Tercile 1</w:t>
            </w:r>
          </w:p>
        </w:tc>
        <w:tc>
          <w:tcPr>
            <w:tcW w:w="1074" w:type="dxa"/>
            <w:tcBorders>
              <w:top w:val="single" w:sz="4" w:space="0" w:color="auto"/>
              <w:left w:val="single" w:sz="4" w:space="0" w:color="auto"/>
              <w:bottom w:val="single" w:sz="4" w:space="0" w:color="auto"/>
              <w:right w:val="single" w:sz="4" w:space="0" w:color="auto"/>
            </w:tcBorders>
            <w:vAlign w:val="bottom"/>
          </w:tcPr>
          <w:p w14:paraId="2F28025E" w14:textId="33F9317F" w:rsidR="00C73E11" w:rsidRPr="00C73E11" w:rsidRDefault="00C73E11" w:rsidP="00C73E11">
            <w:pPr>
              <w:autoSpaceDE w:val="0"/>
              <w:autoSpaceDN w:val="0"/>
              <w:adjustRightInd w:val="0"/>
              <w:spacing w:after="60"/>
              <w:jc w:val="right"/>
              <w:rPr>
                <w:rFonts w:cstheme="minorHAnsi"/>
                <w:color w:val="FF0000"/>
              </w:rPr>
            </w:pPr>
            <w:r w:rsidRPr="00C73E11">
              <w:rPr>
                <w:rFonts w:ascii="Calibri" w:hAnsi="Calibri" w:cs="Calibri"/>
                <w:color w:val="FF0000"/>
              </w:rPr>
              <w:t>102</w:t>
            </w:r>
          </w:p>
        </w:tc>
        <w:tc>
          <w:tcPr>
            <w:tcW w:w="854" w:type="dxa"/>
            <w:tcBorders>
              <w:top w:val="single" w:sz="4" w:space="0" w:color="auto"/>
              <w:left w:val="single" w:sz="4" w:space="0" w:color="auto"/>
              <w:bottom w:val="single" w:sz="4" w:space="0" w:color="auto"/>
              <w:right w:val="single" w:sz="4" w:space="0" w:color="auto"/>
            </w:tcBorders>
            <w:vAlign w:val="bottom"/>
          </w:tcPr>
          <w:p w14:paraId="2CEF90D0" w14:textId="79ECB125" w:rsidR="00C73E11" w:rsidRPr="00C73E11" w:rsidRDefault="00C73E11" w:rsidP="00C73E11">
            <w:pPr>
              <w:autoSpaceDE w:val="0"/>
              <w:autoSpaceDN w:val="0"/>
              <w:adjustRightInd w:val="0"/>
              <w:spacing w:after="60"/>
              <w:jc w:val="right"/>
              <w:rPr>
                <w:rFonts w:cstheme="minorHAnsi"/>
                <w:color w:val="FF0000"/>
              </w:rPr>
            </w:pPr>
            <w:r w:rsidRPr="00C73E11">
              <w:rPr>
                <w:rFonts w:ascii="Calibri" w:hAnsi="Calibri" w:cs="Calibri"/>
                <w:color w:val="FF0000"/>
              </w:rPr>
              <w:t>0.737</w:t>
            </w:r>
          </w:p>
        </w:tc>
        <w:tc>
          <w:tcPr>
            <w:tcW w:w="926" w:type="dxa"/>
            <w:tcBorders>
              <w:top w:val="single" w:sz="4" w:space="0" w:color="auto"/>
              <w:left w:val="single" w:sz="4" w:space="0" w:color="auto"/>
              <w:bottom w:val="single" w:sz="4" w:space="0" w:color="auto"/>
              <w:right w:val="single" w:sz="4" w:space="0" w:color="auto"/>
            </w:tcBorders>
            <w:vAlign w:val="bottom"/>
          </w:tcPr>
          <w:p w14:paraId="7D934C08" w14:textId="0854DABF" w:rsidR="00C73E11" w:rsidRPr="00C73E11" w:rsidRDefault="00C73E11" w:rsidP="00C73E11">
            <w:pPr>
              <w:autoSpaceDE w:val="0"/>
              <w:autoSpaceDN w:val="0"/>
              <w:adjustRightInd w:val="0"/>
              <w:spacing w:after="60"/>
              <w:jc w:val="right"/>
              <w:rPr>
                <w:rFonts w:cstheme="minorHAnsi"/>
                <w:color w:val="FF0000"/>
              </w:rPr>
            </w:pPr>
            <w:r w:rsidRPr="00C73E11">
              <w:rPr>
                <w:rFonts w:ascii="Calibri" w:hAnsi="Calibri" w:cs="Calibri"/>
                <w:color w:val="FF0000"/>
              </w:rPr>
              <w:t>0.779</w:t>
            </w:r>
          </w:p>
        </w:tc>
        <w:tc>
          <w:tcPr>
            <w:tcW w:w="926" w:type="dxa"/>
            <w:tcBorders>
              <w:top w:val="single" w:sz="4" w:space="0" w:color="auto"/>
              <w:left w:val="single" w:sz="4" w:space="0" w:color="auto"/>
              <w:bottom w:val="single" w:sz="4" w:space="0" w:color="auto"/>
              <w:right w:val="single" w:sz="4" w:space="0" w:color="auto"/>
            </w:tcBorders>
            <w:vAlign w:val="bottom"/>
          </w:tcPr>
          <w:p w14:paraId="16D8D242" w14:textId="3A588011" w:rsidR="00C73E11" w:rsidRPr="00C73E11" w:rsidRDefault="00C73E11" w:rsidP="00C73E11">
            <w:pPr>
              <w:autoSpaceDE w:val="0"/>
              <w:autoSpaceDN w:val="0"/>
              <w:adjustRightInd w:val="0"/>
              <w:spacing w:after="60"/>
              <w:jc w:val="right"/>
              <w:rPr>
                <w:rFonts w:cstheme="minorHAnsi"/>
                <w:color w:val="FF0000"/>
              </w:rPr>
            </w:pPr>
            <w:r w:rsidRPr="00C73E11">
              <w:rPr>
                <w:rFonts w:ascii="Calibri" w:hAnsi="Calibri" w:cs="Calibri"/>
                <w:color w:val="FF0000"/>
              </w:rPr>
              <w:t>0.801</w:t>
            </w:r>
          </w:p>
        </w:tc>
        <w:tc>
          <w:tcPr>
            <w:tcW w:w="926" w:type="dxa"/>
            <w:tcBorders>
              <w:top w:val="single" w:sz="4" w:space="0" w:color="auto"/>
              <w:left w:val="single" w:sz="4" w:space="0" w:color="auto"/>
              <w:bottom w:val="single" w:sz="4" w:space="0" w:color="auto"/>
              <w:right w:val="single" w:sz="4" w:space="0" w:color="auto"/>
            </w:tcBorders>
            <w:vAlign w:val="bottom"/>
          </w:tcPr>
          <w:p w14:paraId="1706F17D" w14:textId="7035EC3B" w:rsidR="00C73E11" w:rsidRPr="00C73E11" w:rsidRDefault="00C73E11" w:rsidP="00C73E11">
            <w:pPr>
              <w:autoSpaceDE w:val="0"/>
              <w:autoSpaceDN w:val="0"/>
              <w:adjustRightInd w:val="0"/>
              <w:spacing w:after="60"/>
              <w:jc w:val="right"/>
              <w:rPr>
                <w:rFonts w:cstheme="minorHAnsi"/>
                <w:color w:val="FF0000"/>
              </w:rPr>
            </w:pPr>
            <w:r w:rsidRPr="00C73E11">
              <w:rPr>
                <w:rFonts w:ascii="Calibri" w:hAnsi="Calibri" w:cs="Calibri"/>
                <w:color w:val="FF0000"/>
              </w:rPr>
              <w:t>0.838</w:t>
            </w:r>
          </w:p>
        </w:tc>
        <w:tc>
          <w:tcPr>
            <w:tcW w:w="926" w:type="dxa"/>
            <w:tcBorders>
              <w:top w:val="single" w:sz="4" w:space="0" w:color="auto"/>
              <w:left w:val="single" w:sz="4" w:space="0" w:color="auto"/>
              <w:bottom w:val="single" w:sz="4" w:space="0" w:color="auto"/>
              <w:right w:val="single" w:sz="4" w:space="0" w:color="auto"/>
            </w:tcBorders>
            <w:vAlign w:val="bottom"/>
          </w:tcPr>
          <w:p w14:paraId="006B1524" w14:textId="5FB48E64" w:rsidR="00C73E11" w:rsidRPr="00C73E11" w:rsidRDefault="00C73E11" w:rsidP="00C73E11">
            <w:pPr>
              <w:autoSpaceDE w:val="0"/>
              <w:autoSpaceDN w:val="0"/>
              <w:adjustRightInd w:val="0"/>
              <w:spacing w:after="60"/>
              <w:jc w:val="right"/>
              <w:rPr>
                <w:rFonts w:cstheme="minorHAnsi"/>
                <w:color w:val="FF0000"/>
              </w:rPr>
            </w:pPr>
            <w:r w:rsidRPr="00C73E11">
              <w:rPr>
                <w:rFonts w:ascii="Calibri" w:hAnsi="Calibri" w:cs="Calibri"/>
                <w:color w:val="FF0000"/>
              </w:rPr>
              <w:t>0.874</w:t>
            </w:r>
          </w:p>
        </w:tc>
        <w:tc>
          <w:tcPr>
            <w:tcW w:w="926" w:type="dxa"/>
            <w:tcBorders>
              <w:top w:val="single" w:sz="4" w:space="0" w:color="auto"/>
              <w:left w:val="single" w:sz="4" w:space="0" w:color="auto"/>
              <w:bottom w:val="single" w:sz="4" w:space="0" w:color="auto"/>
              <w:right w:val="single" w:sz="4" w:space="0" w:color="auto"/>
            </w:tcBorders>
            <w:vAlign w:val="bottom"/>
          </w:tcPr>
          <w:p w14:paraId="2716B98E" w14:textId="2CC76F04" w:rsidR="00C73E11" w:rsidRPr="00C73E11" w:rsidRDefault="00C73E11" w:rsidP="00C73E11">
            <w:pPr>
              <w:autoSpaceDE w:val="0"/>
              <w:autoSpaceDN w:val="0"/>
              <w:adjustRightInd w:val="0"/>
              <w:spacing w:after="60"/>
              <w:jc w:val="right"/>
              <w:rPr>
                <w:rFonts w:cstheme="minorHAnsi"/>
                <w:color w:val="FF0000"/>
              </w:rPr>
            </w:pPr>
            <w:r w:rsidRPr="00C73E11">
              <w:rPr>
                <w:rFonts w:ascii="Calibri" w:hAnsi="Calibri" w:cs="Calibri"/>
                <w:color w:val="FF0000"/>
              </w:rPr>
              <w:t>0.893</w:t>
            </w:r>
          </w:p>
        </w:tc>
        <w:tc>
          <w:tcPr>
            <w:tcW w:w="935" w:type="dxa"/>
            <w:tcBorders>
              <w:top w:val="single" w:sz="4" w:space="0" w:color="auto"/>
              <w:left w:val="single" w:sz="4" w:space="0" w:color="auto"/>
              <w:bottom w:val="single" w:sz="4" w:space="0" w:color="auto"/>
              <w:right w:val="single" w:sz="4" w:space="0" w:color="auto"/>
            </w:tcBorders>
            <w:vAlign w:val="bottom"/>
          </w:tcPr>
          <w:p w14:paraId="2DD94E43" w14:textId="79FABA60" w:rsidR="00C73E11" w:rsidRPr="00C73E11" w:rsidRDefault="00C73E11" w:rsidP="00C73E11">
            <w:pPr>
              <w:autoSpaceDE w:val="0"/>
              <w:autoSpaceDN w:val="0"/>
              <w:adjustRightInd w:val="0"/>
              <w:spacing w:after="60"/>
              <w:jc w:val="right"/>
              <w:rPr>
                <w:rFonts w:cstheme="minorHAnsi"/>
                <w:color w:val="FF0000"/>
              </w:rPr>
            </w:pPr>
            <w:r w:rsidRPr="00C73E11">
              <w:rPr>
                <w:rFonts w:ascii="Calibri" w:hAnsi="Calibri" w:cs="Calibri"/>
                <w:color w:val="FF0000"/>
              </w:rPr>
              <w:t>0.944</w:t>
            </w:r>
          </w:p>
        </w:tc>
      </w:tr>
      <w:tr w:rsidR="00C73E11" w:rsidRPr="00C73E11" w14:paraId="5FDCF1B8" w14:textId="77777777" w:rsidTr="00050392">
        <w:tc>
          <w:tcPr>
            <w:tcW w:w="1857" w:type="dxa"/>
            <w:tcBorders>
              <w:top w:val="single" w:sz="4" w:space="0" w:color="auto"/>
              <w:left w:val="single" w:sz="4" w:space="0" w:color="auto"/>
              <w:bottom w:val="single" w:sz="4" w:space="0" w:color="auto"/>
              <w:right w:val="single" w:sz="4" w:space="0" w:color="auto"/>
            </w:tcBorders>
          </w:tcPr>
          <w:p w14:paraId="74590785" w14:textId="77777777" w:rsidR="00C73E11" w:rsidRPr="00C73E11" w:rsidRDefault="00C73E11" w:rsidP="00C73E11">
            <w:pPr>
              <w:autoSpaceDE w:val="0"/>
              <w:autoSpaceDN w:val="0"/>
              <w:adjustRightInd w:val="0"/>
              <w:spacing w:after="60"/>
              <w:jc w:val="right"/>
              <w:rPr>
                <w:rFonts w:cstheme="minorHAnsi"/>
                <w:color w:val="FF0000"/>
              </w:rPr>
            </w:pPr>
            <w:r w:rsidRPr="00C73E11">
              <w:rPr>
                <w:rFonts w:cstheme="minorHAnsi"/>
                <w:color w:val="FF0000"/>
              </w:rPr>
              <w:t>Tercile 2</w:t>
            </w:r>
          </w:p>
        </w:tc>
        <w:tc>
          <w:tcPr>
            <w:tcW w:w="1074" w:type="dxa"/>
            <w:tcBorders>
              <w:top w:val="single" w:sz="4" w:space="0" w:color="auto"/>
              <w:left w:val="single" w:sz="4" w:space="0" w:color="auto"/>
              <w:bottom w:val="single" w:sz="4" w:space="0" w:color="auto"/>
              <w:right w:val="single" w:sz="4" w:space="0" w:color="auto"/>
            </w:tcBorders>
            <w:vAlign w:val="bottom"/>
          </w:tcPr>
          <w:p w14:paraId="16826BD9" w14:textId="22CCF17C" w:rsidR="00C73E11" w:rsidRPr="00C73E11" w:rsidRDefault="00C73E11" w:rsidP="00C73E11">
            <w:pPr>
              <w:autoSpaceDE w:val="0"/>
              <w:autoSpaceDN w:val="0"/>
              <w:adjustRightInd w:val="0"/>
              <w:spacing w:after="60"/>
              <w:jc w:val="right"/>
              <w:rPr>
                <w:rFonts w:cstheme="minorHAnsi"/>
                <w:color w:val="FF0000"/>
              </w:rPr>
            </w:pPr>
            <w:r w:rsidRPr="00C73E11">
              <w:rPr>
                <w:rFonts w:ascii="Calibri" w:hAnsi="Calibri" w:cs="Calibri"/>
                <w:color w:val="FF0000"/>
              </w:rPr>
              <w:t>101</w:t>
            </w:r>
          </w:p>
        </w:tc>
        <w:tc>
          <w:tcPr>
            <w:tcW w:w="854" w:type="dxa"/>
            <w:tcBorders>
              <w:top w:val="single" w:sz="4" w:space="0" w:color="auto"/>
              <w:left w:val="single" w:sz="4" w:space="0" w:color="auto"/>
              <w:bottom w:val="single" w:sz="4" w:space="0" w:color="auto"/>
              <w:right w:val="single" w:sz="4" w:space="0" w:color="auto"/>
            </w:tcBorders>
            <w:vAlign w:val="bottom"/>
          </w:tcPr>
          <w:p w14:paraId="24701CB4" w14:textId="2B58D839" w:rsidR="00C73E11" w:rsidRPr="00C73E11" w:rsidRDefault="00C73E11" w:rsidP="00C73E11">
            <w:pPr>
              <w:autoSpaceDE w:val="0"/>
              <w:autoSpaceDN w:val="0"/>
              <w:adjustRightInd w:val="0"/>
              <w:spacing w:after="60"/>
              <w:jc w:val="right"/>
              <w:rPr>
                <w:rFonts w:cstheme="minorHAnsi"/>
                <w:color w:val="FF0000"/>
              </w:rPr>
            </w:pPr>
            <w:r w:rsidRPr="00C73E11">
              <w:rPr>
                <w:rFonts w:ascii="Calibri" w:hAnsi="Calibri" w:cs="Calibri"/>
                <w:color w:val="FF0000"/>
              </w:rPr>
              <w:t>0.891</w:t>
            </w:r>
          </w:p>
        </w:tc>
        <w:tc>
          <w:tcPr>
            <w:tcW w:w="926" w:type="dxa"/>
            <w:tcBorders>
              <w:top w:val="single" w:sz="4" w:space="0" w:color="auto"/>
              <w:left w:val="single" w:sz="4" w:space="0" w:color="auto"/>
              <w:bottom w:val="single" w:sz="4" w:space="0" w:color="auto"/>
              <w:right w:val="single" w:sz="4" w:space="0" w:color="auto"/>
            </w:tcBorders>
            <w:vAlign w:val="bottom"/>
          </w:tcPr>
          <w:p w14:paraId="7C09FA0E" w14:textId="0A6BC2B3" w:rsidR="00C73E11" w:rsidRPr="00C73E11" w:rsidRDefault="00C73E11" w:rsidP="00C73E11">
            <w:pPr>
              <w:autoSpaceDE w:val="0"/>
              <w:autoSpaceDN w:val="0"/>
              <w:adjustRightInd w:val="0"/>
              <w:spacing w:after="60"/>
              <w:jc w:val="right"/>
              <w:rPr>
                <w:rFonts w:cstheme="minorHAnsi"/>
                <w:color w:val="FF0000"/>
              </w:rPr>
            </w:pPr>
            <w:r w:rsidRPr="00C73E11">
              <w:rPr>
                <w:rFonts w:ascii="Calibri" w:hAnsi="Calibri" w:cs="Calibri"/>
                <w:color w:val="FF0000"/>
              </w:rPr>
              <w:t>0.905</w:t>
            </w:r>
          </w:p>
        </w:tc>
        <w:tc>
          <w:tcPr>
            <w:tcW w:w="926" w:type="dxa"/>
            <w:tcBorders>
              <w:top w:val="single" w:sz="4" w:space="0" w:color="auto"/>
              <w:left w:val="single" w:sz="4" w:space="0" w:color="auto"/>
              <w:bottom w:val="single" w:sz="4" w:space="0" w:color="auto"/>
              <w:right w:val="single" w:sz="4" w:space="0" w:color="auto"/>
            </w:tcBorders>
            <w:vAlign w:val="bottom"/>
          </w:tcPr>
          <w:p w14:paraId="25CAF508" w14:textId="63190526" w:rsidR="00C73E11" w:rsidRPr="00C73E11" w:rsidRDefault="00C73E11" w:rsidP="00C73E11">
            <w:pPr>
              <w:autoSpaceDE w:val="0"/>
              <w:autoSpaceDN w:val="0"/>
              <w:adjustRightInd w:val="0"/>
              <w:spacing w:after="60"/>
              <w:jc w:val="right"/>
              <w:rPr>
                <w:rFonts w:cstheme="minorHAnsi"/>
                <w:color w:val="FF0000"/>
              </w:rPr>
            </w:pPr>
            <w:r w:rsidRPr="00C73E11">
              <w:rPr>
                <w:rFonts w:ascii="Calibri" w:hAnsi="Calibri" w:cs="Calibri"/>
                <w:color w:val="FF0000"/>
              </w:rPr>
              <w:t>0.916</w:t>
            </w:r>
          </w:p>
        </w:tc>
        <w:tc>
          <w:tcPr>
            <w:tcW w:w="926" w:type="dxa"/>
            <w:tcBorders>
              <w:top w:val="single" w:sz="4" w:space="0" w:color="auto"/>
              <w:left w:val="single" w:sz="4" w:space="0" w:color="auto"/>
              <w:bottom w:val="single" w:sz="4" w:space="0" w:color="auto"/>
              <w:right w:val="single" w:sz="4" w:space="0" w:color="auto"/>
            </w:tcBorders>
            <w:vAlign w:val="bottom"/>
          </w:tcPr>
          <w:p w14:paraId="7626F6D0" w14:textId="51E75E84" w:rsidR="00C73E11" w:rsidRPr="00C73E11" w:rsidRDefault="00C73E11" w:rsidP="00C73E11">
            <w:pPr>
              <w:autoSpaceDE w:val="0"/>
              <w:autoSpaceDN w:val="0"/>
              <w:adjustRightInd w:val="0"/>
              <w:spacing w:after="60"/>
              <w:jc w:val="right"/>
              <w:rPr>
                <w:rFonts w:cstheme="minorHAnsi"/>
                <w:color w:val="FF0000"/>
              </w:rPr>
            </w:pPr>
            <w:r w:rsidRPr="00C73E11">
              <w:rPr>
                <w:rFonts w:ascii="Calibri" w:hAnsi="Calibri" w:cs="Calibri"/>
                <w:color w:val="FF0000"/>
              </w:rPr>
              <w:t>0.933</w:t>
            </w:r>
          </w:p>
        </w:tc>
        <w:tc>
          <w:tcPr>
            <w:tcW w:w="926" w:type="dxa"/>
            <w:tcBorders>
              <w:top w:val="single" w:sz="4" w:space="0" w:color="auto"/>
              <w:left w:val="single" w:sz="4" w:space="0" w:color="auto"/>
              <w:bottom w:val="single" w:sz="4" w:space="0" w:color="auto"/>
              <w:right w:val="single" w:sz="4" w:space="0" w:color="auto"/>
            </w:tcBorders>
            <w:vAlign w:val="bottom"/>
          </w:tcPr>
          <w:p w14:paraId="4FD791A2" w14:textId="3421D462" w:rsidR="00C73E11" w:rsidRPr="00C73E11" w:rsidRDefault="00C73E11" w:rsidP="00C73E11">
            <w:pPr>
              <w:autoSpaceDE w:val="0"/>
              <w:autoSpaceDN w:val="0"/>
              <w:adjustRightInd w:val="0"/>
              <w:spacing w:after="60"/>
              <w:jc w:val="right"/>
              <w:rPr>
                <w:rFonts w:cstheme="minorHAnsi"/>
                <w:color w:val="FF0000"/>
              </w:rPr>
            </w:pPr>
            <w:r w:rsidRPr="00C73E11">
              <w:rPr>
                <w:rFonts w:ascii="Calibri" w:hAnsi="Calibri" w:cs="Calibri"/>
                <w:color w:val="FF0000"/>
              </w:rPr>
              <w:t>0.949</w:t>
            </w:r>
          </w:p>
        </w:tc>
        <w:tc>
          <w:tcPr>
            <w:tcW w:w="926" w:type="dxa"/>
            <w:tcBorders>
              <w:top w:val="single" w:sz="4" w:space="0" w:color="auto"/>
              <w:left w:val="single" w:sz="4" w:space="0" w:color="auto"/>
              <w:bottom w:val="single" w:sz="4" w:space="0" w:color="auto"/>
              <w:right w:val="single" w:sz="4" w:space="0" w:color="auto"/>
            </w:tcBorders>
            <w:vAlign w:val="bottom"/>
          </w:tcPr>
          <w:p w14:paraId="1BFAC84C" w14:textId="10DD72B2" w:rsidR="00C73E11" w:rsidRPr="00C73E11" w:rsidRDefault="00C73E11" w:rsidP="00C73E11">
            <w:pPr>
              <w:autoSpaceDE w:val="0"/>
              <w:autoSpaceDN w:val="0"/>
              <w:adjustRightInd w:val="0"/>
              <w:spacing w:after="60"/>
              <w:jc w:val="right"/>
              <w:rPr>
                <w:rFonts w:cstheme="minorHAnsi"/>
                <w:color w:val="FF0000"/>
              </w:rPr>
            </w:pPr>
            <w:r w:rsidRPr="00C73E11">
              <w:rPr>
                <w:rFonts w:ascii="Calibri" w:hAnsi="Calibri" w:cs="Calibri"/>
                <w:color w:val="FF0000"/>
              </w:rPr>
              <w:t>0.958</w:t>
            </w:r>
          </w:p>
        </w:tc>
        <w:tc>
          <w:tcPr>
            <w:tcW w:w="935" w:type="dxa"/>
            <w:tcBorders>
              <w:top w:val="single" w:sz="4" w:space="0" w:color="auto"/>
              <w:left w:val="single" w:sz="4" w:space="0" w:color="auto"/>
              <w:bottom w:val="single" w:sz="4" w:space="0" w:color="auto"/>
              <w:right w:val="single" w:sz="4" w:space="0" w:color="auto"/>
            </w:tcBorders>
            <w:vAlign w:val="bottom"/>
          </w:tcPr>
          <w:p w14:paraId="7EE2DA48" w14:textId="1A85C7E5" w:rsidR="00C73E11" w:rsidRPr="00C73E11" w:rsidRDefault="00C73E11" w:rsidP="00C73E11">
            <w:pPr>
              <w:autoSpaceDE w:val="0"/>
              <w:autoSpaceDN w:val="0"/>
              <w:adjustRightInd w:val="0"/>
              <w:spacing w:after="60"/>
              <w:jc w:val="right"/>
              <w:rPr>
                <w:rFonts w:cstheme="minorHAnsi"/>
                <w:color w:val="FF0000"/>
              </w:rPr>
            </w:pPr>
            <w:r w:rsidRPr="00C73E11">
              <w:rPr>
                <w:rFonts w:ascii="Calibri" w:hAnsi="Calibri" w:cs="Calibri"/>
                <w:color w:val="FF0000"/>
              </w:rPr>
              <w:t>0.968</w:t>
            </w:r>
          </w:p>
        </w:tc>
      </w:tr>
      <w:tr w:rsidR="00C73E11" w:rsidRPr="00C73E11" w14:paraId="7873658A" w14:textId="77777777" w:rsidTr="00050392">
        <w:tc>
          <w:tcPr>
            <w:tcW w:w="1857" w:type="dxa"/>
            <w:tcBorders>
              <w:top w:val="single" w:sz="4" w:space="0" w:color="auto"/>
              <w:left w:val="single" w:sz="4" w:space="0" w:color="auto"/>
              <w:bottom w:val="single" w:sz="4" w:space="0" w:color="auto"/>
              <w:right w:val="single" w:sz="4" w:space="0" w:color="auto"/>
            </w:tcBorders>
          </w:tcPr>
          <w:p w14:paraId="3A31F989" w14:textId="77777777" w:rsidR="00C73E11" w:rsidRPr="00C73E11" w:rsidRDefault="00C73E11" w:rsidP="00C73E11">
            <w:pPr>
              <w:autoSpaceDE w:val="0"/>
              <w:autoSpaceDN w:val="0"/>
              <w:adjustRightInd w:val="0"/>
              <w:spacing w:after="60"/>
              <w:jc w:val="right"/>
              <w:rPr>
                <w:rFonts w:cstheme="minorHAnsi"/>
                <w:color w:val="FF0000"/>
              </w:rPr>
            </w:pPr>
            <w:r w:rsidRPr="00C73E11">
              <w:rPr>
                <w:rFonts w:cstheme="minorHAnsi"/>
                <w:color w:val="FF0000"/>
              </w:rPr>
              <w:t>Tercile 3</w:t>
            </w:r>
          </w:p>
        </w:tc>
        <w:tc>
          <w:tcPr>
            <w:tcW w:w="1074" w:type="dxa"/>
            <w:tcBorders>
              <w:top w:val="single" w:sz="4" w:space="0" w:color="auto"/>
              <w:left w:val="single" w:sz="4" w:space="0" w:color="auto"/>
              <w:bottom w:val="single" w:sz="4" w:space="0" w:color="auto"/>
              <w:right w:val="single" w:sz="4" w:space="0" w:color="auto"/>
            </w:tcBorders>
            <w:vAlign w:val="bottom"/>
          </w:tcPr>
          <w:p w14:paraId="2A3EC082" w14:textId="19525CA2" w:rsidR="00C73E11" w:rsidRPr="00C73E11" w:rsidRDefault="00C73E11" w:rsidP="00C73E11">
            <w:pPr>
              <w:autoSpaceDE w:val="0"/>
              <w:autoSpaceDN w:val="0"/>
              <w:adjustRightInd w:val="0"/>
              <w:spacing w:after="60"/>
              <w:jc w:val="right"/>
              <w:rPr>
                <w:rFonts w:cstheme="minorHAnsi"/>
                <w:color w:val="FF0000"/>
              </w:rPr>
            </w:pPr>
            <w:r w:rsidRPr="00C73E11">
              <w:rPr>
                <w:rFonts w:ascii="Calibri" w:hAnsi="Calibri" w:cs="Calibri"/>
                <w:color w:val="FF0000"/>
              </w:rPr>
              <w:t>105</w:t>
            </w:r>
          </w:p>
        </w:tc>
        <w:tc>
          <w:tcPr>
            <w:tcW w:w="854" w:type="dxa"/>
            <w:tcBorders>
              <w:top w:val="single" w:sz="4" w:space="0" w:color="auto"/>
              <w:left w:val="single" w:sz="4" w:space="0" w:color="auto"/>
              <w:bottom w:val="single" w:sz="4" w:space="0" w:color="auto"/>
              <w:right w:val="single" w:sz="4" w:space="0" w:color="auto"/>
            </w:tcBorders>
            <w:vAlign w:val="bottom"/>
          </w:tcPr>
          <w:p w14:paraId="446BF67F" w14:textId="07B86E6C" w:rsidR="00C73E11" w:rsidRPr="00C73E11" w:rsidRDefault="00C73E11" w:rsidP="00C73E11">
            <w:pPr>
              <w:autoSpaceDE w:val="0"/>
              <w:autoSpaceDN w:val="0"/>
              <w:adjustRightInd w:val="0"/>
              <w:spacing w:after="60"/>
              <w:jc w:val="right"/>
              <w:rPr>
                <w:rFonts w:cstheme="minorHAnsi"/>
                <w:color w:val="FF0000"/>
              </w:rPr>
            </w:pPr>
            <w:r w:rsidRPr="00C73E11">
              <w:rPr>
                <w:rFonts w:ascii="Calibri" w:hAnsi="Calibri" w:cs="Calibri"/>
                <w:color w:val="FF0000"/>
              </w:rPr>
              <w:t>0.949</w:t>
            </w:r>
          </w:p>
        </w:tc>
        <w:tc>
          <w:tcPr>
            <w:tcW w:w="926" w:type="dxa"/>
            <w:tcBorders>
              <w:top w:val="single" w:sz="4" w:space="0" w:color="auto"/>
              <w:left w:val="single" w:sz="4" w:space="0" w:color="auto"/>
              <w:bottom w:val="single" w:sz="4" w:space="0" w:color="auto"/>
              <w:right w:val="single" w:sz="4" w:space="0" w:color="auto"/>
            </w:tcBorders>
            <w:vAlign w:val="bottom"/>
          </w:tcPr>
          <w:p w14:paraId="7CDC339C" w14:textId="4970E838" w:rsidR="00C73E11" w:rsidRPr="00C73E11" w:rsidRDefault="00C73E11" w:rsidP="00C73E11">
            <w:pPr>
              <w:autoSpaceDE w:val="0"/>
              <w:autoSpaceDN w:val="0"/>
              <w:adjustRightInd w:val="0"/>
              <w:spacing w:after="60"/>
              <w:jc w:val="right"/>
              <w:rPr>
                <w:rFonts w:cstheme="minorHAnsi"/>
                <w:color w:val="FF0000"/>
              </w:rPr>
            </w:pPr>
            <w:r w:rsidRPr="00C73E11">
              <w:rPr>
                <w:rFonts w:ascii="Calibri" w:hAnsi="Calibri" w:cs="Calibri"/>
                <w:color w:val="FF0000"/>
              </w:rPr>
              <w:t>0.955</w:t>
            </w:r>
          </w:p>
        </w:tc>
        <w:tc>
          <w:tcPr>
            <w:tcW w:w="926" w:type="dxa"/>
            <w:tcBorders>
              <w:top w:val="single" w:sz="4" w:space="0" w:color="auto"/>
              <w:left w:val="single" w:sz="4" w:space="0" w:color="auto"/>
              <w:bottom w:val="single" w:sz="4" w:space="0" w:color="auto"/>
              <w:right w:val="single" w:sz="4" w:space="0" w:color="auto"/>
            </w:tcBorders>
            <w:vAlign w:val="bottom"/>
          </w:tcPr>
          <w:p w14:paraId="26B4E0D5" w14:textId="0B899506" w:rsidR="00C73E11" w:rsidRPr="00C73E11" w:rsidRDefault="00C73E11" w:rsidP="00C73E11">
            <w:pPr>
              <w:autoSpaceDE w:val="0"/>
              <w:autoSpaceDN w:val="0"/>
              <w:adjustRightInd w:val="0"/>
              <w:spacing w:after="60"/>
              <w:jc w:val="right"/>
              <w:rPr>
                <w:rFonts w:cstheme="minorHAnsi"/>
                <w:color w:val="FF0000"/>
              </w:rPr>
            </w:pPr>
            <w:r w:rsidRPr="00C73E11">
              <w:rPr>
                <w:rFonts w:ascii="Calibri" w:hAnsi="Calibri" w:cs="Calibri"/>
                <w:color w:val="FF0000"/>
              </w:rPr>
              <w:t>0.961</w:t>
            </w:r>
          </w:p>
        </w:tc>
        <w:tc>
          <w:tcPr>
            <w:tcW w:w="926" w:type="dxa"/>
            <w:tcBorders>
              <w:top w:val="single" w:sz="4" w:space="0" w:color="auto"/>
              <w:left w:val="single" w:sz="4" w:space="0" w:color="auto"/>
              <w:bottom w:val="single" w:sz="4" w:space="0" w:color="auto"/>
              <w:right w:val="single" w:sz="4" w:space="0" w:color="auto"/>
            </w:tcBorders>
            <w:vAlign w:val="bottom"/>
          </w:tcPr>
          <w:p w14:paraId="04221A48" w14:textId="3826B124" w:rsidR="00C73E11" w:rsidRPr="00C73E11" w:rsidRDefault="00C73E11" w:rsidP="00C73E11">
            <w:pPr>
              <w:autoSpaceDE w:val="0"/>
              <w:autoSpaceDN w:val="0"/>
              <w:adjustRightInd w:val="0"/>
              <w:spacing w:after="60"/>
              <w:jc w:val="right"/>
              <w:rPr>
                <w:rFonts w:cstheme="minorHAnsi"/>
                <w:color w:val="FF0000"/>
              </w:rPr>
            </w:pPr>
            <w:r w:rsidRPr="00C73E11">
              <w:rPr>
                <w:rFonts w:ascii="Calibri" w:hAnsi="Calibri" w:cs="Calibri"/>
                <w:color w:val="FF0000"/>
              </w:rPr>
              <w:t>0.974</w:t>
            </w:r>
          </w:p>
        </w:tc>
        <w:tc>
          <w:tcPr>
            <w:tcW w:w="926" w:type="dxa"/>
            <w:tcBorders>
              <w:top w:val="single" w:sz="4" w:space="0" w:color="auto"/>
              <w:left w:val="single" w:sz="4" w:space="0" w:color="auto"/>
              <w:bottom w:val="single" w:sz="4" w:space="0" w:color="auto"/>
              <w:right w:val="single" w:sz="4" w:space="0" w:color="auto"/>
            </w:tcBorders>
            <w:vAlign w:val="bottom"/>
          </w:tcPr>
          <w:p w14:paraId="2B56F9E6" w14:textId="3F668121" w:rsidR="00C73E11" w:rsidRPr="00C73E11" w:rsidRDefault="00C73E11" w:rsidP="00C73E11">
            <w:pPr>
              <w:autoSpaceDE w:val="0"/>
              <w:autoSpaceDN w:val="0"/>
              <w:adjustRightInd w:val="0"/>
              <w:spacing w:after="60"/>
              <w:jc w:val="right"/>
              <w:rPr>
                <w:rFonts w:cstheme="minorHAnsi"/>
                <w:color w:val="FF0000"/>
              </w:rPr>
            </w:pPr>
            <w:r w:rsidRPr="00C73E11">
              <w:rPr>
                <w:rFonts w:ascii="Calibri" w:hAnsi="Calibri" w:cs="Calibri"/>
                <w:color w:val="FF0000"/>
              </w:rPr>
              <w:t>0.988</w:t>
            </w:r>
          </w:p>
        </w:tc>
        <w:tc>
          <w:tcPr>
            <w:tcW w:w="926" w:type="dxa"/>
            <w:tcBorders>
              <w:top w:val="single" w:sz="4" w:space="0" w:color="auto"/>
              <w:left w:val="single" w:sz="4" w:space="0" w:color="auto"/>
              <w:bottom w:val="single" w:sz="4" w:space="0" w:color="auto"/>
              <w:right w:val="single" w:sz="4" w:space="0" w:color="auto"/>
            </w:tcBorders>
            <w:vAlign w:val="bottom"/>
          </w:tcPr>
          <w:p w14:paraId="42BDB9CE" w14:textId="5A749AAA" w:rsidR="00C73E11" w:rsidRPr="00C73E11" w:rsidRDefault="00C73E11" w:rsidP="00C73E11">
            <w:pPr>
              <w:autoSpaceDE w:val="0"/>
              <w:autoSpaceDN w:val="0"/>
              <w:adjustRightInd w:val="0"/>
              <w:spacing w:after="60"/>
              <w:jc w:val="right"/>
              <w:rPr>
                <w:rFonts w:cstheme="minorHAnsi"/>
                <w:color w:val="FF0000"/>
              </w:rPr>
            </w:pPr>
            <w:r w:rsidRPr="00C73E11">
              <w:rPr>
                <w:rFonts w:ascii="Calibri" w:hAnsi="Calibri" w:cs="Calibri"/>
                <w:color w:val="FF0000"/>
              </w:rPr>
              <w:t>0.992</w:t>
            </w:r>
          </w:p>
        </w:tc>
        <w:tc>
          <w:tcPr>
            <w:tcW w:w="935" w:type="dxa"/>
            <w:tcBorders>
              <w:top w:val="single" w:sz="4" w:space="0" w:color="auto"/>
              <w:left w:val="single" w:sz="4" w:space="0" w:color="auto"/>
              <w:bottom w:val="single" w:sz="4" w:space="0" w:color="auto"/>
              <w:right w:val="single" w:sz="4" w:space="0" w:color="auto"/>
            </w:tcBorders>
            <w:vAlign w:val="bottom"/>
          </w:tcPr>
          <w:p w14:paraId="038DF818" w14:textId="465E5721" w:rsidR="00C73E11" w:rsidRPr="00C73E11" w:rsidRDefault="00C73E11" w:rsidP="00C73E11">
            <w:pPr>
              <w:autoSpaceDE w:val="0"/>
              <w:autoSpaceDN w:val="0"/>
              <w:adjustRightInd w:val="0"/>
              <w:spacing w:after="60"/>
              <w:jc w:val="right"/>
              <w:rPr>
                <w:rFonts w:cstheme="minorHAnsi"/>
                <w:color w:val="FF0000"/>
              </w:rPr>
            </w:pPr>
            <w:r w:rsidRPr="00C73E11">
              <w:rPr>
                <w:rFonts w:ascii="Calibri" w:hAnsi="Calibri" w:cs="Calibri"/>
                <w:color w:val="FF0000"/>
              </w:rPr>
              <w:t>0.997</w:t>
            </w:r>
          </w:p>
        </w:tc>
      </w:tr>
    </w:tbl>
    <w:p w14:paraId="6A6A57D9" w14:textId="67551E0A" w:rsidR="00FC2C4D" w:rsidRDefault="00FC2C4D" w:rsidP="001908B5">
      <w:pPr>
        <w:pStyle w:val="NoSpacing"/>
        <w:rPr>
          <w:rFonts w:asciiTheme="minorHAnsi" w:hAnsiTheme="minorHAnsi"/>
          <w:b/>
          <w:color w:val="244061" w:themeColor="accent1" w:themeShade="80"/>
          <w:u w:val="single"/>
        </w:rPr>
      </w:pPr>
    </w:p>
    <w:p w14:paraId="320F4D79" w14:textId="77777777" w:rsidR="00FC2C4D" w:rsidRDefault="00FC2C4D" w:rsidP="001908B5">
      <w:pPr>
        <w:pStyle w:val="NoSpacing"/>
        <w:rPr>
          <w:rFonts w:asciiTheme="minorHAnsi" w:hAnsiTheme="minorHAnsi"/>
          <w:b/>
          <w:color w:val="244061" w:themeColor="accent1" w:themeShade="80"/>
          <w:u w:val="single"/>
        </w:rPr>
      </w:pPr>
    </w:p>
    <w:p w14:paraId="19A53DA4" w14:textId="77777777" w:rsidR="00FC2C4D" w:rsidRDefault="00FC2C4D" w:rsidP="001908B5">
      <w:pPr>
        <w:pStyle w:val="NoSpacing"/>
        <w:rPr>
          <w:rFonts w:asciiTheme="minorHAnsi" w:hAnsiTheme="minorHAnsi"/>
          <w:b/>
          <w:color w:val="244061" w:themeColor="accent1" w:themeShade="80"/>
          <w:u w:val="single"/>
        </w:rPr>
      </w:pPr>
    </w:p>
    <w:p w14:paraId="233CD3EE" w14:textId="77777777" w:rsidR="001908B5" w:rsidRPr="006E655D" w:rsidRDefault="001908B5" w:rsidP="001908B5">
      <w:pPr>
        <w:pStyle w:val="NoSpacing"/>
        <w:rPr>
          <w:rFonts w:asciiTheme="minorHAnsi" w:hAnsiTheme="minorHAnsi"/>
          <w:color w:val="244061" w:themeColor="accent1" w:themeShade="80"/>
        </w:rPr>
      </w:pPr>
      <w:r w:rsidRPr="006E655D">
        <w:rPr>
          <w:rFonts w:asciiTheme="minorHAnsi" w:hAnsiTheme="minorHAnsi"/>
          <w:b/>
          <w:color w:val="244061" w:themeColor="accent1" w:themeShade="80"/>
          <w:u w:val="single"/>
        </w:rPr>
        <w:t>2016 Update: MEASURE SCORE RELIABILITY</w:t>
      </w:r>
    </w:p>
    <w:p w14:paraId="6F9B0589" w14:textId="77777777" w:rsidR="001908B5" w:rsidRPr="006E655D" w:rsidRDefault="001908B5" w:rsidP="001908B5">
      <w:pPr>
        <w:pStyle w:val="NoSpacing"/>
        <w:rPr>
          <w:rFonts w:asciiTheme="minorHAnsi" w:hAnsiTheme="minorHAnsi"/>
          <w:color w:val="244061" w:themeColor="accent1" w:themeShade="80"/>
        </w:rPr>
      </w:pPr>
      <w:r w:rsidRPr="006E655D">
        <w:rPr>
          <w:rFonts w:asciiTheme="minorHAnsi" w:hAnsiTheme="minorHAnsi"/>
          <w:color w:val="244061" w:themeColor="accent1" w:themeShade="80"/>
        </w:rPr>
        <w:t>MEASURE LEVEL RELIABILITY</w:t>
      </w:r>
    </w:p>
    <w:p w14:paraId="29303BD4" w14:textId="77777777" w:rsidR="001908B5" w:rsidRPr="006E655D" w:rsidRDefault="001908B5" w:rsidP="001908B5">
      <w:pPr>
        <w:pStyle w:val="NoSpacing"/>
        <w:rPr>
          <w:rFonts w:asciiTheme="minorHAnsi" w:hAnsiTheme="minorHAnsi"/>
          <w:color w:val="244061" w:themeColor="accent1" w:themeShade="80"/>
        </w:rPr>
      </w:pPr>
      <w:r w:rsidRPr="006E655D">
        <w:rPr>
          <w:rFonts w:asciiTheme="minorHAnsi" w:hAnsiTheme="minorHAnsi"/>
          <w:color w:val="244061" w:themeColor="accent1" w:themeShade="80"/>
        </w:rPr>
        <w:t>NCQA pools data reported by health plans according to product line. The mean reliability for the 7-day Rate per the beta binomial model was 0.97 for Commercial health plans, 0.96 for Medicare, and 0.99 for Medicaid. The mean reliability for the 30-day Rate was 0.96 for Commercial health plans, 0.97 for Medicare, and 0.99 for Medicaid.</w:t>
      </w:r>
    </w:p>
    <w:p w14:paraId="3A73EC96" w14:textId="77777777" w:rsidR="001908B5" w:rsidRPr="006E655D" w:rsidRDefault="001908B5" w:rsidP="001908B5">
      <w:pPr>
        <w:pStyle w:val="NoSpacing"/>
        <w:rPr>
          <w:rFonts w:asciiTheme="minorHAnsi" w:hAnsiTheme="minorHAnsi"/>
          <w:color w:val="244061" w:themeColor="accent1" w:themeShade="80"/>
        </w:rPr>
      </w:pPr>
    </w:p>
    <w:p w14:paraId="0C4815A8" w14:textId="77777777" w:rsidR="001908B5" w:rsidRPr="006E655D" w:rsidRDefault="001908B5" w:rsidP="001908B5">
      <w:pPr>
        <w:pStyle w:val="NoSpacing"/>
        <w:rPr>
          <w:rFonts w:asciiTheme="minorHAnsi" w:hAnsiTheme="minorHAnsi"/>
          <w:color w:val="244061" w:themeColor="accent1" w:themeShade="80"/>
        </w:rPr>
      </w:pPr>
      <w:r w:rsidRPr="006E655D">
        <w:rPr>
          <w:rFonts w:asciiTheme="minorHAnsi" w:hAnsiTheme="minorHAnsi"/>
          <w:color w:val="244061" w:themeColor="accent1" w:themeShade="80"/>
        </w:rPr>
        <w:t xml:space="preserve">Beta-Binomial </w:t>
      </w:r>
      <w:proofErr w:type="spellStart"/>
      <w:r w:rsidRPr="006E655D">
        <w:rPr>
          <w:rFonts w:asciiTheme="minorHAnsi" w:hAnsiTheme="minorHAnsi"/>
          <w:color w:val="244061" w:themeColor="accent1" w:themeShade="80"/>
        </w:rPr>
        <w:t>Statisitc</w:t>
      </w:r>
      <w:proofErr w:type="spellEnd"/>
      <w:r w:rsidRPr="006E655D">
        <w:rPr>
          <w:rFonts w:asciiTheme="minorHAnsi" w:hAnsiTheme="minorHAnsi"/>
          <w:color w:val="244061" w:themeColor="accent1" w:themeShade="80"/>
        </w:rPr>
        <w:t xml:space="preserve"> For Each Measure Rate</w:t>
      </w:r>
    </w:p>
    <w:tbl>
      <w:tblPr>
        <w:tblW w:w="3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firstRow="1" w:lastRow="0" w:firstColumn="1" w:lastColumn="0" w:noHBand="0" w:noVBand="1"/>
      </w:tblPr>
      <w:tblGrid>
        <w:gridCol w:w="1884"/>
        <w:gridCol w:w="631"/>
        <w:gridCol w:w="994"/>
        <w:gridCol w:w="902"/>
        <w:gridCol w:w="990"/>
        <w:gridCol w:w="812"/>
        <w:gridCol w:w="990"/>
      </w:tblGrid>
      <w:tr w:rsidR="001908B5" w:rsidRPr="006E655D" w14:paraId="6B340E0D" w14:textId="77777777" w:rsidTr="00050392">
        <w:trPr>
          <w:trHeight w:val="144"/>
        </w:trPr>
        <w:tc>
          <w:tcPr>
            <w:tcW w:w="1308" w:type="pct"/>
            <w:vMerge w:val="restart"/>
            <w:shd w:val="clear" w:color="auto" w:fill="auto"/>
            <w:noWrap/>
            <w:vAlign w:val="bottom"/>
            <w:hideMark/>
          </w:tcPr>
          <w:p w14:paraId="4473755E" w14:textId="77777777" w:rsidR="001908B5" w:rsidRPr="006E655D" w:rsidRDefault="001908B5" w:rsidP="00E01A09">
            <w:pPr>
              <w:pStyle w:val="Heading7"/>
              <w:spacing w:before="0" w:line="240" w:lineRule="auto"/>
              <w:jc w:val="center"/>
              <w:rPr>
                <w:rFonts w:asciiTheme="minorHAnsi" w:eastAsia="Times New Roman" w:hAnsiTheme="minorHAnsi"/>
                <w:b/>
                <w:color w:val="244061" w:themeColor="accent1" w:themeShade="80"/>
              </w:rPr>
            </w:pPr>
            <w:r w:rsidRPr="006E655D">
              <w:rPr>
                <w:rFonts w:asciiTheme="minorHAnsi" w:eastAsia="Times New Roman" w:hAnsiTheme="minorHAnsi"/>
                <w:color w:val="244061" w:themeColor="accent1" w:themeShade="80"/>
              </w:rPr>
              <w:t>Rate</w:t>
            </w:r>
          </w:p>
        </w:tc>
        <w:tc>
          <w:tcPr>
            <w:tcW w:w="1128" w:type="pct"/>
            <w:gridSpan w:val="2"/>
            <w:shd w:val="clear" w:color="auto" w:fill="auto"/>
            <w:noWrap/>
            <w:vAlign w:val="bottom"/>
            <w:hideMark/>
          </w:tcPr>
          <w:p w14:paraId="1C6A7EDA" w14:textId="77777777" w:rsidR="001908B5" w:rsidRPr="006E655D" w:rsidRDefault="001908B5" w:rsidP="00050392">
            <w:pPr>
              <w:spacing w:after="0" w:line="240" w:lineRule="auto"/>
              <w:jc w:val="center"/>
              <w:rPr>
                <w:rFonts w:eastAsia="Times New Roman" w:cstheme="minorHAnsi"/>
                <w:i/>
                <w:color w:val="244061" w:themeColor="accent1" w:themeShade="80"/>
              </w:rPr>
            </w:pPr>
            <w:r w:rsidRPr="006E655D">
              <w:rPr>
                <w:rFonts w:eastAsia="Times New Roman" w:cstheme="minorHAnsi"/>
                <w:i/>
                <w:color w:val="244061" w:themeColor="accent1" w:themeShade="80"/>
              </w:rPr>
              <w:t>Commercial</w:t>
            </w:r>
          </w:p>
        </w:tc>
        <w:tc>
          <w:tcPr>
            <w:tcW w:w="1313" w:type="pct"/>
            <w:gridSpan w:val="2"/>
          </w:tcPr>
          <w:p w14:paraId="3C9133A8" w14:textId="77777777" w:rsidR="001908B5" w:rsidRPr="006E655D" w:rsidRDefault="001908B5" w:rsidP="00050392">
            <w:pPr>
              <w:spacing w:after="0" w:line="240" w:lineRule="auto"/>
              <w:jc w:val="center"/>
              <w:rPr>
                <w:rFonts w:eastAsia="Times New Roman" w:cstheme="minorHAnsi"/>
                <w:i/>
                <w:color w:val="244061" w:themeColor="accent1" w:themeShade="80"/>
              </w:rPr>
            </w:pPr>
            <w:r w:rsidRPr="006E655D">
              <w:rPr>
                <w:rFonts w:eastAsia="Times New Roman" w:cstheme="minorHAnsi"/>
                <w:i/>
                <w:color w:val="244061" w:themeColor="accent1" w:themeShade="80"/>
              </w:rPr>
              <w:t>Medicaid</w:t>
            </w:r>
          </w:p>
        </w:tc>
        <w:tc>
          <w:tcPr>
            <w:tcW w:w="1251" w:type="pct"/>
            <w:gridSpan w:val="2"/>
          </w:tcPr>
          <w:p w14:paraId="2977924B" w14:textId="77777777" w:rsidR="001908B5" w:rsidRPr="006E655D" w:rsidRDefault="001908B5" w:rsidP="00050392">
            <w:pPr>
              <w:spacing w:after="0" w:line="240" w:lineRule="auto"/>
              <w:jc w:val="center"/>
              <w:rPr>
                <w:rFonts w:eastAsia="Times New Roman" w:cstheme="minorHAnsi"/>
                <w:i/>
                <w:color w:val="244061" w:themeColor="accent1" w:themeShade="80"/>
              </w:rPr>
            </w:pPr>
            <w:r w:rsidRPr="006E655D">
              <w:rPr>
                <w:rFonts w:eastAsia="Times New Roman" w:cstheme="minorHAnsi"/>
                <w:i/>
                <w:color w:val="244061" w:themeColor="accent1" w:themeShade="80"/>
              </w:rPr>
              <w:t>Medicare</w:t>
            </w:r>
          </w:p>
        </w:tc>
      </w:tr>
      <w:tr w:rsidR="001908B5" w:rsidRPr="006E655D" w14:paraId="5438229C" w14:textId="77777777" w:rsidTr="00050392">
        <w:trPr>
          <w:trHeight w:val="144"/>
        </w:trPr>
        <w:tc>
          <w:tcPr>
            <w:tcW w:w="1308" w:type="pct"/>
            <w:vMerge/>
            <w:shd w:val="clear" w:color="auto" w:fill="auto"/>
            <w:noWrap/>
            <w:vAlign w:val="bottom"/>
          </w:tcPr>
          <w:p w14:paraId="470BFB83" w14:textId="77777777" w:rsidR="001908B5" w:rsidRPr="006E655D" w:rsidRDefault="001908B5" w:rsidP="00050392">
            <w:pPr>
              <w:spacing w:after="0" w:line="240" w:lineRule="auto"/>
              <w:rPr>
                <w:rFonts w:eastAsia="Times New Roman" w:cstheme="minorHAnsi"/>
                <w:color w:val="244061" w:themeColor="accent1" w:themeShade="80"/>
              </w:rPr>
            </w:pPr>
          </w:p>
        </w:tc>
        <w:tc>
          <w:tcPr>
            <w:tcW w:w="438" w:type="pct"/>
            <w:shd w:val="clear" w:color="auto" w:fill="auto"/>
            <w:noWrap/>
            <w:vAlign w:val="bottom"/>
          </w:tcPr>
          <w:p w14:paraId="31BCB4EC" w14:textId="77777777" w:rsidR="001908B5" w:rsidRPr="006E655D" w:rsidRDefault="001908B5" w:rsidP="00E01A09">
            <w:pPr>
              <w:pStyle w:val="Heading1"/>
              <w:spacing w:before="0" w:line="240" w:lineRule="auto"/>
              <w:jc w:val="center"/>
              <w:rPr>
                <w:rFonts w:asciiTheme="minorHAnsi" w:hAnsiTheme="minorHAnsi"/>
                <w:i/>
                <w:color w:val="244061" w:themeColor="accent1" w:themeShade="80"/>
                <w:sz w:val="22"/>
                <w:szCs w:val="22"/>
              </w:rPr>
            </w:pPr>
            <w:r w:rsidRPr="006E655D">
              <w:rPr>
                <w:rFonts w:asciiTheme="minorHAnsi" w:hAnsiTheme="minorHAnsi"/>
                <w:color w:val="244061" w:themeColor="accent1" w:themeShade="80"/>
                <w:sz w:val="22"/>
                <w:szCs w:val="22"/>
              </w:rPr>
              <w:t>Avg</w:t>
            </w:r>
          </w:p>
        </w:tc>
        <w:tc>
          <w:tcPr>
            <w:tcW w:w="690" w:type="pct"/>
            <w:vAlign w:val="bottom"/>
          </w:tcPr>
          <w:p w14:paraId="2F757D87" w14:textId="77777777" w:rsidR="001908B5" w:rsidRPr="006E655D" w:rsidRDefault="001908B5" w:rsidP="00050392">
            <w:pPr>
              <w:spacing w:after="0" w:line="240" w:lineRule="auto"/>
              <w:jc w:val="center"/>
              <w:rPr>
                <w:rFonts w:cstheme="minorHAnsi"/>
                <w:color w:val="244061" w:themeColor="accent1" w:themeShade="80"/>
              </w:rPr>
            </w:pPr>
            <w:r w:rsidRPr="006E655D">
              <w:rPr>
                <w:rFonts w:eastAsia="Times New Roman" w:cstheme="minorHAnsi"/>
                <w:color w:val="244061" w:themeColor="accent1" w:themeShade="80"/>
              </w:rPr>
              <w:t>Minimum</w:t>
            </w:r>
          </w:p>
        </w:tc>
        <w:tc>
          <w:tcPr>
            <w:tcW w:w="626" w:type="pct"/>
            <w:vAlign w:val="bottom"/>
          </w:tcPr>
          <w:p w14:paraId="495D7BEF" w14:textId="77777777" w:rsidR="001908B5" w:rsidRPr="006E655D" w:rsidRDefault="001908B5" w:rsidP="00050392">
            <w:pPr>
              <w:spacing w:after="0" w:line="240" w:lineRule="auto"/>
              <w:jc w:val="center"/>
              <w:rPr>
                <w:rFonts w:cstheme="minorHAnsi"/>
                <w:color w:val="244061" w:themeColor="accent1" w:themeShade="80"/>
              </w:rPr>
            </w:pPr>
            <w:r w:rsidRPr="006E655D">
              <w:rPr>
                <w:rFonts w:cstheme="minorHAnsi"/>
                <w:color w:val="244061" w:themeColor="accent1" w:themeShade="80"/>
              </w:rPr>
              <w:t>Avg</w:t>
            </w:r>
          </w:p>
        </w:tc>
        <w:tc>
          <w:tcPr>
            <w:tcW w:w="687" w:type="pct"/>
            <w:vAlign w:val="bottom"/>
          </w:tcPr>
          <w:p w14:paraId="22685C23" w14:textId="77777777" w:rsidR="001908B5" w:rsidRPr="006E655D" w:rsidRDefault="001908B5" w:rsidP="00050392">
            <w:pPr>
              <w:spacing w:after="0" w:line="240" w:lineRule="auto"/>
              <w:jc w:val="center"/>
              <w:rPr>
                <w:rFonts w:cstheme="minorHAnsi"/>
                <w:color w:val="244061" w:themeColor="accent1" w:themeShade="80"/>
              </w:rPr>
            </w:pPr>
            <w:r w:rsidRPr="006E655D">
              <w:rPr>
                <w:rFonts w:eastAsia="Times New Roman" w:cstheme="minorHAnsi"/>
                <w:color w:val="244061" w:themeColor="accent1" w:themeShade="80"/>
              </w:rPr>
              <w:t>Minimum</w:t>
            </w:r>
          </w:p>
        </w:tc>
        <w:tc>
          <w:tcPr>
            <w:tcW w:w="564" w:type="pct"/>
            <w:vAlign w:val="bottom"/>
          </w:tcPr>
          <w:p w14:paraId="18A37C2A" w14:textId="77777777" w:rsidR="001908B5" w:rsidRPr="006E655D" w:rsidRDefault="001908B5" w:rsidP="00050392">
            <w:pPr>
              <w:spacing w:after="0" w:line="240" w:lineRule="auto"/>
              <w:jc w:val="center"/>
              <w:rPr>
                <w:rFonts w:eastAsia="Times New Roman" w:cstheme="minorHAnsi"/>
                <w:color w:val="244061" w:themeColor="accent1" w:themeShade="80"/>
              </w:rPr>
            </w:pPr>
            <w:r w:rsidRPr="006E655D">
              <w:rPr>
                <w:rFonts w:eastAsia="Times New Roman" w:cstheme="minorHAnsi"/>
                <w:color w:val="244061" w:themeColor="accent1" w:themeShade="80"/>
              </w:rPr>
              <w:t>Avg</w:t>
            </w:r>
          </w:p>
        </w:tc>
        <w:tc>
          <w:tcPr>
            <w:tcW w:w="687" w:type="pct"/>
            <w:vAlign w:val="bottom"/>
          </w:tcPr>
          <w:p w14:paraId="52DF1BBE" w14:textId="77777777" w:rsidR="001908B5" w:rsidRPr="006E655D" w:rsidRDefault="001908B5" w:rsidP="00050392">
            <w:pPr>
              <w:spacing w:after="0" w:line="240" w:lineRule="auto"/>
              <w:jc w:val="center"/>
              <w:rPr>
                <w:rFonts w:cstheme="minorHAnsi"/>
                <w:color w:val="244061" w:themeColor="accent1" w:themeShade="80"/>
              </w:rPr>
            </w:pPr>
            <w:r w:rsidRPr="006E655D">
              <w:rPr>
                <w:rFonts w:eastAsia="Times New Roman" w:cstheme="minorHAnsi"/>
                <w:color w:val="244061" w:themeColor="accent1" w:themeShade="80"/>
              </w:rPr>
              <w:t>Minimum</w:t>
            </w:r>
          </w:p>
        </w:tc>
      </w:tr>
      <w:tr w:rsidR="001908B5" w:rsidRPr="006E655D" w14:paraId="3E608264" w14:textId="77777777" w:rsidTr="00050392">
        <w:trPr>
          <w:trHeight w:val="144"/>
        </w:trPr>
        <w:tc>
          <w:tcPr>
            <w:tcW w:w="1308" w:type="pct"/>
            <w:shd w:val="clear" w:color="auto" w:fill="auto"/>
            <w:noWrap/>
            <w:vAlign w:val="bottom"/>
            <w:hideMark/>
          </w:tcPr>
          <w:p w14:paraId="0894ABAB" w14:textId="77777777" w:rsidR="001908B5" w:rsidRPr="006E655D" w:rsidRDefault="001908B5" w:rsidP="00E01A09">
            <w:pPr>
              <w:pStyle w:val="Heading2"/>
              <w:spacing w:before="0" w:line="240" w:lineRule="auto"/>
              <w:rPr>
                <w:rFonts w:asciiTheme="minorHAnsi" w:hAnsiTheme="minorHAnsi"/>
                <w:b/>
                <w:color w:val="244061" w:themeColor="accent1" w:themeShade="80"/>
                <w:sz w:val="22"/>
                <w:szCs w:val="22"/>
              </w:rPr>
            </w:pPr>
            <w:r w:rsidRPr="006E655D">
              <w:rPr>
                <w:rFonts w:asciiTheme="minorHAnsi" w:hAnsiTheme="minorHAnsi"/>
                <w:color w:val="244061" w:themeColor="accent1" w:themeShade="80"/>
                <w:sz w:val="22"/>
                <w:szCs w:val="22"/>
              </w:rPr>
              <w:t>7-Day Follow-Up</w:t>
            </w:r>
          </w:p>
        </w:tc>
        <w:tc>
          <w:tcPr>
            <w:tcW w:w="438" w:type="pct"/>
            <w:shd w:val="clear" w:color="auto" w:fill="auto"/>
            <w:noWrap/>
            <w:vAlign w:val="bottom"/>
          </w:tcPr>
          <w:p w14:paraId="4A8A6F4D" w14:textId="77777777" w:rsidR="001908B5" w:rsidRPr="006E655D" w:rsidRDefault="001908B5" w:rsidP="00050392">
            <w:pPr>
              <w:spacing w:after="0" w:line="240" w:lineRule="auto"/>
              <w:jc w:val="center"/>
              <w:rPr>
                <w:rFonts w:eastAsia="Times New Roman" w:cstheme="minorHAnsi"/>
                <w:color w:val="244061" w:themeColor="accent1" w:themeShade="80"/>
              </w:rPr>
            </w:pPr>
            <w:r w:rsidRPr="006E655D">
              <w:rPr>
                <w:color w:val="244061" w:themeColor="accent1" w:themeShade="80"/>
              </w:rPr>
              <w:t>1.0</w:t>
            </w:r>
          </w:p>
        </w:tc>
        <w:tc>
          <w:tcPr>
            <w:tcW w:w="690" w:type="pct"/>
            <w:vAlign w:val="bottom"/>
          </w:tcPr>
          <w:p w14:paraId="3BDCAEF2" w14:textId="77777777" w:rsidR="001908B5" w:rsidRPr="006E655D" w:rsidRDefault="001908B5" w:rsidP="00050392">
            <w:pPr>
              <w:spacing w:after="0" w:line="240" w:lineRule="auto"/>
              <w:jc w:val="center"/>
              <w:rPr>
                <w:rFonts w:cstheme="minorHAnsi"/>
                <w:color w:val="244061" w:themeColor="accent1" w:themeShade="80"/>
              </w:rPr>
            </w:pPr>
            <w:r w:rsidRPr="006E655D">
              <w:rPr>
                <w:color w:val="244061" w:themeColor="accent1" w:themeShade="80"/>
              </w:rPr>
              <w:t>0.7</w:t>
            </w:r>
          </w:p>
        </w:tc>
        <w:tc>
          <w:tcPr>
            <w:tcW w:w="626" w:type="pct"/>
            <w:vAlign w:val="bottom"/>
          </w:tcPr>
          <w:p w14:paraId="1C3048D1" w14:textId="77777777" w:rsidR="001908B5" w:rsidRPr="006E655D" w:rsidRDefault="001908B5" w:rsidP="00050392">
            <w:pPr>
              <w:spacing w:after="0" w:line="240" w:lineRule="auto"/>
              <w:jc w:val="center"/>
              <w:rPr>
                <w:rFonts w:cstheme="minorHAnsi"/>
                <w:color w:val="244061" w:themeColor="accent1" w:themeShade="80"/>
              </w:rPr>
            </w:pPr>
            <w:r w:rsidRPr="006E655D">
              <w:rPr>
                <w:color w:val="244061" w:themeColor="accent1" w:themeShade="80"/>
              </w:rPr>
              <w:t>1.0</w:t>
            </w:r>
          </w:p>
        </w:tc>
        <w:tc>
          <w:tcPr>
            <w:tcW w:w="687" w:type="pct"/>
            <w:vAlign w:val="bottom"/>
          </w:tcPr>
          <w:p w14:paraId="036637AC" w14:textId="77777777" w:rsidR="001908B5" w:rsidRPr="006E655D" w:rsidRDefault="001908B5" w:rsidP="00050392">
            <w:pPr>
              <w:spacing w:after="0" w:line="240" w:lineRule="auto"/>
              <w:jc w:val="center"/>
              <w:rPr>
                <w:rFonts w:cstheme="minorHAnsi"/>
                <w:color w:val="244061" w:themeColor="accent1" w:themeShade="80"/>
              </w:rPr>
            </w:pPr>
            <w:r w:rsidRPr="006E655D">
              <w:rPr>
                <w:color w:val="244061" w:themeColor="accent1" w:themeShade="80"/>
              </w:rPr>
              <w:t>0.8</w:t>
            </w:r>
          </w:p>
        </w:tc>
        <w:tc>
          <w:tcPr>
            <w:tcW w:w="564" w:type="pct"/>
            <w:vAlign w:val="bottom"/>
          </w:tcPr>
          <w:p w14:paraId="03726860" w14:textId="77777777" w:rsidR="001908B5" w:rsidRPr="006E655D" w:rsidRDefault="001908B5" w:rsidP="00050392">
            <w:pPr>
              <w:spacing w:after="0" w:line="240" w:lineRule="auto"/>
              <w:jc w:val="center"/>
              <w:rPr>
                <w:rFonts w:cstheme="minorHAnsi"/>
                <w:color w:val="244061" w:themeColor="accent1" w:themeShade="80"/>
              </w:rPr>
            </w:pPr>
            <w:r w:rsidRPr="006E655D">
              <w:rPr>
                <w:color w:val="244061" w:themeColor="accent1" w:themeShade="80"/>
              </w:rPr>
              <w:t>1.0</w:t>
            </w:r>
          </w:p>
        </w:tc>
        <w:tc>
          <w:tcPr>
            <w:tcW w:w="687" w:type="pct"/>
            <w:vAlign w:val="bottom"/>
          </w:tcPr>
          <w:p w14:paraId="571AE8C4" w14:textId="77777777" w:rsidR="001908B5" w:rsidRPr="006E655D" w:rsidRDefault="001908B5" w:rsidP="00050392">
            <w:pPr>
              <w:spacing w:after="0" w:line="240" w:lineRule="auto"/>
              <w:jc w:val="center"/>
              <w:rPr>
                <w:rFonts w:cstheme="minorHAnsi"/>
                <w:color w:val="244061" w:themeColor="accent1" w:themeShade="80"/>
              </w:rPr>
            </w:pPr>
            <w:r w:rsidRPr="006E655D">
              <w:rPr>
                <w:color w:val="244061" w:themeColor="accent1" w:themeShade="80"/>
              </w:rPr>
              <w:t>0.7</w:t>
            </w:r>
          </w:p>
        </w:tc>
      </w:tr>
      <w:tr w:rsidR="001908B5" w:rsidRPr="006E655D" w14:paraId="7DF85CB3" w14:textId="77777777" w:rsidTr="00050392">
        <w:trPr>
          <w:trHeight w:val="144"/>
        </w:trPr>
        <w:tc>
          <w:tcPr>
            <w:tcW w:w="1308" w:type="pct"/>
            <w:shd w:val="clear" w:color="auto" w:fill="auto"/>
            <w:noWrap/>
            <w:vAlign w:val="bottom"/>
          </w:tcPr>
          <w:p w14:paraId="17771258" w14:textId="77777777" w:rsidR="001908B5" w:rsidRPr="006E655D" w:rsidRDefault="001908B5" w:rsidP="00050392">
            <w:pPr>
              <w:spacing w:after="0" w:line="240" w:lineRule="auto"/>
              <w:rPr>
                <w:rFonts w:eastAsia="Times New Roman" w:cstheme="minorHAnsi"/>
                <w:color w:val="244061" w:themeColor="accent1" w:themeShade="80"/>
              </w:rPr>
            </w:pPr>
            <w:r w:rsidRPr="006E655D">
              <w:rPr>
                <w:rFonts w:eastAsia="Times New Roman" w:cstheme="minorHAnsi"/>
                <w:color w:val="244061" w:themeColor="accent1" w:themeShade="80"/>
              </w:rPr>
              <w:t>30-Day Follow-Up</w:t>
            </w:r>
          </w:p>
        </w:tc>
        <w:tc>
          <w:tcPr>
            <w:tcW w:w="438" w:type="pct"/>
            <w:shd w:val="clear" w:color="auto" w:fill="auto"/>
            <w:noWrap/>
            <w:vAlign w:val="bottom"/>
          </w:tcPr>
          <w:p w14:paraId="4E076F8B" w14:textId="77777777" w:rsidR="001908B5" w:rsidRPr="006E655D" w:rsidRDefault="001908B5" w:rsidP="00050392">
            <w:pPr>
              <w:spacing w:after="0" w:line="240" w:lineRule="auto"/>
              <w:jc w:val="center"/>
              <w:rPr>
                <w:rFonts w:eastAsia="Times New Roman" w:cstheme="minorHAnsi"/>
                <w:color w:val="244061" w:themeColor="accent1" w:themeShade="80"/>
              </w:rPr>
            </w:pPr>
            <w:r w:rsidRPr="006E655D">
              <w:rPr>
                <w:color w:val="244061" w:themeColor="accent1" w:themeShade="80"/>
              </w:rPr>
              <w:t>1.0</w:t>
            </w:r>
          </w:p>
        </w:tc>
        <w:tc>
          <w:tcPr>
            <w:tcW w:w="690" w:type="pct"/>
            <w:vAlign w:val="bottom"/>
          </w:tcPr>
          <w:p w14:paraId="0E4EFC78" w14:textId="77777777" w:rsidR="001908B5" w:rsidRPr="006E655D" w:rsidRDefault="001908B5" w:rsidP="00050392">
            <w:pPr>
              <w:spacing w:after="0" w:line="240" w:lineRule="auto"/>
              <w:jc w:val="center"/>
              <w:rPr>
                <w:rFonts w:cstheme="minorHAnsi"/>
                <w:color w:val="244061" w:themeColor="accent1" w:themeShade="80"/>
              </w:rPr>
            </w:pPr>
            <w:r w:rsidRPr="006E655D">
              <w:rPr>
                <w:color w:val="244061" w:themeColor="accent1" w:themeShade="80"/>
              </w:rPr>
              <w:t>0.6</w:t>
            </w:r>
          </w:p>
        </w:tc>
        <w:tc>
          <w:tcPr>
            <w:tcW w:w="626" w:type="pct"/>
            <w:vAlign w:val="bottom"/>
          </w:tcPr>
          <w:p w14:paraId="07383A53" w14:textId="77777777" w:rsidR="001908B5" w:rsidRPr="006E655D" w:rsidRDefault="001908B5" w:rsidP="00050392">
            <w:pPr>
              <w:spacing w:after="0" w:line="240" w:lineRule="auto"/>
              <w:jc w:val="center"/>
              <w:rPr>
                <w:rFonts w:cstheme="minorHAnsi"/>
                <w:color w:val="244061" w:themeColor="accent1" w:themeShade="80"/>
              </w:rPr>
            </w:pPr>
            <w:r w:rsidRPr="006E655D">
              <w:rPr>
                <w:color w:val="244061" w:themeColor="accent1" w:themeShade="80"/>
              </w:rPr>
              <w:t>1.0</w:t>
            </w:r>
          </w:p>
        </w:tc>
        <w:tc>
          <w:tcPr>
            <w:tcW w:w="687" w:type="pct"/>
            <w:vAlign w:val="bottom"/>
          </w:tcPr>
          <w:p w14:paraId="13223482" w14:textId="77777777" w:rsidR="001908B5" w:rsidRPr="006E655D" w:rsidRDefault="001908B5" w:rsidP="00050392">
            <w:pPr>
              <w:spacing w:after="0" w:line="240" w:lineRule="auto"/>
              <w:jc w:val="center"/>
              <w:rPr>
                <w:rFonts w:cstheme="minorHAnsi"/>
                <w:color w:val="244061" w:themeColor="accent1" w:themeShade="80"/>
              </w:rPr>
            </w:pPr>
            <w:r w:rsidRPr="006E655D">
              <w:rPr>
                <w:color w:val="244061" w:themeColor="accent1" w:themeShade="80"/>
              </w:rPr>
              <w:t>0.8</w:t>
            </w:r>
          </w:p>
        </w:tc>
        <w:tc>
          <w:tcPr>
            <w:tcW w:w="564" w:type="pct"/>
            <w:vAlign w:val="bottom"/>
          </w:tcPr>
          <w:p w14:paraId="2245151A" w14:textId="77777777" w:rsidR="001908B5" w:rsidRPr="006E655D" w:rsidRDefault="001908B5" w:rsidP="00050392">
            <w:pPr>
              <w:spacing w:after="0" w:line="240" w:lineRule="auto"/>
              <w:jc w:val="center"/>
              <w:rPr>
                <w:rFonts w:cstheme="minorHAnsi"/>
                <w:color w:val="244061" w:themeColor="accent1" w:themeShade="80"/>
              </w:rPr>
            </w:pPr>
            <w:r w:rsidRPr="006E655D">
              <w:rPr>
                <w:color w:val="244061" w:themeColor="accent1" w:themeShade="80"/>
              </w:rPr>
              <w:t>1.0</w:t>
            </w:r>
          </w:p>
        </w:tc>
        <w:tc>
          <w:tcPr>
            <w:tcW w:w="687" w:type="pct"/>
            <w:vAlign w:val="bottom"/>
          </w:tcPr>
          <w:p w14:paraId="4F4750EC" w14:textId="77777777" w:rsidR="001908B5" w:rsidRPr="006E655D" w:rsidRDefault="001908B5" w:rsidP="00050392">
            <w:pPr>
              <w:spacing w:after="0" w:line="240" w:lineRule="auto"/>
              <w:jc w:val="center"/>
              <w:rPr>
                <w:rFonts w:cstheme="minorHAnsi"/>
                <w:color w:val="244061" w:themeColor="accent1" w:themeShade="80"/>
              </w:rPr>
            </w:pPr>
            <w:r w:rsidRPr="006E655D">
              <w:rPr>
                <w:color w:val="244061" w:themeColor="accent1" w:themeShade="80"/>
              </w:rPr>
              <w:t>0.8</w:t>
            </w:r>
          </w:p>
        </w:tc>
      </w:tr>
    </w:tbl>
    <w:p w14:paraId="3C093F9B" w14:textId="77777777" w:rsidR="001908B5" w:rsidRPr="006E655D" w:rsidRDefault="001908B5" w:rsidP="001908B5">
      <w:pPr>
        <w:spacing w:after="0" w:line="240" w:lineRule="auto"/>
        <w:rPr>
          <w:rFonts w:cs="Arial"/>
          <w:color w:val="244061" w:themeColor="accent1" w:themeShade="80"/>
        </w:rPr>
      </w:pPr>
    </w:p>
    <w:p w14:paraId="49D9EB75" w14:textId="77777777" w:rsidR="001908B5" w:rsidRPr="006E655D" w:rsidRDefault="001908B5" w:rsidP="001908B5">
      <w:pPr>
        <w:spacing w:after="0" w:line="240" w:lineRule="auto"/>
        <w:rPr>
          <w:rFonts w:cs="Arial"/>
          <w:color w:val="244061" w:themeColor="accent1" w:themeShade="80"/>
        </w:rPr>
      </w:pPr>
      <w:r w:rsidRPr="006E655D">
        <w:rPr>
          <w:rFonts w:cs="Arial"/>
          <w:b/>
          <w:color w:val="244061" w:themeColor="accent1" w:themeShade="80"/>
          <w:u w:val="single"/>
        </w:rPr>
        <w:t>2012 Submission</w:t>
      </w:r>
    </w:p>
    <w:p w14:paraId="482AD2A7" w14:textId="77777777" w:rsidR="001908B5" w:rsidRPr="006E655D" w:rsidRDefault="001908B5" w:rsidP="001908B5">
      <w:pPr>
        <w:spacing w:after="0" w:line="240" w:lineRule="auto"/>
        <w:rPr>
          <w:rFonts w:cs="Arial"/>
          <w:color w:val="244061" w:themeColor="accent1" w:themeShade="80"/>
        </w:rPr>
      </w:pPr>
      <w:r w:rsidRPr="006E655D">
        <w:rPr>
          <w:rFonts w:cs="Arial"/>
          <w:color w:val="244061" w:themeColor="accent1" w:themeShade="80"/>
        </w:rPr>
        <w:t xml:space="preserve">Rate 1. The percentage of members who received follow-up within 30 days of discharge </w:t>
      </w:r>
    </w:p>
    <w:p w14:paraId="2DE020C5" w14:textId="77777777" w:rsidR="001908B5" w:rsidRPr="006E655D" w:rsidRDefault="001908B5" w:rsidP="001908B5">
      <w:pPr>
        <w:spacing w:after="0" w:line="240" w:lineRule="auto"/>
        <w:rPr>
          <w:rFonts w:cs="Arial"/>
          <w:color w:val="244061" w:themeColor="accent1" w:themeShade="80"/>
        </w:rPr>
      </w:pPr>
      <w:r w:rsidRPr="006E655D">
        <w:rPr>
          <w:rFonts w:cs="Arial"/>
          <w:color w:val="244061" w:themeColor="accent1" w:themeShade="80"/>
        </w:rPr>
        <w:t>Commercial: 0.967434</w:t>
      </w:r>
    </w:p>
    <w:p w14:paraId="0A55DFB7" w14:textId="77777777" w:rsidR="001908B5" w:rsidRPr="006E655D" w:rsidRDefault="001908B5" w:rsidP="001908B5">
      <w:pPr>
        <w:spacing w:after="0" w:line="240" w:lineRule="auto"/>
        <w:rPr>
          <w:rFonts w:cs="Arial"/>
          <w:color w:val="244061" w:themeColor="accent1" w:themeShade="80"/>
        </w:rPr>
      </w:pPr>
      <w:r w:rsidRPr="006E655D">
        <w:rPr>
          <w:rFonts w:cs="Arial"/>
          <w:color w:val="244061" w:themeColor="accent1" w:themeShade="80"/>
        </w:rPr>
        <w:t>Medicaid: 0.988749</w:t>
      </w:r>
    </w:p>
    <w:p w14:paraId="1B742129" w14:textId="77777777" w:rsidR="001908B5" w:rsidRPr="006E655D" w:rsidRDefault="001908B5" w:rsidP="001908B5">
      <w:pPr>
        <w:spacing w:after="0" w:line="240" w:lineRule="auto"/>
        <w:rPr>
          <w:rFonts w:cs="Arial"/>
          <w:color w:val="244061" w:themeColor="accent1" w:themeShade="80"/>
        </w:rPr>
      </w:pPr>
      <w:r w:rsidRPr="006E655D">
        <w:rPr>
          <w:rFonts w:cs="Arial"/>
          <w:color w:val="244061" w:themeColor="accent1" w:themeShade="80"/>
        </w:rPr>
        <w:t>Medicare: 0.949915</w:t>
      </w:r>
    </w:p>
    <w:p w14:paraId="5128E5C7" w14:textId="77777777" w:rsidR="001908B5" w:rsidRPr="006E655D" w:rsidRDefault="001908B5" w:rsidP="001908B5">
      <w:pPr>
        <w:spacing w:after="0" w:line="240" w:lineRule="auto"/>
        <w:rPr>
          <w:rFonts w:cs="Arial"/>
          <w:color w:val="244061" w:themeColor="accent1" w:themeShade="80"/>
        </w:rPr>
      </w:pPr>
    </w:p>
    <w:p w14:paraId="2903F2DD" w14:textId="77777777" w:rsidR="001908B5" w:rsidRPr="006E655D" w:rsidRDefault="001908B5" w:rsidP="001908B5">
      <w:pPr>
        <w:spacing w:after="0" w:line="240" w:lineRule="auto"/>
        <w:rPr>
          <w:rFonts w:cs="Arial"/>
          <w:color w:val="244061" w:themeColor="accent1" w:themeShade="80"/>
        </w:rPr>
      </w:pPr>
      <w:r w:rsidRPr="006E655D">
        <w:rPr>
          <w:rFonts w:cs="Arial"/>
          <w:color w:val="244061" w:themeColor="accent1" w:themeShade="80"/>
        </w:rPr>
        <w:t>Rate 2. The percentage of members who received follow-up within 7 days of discharge.</w:t>
      </w:r>
    </w:p>
    <w:p w14:paraId="1788CD86" w14:textId="77777777" w:rsidR="001908B5" w:rsidRPr="006E655D" w:rsidRDefault="001908B5" w:rsidP="001908B5">
      <w:pPr>
        <w:spacing w:after="0" w:line="240" w:lineRule="auto"/>
        <w:rPr>
          <w:rFonts w:cs="Arial"/>
          <w:color w:val="244061" w:themeColor="accent1" w:themeShade="80"/>
        </w:rPr>
      </w:pPr>
      <w:r w:rsidRPr="006E655D">
        <w:rPr>
          <w:rFonts w:cs="Arial"/>
          <w:color w:val="244061" w:themeColor="accent1" w:themeShade="80"/>
        </w:rPr>
        <w:lastRenderedPageBreak/>
        <w:t>Commercial: 0.954861</w:t>
      </w:r>
    </w:p>
    <w:p w14:paraId="76413ADC" w14:textId="77777777" w:rsidR="001908B5" w:rsidRPr="006E655D" w:rsidRDefault="001908B5" w:rsidP="001908B5">
      <w:pPr>
        <w:spacing w:after="0" w:line="240" w:lineRule="auto"/>
        <w:rPr>
          <w:rFonts w:cs="Arial"/>
          <w:color w:val="244061" w:themeColor="accent1" w:themeShade="80"/>
        </w:rPr>
      </w:pPr>
      <w:r w:rsidRPr="006E655D">
        <w:rPr>
          <w:rFonts w:cs="Arial"/>
          <w:color w:val="244061" w:themeColor="accent1" w:themeShade="80"/>
        </w:rPr>
        <w:t>Medicaid: 0.989110</w:t>
      </w:r>
    </w:p>
    <w:p w14:paraId="3F7BF811" w14:textId="77777777" w:rsidR="001908B5" w:rsidRPr="006E655D" w:rsidRDefault="001908B5" w:rsidP="001908B5">
      <w:pPr>
        <w:spacing w:after="0" w:line="240" w:lineRule="auto"/>
        <w:rPr>
          <w:rFonts w:cs="Arial"/>
          <w:color w:val="244061" w:themeColor="accent1" w:themeShade="80"/>
        </w:rPr>
      </w:pPr>
      <w:r w:rsidRPr="006E655D">
        <w:rPr>
          <w:rFonts w:cs="Arial"/>
          <w:color w:val="244061" w:themeColor="accent1" w:themeShade="80"/>
        </w:rPr>
        <w:t>Medicare: 0.951935</w:t>
      </w:r>
    </w:p>
    <w:p w14:paraId="0CABCFD3" w14:textId="11E87E9E" w:rsidR="007422FD" w:rsidRPr="00A25024" w:rsidRDefault="007422FD" w:rsidP="008C54A9">
      <w:pPr>
        <w:autoSpaceDE w:val="0"/>
        <w:autoSpaceDN w:val="0"/>
        <w:adjustRightInd w:val="0"/>
        <w:spacing w:after="0" w:line="240" w:lineRule="auto"/>
        <w:rPr>
          <w:rFonts w:cstheme="minorHAnsi"/>
          <w:bCs/>
        </w:rPr>
      </w:pPr>
    </w:p>
    <w:p w14:paraId="0CABCFD4" w14:textId="2EC98B0B" w:rsidR="007422FD" w:rsidRDefault="00092566" w:rsidP="00DB3627">
      <w:pPr>
        <w:autoSpaceDE w:val="0"/>
        <w:autoSpaceDN w:val="0"/>
        <w:adjustRightInd w:val="0"/>
        <w:spacing w:after="0" w:line="240" w:lineRule="auto"/>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14:paraId="392F345F" w14:textId="092E714A" w:rsidR="00587EDD" w:rsidRPr="00587EDD" w:rsidRDefault="00587EDD" w:rsidP="00DB3627">
      <w:pPr>
        <w:autoSpaceDE w:val="0"/>
        <w:autoSpaceDN w:val="0"/>
        <w:adjustRightInd w:val="0"/>
        <w:spacing w:after="0" w:line="240" w:lineRule="auto"/>
        <w:rPr>
          <w:rFonts w:cstheme="minorHAnsi"/>
          <w:b/>
          <w:color w:val="FF0000"/>
          <w:u w:val="single"/>
        </w:rPr>
      </w:pPr>
      <w:r w:rsidRPr="00587EDD">
        <w:rPr>
          <w:rFonts w:cstheme="minorHAnsi"/>
          <w:b/>
          <w:color w:val="FF0000"/>
          <w:u w:val="single"/>
        </w:rPr>
        <w:t xml:space="preserve">2020 submission: </w:t>
      </w:r>
    </w:p>
    <w:p w14:paraId="49A72A32" w14:textId="77777777" w:rsidR="00587EDD" w:rsidRDefault="00587EDD" w:rsidP="00DB3627">
      <w:pPr>
        <w:autoSpaceDE w:val="0"/>
        <w:autoSpaceDN w:val="0"/>
        <w:adjustRightInd w:val="0"/>
        <w:spacing w:after="0" w:line="240" w:lineRule="auto"/>
        <w:rPr>
          <w:rFonts w:cstheme="minorHAnsi"/>
          <w:b/>
          <w:u w:val="single"/>
        </w:rPr>
      </w:pPr>
    </w:p>
    <w:p w14:paraId="6C2D8968" w14:textId="276BD322" w:rsidR="00B36A49" w:rsidRPr="00C51A8E" w:rsidRDefault="00B36A49" w:rsidP="00B36A49">
      <w:pPr>
        <w:pStyle w:val="paragraph"/>
        <w:spacing w:before="0" w:beforeAutospacing="0" w:after="0" w:afterAutospacing="0"/>
        <w:textAlignment w:val="baseline"/>
        <w:rPr>
          <w:rFonts w:ascii="&amp;quot" w:hAnsi="&amp;quot"/>
          <w:color w:val="FF0000"/>
          <w:sz w:val="18"/>
          <w:szCs w:val="18"/>
        </w:rPr>
      </w:pPr>
      <w:r w:rsidRPr="00C51A8E">
        <w:rPr>
          <w:rStyle w:val="normaltextrun"/>
          <w:rFonts w:ascii="Calibri" w:hAnsi="Calibri" w:cs="Calibri"/>
          <w:color w:val="FF0000"/>
          <w:sz w:val="22"/>
          <w:szCs w:val="22"/>
        </w:rPr>
        <w:t>In general, a score of 0.7 or higher suggests the measure has adequate reliability. The results suggest the measure has high reliability</w:t>
      </w:r>
      <w:r w:rsidR="00CE5F29">
        <w:rPr>
          <w:rStyle w:val="normaltextrun"/>
          <w:rFonts w:ascii="Calibri" w:hAnsi="Calibri" w:cs="Calibri"/>
          <w:color w:val="FF0000"/>
          <w:sz w:val="22"/>
          <w:szCs w:val="22"/>
        </w:rPr>
        <w:t xml:space="preserve"> and more details are </w:t>
      </w:r>
      <w:r w:rsidR="00260999">
        <w:rPr>
          <w:rStyle w:val="normaltextrun"/>
          <w:rFonts w:ascii="Calibri" w:hAnsi="Calibri" w:cs="Calibri"/>
          <w:color w:val="FF0000"/>
          <w:sz w:val="22"/>
          <w:szCs w:val="22"/>
        </w:rPr>
        <w:t>discussed</w:t>
      </w:r>
      <w:r w:rsidR="00CE5F29">
        <w:rPr>
          <w:rStyle w:val="normaltextrun"/>
          <w:rFonts w:ascii="Calibri" w:hAnsi="Calibri" w:cs="Calibri"/>
          <w:color w:val="FF0000"/>
          <w:sz w:val="22"/>
          <w:szCs w:val="22"/>
        </w:rPr>
        <w:t xml:space="preserve"> below</w:t>
      </w:r>
      <w:r w:rsidR="0036441B">
        <w:rPr>
          <w:rStyle w:val="normaltextrun"/>
          <w:rFonts w:ascii="Calibri" w:hAnsi="Calibri" w:cs="Calibri"/>
          <w:color w:val="FF0000"/>
          <w:sz w:val="22"/>
          <w:szCs w:val="22"/>
        </w:rPr>
        <w:t>.</w:t>
      </w:r>
      <w:r w:rsidRPr="00C51A8E">
        <w:rPr>
          <w:rStyle w:val="normaltextrun"/>
          <w:rFonts w:ascii="Calibri" w:hAnsi="Calibri" w:cs="Calibri"/>
          <w:color w:val="FF0000"/>
          <w:sz w:val="22"/>
          <w:szCs w:val="22"/>
          <w:shd w:val="clear" w:color="auto" w:fill="FFFFFF"/>
        </w:rPr>
        <w:t> </w:t>
      </w:r>
    </w:p>
    <w:p w14:paraId="689B347D" w14:textId="77777777" w:rsidR="00B36A49" w:rsidRDefault="00B36A49" w:rsidP="00DB3627">
      <w:pPr>
        <w:autoSpaceDE w:val="0"/>
        <w:autoSpaceDN w:val="0"/>
        <w:adjustRightInd w:val="0"/>
        <w:spacing w:after="0" w:line="240" w:lineRule="auto"/>
        <w:rPr>
          <w:rFonts w:cstheme="minorHAnsi"/>
          <w:b/>
          <w:u w:val="single"/>
        </w:rPr>
      </w:pPr>
    </w:p>
    <w:p w14:paraId="2A071140" w14:textId="77777777" w:rsidR="00B36A49" w:rsidRPr="00587EDD" w:rsidRDefault="00B36A49" w:rsidP="00DB3627">
      <w:pPr>
        <w:autoSpaceDE w:val="0"/>
        <w:autoSpaceDN w:val="0"/>
        <w:adjustRightInd w:val="0"/>
        <w:spacing w:after="0" w:line="240" w:lineRule="auto"/>
        <w:rPr>
          <w:rFonts w:cstheme="minorHAnsi"/>
          <w:b/>
          <w:u w:val="single"/>
        </w:rPr>
      </w:pPr>
    </w:p>
    <w:p w14:paraId="172BB4FF" w14:textId="7504EADE" w:rsidR="00E37A29" w:rsidRPr="00E37A29" w:rsidRDefault="00E37A29" w:rsidP="00E37A29">
      <w:pPr>
        <w:rPr>
          <w:rFonts w:cstheme="minorHAnsi"/>
          <w:b/>
          <w:bCs/>
          <w:color w:val="FF0000"/>
          <w:highlight w:val="yellow"/>
        </w:rPr>
      </w:pPr>
      <w:r w:rsidRPr="00901C2B">
        <w:rPr>
          <w:rFonts w:cstheme="minorHAnsi"/>
          <w:color w:val="FF0000"/>
        </w:rPr>
        <w:t xml:space="preserve">Table 2a provides the point estimate of mean signal-to-noise reliability, its standard error, and the 95% CI for the </w:t>
      </w:r>
      <w:r w:rsidRPr="00901C2B">
        <w:rPr>
          <w:rFonts w:ascii="Calibri" w:hAnsi="Calibri" w:cs="Calibri"/>
          <w:color w:val="FF0000"/>
        </w:rPr>
        <w:t xml:space="preserve">Follow-Up After Hospitalization For Mental Illness - </w:t>
      </w:r>
      <w:r>
        <w:rPr>
          <w:rFonts w:ascii="Calibri" w:hAnsi="Calibri" w:cs="Calibri"/>
          <w:color w:val="FF0000"/>
        </w:rPr>
        <w:t>7 day</w:t>
      </w:r>
      <w:r w:rsidRPr="00901C2B">
        <w:rPr>
          <w:rFonts w:cstheme="minorHAnsi"/>
          <w:i/>
          <w:iCs/>
          <w:color w:val="FF0000"/>
        </w:rPr>
        <w:t xml:space="preserve"> </w:t>
      </w:r>
      <w:r w:rsidRPr="00901C2B">
        <w:rPr>
          <w:rFonts w:cstheme="minorHAnsi"/>
          <w:color w:val="FF0000"/>
        </w:rPr>
        <w:t xml:space="preserve">measure </w:t>
      </w:r>
      <w:r>
        <w:rPr>
          <w:rFonts w:cstheme="minorHAnsi"/>
          <w:color w:val="FF0000"/>
        </w:rPr>
        <w:t xml:space="preserve">rate </w:t>
      </w:r>
      <w:r w:rsidRPr="00901C2B">
        <w:rPr>
          <w:rFonts w:cstheme="minorHAnsi"/>
          <w:color w:val="FF0000"/>
        </w:rPr>
        <w:t xml:space="preserve">for Commercial, Medicaid and Medicare plans overall and stratified by the denominator size (distribution of the number of eligible members per plan). Over all commercial plans, the reliability estimate </w:t>
      </w:r>
      <w:r w:rsidRPr="00C46B42">
        <w:rPr>
          <w:rFonts w:cstheme="minorHAnsi"/>
          <w:color w:val="FF0000"/>
        </w:rPr>
        <w:t>is 0.884</w:t>
      </w:r>
      <w:r w:rsidRPr="00901C2B">
        <w:rPr>
          <w:rFonts w:cstheme="minorHAnsi"/>
          <w:color w:val="FF0000"/>
        </w:rPr>
        <w:t xml:space="preserve">, and the 95% CI </w:t>
      </w:r>
      <w:r w:rsidRPr="0010564D">
        <w:rPr>
          <w:rFonts w:cstheme="minorHAnsi"/>
          <w:color w:val="FF0000"/>
        </w:rPr>
        <w:t>is (0.872, 0.895</w:t>
      </w:r>
      <w:r w:rsidRPr="00901C2B">
        <w:rPr>
          <w:rFonts w:cstheme="minorHAnsi"/>
          <w:color w:val="FF0000"/>
        </w:rPr>
        <w:t>), indicating good reliability. Stratified analyses show that reliability increase as plan size gets larger</w:t>
      </w:r>
      <w:r>
        <w:rPr>
          <w:rFonts w:cstheme="minorHAnsi"/>
          <w:color w:val="FF0000"/>
        </w:rPr>
        <w:t xml:space="preserve"> and exceeds .8 for all terciles</w:t>
      </w:r>
      <w:r w:rsidRPr="00901C2B">
        <w:rPr>
          <w:rFonts w:cstheme="minorHAnsi"/>
          <w:color w:val="FF0000"/>
        </w:rPr>
        <w:t xml:space="preserve">. Over all Medicaid plans, the reliability estimate is </w:t>
      </w:r>
      <w:r w:rsidRPr="005D330C">
        <w:rPr>
          <w:rFonts w:cstheme="minorHAnsi"/>
          <w:color w:val="FF0000"/>
        </w:rPr>
        <w:t>0.969 and the 95% CI is (0.962, 0.975</w:t>
      </w:r>
      <w:r w:rsidRPr="00901C2B">
        <w:rPr>
          <w:rFonts w:cstheme="minorHAnsi"/>
          <w:color w:val="FF0000"/>
        </w:rPr>
        <w:t xml:space="preserve">), indicating very good reliability. </w:t>
      </w:r>
      <w:r w:rsidRPr="0010564D">
        <w:rPr>
          <w:rFonts w:cstheme="minorHAnsi"/>
          <w:color w:val="FF0000"/>
        </w:rPr>
        <w:t>Results from the stratified analyses show that reliability exceeds 0.9 for all terciles.</w:t>
      </w:r>
      <w:r w:rsidRPr="002C7C95">
        <w:rPr>
          <w:rFonts w:cstheme="minorHAnsi"/>
          <w:color w:val="FF0000"/>
        </w:rPr>
        <w:t xml:space="preserve"> </w:t>
      </w:r>
      <w:r w:rsidRPr="00901C2B">
        <w:rPr>
          <w:rFonts w:cstheme="minorHAnsi"/>
          <w:color w:val="FF0000"/>
        </w:rPr>
        <w:t>Over all Medica</w:t>
      </w:r>
      <w:r>
        <w:rPr>
          <w:rFonts w:cstheme="minorHAnsi"/>
          <w:color w:val="FF0000"/>
        </w:rPr>
        <w:t xml:space="preserve">re </w:t>
      </w:r>
      <w:r w:rsidRPr="00901C2B">
        <w:rPr>
          <w:rFonts w:cstheme="minorHAnsi"/>
          <w:color w:val="FF0000"/>
        </w:rPr>
        <w:t xml:space="preserve">plans, the reliability estimate is </w:t>
      </w:r>
      <w:r w:rsidRPr="005D330C">
        <w:rPr>
          <w:rFonts w:cstheme="minorHAnsi"/>
          <w:color w:val="FF0000"/>
        </w:rPr>
        <w:t>0.9</w:t>
      </w:r>
      <w:r>
        <w:rPr>
          <w:rFonts w:cstheme="minorHAnsi"/>
          <w:color w:val="FF0000"/>
        </w:rPr>
        <w:t>00</w:t>
      </w:r>
      <w:r w:rsidRPr="005D330C">
        <w:rPr>
          <w:rFonts w:cstheme="minorHAnsi"/>
          <w:color w:val="FF0000"/>
        </w:rPr>
        <w:t xml:space="preserve"> and the 95% CI is (0.</w:t>
      </w:r>
      <w:r>
        <w:rPr>
          <w:rFonts w:cstheme="minorHAnsi"/>
          <w:color w:val="FF0000"/>
        </w:rPr>
        <w:t>890</w:t>
      </w:r>
      <w:r w:rsidRPr="005D330C">
        <w:rPr>
          <w:rFonts w:cstheme="minorHAnsi"/>
          <w:color w:val="FF0000"/>
        </w:rPr>
        <w:t>, 0.9</w:t>
      </w:r>
      <w:r>
        <w:rPr>
          <w:rFonts w:cstheme="minorHAnsi"/>
          <w:color w:val="FF0000"/>
        </w:rPr>
        <w:t>09</w:t>
      </w:r>
      <w:r w:rsidRPr="00901C2B">
        <w:rPr>
          <w:rFonts w:cstheme="minorHAnsi"/>
          <w:color w:val="FF0000"/>
        </w:rPr>
        <w:t>), indicating very good reliability</w:t>
      </w:r>
      <w:r w:rsidRPr="009E5B6E">
        <w:rPr>
          <w:rFonts w:cstheme="minorHAnsi"/>
          <w:color w:val="FF0000"/>
        </w:rPr>
        <w:t xml:space="preserve">. </w:t>
      </w:r>
      <w:r w:rsidRPr="007F1602">
        <w:rPr>
          <w:rFonts w:cstheme="minorHAnsi"/>
          <w:color w:val="FF0000"/>
        </w:rPr>
        <w:t xml:space="preserve">Results from the stratified analyses show that reliability </w:t>
      </w:r>
      <w:r w:rsidR="007C4D35">
        <w:rPr>
          <w:rFonts w:cstheme="minorHAnsi"/>
          <w:color w:val="FF0000"/>
        </w:rPr>
        <w:t>tends to increase</w:t>
      </w:r>
      <w:r w:rsidRPr="007F1602">
        <w:rPr>
          <w:rFonts w:cstheme="minorHAnsi"/>
          <w:color w:val="FF0000"/>
        </w:rPr>
        <w:t xml:space="preserve"> as plan size gets larger and exceeds .8 for all terciles.</w:t>
      </w:r>
    </w:p>
    <w:p w14:paraId="4E1BF7B2" w14:textId="77777777" w:rsidR="00E37A29" w:rsidRDefault="00E37A29" w:rsidP="00DB3627">
      <w:pPr>
        <w:autoSpaceDE w:val="0"/>
        <w:autoSpaceDN w:val="0"/>
        <w:adjustRightInd w:val="0"/>
        <w:spacing w:after="0" w:line="240" w:lineRule="auto"/>
        <w:rPr>
          <w:rFonts w:cstheme="minorHAnsi"/>
          <w:bCs/>
        </w:rPr>
      </w:pPr>
    </w:p>
    <w:p w14:paraId="66B928B7" w14:textId="7D47ED59" w:rsidR="00CF14B6" w:rsidRPr="0010564D" w:rsidRDefault="00CF14B6" w:rsidP="00CF14B6">
      <w:pPr>
        <w:autoSpaceDE w:val="0"/>
        <w:autoSpaceDN w:val="0"/>
        <w:adjustRightInd w:val="0"/>
        <w:spacing w:after="60" w:line="240" w:lineRule="auto"/>
        <w:rPr>
          <w:rFonts w:cstheme="minorHAnsi"/>
          <w:b/>
          <w:bCs/>
          <w:color w:val="FF0000"/>
        </w:rPr>
      </w:pPr>
      <w:r w:rsidRPr="00901C2B">
        <w:rPr>
          <w:rFonts w:cstheme="minorHAnsi"/>
          <w:color w:val="FF0000"/>
        </w:rPr>
        <w:t>Table 2</w:t>
      </w:r>
      <w:r>
        <w:rPr>
          <w:rFonts w:cstheme="minorHAnsi"/>
          <w:color w:val="FF0000"/>
        </w:rPr>
        <w:t>b</w:t>
      </w:r>
      <w:r w:rsidRPr="00901C2B">
        <w:rPr>
          <w:rFonts w:cstheme="minorHAnsi"/>
          <w:color w:val="FF0000"/>
        </w:rPr>
        <w:t xml:space="preserve"> provides the point estimate of mean signal-to-noise reliability, its standard error, and the 95% CI for the </w:t>
      </w:r>
      <w:r w:rsidRPr="00901C2B">
        <w:rPr>
          <w:rFonts w:ascii="Calibri" w:hAnsi="Calibri" w:cs="Calibri"/>
          <w:color w:val="FF0000"/>
        </w:rPr>
        <w:t xml:space="preserve">Follow-Up After Hospitalization For Mental Illness - </w:t>
      </w:r>
      <w:r>
        <w:rPr>
          <w:rFonts w:ascii="Calibri" w:hAnsi="Calibri" w:cs="Calibri"/>
          <w:color w:val="FF0000"/>
        </w:rPr>
        <w:t>30 day</w:t>
      </w:r>
      <w:r w:rsidRPr="00901C2B">
        <w:rPr>
          <w:rFonts w:cstheme="minorHAnsi"/>
          <w:i/>
          <w:iCs/>
          <w:color w:val="FF0000"/>
        </w:rPr>
        <w:t xml:space="preserve"> </w:t>
      </w:r>
      <w:r w:rsidRPr="00901C2B">
        <w:rPr>
          <w:rFonts w:cstheme="minorHAnsi"/>
          <w:color w:val="FF0000"/>
        </w:rPr>
        <w:t xml:space="preserve">measure </w:t>
      </w:r>
      <w:r>
        <w:rPr>
          <w:rFonts w:cstheme="minorHAnsi"/>
          <w:color w:val="FF0000"/>
        </w:rPr>
        <w:t xml:space="preserve">rate </w:t>
      </w:r>
      <w:r w:rsidRPr="00901C2B">
        <w:rPr>
          <w:rFonts w:cstheme="minorHAnsi"/>
          <w:color w:val="FF0000"/>
        </w:rPr>
        <w:t xml:space="preserve">for Commercial, Medicaid and Medicare plans overall and stratified by the denominator size (distribution of the number of eligible members per plan). </w:t>
      </w:r>
      <w:r w:rsidR="000D4E6F">
        <w:rPr>
          <w:rFonts w:cstheme="minorHAnsi"/>
          <w:color w:val="FF0000"/>
        </w:rPr>
        <w:t>Across</w:t>
      </w:r>
      <w:r w:rsidRPr="00901C2B">
        <w:rPr>
          <w:rFonts w:cstheme="minorHAnsi"/>
          <w:color w:val="FF0000"/>
        </w:rPr>
        <w:t xml:space="preserve"> all commercial plans, the reliability estimate is </w:t>
      </w:r>
      <w:r w:rsidRPr="009E5B6E">
        <w:rPr>
          <w:rFonts w:cstheme="minorHAnsi"/>
          <w:color w:val="FF0000"/>
        </w:rPr>
        <w:t>0.</w:t>
      </w:r>
      <w:r>
        <w:rPr>
          <w:rFonts w:cstheme="minorHAnsi"/>
          <w:color w:val="FF0000"/>
        </w:rPr>
        <w:t>883</w:t>
      </w:r>
      <w:r w:rsidRPr="00901C2B">
        <w:rPr>
          <w:rFonts w:cstheme="minorHAnsi"/>
          <w:color w:val="FF0000"/>
        </w:rPr>
        <w:t xml:space="preserve">, and the 95% CI is </w:t>
      </w:r>
      <w:r w:rsidRPr="000D4E6F">
        <w:rPr>
          <w:rFonts w:cstheme="minorHAnsi"/>
          <w:color w:val="FF0000"/>
        </w:rPr>
        <w:t xml:space="preserve">(0.872, 0.895) </w:t>
      </w:r>
      <w:r w:rsidRPr="00901C2B">
        <w:rPr>
          <w:rFonts w:cstheme="minorHAnsi"/>
          <w:color w:val="FF0000"/>
        </w:rPr>
        <w:t xml:space="preserve">indicating good reliability. Stratified </w:t>
      </w:r>
      <w:r w:rsidRPr="0010564D">
        <w:rPr>
          <w:rFonts w:cstheme="minorHAnsi"/>
          <w:color w:val="FF0000"/>
        </w:rPr>
        <w:t>analyses show that reliability increase</w:t>
      </w:r>
      <w:r>
        <w:rPr>
          <w:rFonts w:cstheme="minorHAnsi"/>
          <w:color w:val="FF0000"/>
        </w:rPr>
        <w:t>s</w:t>
      </w:r>
      <w:r w:rsidRPr="0010564D">
        <w:rPr>
          <w:rFonts w:cstheme="minorHAnsi"/>
          <w:color w:val="FF0000"/>
        </w:rPr>
        <w:t xml:space="preserve"> as plan size gets larger</w:t>
      </w:r>
      <w:r>
        <w:rPr>
          <w:rFonts w:cstheme="minorHAnsi"/>
          <w:color w:val="FF0000"/>
        </w:rPr>
        <w:t xml:space="preserve"> and exceeds .8 for all terciles</w:t>
      </w:r>
      <w:r w:rsidRPr="0010564D">
        <w:rPr>
          <w:rFonts w:cstheme="minorHAnsi"/>
          <w:color w:val="FF0000"/>
        </w:rPr>
        <w:t xml:space="preserve">. </w:t>
      </w:r>
      <w:r w:rsidR="000D4E6F">
        <w:rPr>
          <w:rFonts w:cstheme="minorHAnsi"/>
          <w:color w:val="FF0000"/>
        </w:rPr>
        <w:t>Across</w:t>
      </w:r>
      <w:r w:rsidRPr="0010564D">
        <w:rPr>
          <w:rFonts w:cstheme="minorHAnsi"/>
          <w:color w:val="FF0000"/>
        </w:rPr>
        <w:t xml:space="preserve"> all Medicaid plans, the reliability estimate is 0.967</w:t>
      </w:r>
      <w:r w:rsidRPr="00901C2B">
        <w:rPr>
          <w:rFonts w:cstheme="minorHAnsi"/>
          <w:color w:val="FF0000"/>
        </w:rPr>
        <w:t xml:space="preserve"> and the 95% CI is</w:t>
      </w:r>
      <w:r w:rsidRPr="0010564D">
        <w:rPr>
          <w:rFonts w:cstheme="minorHAnsi"/>
          <w:color w:val="FF0000"/>
        </w:rPr>
        <w:t xml:space="preserve"> (0.960, 0.975), </w:t>
      </w:r>
      <w:r w:rsidRPr="00901C2B">
        <w:rPr>
          <w:rFonts w:cstheme="minorHAnsi"/>
          <w:color w:val="FF0000"/>
        </w:rPr>
        <w:t xml:space="preserve">indicating very good reliability. </w:t>
      </w:r>
      <w:r w:rsidRPr="0010564D">
        <w:rPr>
          <w:rFonts w:cstheme="minorHAnsi"/>
          <w:color w:val="FF0000"/>
        </w:rPr>
        <w:t xml:space="preserve">Results from the stratified analyses show that reliability exceeds 0.9 for all terciles. </w:t>
      </w:r>
      <w:r w:rsidR="000D4E6F">
        <w:rPr>
          <w:rFonts w:cstheme="minorHAnsi"/>
          <w:color w:val="FF0000"/>
        </w:rPr>
        <w:t>Across</w:t>
      </w:r>
      <w:r w:rsidRPr="00901C2B">
        <w:rPr>
          <w:rFonts w:cstheme="minorHAnsi"/>
          <w:color w:val="FF0000"/>
        </w:rPr>
        <w:t xml:space="preserve"> all Medica</w:t>
      </w:r>
      <w:r>
        <w:rPr>
          <w:rFonts w:cstheme="minorHAnsi"/>
          <w:color w:val="FF0000"/>
        </w:rPr>
        <w:t xml:space="preserve">re </w:t>
      </w:r>
      <w:r w:rsidRPr="00901C2B">
        <w:rPr>
          <w:rFonts w:cstheme="minorHAnsi"/>
          <w:color w:val="FF0000"/>
        </w:rPr>
        <w:t xml:space="preserve">plans, the reliability estimate is </w:t>
      </w:r>
      <w:r w:rsidRPr="005D330C">
        <w:rPr>
          <w:rFonts w:cstheme="minorHAnsi"/>
          <w:color w:val="FF0000"/>
        </w:rPr>
        <w:t>0.9</w:t>
      </w:r>
      <w:r>
        <w:rPr>
          <w:rFonts w:cstheme="minorHAnsi"/>
          <w:color w:val="FF0000"/>
        </w:rPr>
        <w:t>10</w:t>
      </w:r>
      <w:r w:rsidRPr="005D330C">
        <w:rPr>
          <w:rFonts w:cstheme="minorHAnsi"/>
          <w:color w:val="FF0000"/>
        </w:rPr>
        <w:t xml:space="preserve"> and the 95% CI is </w:t>
      </w:r>
      <w:r w:rsidRPr="000D4E6F">
        <w:rPr>
          <w:rFonts w:cstheme="minorHAnsi"/>
          <w:color w:val="FF0000"/>
        </w:rPr>
        <w:t xml:space="preserve">(0.902, 0.918) </w:t>
      </w:r>
      <w:r w:rsidRPr="00901C2B">
        <w:rPr>
          <w:rFonts w:cstheme="minorHAnsi"/>
          <w:color w:val="FF0000"/>
        </w:rPr>
        <w:t>indicating very good reliability</w:t>
      </w:r>
      <w:r w:rsidRPr="00945EC4">
        <w:rPr>
          <w:rFonts w:cstheme="minorHAnsi"/>
          <w:color w:val="FF0000"/>
        </w:rPr>
        <w:t>. Results from the stratified analyses show that reliability increases as plan size gets larger and exceeds 0.8 for all terciles.</w:t>
      </w:r>
    </w:p>
    <w:p w14:paraId="6152A2EF" w14:textId="77777777" w:rsidR="00CF14B6" w:rsidRDefault="00CF14B6" w:rsidP="00DB3627">
      <w:pPr>
        <w:autoSpaceDE w:val="0"/>
        <w:autoSpaceDN w:val="0"/>
        <w:adjustRightInd w:val="0"/>
        <w:spacing w:after="0" w:line="240" w:lineRule="auto"/>
        <w:rPr>
          <w:rFonts w:cstheme="minorHAnsi"/>
          <w:bCs/>
        </w:rPr>
      </w:pPr>
    </w:p>
    <w:p w14:paraId="023CF4E3" w14:textId="71EB3CC5" w:rsidR="00CF14B6" w:rsidRPr="00CF14B6" w:rsidRDefault="00CF14B6" w:rsidP="00CF14B6">
      <w:pPr>
        <w:spacing w:before="180" w:after="0" w:line="256" w:lineRule="auto"/>
        <w:rPr>
          <w:rFonts w:cstheme="minorHAnsi"/>
          <w:color w:val="FF0000"/>
        </w:rPr>
      </w:pPr>
      <w:r w:rsidRPr="00FC2C4D">
        <w:rPr>
          <w:rFonts w:cstheme="minorHAnsi"/>
          <w:color w:val="FF0000"/>
        </w:rPr>
        <w:t>Table 3a</w:t>
      </w:r>
      <w:r>
        <w:rPr>
          <w:rFonts w:cstheme="minorHAnsi"/>
          <w:color w:val="FF0000"/>
        </w:rPr>
        <w:t xml:space="preserve"> </w:t>
      </w:r>
      <w:r w:rsidRPr="00FC2C4D">
        <w:rPr>
          <w:rFonts w:cstheme="minorHAnsi"/>
          <w:color w:val="FF0000"/>
        </w:rPr>
        <w:t>summarize</w:t>
      </w:r>
      <w:r>
        <w:rPr>
          <w:rFonts w:cstheme="minorHAnsi"/>
          <w:color w:val="FF0000"/>
        </w:rPr>
        <w:t>s</w:t>
      </w:r>
      <w:r w:rsidRPr="00FC2C4D">
        <w:rPr>
          <w:rFonts w:cstheme="minorHAnsi"/>
          <w:color w:val="FF0000"/>
        </w:rPr>
        <w:t xml:space="preserve"> the distribution of plan-level signal-to-noise reliability estimates for the Follow-Up After Hospitalization for Mental Illness </w:t>
      </w:r>
      <w:r>
        <w:rPr>
          <w:rFonts w:cstheme="minorHAnsi"/>
          <w:color w:val="FF0000"/>
        </w:rPr>
        <w:t>7-day</w:t>
      </w:r>
      <w:r w:rsidRPr="00FC2C4D">
        <w:rPr>
          <w:rFonts w:cstheme="minorHAnsi"/>
          <w:color w:val="FF0000"/>
        </w:rPr>
        <w:t xml:space="preserve"> measure rate. Over all commercial plans, the estimates range from </w:t>
      </w:r>
      <w:r w:rsidRPr="00C73E11">
        <w:rPr>
          <w:rFonts w:cstheme="minorHAnsi"/>
          <w:color w:val="FF0000"/>
        </w:rPr>
        <w:t>0.567 to 0.100.</w:t>
      </w:r>
      <w:r w:rsidRPr="00FC2C4D">
        <w:rPr>
          <w:rFonts w:cstheme="minorHAnsi"/>
          <w:color w:val="FF0000"/>
        </w:rPr>
        <w:t xml:space="preserve"> The 50</w:t>
      </w:r>
      <w:r w:rsidRPr="00FC2C4D">
        <w:rPr>
          <w:rFonts w:cstheme="minorHAnsi"/>
          <w:color w:val="FF0000"/>
          <w:vertAlign w:val="superscript"/>
        </w:rPr>
        <w:t>th</w:t>
      </w:r>
      <w:r w:rsidRPr="00FC2C4D">
        <w:rPr>
          <w:rFonts w:cstheme="minorHAnsi"/>
          <w:color w:val="FF0000"/>
        </w:rPr>
        <w:t xml:space="preserve"> percentile </w:t>
      </w:r>
      <w:r w:rsidRPr="00C73E11">
        <w:rPr>
          <w:rFonts w:cstheme="minorHAnsi"/>
          <w:color w:val="FF0000"/>
        </w:rPr>
        <w:t>is 0.884</w:t>
      </w:r>
      <w:r w:rsidRPr="00FC2C4D">
        <w:rPr>
          <w:rFonts w:cstheme="minorHAnsi"/>
          <w:color w:val="FF0000"/>
        </w:rPr>
        <w:t xml:space="preserve">, which </w:t>
      </w:r>
      <w:r w:rsidRPr="00C73E11">
        <w:rPr>
          <w:rFonts w:cstheme="minorHAnsi"/>
          <w:color w:val="FF0000"/>
        </w:rPr>
        <w:t>exceeds the 0.70 threshold for reliability</w:t>
      </w:r>
      <w:r w:rsidRPr="00FC2C4D">
        <w:rPr>
          <w:rFonts w:cstheme="minorHAnsi"/>
          <w:color w:val="FF0000"/>
        </w:rPr>
        <w:t xml:space="preserve">. For Medicaid plans, the estimates range from </w:t>
      </w:r>
      <w:r w:rsidRPr="00C73E11">
        <w:rPr>
          <w:rFonts w:cstheme="minorHAnsi"/>
          <w:color w:val="FF0000"/>
        </w:rPr>
        <w:t>0.743 to .999; the 10</w:t>
      </w:r>
      <w:r w:rsidRPr="00C73E11">
        <w:rPr>
          <w:rFonts w:cstheme="minorHAnsi"/>
          <w:color w:val="FF0000"/>
          <w:vertAlign w:val="superscript"/>
        </w:rPr>
        <w:t>th</w:t>
      </w:r>
      <w:r w:rsidRPr="00C73E11">
        <w:rPr>
          <w:rFonts w:cstheme="minorHAnsi"/>
          <w:color w:val="FF0000"/>
        </w:rPr>
        <w:t xml:space="preserve"> perce</w:t>
      </w:r>
      <w:r w:rsidRPr="002E65D1">
        <w:rPr>
          <w:rFonts w:cstheme="minorHAnsi"/>
          <w:color w:val="FF0000"/>
        </w:rPr>
        <w:t>ntile is 0.916, indicating very good reliability. For Medicare plans, the estimates range from 0.653 to 1.000; the 50</w:t>
      </w:r>
      <w:r w:rsidRPr="002E65D1">
        <w:rPr>
          <w:rFonts w:cstheme="minorHAnsi"/>
          <w:color w:val="FF0000"/>
          <w:vertAlign w:val="superscript"/>
        </w:rPr>
        <w:t>th</w:t>
      </w:r>
      <w:r w:rsidRPr="002E65D1">
        <w:rPr>
          <w:rFonts w:cstheme="minorHAnsi"/>
          <w:color w:val="FF0000"/>
        </w:rPr>
        <w:t xml:space="preserve"> percentile is 0.900</w:t>
      </w:r>
      <w:r w:rsidRPr="00FC2C4D">
        <w:rPr>
          <w:rFonts w:cstheme="minorHAnsi"/>
          <w:color w:val="FF0000"/>
        </w:rPr>
        <w:t xml:space="preserve">, which </w:t>
      </w:r>
      <w:r w:rsidRPr="00C73E11">
        <w:rPr>
          <w:rFonts w:cstheme="minorHAnsi"/>
          <w:color w:val="FF0000"/>
        </w:rPr>
        <w:t>exceeds the 0.70 threshold for reliability</w:t>
      </w:r>
      <w:r>
        <w:rPr>
          <w:rFonts w:cstheme="minorHAnsi"/>
          <w:color w:val="FF0000"/>
        </w:rPr>
        <w:t>.</w:t>
      </w:r>
      <w:r w:rsidRPr="00FC2C4D">
        <w:rPr>
          <w:rFonts w:cstheme="minorHAnsi"/>
          <w:color w:val="FF0000"/>
        </w:rPr>
        <w:t xml:space="preserve"> This table also include the distribution of plan-level signal-to-noise reliability estimates stratified by denominator size. Reliability estimates </w:t>
      </w:r>
      <w:r w:rsidR="00EB13B7">
        <w:rPr>
          <w:rFonts w:cstheme="minorHAnsi"/>
          <w:color w:val="FF0000"/>
        </w:rPr>
        <w:t>tend to be</w:t>
      </w:r>
      <w:r w:rsidRPr="00FC2C4D">
        <w:rPr>
          <w:rFonts w:cstheme="minorHAnsi"/>
          <w:color w:val="FF0000"/>
        </w:rPr>
        <w:t xml:space="preserve"> higher for plans with a larger denominator.</w:t>
      </w:r>
    </w:p>
    <w:p w14:paraId="364AB5A2" w14:textId="77777777" w:rsidR="00CF14B6" w:rsidRDefault="00CF14B6" w:rsidP="00DB3627">
      <w:pPr>
        <w:autoSpaceDE w:val="0"/>
        <w:autoSpaceDN w:val="0"/>
        <w:adjustRightInd w:val="0"/>
        <w:spacing w:after="0" w:line="240" w:lineRule="auto"/>
        <w:rPr>
          <w:rFonts w:cstheme="minorHAnsi"/>
          <w:bCs/>
        </w:rPr>
      </w:pPr>
    </w:p>
    <w:p w14:paraId="68710C3F" w14:textId="366E8723" w:rsidR="00CF14B6" w:rsidRPr="00FC2C4D" w:rsidRDefault="00CF14B6" w:rsidP="00CF14B6">
      <w:pPr>
        <w:spacing w:before="180" w:after="0" w:line="256" w:lineRule="auto"/>
        <w:rPr>
          <w:rFonts w:cstheme="minorHAnsi"/>
          <w:color w:val="FF0000"/>
        </w:rPr>
      </w:pPr>
      <w:r w:rsidRPr="00FC2C4D">
        <w:rPr>
          <w:rFonts w:cstheme="minorHAnsi"/>
          <w:color w:val="FF0000"/>
        </w:rPr>
        <w:lastRenderedPageBreak/>
        <w:t>Table 3</w:t>
      </w:r>
      <w:r>
        <w:rPr>
          <w:rFonts w:cstheme="minorHAnsi"/>
          <w:color w:val="FF0000"/>
        </w:rPr>
        <w:t xml:space="preserve">b </w:t>
      </w:r>
      <w:r w:rsidRPr="00FC2C4D">
        <w:rPr>
          <w:rFonts w:cstheme="minorHAnsi"/>
          <w:color w:val="FF0000"/>
        </w:rPr>
        <w:t>summarize</w:t>
      </w:r>
      <w:r>
        <w:rPr>
          <w:rFonts w:cstheme="minorHAnsi"/>
          <w:color w:val="FF0000"/>
        </w:rPr>
        <w:t>s</w:t>
      </w:r>
      <w:r w:rsidRPr="00FC2C4D">
        <w:rPr>
          <w:rFonts w:cstheme="minorHAnsi"/>
          <w:color w:val="FF0000"/>
        </w:rPr>
        <w:t xml:space="preserve"> the distribution of plan-level signal-to-noise reliability estimates for the Follow-Up After Hospitalization for Mental Illness </w:t>
      </w:r>
      <w:r>
        <w:rPr>
          <w:rFonts w:cstheme="minorHAnsi"/>
          <w:color w:val="FF0000"/>
        </w:rPr>
        <w:t>30-day</w:t>
      </w:r>
      <w:r w:rsidRPr="00FC2C4D">
        <w:rPr>
          <w:rFonts w:cstheme="minorHAnsi"/>
          <w:color w:val="FF0000"/>
        </w:rPr>
        <w:t xml:space="preserve"> measure rate. Over all commercial plans, the estimates range from </w:t>
      </w:r>
      <w:r w:rsidRPr="00F11731">
        <w:rPr>
          <w:rFonts w:cstheme="minorHAnsi"/>
          <w:color w:val="FF0000"/>
        </w:rPr>
        <w:t>0.541 to 1.000</w:t>
      </w:r>
      <w:r w:rsidRPr="00FC2C4D">
        <w:rPr>
          <w:rFonts w:cstheme="minorHAnsi"/>
          <w:color w:val="FF0000"/>
        </w:rPr>
        <w:t>. The 50</w:t>
      </w:r>
      <w:r w:rsidRPr="00FC2C4D">
        <w:rPr>
          <w:rFonts w:cstheme="minorHAnsi"/>
          <w:color w:val="FF0000"/>
          <w:vertAlign w:val="superscript"/>
        </w:rPr>
        <w:t>th</w:t>
      </w:r>
      <w:r w:rsidRPr="00FC2C4D">
        <w:rPr>
          <w:rFonts w:cstheme="minorHAnsi"/>
          <w:color w:val="FF0000"/>
        </w:rPr>
        <w:t xml:space="preserve"> </w:t>
      </w:r>
      <w:r w:rsidRPr="00291371">
        <w:rPr>
          <w:rFonts w:cstheme="minorHAnsi"/>
          <w:color w:val="FF0000"/>
        </w:rPr>
        <w:t>percentile is 0.883, which exceeds the 0.70 threshold for reliability. For</w:t>
      </w:r>
      <w:r w:rsidRPr="00FC2C4D">
        <w:rPr>
          <w:rFonts w:cstheme="minorHAnsi"/>
          <w:color w:val="FF0000"/>
        </w:rPr>
        <w:t xml:space="preserve"> Medicaid plans, the estimates range </w:t>
      </w:r>
      <w:r w:rsidRPr="00291371">
        <w:rPr>
          <w:rFonts w:cstheme="minorHAnsi"/>
          <w:color w:val="FF0000"/>
        </w:rPr>
        <w:t>from 0.708 to 0.999; the 10</w:t>
      </w:r>
      <w:r w:rsidRPr="00291371">
        <w:rPr>
          <w:rFonts w:cstheme="minorHAnsi"/>
          <w:color w:val="FF0000"/>
          <w:vertAlign w:val="superscript"/>
        </w:rPr>
        <w:t>th</w:t>
      </w:r>
      <w:r w:rsidRPr="00291371">
        <w:rPr>
          <w:rFonts w:cstheme="minorHAnsi"/>
          <w:color w:val="FF0000"/>
        </w:rPr>
        <w:t xml:space="preserve"> percentile is 0.908, indicating very good reliability. For Medicare plans, the estimates range from 0.714 to 0.997; the 50</w:t>
      </w:r>
      <w:r w:rsidRPr="00291371">
        <w:rPr>
          <w:rFonts w:cstheme="minorHAnsi"/>
          <w:color w:val="FF0000"/>
          <w:vertAlign w:val="superscript"/>
        </w:rPr>
        <w:t>th</w:t>
      </w:r>
      <w:r w:rsidRPr="00291371">
        <w:rPr>
          <w:rFonts w:cstheme="minorHAnsi"/>
          <w:color w:val="FF0000"/>
        </w:rPr>
        <w:t xml:space="preserve"> percentile is 0.910, which exceeds the 0.70 threshold for reliability</w:t>
      </w:r>
      <w:r>
        <w:rPr>
          <w:rFonts w:cstheme="minorHAnsi"/>
          <w:color w:val="FF0000"/>
        </w:rPr>
        <w:t>.</w:t>
      </w:r>
      <w:r w:rsidRPr="00FC2C4D">
        <w:rPr>
          <w:rFonts w:cstheme="minorHAnsi"/>
          <w:color w:val="FF0000"/>
        </w:rPr>
        <w:t xml:space="preserve"> This table also include the distribution of plan-level signal-to-noise reliability estimates stratified by denominator size. Reliability estimates </w:t>
      </w:r>
      <w:r w:rsidR="00B04012">
        <w:rPr>
          <w:rFonts w:cstheme="minorHAnsi"/>
          <w:color w:val="FF0000"/>
        </w:rPr>
        <w:t>tend to me</w:t>
      </w:r>
      <w:r w:rsidR="00B04012" w:rsidRPr="00FC2C4D">
        <w:rPr>
          <w:rFonts w:cstheme="minorHAnsi"/>
          <w:color w:val="FF0000"/>
        </w:rPr>
        <w:t xml:space="preserve"> </w:t>
      </w:r>
      <w:r w:rsidRPr="00FC2C4D">
        <w:rPr>
          <w:rFonts w:cstheme="minorHAnsi"/>
          <w:color w:val="FF0000"/>
        </w:rPr>
        <w:t>higher for plans with a larger denominator.</w:t>
      </w:r>
    </w:p>
    <w:p w14:paraId="4DDB12E7" w14:textId="77777777" w:rsidR="00CF14B6" w:rsidRDefault="00CF14B6" w:rsidP="00DB3627">
      <w:pPr>
        <w:autoSpaceDE w:val="0"/>
        <w:autoSpaceDN w:val="0"/>
        <w:adjustRightInd w:val="0"/>
        <w:spacing w:after="0" w:line="240" w:lineRule="auto"/>
        <w:rPr>
          <w:rFonts w:cstheme="minorHAnsi"/>
          <w:bCs/>
        </w:rPr>
      </w:pPr>
    </w:p>
    <w:p w14:paraId="7220EDDF" w14:textId="60A8CA01" w:rsidR="00061C32" w:rsidRPr="00061C32" w:rsidRDefault="00061C32" w:rsidP="00061C32">
      <w:pPr>
        <w:autoSpaceDE w:val="0"/>
        <w:autoSpaceDN w:val="0"/>
        <w:adjustRightInd w:val="0"/>
        <w:spacing w:after="0" w:line="240" w:lineRule="auto"/>
        <w:rPr>
          <w:rFonts w:cstheme="minorHAnsi"/>
          <w:b/>
          <w:bCs/>
          <w:color w:val="244061" w:themeColor="accent1" w:themeShade="80"/>
          <w:u w:val="single"/>
        </w:rPr>
      </w:pPr>
      <w:r w:rsidRPr="00061C32">
        <w:rPr>
          <w:rFonts w:cstheme="minorHAnsi"/>
          <w:b/>
          <w:bCs/>
          <w:color w:val="244061" w:themeColor="accent1" w:themeShade="80"/>
          <w:u w:val="single"/>
        </w:rPr>
        <w:t>2016 submission:</w:t>
      </w:r>
    </w:p>
    <w:p w14:paraId="490CE8A9" w14:textId="357F5D09" w:rsidR="00061C32" w:rsidRPr="00963489" w:rsidRDefault="00061C32" w:rsidP="00061C32">
      <w:pPr>
        <w:autoSpaceDE w:val="0"/>
        <w:autoSpaceDN w:val="0"/>
        <w:adjustRightInd w:val="0"/>
        <w:spacing w:after="0" w:line="240" w:lineRule="auto"/>
        <w:rPr>
          <w:rFonts w:cs="Times New Roman"/>
          <w:bCs/>
          <w:color w:val="244061" w:themeColor="accent1" w:themeShade="80"/>
        </w:rPr>
      </w:pPr>
      <w:r w:rsidRPr="00963489">
        <w:rPr>
          <w:rFonts w:cstheme="minorHAnsi"/>
          <w:color w:val="244061" w:themeColor="accent1" w:themeShade="80"/>
        </w:rPr>
        <w:t>Among Commercial, Medicare, and Medicaid plans, r</w:t>
      </w:r>
      <w:r w:rsidRPr="00963489">
        <w:rPr>
          <w:rFonts w:cs="Times New Roman"/>
          <w:bCs/>
          <w:color w:val="244061" w:themeColor="accent1" w:themeShade="80"/>
        </w:rPr>
        <w:t xml:space="preserve">esults indicate both the 7-day and 30-day rates within this measure have a good signal to noise ratio that are well above the 0.7 threshold for adequate reliability. This data analysis suggests the measure has high reliability and can discriminate performance between accountable entities. </w:t>
      </w:r>
    </w:p>
    <w:p w14:paraId="09742DC7" w14:textId="77777777" w:rsidR="00061C32" w:rsidRPr="00A25024" w:rsidRDefault="00061C32" w:rsidP="00DB3627">
      <w:pPr>
        <w:autoSpaceDE w:val="0"/>
        <w:autoSpaceDN w:val="0"/>
        <w:adjustRightInd w:val="0"/>
        <w:spacing w:after="0" w:line="240" w:lineRule="auto"/>
        <w:rPr>
          <w:rFonts w:cstheme="minorHAnsi"/>
          <w:bCs/>
        </w:rPr>
      </w:pPr>
    </w:p>
    <w:p w14:paraId="0CABCFD5"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222AE22D"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775623B6" w:rsidR="00696262" w:rsidRPr="00A25024" w:rsidRDefault="00F0285B"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9204AC">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62AEA66E" w:rsidR="000574AB" w:rsidRPr="00A25024" w:rsidRDefault="00F0285B"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9204AC">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9204AC">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0CABCFDA" w14:textId="77777777" w:rsidR="00CA06D8" w:rsidRDefault="00CA06D8" w:rsidP="00DB3627">
      <w:pPr>
        <w:autoSpaceDE w:val="0"/>
        <w:autoSpaceDN w:val="0"/>
        <w:adjustRightInd w:val="0"/>
        <w:spacing w:after="0" w:line="240" w:lineRule="auto"/>
        <w:rPr>
          <w:rFonts w:cstheme="minorHAnsi"/>
        </w:rPr>
      </w:pPr>
    </w:p>
    <w:p w14:paraId="0D4BE8C5" w14:textId="77777777" w:rsidR="00D27D72" w:rsidRPr="00A25024" w:rsidRDefault="00D27D72" w:rsidP="00DB3627">
      <w:pPr>
        <w:autoSpaceDE w:val="0"/>
        <w:autoSpaceDN w:val="0"/>
        <w:adjustRightInd w:val="0"/>
        <w:spacing w:after="0" w:line="240" w:lineRule="auto"/>
        <w:rPr>
          <w:rFonts w:cstheme="minorHAnsi"/>
        </w:rPr>
      </w:pPr>
    </w:p>
    <w:p w14:paraId="0CABCFDC" w14:textId="552202C1" w:rsidR="00833325"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14:paraId="1411DCFF" w14:textId="77777777" w:rsidR="00D27D72" w:rsidRPr="00D27D72" w:rsidRDefault="00D27D72" w:rsidP="00D27D72">
      <w:pPr>
        <w:autoSpaceDE w:val="0"/>
        <w:autoSpaceDN w:val="0"/>
        <w:adjustRightInd w:val="0"/>
        <w:spacing w:after="0" w:line="240" w:lineRule="auto"/>
        <w:rPr>
          <w:rFonts w:cstheme="minorHAnsi"/>
          <w:b/>
          <w:color w:val="FF0000"/>
          <w:u w:val="single"/>
        </w:rPr>
      </w:pPr>
      <w:r w:rsidRPr="00D27D72">
        <w:rPr>
          <w:rFonts w:cstheme="minorHAnsi"/>
          <w:b/>
          <w:color w:val="FF0000"/>
          <w:u w:val="single"/>
        </w:rPr>
        <w:t>2020 Submission</w:t>
      </w:r>
    </w:p>
    <w:p w14:paraId="0C57E8B3" w14:textId="77777777" w:rsidR="00D27D72" w:rsidRDefault="00D27D72" w:rsidP="00D27D72">
      <w:pPr>
        <w:autoSpaceDE w:val="0"/>
        <w:autoSpaceDN w:val="0"/>
        <w:adjustRightInd w:val="0"/>
        <w:spacing w:after="0" w:line="240" w:lineRule="auto"/>
        <w:rPr>
          <w:rFonts w:cstheme="minorHAnsi"/>
          <w:bCs/>
        </w:rPr>
      </w:pPr>
    </w:p>
    <w:p w14:paraId="4F37B5F3" w14:textId="77777777" w:rsidR="00731B47" w:rsidRPr="004E4175" w:rsidRDefault="00731B47" w:rsidP="00731B47">
      <w:pPr>
        <w:pStyle w:val="paragraph"/>
        <w:spacing w:before="0" w:beforeAutospacing="0" w:after="0" w:afterAutospacing="0"/>
        <w:textAlignment w:val="baseline"/>
        <w:rPr>
          <w:rFonts w:ascii="&amp;quot" w:hAnsi="&amp;quot"/>
          <w:color w:val="FF0000"/>
          <w:sz w:val="18"/>
          <w:szCs w:val="18"/>
        </w:rPr>
      </w:pPr>
      <w:r w:rsidRPr="004E4175">
        <w:rPr>
          <w:rFonts w:ascii="Calibri" w:hAnsi="Calibri" w:cs="Calibri"/>
          <w:color w:val="FF0000"/>
          <w:sz w:val="22"/>
          <w:szCs w:val="22"/>
        </w:rPr>
        <w:t xml:space="preserve">We assessed construct validity </w:t>
      </w:r>
      <w:r>
        <w:rPr>
          <w:rFonts w:ascii="Calibri" w:hAnsi="Calibri" w:cs="Calibri"/>
          <w:color w:val="FF0000"/>
          <w:sz w:val="22"/>
          <w:szCs w:val="22"/>
        </w:rPr>
        <w:t xml:space="preserve">and </w:t>
      </w:r>
      <w:r w:rsidRPr="004E4175">
        <w:rPr>
          <w:rFonts w:ascii="Calibri" w:hAnsi="Calibri" w:cs="Calibri"/>
          <w:color w:val="FF0000"/>
          <w:sz w:val="22"/>
          <w:szCs w:val="22"/>
        </w:rPr>
        <w:t>face validity for this measure.  </w:t>
      </w:r>
    </w:p>
    <w:p w14:paraId="274C0ABD" w14:textId="77777777" w:rsidR="00731B47" w:rsidRPr="000375D4" w:rsidRDefault="00731B47" w:rsidP="00731B47">
      <w:pPr>
        <w:spacing w:after="0" w:line="240" w:lineRule="auto"/>
        <w:textAlignment w:val="baseline"/>
        <w:rPr>
          <w:rFonts w:ascii="&amp;quot" w:eastAsia="Times New Roman" w:hAnsi="&amp;quot" w:cs="Times New Roman"/>
          <w:color w:val="FF0000"/>
          <w:sz w:val="18"/>
          <w:szCs w:val="18"/>
        </w:rPr>
      </w:pPr>
      <w:r w:rsidRPr="000375D4">
        <w:rPr>
          <w:rFonts w:ascii="Calibri" w:eastAsia="Times New Roman" w:hAnsi="Calibri" w:cs="Calibri"/>
          <w:color w:val="FF0000"/>
        </w:rPr>
        <w:t> </w:t>
      </w:r>
    </w:p>
    <w:p w14:paraId="2386C823" w14:textId="77777777" w:rsidR="00731B47" w:rsidRPr="000375D4" w:rsidRDefault="00731B47" w:rsidP="00731B47">
      <w:pPr>
        <w:spacing w:after="0" w:line="240" w:lineRule="auto"/>
        <w:textAlignment w:val="baseline"/>
        <w:rPr>
          <w:rFonts w:ascii="&amp;quot" w:eastAsia="Times New Roman" w:hAnsi="&amp;quot" w:cs="Times New Roman"/>
          <w:color w:val="FF0000"/>
          <w:sz w:val="18"/>
          <w:szCs w:val="18"/>
        </w:rPr>
      </w:pPr>
      <w:r w:rsidRPr="000375D4">
        <w:rPr>
          <w:rFonts w:ascii="Calibri" w:eastAsia="Times New Roman" w:hAnsi="Calibri" w:cs="Calibri"/>
          <w:color w:val="FF0000"/>
          <w:u w:val="single"/>
        </w:rPr>
        <w:t>Method of testing construct validity  </w:t>
      </w:r>
      <w:r w:rsidRPr="000375D4">
        <w:rPr>
          <w:rFonts w:ascii="Calibri" w:eastAsia="Times New Roman" w:hAnsi="Calibri" w:cs="Calibri"/>
          <w:color w:val="FF0000"/>
        </w:rPr>
        <w:t> </w:t>
      </w:r>
    </w:p>
    <w:p w14:paraId="04B8A788" w14:textId="77777777" w:rsidR="00731B47" w:rsidRPr="000375D4" w:rsidRDefault="00731B47" w:rsidP="00731B47">
      <w:pPr>
        <w:spacing w:after="0" w:line="240" w:lineRule="auto"/>
        <w:textAlignment w:val="baseline"/>
        <w:rPr>
          <w:rFonts w:ascii="&amp;quot" w:eastAsia="Times New Roman" w:hAnsi="&amp;quot" w:cs="Times New Roman"/>
          <w:color w:val="FF0000"/>
          <w:sz w:val="18"/>
          <w:szCs w:val="18"/>
        </w:rPr>
      </w:pPr>
      <w:r w:rsidRPr="000375D4">
        <w:rPr>
          <w:rFonts w:ascii="Calibri" w:eastAsia="Times New Roman" w:hAnsi="Calibri" w:cs="Calibri"/>
          <w:color w:val="FF0000"/>
        </w:rPr>
        <w:t>We tested for construct validity by exploring the following:  </w:t>
      </w:r>
    </w:p>
    <w:p w14:paraId="15BE4465" w14:textId="71415B76" w:rsidR="00731B47" w:rsidRPr="000375D4" w:rsidRDefault="00731B47" w:rsidP="003C442E">
      <w:pPr>
        <w:numPr>
          <w:ilvl w:val="0"/>
          <w:numId w:val="39"/>
        </w:numPr>
        <w:spacing w:after="0" w:line="240" w:lineRule="auto"/>
        <w:textAlignment w:val="baseline"/>
        <w:rPr>
          <w:rFonts w:ascii="Calibri" w:eastAsia="Times New Roman" w:hAnsi="Calibri" w:cs="Calibri"/>
          <w:color w:val="FF0000"/>
        </w:rPr>
      </w:pPr>
      <w:r w:rsidRPr="000375D4">
        <w:rPr>
          <w:rFonts w:ascii="Calibri" w:eastAsia="Times New Roman" w:hAnsi="Calibri" w:cs="Calibri"/>
          <w:color w:val="FF0000"/>
        </w:rPr>
        <w:t xml:space="preserve">Are the individual rates within the </w:t>
      </w:r>
      <w:r>
        <w:rPr>
          <w:rFonts w:ascii="Calibri" w:eastAsia="Times New Roman" w:hAnsi="Calibri" w:cs="Calibri"/>
          <w:i/>
          <w:iCs/>
          <w:color w:val="FF0000"/>
        </w:rPr>
        <w:t>Follow-Up After Hospitalization for Mental Illness</w:t>
      </w:r>
      <w:r w:rsidRPr="0033548A">
        <w:rPr>
          <w:rFonts w:ascii="Calibri" w:eastAsia="Times New Roman" w:hAnsi="Calibri" w:cs="Calibri"/>
          <w:color w:val="FF0000"/>
        </w:rPr>
        <w:t xml:space="preserve"> </w:t>
      </w:r>
      <w:r w:rsidRPr="000375D4">
        <w:rPr>
          <w:rFonts w:ascii="Calibri" w:eastAsia="Times New Roman" w:hAnsi="Calibri" w:cs="Calibri"/>
          <w:color w:val="FF0000"/>
        </w:rPr>
        <w:t>measure</w:t>
      </w:r>
      <w:r w:rsidR="003C442E">
        <w:rPr>
          <w:rFonts w:ascii="Calibri" w:eastAsia="Times New Roman" w:hAnsi="Calibri" w:cs="Calibri"/>
          <w:color w:val="FF0000"/>
        </w:rPr>
        <w:t xml:space="preserve"> </w:t>
      </w:r>
      <w:r w:rsidR="00855595">
        <w:rPr>
          <w:rFonts w:ascii="Calibri" w:eastAsia="Times New Roman" w:hAnsi="Calibri" w:cs="Calibri"/>
          <w:color w:val="FF0000"/>
        </w:rPr>
        <w:t xml:space="preserve">positively </w:t>
      </w:r>
      <w:r w:rsidRPr="000375D4">
        <w:rPr>
          <w:rFonts w:ascii="Calibri" w:eastAsia="Times New Roman" w:hAnsi="Calibri" w:cs="Calibri"/>
          <w:color w:val="FF0000"/>
        </w:rPr>
        <w:t>correlated with one another</w:t>
      </w:r>
      <w:r w:rsidR="003C442E">
        <w:rPr>
          <w:rFonts w:ascii="Calibri" w:eastAsia="Times New Roman" w:hAnsi="Calibri" w:cs="Calibri"/>
          <w:color w:val="FF0000"/>
        </w:rPr>
        <w:t>?</w:t>
      </w:r>
      <w:r w:rsidRPr="000375D4">
        <w:rPr>
          <w:rFonts w:ascii="Calibri" w:eastAsia="Times New Roman" w:hAnsi="Calibri" w:cs="Calibri"/>
          <w:color w:val="FF0000"/>
        </w:rPr>
        <w:t>  </w:t>
      </w:r>
    </w:p>
    <w:p w14:paraId="3AFFC474" w14:textId="072BAE56" w:rsidR="00FF17D3" w:rsidRPr="00770BF2" w:rsidRDefault="00FF17D3" w:rsidP="00FF17D3">
      <w:pPr>
        <w:pStyle w:val="ListParagraph"/>
        <w:numPr>
          <w:ilvl w:val="0"/>
          <w:numId w:val="39"/>
        </w:numPr>
        <w:autoSpaceDE w:val="0"/>
        <w:autoSpaceDN w:val="0"/>
        <w:adjustRightInd w:val="0"/>
        <w:spacing w:after="0" w:line="240" w:lineRule="auto"/>
        <w:textAlignment w:val="baseline"/>
        <w:rPr>
          <w:color w:val="FF0000"/>
        </w:rPr>
      </w:pPr>
      <w:r w:rsidRPr="00770BF2">
        <w:rPr>
          <w:rFonts w:ascii="Calibri" w:eastAsia="Times New Roman" w:hAnsi="Calibri" w:cs="Calibri"/>
          <w:color w:val="FF0000"/>
        </w:rPr>
        <w:t xml:space="preserve">Is </w:t>
      </w:r>
      <w:r>
        <w:rPr>
          <w:rFonts w:ascii="Calibri" w:eastAsia="Times New Roman" w:hAnsi="Calibri" w:cs="Calibri"/>
          <w:color w:val="FF0000"/>
        </w:rPr>
        <w:t xml:space="preserve">the </w:t>
      </w:r>
      <w:r>
        <w:rPr>
          <w:rFonts w:ascii="Calibri" w:eastAsia="Times New Roman" w:hAnsi="Calibri" w:cs="Calibri"/>
          <w:i/>
          <w:iCs/>
          <w:color w:val="FF0000"/>
        </w:rPr>
        <w:t xml:space="preserve">Follow-Up After Hospitalization For Mental Illness </w:t>
      </w:r>
      <w:r w:rsidRPr="00770BF2">
        <w:rPr>
          <w:rFonts w:ascii="Calibri" w:eastAsia="Times New Roman" w:hAnsi="Calibri" w:cs="Calibri"/>
          <w:color w:val="FF0000"/>
        </w:rPr>
        <w:t xml:space="preserve"> </w:t>
      </w:r>
      <w:r>
        <w:rPr>
          <w:rFonts w:ascii="Calibri" w:eastAsia="Times New Roman" w:hAnsi="Calibri" w:cs="Calibri"/>
          <w:color w:val="FF0000"/>
        </w:rPr>
        <w:t xml:space="preserve">measure </w:t>
      </w:r>
      <w:r w:rsidR="00855595">
        <w:rPr>
          <w:rFonts w:ascii="Calibri" w:eastAsia="Times New Roman" w:hAnsi="Calibri" w:cs="Calibri"/>
          <w:color w:val="FF0000"/>
        </w:rPr>
        <w:t xml:space="preserve">positively </w:t>
      </w:r>
      <w:r w:rsidRPr="00770BF2">
        <w:rPr>
          <w:rFonts w:ascii="Calibri" w:eastAsia="Times New Roman" w:hAnsi="Calibri" w:cs="Calibri"/>
          <w:color w:val="FF0000"/>
        </w:rPr>
        <w:t>correlated with the HEDIS</w:t>
      </w:r>
      <w:r>
        <w:rPr>
          <w:rFonts w:ascii="Calibri" w:eastAsia="Times New Roman" w:hAnsi="Calibri" w:cs="Calibri"/>
          <w:color w:val="FF0000"/>
        </w:rPr>
        <w:t xml:space="preserve"> </w:t>
      </w:r>
      <w:r>
        <w:rPr>
          <w:rFonts w:ascii="Calibri" w:eastAsia="Times New Roman" w:hAnsi="Calibri" w:cs="Calibri"/>
          <w:i/>
          <w:iCs/>
          <w:color w:val="FF0000"/>
        </w:rPr>
        <w:t xml:space="preserve">Follow-Up After Emergency Department Visit for Mental Illness </w:t>
      </w:r>
      <w:r w:rsidRPr="002839FD">
        <w:rPr>
          <w:rFonts w:ascii="Calibri" w:eastAsia="Times New Roman" w:hAnsi="Calibri" w:cs="Calibri"/>
          <w:color w:val="FF0000"/>
        </w:rPr>
        <w:t xml:space="preserve">measure </w:t>
      </w:r>
      <w:r>
        <w:rPr>
          <w:color w:val="FF0000"/>
        </w:rPr>
        <w:t>which a</w:t>
      </w:r>
      <w:r w:rsidRPr="009852A1">
        <w:rPr>
          <w:color w:val="FF0000"/>
        </w:rPr>
        <w:t>ssesses emergency department (ED) visits for adults and children 6 years of age and older with a diagnosis of mental illness and who received a follow-up visit for mental illness</w:t>
      </w:r>
      <w:r>
        <w:rPr>
          <w:color w:val="FF0000"/>
        </w:rPr>
        <w:t xml:space="preserve"> within 7- and 30-days</w:t>
      </w:r>
      <w:r>
        <w:rPr>
          <w:i/>
          <w:iCs/>
          <w:color w:val="FF0000"/>
        </w:rPr>
        <w:t>?</w:t>
      </w:r>
    </w:p>
    <w:p w14:paraId="01206AE4" w14:textId="77777777" w:rsidR="00D27D72" w:rsidRDefault="00D27D72" w:rsidP="00D27D72">
      <w:pPr>
        <w:spacing w:after="0" w:line="240" w:lineRule="auto"/>
        <w:textAlignment w:val="baseline"/>
        <w:rPr>
          <w:rFonts w:ascii="Calibri" w:eastAsia="Times New Roman" w:hAnsi="Calibri" w:cs="Calibri"/>
          <w:color w:val="FF0000"/>
        </w:rPr>
      </w:pPr>
    </w:p>
    <w:p w14:paraId="05347B93" w14:textId="1C3D4F44" w:rsidR="003C442E" w:rsidRPr="004E4175" w:rsidRDefault="003C442E" w:rsidP="003C442E">
      <w:pPr>
        <w:spacing w:after="0" w:line="240" w:lineRule="auto"/>
        <w:textAlignment w:val="baseline"/>
        <w:rPr>
          <w:rFonts w:ascii="&amp;quot" w:eastAsia="Times New Roman" w:hAnsi="&amp;quot" w:cs="Times New Roman"/>
          <w:color w:val="FF0000"/>
          <w:sz w:val="18"/>
          <w:szCs w:val="18"/>
        </w:rPr>
      </w:pPr>
      <w:r w:rsidRPr="004E4175">
        <w:rPr>
          <w:rFonts w:ascii="Calibri" w:eastAsia="Times New Roman" w:hAnsi="Calibri" w:cs="Calibri"/>
          <w:color w:val="FF0000"/>
        </w:rPr>
        <w:lastRenderedPageBreak/>
        <w:t xml:space="preserve">We hypothesized that rates within the </w:t>
      </w:r>
      <w:r>
        <w:rPr>
          <w:rFonts w:ascii="Calibri" w:eastAsia="Times New Roman" w:hAnsi="Calibri" w:cs="Calibri"/>
          <w:i/>
          <w:iCs/>
          <w:color w:val="FF0000"/>
        </w:rPr>
        <w:t>Follow-Up After Hospitalization For Mental Illness</w:t>
      </w:r>
      <w:r w:rsidRPr="004E4175">
        <w:rPr>
          <w:rFonts w:ascii="Calibri" w:eastAsia="Times New Roman" w:hAnsi="Calibri" w:cs="Calibri"/>
          <w:color w:val="FF0000"/>
        </w:rPr>
        <w:t xml:space="preserve"> measure would be highly </w:t>
      </w:r>
      <w:r w:rsidR="00855595">
        <w:rPr>
          <w:rFonts w:ascii="Calibri" w:eastAsia="Times New Roman" w:hAnsi="Calibri" w:cs="Calibri"/>
          <w:color w:val="FF0000"/>
        </w:rPr>
        <w:t xml:space="preserve">positively </w:t>
      </w:r>
      <w:r w:rsidRPr="004E4175">
        <w:rPr>
          <w:rFonts w:ascii="Calibri" w:eastAsia="Times New Roman" w:hAnsi="Calibri" w:cs="Calibri"/>
          <w:color w:val="FF0000"/>
        </w:rPr>
        <w:t xml:space="preserve">correlated, and that organizations that perform well on </w:t>
      </w:r>
      <w:r>
        <w:rPr>
          <w:rFonts w:ascii="Calibri" w:eastAsia="Times New Roman" w:hAnsi="Calibri" w:cs="Calibri"/>
          <w:i/>
          <w:iCs/>
          <w:color w:val="FF0000"/>
        </w:rPr>
        <w:t>Follow-Up After Hospitalization For Mental Illness</w:t>
      </w:r>
      <w:r w:rsidRPr="004E4175">
        <w:rPr>
          <w:rFonts w:ascii="Calibri" w:eastAsia="Times New Roman" w:hAnsi="Calibri" w:cs="Calibri"/>
          <w:color w:val="FF0000"/>
        </w:rPr>
        <w:t xml:space="preserve"> should perform well on the other measure</w:t>
      </w:r>
      <w:r>
        <w:rPr>
          <w:rFonts w:ascii="Calibri" w:eastAsia="Times New Roman" w:hAnsi="Calibri" w:cs="Calibri"/>
          <w:color w:val="FF0000"/>
        </w:rPr>
        <w:t xml:space="preserve">, </w:t>
      </w:r>
      <w:r>
        <w:rPr>
          <w:rFonts w:ascii="Calibri" w:eastAsia="Times New Roman" w:hAnsi="Calibri" w:cs="Calibri"/>
          <w:i/>
          <w:iCs/>
          <w:color w:val="FF0000"/>
        </w:rPr>
        <w:t>Follow-Up After Emergency Department Visit for Mental Illness</w:t>
      </w:r>
      <w:r w:rsidRPr="000E6E20">
        <w:rPr>
          <w:color w:val="FF0000"/>
        </w:rPr>
        <w:t xml:space="preserve">, </w:t>
      </w:r>
      <w:r w:rsidRPr="004E4175">
        <w:rPr>
          <w:rFonts w:ascii="Calibri" w:eastAsia="Times New Roman" w:hAnsi="Calibri" w:cs="Calibri"/>
          <w:color w:val="FF0000"/>
        </w:rPr>
        <w:t>given that they address the same or similar populations</w:t>
      </w:r>
      <w:r>
        <w:rPr>
          <w:rFonts w:ascii="Calibri" w:eastAsia="Times New Roman" w:hAnsi="Calibri" w:cs="Calibri"/>
          <w:color w:val="FF0000"/>
        </w:rPr>
        <w:t xml:space="preserve"> and</w:t>
      </w:r>
      <w:r w:rsidRPr="0033548A">
        <w:rPr>
          <w:rFonts w:ascii="Calibri" w:eastAsia="Times New Roman" w:hAnsi="Calibri" w:cs="Calibri"/>
          <w:color w:val="FF0000"/>
        </w:rPr>
        <w:t xml:space="preserve"> that they address </w:t>
      </w:r>
      <w:r>
        <w:rPr>
          <w:rFonts w:ascii="Calibri" w:eastAsia="Times New Roman" w:hAnsi="Calibri" w:cs="Calibri"/>
          <w:color w:val="FF0000"/>
        </w:rPr>
        <w:t xml:space="preserve">similar activities for patients following an acute event involving mental illness. </w:t>
      </w:r>
      <w:r w:rsidRPr="0033548A">
        <w:rPr>
          <w:rFonts w:ascii="Calibri" w:eastAsia="Times New Roman" w:hAnsi="Calibri" w:cs="Calibri"/>
          <w:color w:val="FF0000"/>
        </w:rPr>
        <w:t xml:space="preserve"> </w:t>
      </w:r>
    </w:p>
    <w:p w14:paraId="3AD947BA" w14:textId="77777777" w:rsidR="003C442E" w:rsidRPr="004E4175" w:rsidRDefault="003C442E" w:rsidP="00D27D72">
      <w:pPr>
        <w:spacing w:after="0" w:line="240" w:lineRule="auto"/>
        <w:textAlignment w:val="baseline"/>
        <w:rPr>
          <w:rFonts w:ascii="Calibri" w:eastAsia="Times New Roman" w:hAnsi="Calibri" w:cs="Calibri"/>
          <w:color w:val="FF0000"/>
        </w:rPr>
      </w:pPr>
    </w:p>
    <w:p w14:paraId="6AA9D37F" w14:textId="77777777" w:rsidR="00AF468C" w:rsidRPr="00F41636" w:rsidRDefault="00AF468C" w:rsidP="00AF468C">
      <w:pPr>
        <w:autoSpaceDE w:val="0"/>
        <w:autoSpaceDN w:val="0"/>
        <w:adjustRightInd w:val="0"/>
        <w:spacing w:after="0" w:line="240" w:lineRule="auto"/>
        <w:rPr>
          <w:rFonts w:cstheme="minorHAnsi"/>
          <w:bCs/>
          <w:color w:val="FF0000"/>
        </w:rPr>
      </w:pPr>
      <w:r w:rsidRPr="001B5699">
        <w:rPr>
          <w:color w:val="FF0000"/>
        </w:rPr>
        <w:t xml:space="preserve">NCQA performs Pearson correlation for construct validity using HEDIS health plan data. </w:t>
      </w:r>
      <w:r w:rsidRPr="001B5699">
        <w:rPr>
          <w:rFonts w:cstheme="minorHAnsi"/>
          <w:bCs/>
          <w:color w:val="FF0000"/>
        </w:rPr>
        <w:t xml:space="preserve">The test estimates the strength of linear association between two continuous variables; the magnitude of correlation ranges from -1 and +1. A value of 1 indicates a strong positive linear association: an increase in values of one variable is associated with increase in value of another variable. A value of 0 indicates no linear association. A value of -1 indicates a strong negative relationship in which an increase in values of the first variable is associated with a decrease in values of the second variable. The significance of a correlation coefficient is evaluated by testing the hypothesis that an observed coefficient calculated for the sample is different from zero. The sample size </w:t>
      </w:r>
      <w:r w:rsidRPr="00F41636">
        <w:rPr>
          <w:rFonts w:cstheme="minorHAnsi"/>
          <w:bCs/>
          <w:color w:val="FF0000"/>
        </w:rPr>
        <w:t>for the correlation analysis is the number of plans that reported both measures. The resulting p-value indicates the probability of obtaining a difference at least as large as the one observed due to chance alone. We adjusted our p-values to account for testing multiple correlations and used a threshold of 0.05 to evaluate the test results. P-values less than this threshold imply that it is unlikely that a non-zero coefficient was observed due to chance alone.</w:t>
      </w:r>
    </w:p>
    <w:p w14:paraId="5CBC4EBC" w14:textId="77777777" w:rsidR="00D27D72" w:rsidRDefault="00D27D72" w:rsidP="00D27D72">
      <w:pPr>
        <w:autoSpaceDE w:val="0"/>
        <w:autoSpaceDN w:val="0"/>
        <w:adjustRightInd w:val="0"/>
        <w:spacing w:after="0" w:line="240" w:lineRule="auto"/>
        <w:rPr>
          <w:rFonts w:cstheme="minorHAnsi"/>
          <w:bCs/>
        </w:rPr>
      </w:pPr>
    </w:p>
    <w:p w14:paraId="3F257802" w14:textId="77777777" w:rsidR="00D27D72" w:rsidRPr="000375D4" w:rsidRDefault="00D27D72" w:rsidP="00D27D72">
      <w:pPr>
        <w:spacing w:after="0" w:line="240" w:lineRule="auto"/>
        <w:textAlignment w:val="baseline"/>
        <w:rPr>
          <w:rFonts w:ascii="&amp;quot" w:eastAsia="Times New Roman" w:hAnsi="&amp;quot" w:cs="Times New Roman"/>
          <w:color w:val="FF0000"/>
          <w:sz w:val="18"/>
          <w:szCs w:val="18"/>
        </w:rPr>
      </w:pPr>
      <w:r w:rsidRPr="000375D4">
        <w:rPr>
          <w:rFonts w:ascii="Calibri" w:eastAsia="Times New Roman" w:hAnsi="Calibri" w:cs="Calibri"/>
          <w:color w:val="FF0000"/>
          <w:u w:val="single"/>
        </w:rPr>
        <w:t>Method of assessing face validity </w:t>
      </w:r>
      <w:r w:rsidRPr="000375D4">
        <w:rPr>
          <w:rFonts w:ascii="Calibri" w:eastAsia="Times New Roman" w:hAnsi="Calibri" w:cs="Calibri"/>
          <w:color w:val="FF0000"/>
        </w:rPr>
        <w:t> </w:t>
      </w:r>
    </w:p>
    <w:p w14:paraId="1B79CC48" w14:textId="77777777" w:rsidR="00D27D72" w:rsidRPr="000375D4" w:rsidRDefault="00D27D72" w:rsidP="00D27D72">
      <w:pPr>
        <w:spacing w:after="0" w:line="240" w:lineRule="auto"/>
        <w:textAlignment w:val="baseline"/>
        <w:rPr>
          <w:rFonts w:ascii="&amp;quot" w:eastAsia="Times New Roman" w:hAnsi="&amp;quot" w:cs="Times New Roman"/>
          <w:color w:val="FF0000"/>
          <w:sz w:val="18"/>
          <w:szCs w:val="18"/>
        </w:rPr>
      </w:pPr>
      <w:r w:rsidRPr="000375D4">
        <w:rPr>
          <w:rFonts w:ascii="Calibri" w:eastAsia="Times New Roman" w:hAnsi="Calibri" w:cs="Calibri"/>
          <w:color w:val="FF0000"/>
        </w:rPr>
        <w:t>NCQA develops measures using a standardized process. For new measures, face validity is assessed at various steps as described below.   </w:t>
      </w:r>
    </w:p>
    <w:p w14:paraId="2A9E9AAF" w14:textId="77777777" w:rsidR="00D27D72" w:rsidRPr="000375D4" w:rsidRDefault="00D27D72" w:rsidP="00D27D72">
      <w:pPr>
        <w:spacing w:after="0" w:line="240" w:lineRule="auto"/>
        <w:textAlignment w:val="baseline"/>
        <w:rPr>
          <w:rFonts w:ascii="&amp;quot" w:eastAsia="Times New Roman" w:hAnsi="&amp;quot" w:cs="Times New Roman"/>
          <w:color w:val="FF0000"/>
          <w:sz w:val="18"/>
          <w:szCs w:val="18"/>
        </w:rPr>
      </w:pPr>
      <w:r w:rsidRPr="000375D4">
        <w:rPr>
          <w:rFonts w:ascii="Calibri" w:eastAsia="Times New Roman" w:hAnsi="Calibri" w:cs="Calibri"/>
          <w:color w:val="FF0000"/>
        </w:rPr>
        <w:t> </w:t>
      </w:r>
    </w:p>
    <w:p w14:paraId="21A0EBB7" w14:textId="70F1C66B" w:rsidR="00D27D72" w:rsidRPr="000375D4" w:rsidRDefault="00D27D72" w:rsidP="00D27D72">
      <w:pPr>
        <w:spacing w:after="0" w:line="240" w:lineRule="auto"/>
        <w:textAlignment w:val="baseline"/>
        <w:rPr>
          <w:rFonts w:ascii="&amp;quot" w:eastAsia="Times New Roman" w:hAnsi="&amp;quot" w:cs="Times New Roman"/>
          <w:color w:val="FF0000"/>
          <w:sz w:val="18"/>
          <w:szCs w:val="18"/>
        </w:rPr>
      </w:pPr>
      <w:r w:rsidRPr="000375D4">
        <w:rPr>
          <w:rFonts w:ascii="Calibri" w:eastAsia="Times New Roman" w:hAnsi="Calibri" w:cs="Calibri"/>
          <w:color w:val="FF0000"/>
        </w:rPr>
        <w:t xml:space="preserve">STEP 1: NCQA staff identifies areas of interest or gaps in care. Clinical measurement advisory panels (MAPs), whose members are authorities on clinical priorities for measurement, participate in this process. Once topics are identified, a literature review is conducted to find supporting documentation on their importance, scientific soundness, and feasibility. This information is gathered into a work-up format, which is vetted by the MAPs, </w:t>
      </w:r>
      <w:r>
        <w:rPr>
          <w:rFonts w:ascii="Calibri" w:eastAsia="Times New Roman" w:hAnsi="Calibri" w:cs="Calibri"/>
          <w:color w:val="FF0000"/>
        </w:rPr>
        <w:t xml:space="preserve">including the </w:t>
      </w:r>
      <w:r w:rsidR="00B67F1D">
        <w:rPr>
          <w:rFonts w:ascii="Calibri" w:eastAsia="Times New Roman" w:hAnsi="Calibri" w:cs="Calibri"/>
          <w:color w:val="FF0000"/>
        </w:rPr>
        <w:t xml:space="preserve">Behavioral Health Measurement Advisory Panel (BHMAP), </w:t>
      </w:r>
      <w:r>
        <w:rPr>
          <w:rFonts w:ascii="Calibri" w:eastAsia="Times New Roman" w:hAnsi="Calibri" w:cs="Calibri"/>
          <w:color w:val="FF0000"/>
        </w:rPr>
        <w:t xml:space="preserve">Geriatric Measurement Advisory Panel (GMAP), </w:t>
      </w:r>
      <w:r w:rsidRPr="000375D4">
        <w:rPr>
          <w:rFonts w:ascii="Calibri" w:eastAsia="Times New Roman" w:hAnsi="Calibri" w:cs="Calibri"/>
          <w:color w:val="FF0000"/>
        </w:rPr>
        <w:t>the Technical Measurement Advisory Panel (TMAP) and the Committee on Performance Measurement (CPM) as well as other panels as necessary.     </w:t>
      </w:r>
    </w:p>
    <w:p w14:paraId="357F918A" w14:textId="77777777" w:rsidR="00D27D72" w:rsidRDefault="00D27D72" w:rsidP="00D27D72">
      <w:pPr>
        <w:spacing w:after="0" w:line="240" w:lineRule="auto"/>
        <w:textAlignment w:val="baseline"/>
        <w:rPr>
          <w:rFonts w:ascii="Calibri" w:eastAsia="Times New Roman" w:hAnsi="Calibri" w:cs="Calibri"/>
          <w:color w:val="FF0000"/>
        </w:rPr>
      </w:pPr>
      <w:r w:rsidRPr="000375D4">
        <w:rPr>
          <w:rFonts w:ascii="Calibri" w:eastAsia="Times New Roman" w:hAnsi="Calibri" w:cs="Calibri"/>
          <w:color w:val="FF0000"/>
        </w:rPr>
        <w:t> </w:t>
      </w:r>
    </w:p>
    <w:p w14:paraId="79FF2E9A" w14:textId="77777777" w:rsidR="00D27D72" w:rsidRPr="000375D4" w:rsidRDefault="00D27D72" w:rsidP="00D27D72">
      <w:pPr>
        <w:spacing w:after="0" w:line="240" w:lineRule="auto"/>
        <w:textAlignment w:val="baseline"/>
        <w:rPr>
          <w:rFonts w:ascii="&amp;quot" w:eastAsia="Times New Roman" w:hAnsi="&amp;quot" w:cs="Times New Roman"/>
          <w:color w:val="FF0000"/>
          <w:sz w:val="18"/>
          <w:szCs w:val="18"/>
        </w:rPr>
      </w:pPr>
      <w:r w:rsidRPr="000375D4">
        <w:rPr>
          <w:rFonts w:ascii="Calibri" w:eastAsia="Times New Roman" w:hAnsi="Calibri" w:cs="Calibri"/>
          <w:color w:val="FF0000"/>
        </w:rPr>
        <w:t xml:space="preserve">STEP 2: Development ensures that measures are fully defined and tested before the organization collects them. MAPs participate in this process by helping identify the best measures for assessing health care performance in clinical areas identified in the topic selection phase. Development includes the following tasks: (1) Prepare a detailed conceptual and operational work-up that includes a testing proposal and (2) Collaborate with health plans to conduct field-tests that assess the feasibility and validity of potential measures. At this step, face validity is systematically determined by the CPM, which uses testing results and proposed final specifications to determine if the measure will move forward to Public Comment. </w:t>
      </w:r>
    </w:p>
    <w:p w14:paraId="4DABB11F" w14:textId="77777777" w:rsidR="00D27D72" w:rsidRPr="000375D4" w:rsidRDefault="00D27D72" w:rsidP="00D27D72">
      <w:pPr>
        <w:spacing w:after="0" w:line="240" w:lineRule="auto"/>
        <w:textAlignment w:val="baseline"/>
        <w:rPr>
          <w:rFonts w:ascii="&amp;quot" w:eastAsia="Times New Roman" w:hAnsi="&amp;quot" w:cs="Times New Roman"/>
          <w:color w:val="FF0000"/>
          <w:sz w:val="18"/>
          <w:szCs w:val="18"/>
        </w:rPr>
      </w:pPr>
      <w:r w:rsidRPr="000375D4">
        <w:rPr>
          <w:rFonts w:ascii="Calibri" w:eastAsia="Times New Roman" w:hAnsi="Calibri" w:cs="Calibri"/>
          <w:color w:val="FF0000"/>
        </w:rPr>
        <w:t> </w:t>
      </w:r>
    </w:p>
    <w:p w14:paraId="4EB6D0BF" w14:textId="77777777" w:rsidR="00D27D72" w:rsidRPr="000375D4" w:rsidRDefault="00D27D72" w:rsidP="00D27D72">
      <w:pPr>
        <w:spacing w:after="0" w:line="240" w:lineRule="auto"/>
        <w:textAlignment w:val="baseline"/>
        <w:rPr>
          <w:rFonts w:ascii="&amp;quot" w:eastAsia="Times New Roman" w:hAnsi="&amp;quot" w:cs="Times New Roman"/>
          <w:color w:val="FF0000"/>
          <w:sz w:val="18"/>
          <w:szCs w:val="18"/>
        </w:rPr>
      </w:pPr>
      <w:r w:rsidRPr="000375D4">
        <w:rPr>
          <w:rFonts w:ascii="Calibri" w:eastAsia="Times New Roman" w:hAnsi="Calibri" w:cs="Calibri"/>
          <w:color w:val="FF0000"/>
        </w:rPr>
        <w:t xml:space="preserve">STEP 3: Public Comment is a 30-day period of review that allows interested parties to offer feedback to NCQA about proposed new measures. Public comment offers an opportunity to assess the validity, feasibility, importance and other attributes of a measure from a wider audience. For this measure, a majority of public comment respondents supported the measure. NCQA MAPs and the technical panels consider all comments and advise NCQA staff on appropriate recommendations brought to the CPM.  Face validity is then again systematically assessed by the CPM. The CPM reviews all comments </w:t>
      </w:r>
      <w:r w:rsidRPr="000375D4">
        <w:rPr>
          <w:rFonts w:ascii="Calibri" w:eastAsia="Times New Roman" w:hAnsi="Calibri" w:cs="Calibri"/>
          <w:color w:val="FF0000"/>
        </w:rPr>
        <w:lastRenderedPageBreak/>
        <w:t>before making a final decision and votes to recommend approval of new measures for HEDIS. NCQA’s Board of Directors then approves new measures.   </w:t>
      </w:r>
    </w:p>
    <w:p w14:paraId="761EBBA7" w14:textId="77777777" w:rsidR="00D27D72" w:rsidRPr="00A25024" w:rsidRDefault="00D27D72" w:rsidP="00DB3627">
      <w:pPr>
        <w:autoSpaceDE w:val="0"/>
        <w:autoSpaceDN w:val="0"/>
        <w:adjustRightInd w:val="0"/>
        <w:spacing w:after="0" w:line="240" w:lineRule="auto"/>
        <w:rPr>
          <w:rFonts w:cstheme="minorHAnsi"/>
          <w:bCs/>
        </w:rPr>
      </w:pPr>
    </w:p>
    <w:p w14:paraId="0CABCFDD" w14:textId="77777777" w:rsidR="00833325" w:rsidRDefault="00833325" w:rsidP="00DB3627">
      <w:pPr>
        <w:autoSpaceDE w:val="0"/>
        <w:autoSpaceDN w:val="0"/>
        <w:adjustRightInd w:val="0"/>
        <w:spacing w:after="0" w:line="240" w:lineRule="auto"/>
        <w:rPr>
          <w:rFonts w:cstheme="minorHAnsi"/>
          <w:bCs/>
        </w:rPr>
      </w:pPr>
    </w:p>
    <w:p w14:paraId="3DCC1D7E" w14:textId="77777777" w:rsidR="00657383" w:rsidRPr="00E035CB" w:rsidRDefault="00657383" w:rsidP="00657383">
      <w:pPr>
        <w:autoSpaceDE w:val="0"/>
        <w:autoSpaceDN w:val="0"/>
        <w:adjustRightInd w:val="0"/>
        <w:spacing w:after="0" w:line="240" w:lineRule="auto"/>
        <w:rPr>
          <w:rFonts w:cstheme="minorHAnsi"/>
          <w:bCs/>
          <w:color w:val="244061" w:themeColor="accent1" w:themeShade="80"/>
        </w:rPr>
      </w:pPr>
      <w:r w:rsidRPr="00E035CB">
        <w:rPr>
          <w:rFonts w:cstheme="minorHAnsi"/>
          <w:b/>
          <w:bCs/>
          <w:color w:val="244061" w:themeColor="accent1" w:themeShade="80"/>
          <w:u w:val="single"/>
        </w:rPr>
        <w:t>2016 Update</w:t>
      </w:r>
    </w:p>
    <w:p w14:paraId="5A944223" w14:textId="77777777" w:rsidR="00657383" w:rsidRPr="00E035CB" w:rsidRDefault="00657383" w:rsidP="00657383">
      <w:pPr>
        <w:autoSpaceDE w:val="0"/>
        <w:autoSpaceDN w:val="0"/>
        <w:adjustRightInd w:val="0"/>
        <w:spacing w:after="0" w:line="240" w:lineRule="auto"/>
        <w:rPr>
          <w:rFonts w:cstheme="minorHAnsi"/>
          <w:color w:val="244061" w:themeColor="accent1" w:themeShade="80"/>
        </w:rPr>
      </w:pPr>
      <w:r w:rsidRPr="00E035CB">
        <w:rPr>
          <w:rFonts w:cstheme="minorHAnsi"/>
          <w:color w:val="244061" w:themeColor="accent1" w:themeShade="80"/>
        </w:rPr>
        <w:t xml:space="preserve">Method of Assessing Face Validity </w:t>
      </w:r>
    </w:p>
    <w:p w14:paraId="04BA30FB" w14:textId="77777777" w:rsidR="00657383" w:rsidRPr="00E035CB" w:rsidRDefault="00657383" w:rsidP="00657383">
      <w:pPr>
        <w:autoSpaceDE w:val="0"/>
        <w:autoSpaceDN w:val="0"/>
        <w:adjustRightInd w:val="0"/>
        <w:spacing w:after="0" w:line="240" w:lineRule="auto"/>
        <w:rPr>
          <w:rFonts w:cstheme="minorHAnsi"/>
          <w:color w:val="244061" w:themeColor="accent1" w:themeShade="80"/>
        </w:rPr>
      </w:pPr>
      <w:r w:rsidRPr="00E035CB">
        <w:rPr>
          <w:rFonts w:cstheme="minorHAnsi"/>
          <w:color w:val="244061" w:themeColor="accent1" w:themeShade="80"/>
        </w:rPr>
        <w:t xml:space="preserve">NCQA has identified and refined measure management into a standardized process called the HEDIS measure life cycle. </w:t>
      </w:r>
    </w:p>
    <w:p w14:paraId="75F5AEC0" w14:textId="77777777" w:rsidR="00657383" w:rsidRPr="00E035CB" w:rsidRDefault="00657383" w:rsidP="00657383">
      <w:pPr>
        <w:autoSpaceDE w:val="0"/>
        <w:autoSpaceDN w:val="0"/>
        <w:adjustRightInd w:val="0"/>
        <w:spacing w:after="0" w:line="240" w:lineRule="auto"/>
        <w:rPr>
          <w:rFonts w:cstheme="minorHAnsi"/>
          <w:color w:val="244061" w:themeColor="accent1" w:themeShade="80"/>
        </w:rPr>
      </w:pPr>
    </w:p>
    <w:p w14:paraId="6D3DE3F9" w14:textId="77777777" w:rsidR="00657383" w:rsidRPr="00E035CB" w:rsidRDefault="00657383" w:rsidP="00657383">
      <w:pPr>
        <w:autoSpaceDE w:val="0"/>
        <w:autoSpaceDN w:val="0"/>
        <w:adjustRightInd w:val="0"/>
        <w:spacing w:after="0" w:line="240" w:lineRule="auto"/>
        <w:rPr>
          <w:rFonts w:cstheme="minorHAnsi"/>
          <w:color w:val="244061" w:themeColor="accent1" w:themeShade="80"/>
        </w:rPr>
      </w:pPr>
      <w:r w:rsidRPr="00E035CB">
        <w:rPr>
          <w:rFonts w:cstheme="minorHAnsi"/>
          <w:color w:val="244061" w:themeColor="accent1" w:themeShade="80"/>
        </w:rPr>
        <w:t xml:space="preserve">STEP 1: NCQA staff identifies areas of interest or gaps in care. Clinical expert panels (MAPs—whose members are authorities on clinical priorities for measurement) participate in this process. Once topics are identified, a literature review is conducted to find supporting documentation on their importance, scientific soundness and feasibility. This information is gathered into a work-up format. Refer to What Makes a Measure “Desirable”? The work-up is vetted by NCQA’s Measurement Advisory Panels (MAPs) and the Committee on Performance Measurement (CPM) as well as other panels as necessary. </w:t>
      </w:r>
    </w:p>
    <w:p w14:paraId="7A5FBAC5" w14:textId="77777777" w:rsidR="00657383" w:rsidRPr="00E035CB" w:rsidRDefault="00657383" w:rsidP="00657383">
      <w:pPr>
        <w:autoSpaceDE w:val="0"/>
        <w:autoSpaceDN w:val="0"/>
        <w:adjustRightInd w:val="0"/>
        <w:spacing w:after="0" w:line="240" w:lineRule="auto"/>
        <w:rPr>
          <w:rFonts w:cstheme="minorHAnsi"/>
          <w:color w:val="244061" w:themeColor="accent1" w:themeShade="80"/>
        </w:rPr>
      </w:pPr>
    </w:p>
    <w:p w14:paraId="458D0663" w14:textId="77777777" w:rsidR="00657383" w:rsidRPr="00E035CB" w:rsidRDefault="00657383" w:rsidP="00657383">
      <w:pPr>
        <w:autoSpaceDE w:val="0"/>
        <w:autoSpaceDN w:val="0"/>
        <w:adjustRightInd w:val="0"/>
        <w:spacing w:after="0" w:line="240" w:lineRule="auto"/>
        <w:rPr>
          <w:rFonts w:cstheme="minorHAnsi"/>
          <w:color w:val="244061" w:themeColor="accent1" w:themeShade="80"/>
        </w:rPr>
      </w:pPr>
      <w:r w:rsidRPr="00E035CB">
        <w:rPr>
          <w:rFonts w:cstheme="minorHAnsi"/>
          <w:color w:val="244061" w:themeColor="accent1" w:themeShade="80"/>
        </w:rPr>
        <w:t>STEP 2: Development ensures that measures are fully defined and tested before the organization collects them. MAPs participate in this process by helping identify the best measures for assessing health care performance in clinical areas identified in the topic selection phase. Development includes the following tasks: (1) Prepare a detailed conceptual and operational work-up that includes a testing proposal and (2) Collaborate with health plans to conduct field-tests that assess the feasibility and validity of potential measures. The CPM uses testing results and proposed final specifications to determine if the measure will move forward to Public Comment.</w:t>
      </w:r>
    </w:p>
    <w:p w14:paraId="4E3AD051" w14:textId="77777777" w:rsidR="00657383" w:rsidRPr="00E035CB" w:rsidRDefault="00657383" w:rsidP="00657383">
      <w:pPr>
        <w:autoSpaceDE w:val="0"/>
        <w:autoSpaceDN w:val="0"/>
        <w:adjustRightInd w:val="0"/>
        <w:spacing w:after="0" w:line="240" w:lineRule="auto"/>
        <w:rPr>
          <w:rFonts w:cstheme="minorHAnsi"/>
          <w:color w:val="244061" w:themeColor="accent1" w:themeShade="80"/>
        </w:rPr>
      </w:pPr>
    </w:p>
    <w:p w14:paraId="415690C9" w14:textId="77777777" w:rsidR="00657383" w:rsidRPr="00E035CB" w:rsidRDefault="00657383" w:rsidP="00657383">
      <w:pPr>
        <w:autoSpaceDE w:val="0"/>
        <w:autoSpaceDN w:val="0"/>
        <w:adjustRightInd w:val="0"/>
        <w:spacing w:after="0" w:line="240" w:lineRule="auto"/>
        <w:rPr>
          <w:rFonts w:cstheme="minorHAnsi"/>
          <w:color w:val="244061" w:themeColor="accent1" w:themeShade="80"/>
        </w:rPr>
      </w:pPr>
      <w:r w:rsidRPr="00E035CB">
        <w:rPr>
          <w:rFonts w:cstheme="minorHAnsi"/>
          <w:color w:val="244061" w:themeColor="accent1" w:themeShade="80"/>
        </w:rPr>
        <w:t xml:space="preserve">STEP 3: Public Comment is a 30-day period of review that allows interested parties to offer feedback to NCQA and the CPM about new measures or about changes to existing measures. </w:t>
      </w:r>
    </w:p>
    <w:p w14:paraId="30FD554C" w14:textId="77777777" w:rsidR="00657383" w:rsidRPr="00E035CB" w:rsidRDefault="00657383" w:rsidP="00657383">
      <w:pPr>
        <w:autoSpaceDE w:val="0"/>
        <w:autoSpaceDN w:val="0"/>
        <w:adjustRightInd w:val="0"/>
        <w:spacing w:after="0" w:line="240" w:lineRule="auto"/>
        <w:rPr>
          <w:rFonts w:cstheme="minorHAnsi"/>
          <w:color w:val="244061" w:themeColor="accent1" w:themeShade="80"/>
        </w:rPr>
      </w:pPr>
      <w:r w:rsidRPr="00E035CB">
        <w:rPr>
          <w:rFonts w:cstheme="minorHAnsi"/>
          <w:color w:val="244061" w:themeColor="accent1" w:themeShade="80"/>
        </w:rPr>
        <w:br/>
        <w:t xml:space="preserve">NCQA MAPs and technical panels consider all comments and advise NCQA staff on appropriate recommendations brought to the CPM. The CPM reviews all comments before making a final decision about Public Comment measures. New measures and changes to existing measures approved by the CPM will be included in the next HEDIS year and reported as first-year measures. </w:t>
      </w:r>
    </w:p>
    <w:p w14:paraId="01BE1C21" w14:textId="77777777" w:rsidR="00657383" w:rsidRPr="00E035CB" w:rsidRDefault="00657383" w:rsidP="00657383">
      <w:pPr>
        <w:autoSpaceDE w:val="0"/>
        <w:autoSpaceDN w:val="0"/>
        <w:adjustRightInd w:val="0"/>
        <w:spacing w:after="0" w:line="240" w:lineRule="auto"/>
        <w:rPr>
          <w:rFonts w:cstheme="minorHAnsi"/>
          <w:color w:val="244061" w:themeColor="accent1" w:themeShade="80"/>
        </w:rPr>
      </w:pPr>
    </w:p>
    <w:p w14:paraId="7549D775" w14:textId="77777777" w:rsidR="00657383" w:rsidRPr="00E035CB" w:rsidRDefault="00657383" w:rsidP="00657383">
      <w:pPr>
        <w:autoSpaceDE w:val="0"/>
        <w:autoSpaceDN w:val="0"/>
        <w:adjustRightInd w:val="0"/>
        <w:spacing w:after="0" w:line="240" w:lineRule="auto"/>
        <w:rPr>
          <w:rFonts w:cstheme="minorHAnsi"/>
          <w:color w:val="244061" w:themeColor="accent1" w:themeShade="80"/>
        </w:rPr>
      </w:pPr>
      <w:r w:rsidRPr="00E035CB">
        <w:rPr>
          <w:rFonts w:cstheme="minorHAnsi"/>
          <w:color w:val="244061" w:themeColor="accent1" w:themeShade="80"/>
        </w:rPr>
        <w:t>STEP 4: First-year data collection requires organizations to collect, be audited on and report these measures, but results are not publicly reported in the first year and are not included in NCQA’s State of Health Care Quality, Quality Compass or in accreditation scoring.  The first-year distinction guarantees that a measure can be effectively collected, reported and audited before it is used for public accountability or accreditation. This is not testing—the measure was already tested as part of its development—rather, it ensures that there are no unforeseen problems when the measure is implemented in the real world. NCQA’s experience is that the first year of large-scale data collection often reveals unanticipated issues. After collection, reporting and auditing on a one-year introductory basis, NCQA conducts a detailed evaluation of first-year data. The CPM uses evaluation results to decide whether the measure should become publicly reportable or whether it needs further modifications.</w:t>
      </w:r>
    </w:p>
    <w:p w14:paraId="2CDB898F" w14:textId="77777777" w:rsidR="00657383" w:rsidRPr="00E035CB" w:rsidRDefault="00657383" w:rsidP="00657383">
      <w:pPr>
        <w:autoSpaceDE w:val="0"/>
        <w:autoSpaceDN w:val="0"/>
        <w:adjustRightInd w:val="0"/>
        <w:spacing w:after="0" w:line="240" w:lineRule="auto"/>
        <w:rPr>
          <w:rFonts w:cstheme="minorHAnsi"/>
          <w:color w:val="244061" w:themeColor="accent1" w:themeShade="80"/>
        </w:rPr>
      </w:pPr>
    </w:p>
    <w:p w14:paraId="7D390CA3" w14:textId="398B2884" w:rsidR="00657383" w:rsidRPr="00E035CB" w:rsidRDefault="00657383" w:rsidP="00657383">
      <w:pPr>
        <w:autoSpaceDE w:val="0"/>
        <w:autoSpaceDN w:val="0"/>
        <w:adjustRightInd w:val="0"/>
        <w:spacing w:after="0" w:line="240" w:lineRule="auto"/>
        <w:rPr>
          <w:rFonts w:cstheme="minorHAnsi"/>
          <w:color w:val="244061" w:themeColor="accent1" w:themeShade="80"/>
        </w:rPr>
      </w:pPr>
      <w:r w:rsidRPr="00E035CB">
        <w:rPr>
          <w:rFonts w:cstheme="minorHAnsi"/>
          <w:color w:val="244061" w:themeColor="accent1" w:themeShade="80"/>
        </w:rPr>
        <w:t xml:space="preserve">STEP 5: Public reporting is based on the first-year measure evaluation results. If the measure is approved, it will be </w:t>
      </w:r>
      <w:r w:rsidR="00643614" w:rsidRPr="00E035CB">
        <w:rPr>
          <w:rFonts w:cstheme="minorHAnsi"/>
          <w:color w:val="244061" w:themeColor="accent1" w:themeShade="80"/>
        </w:rPr>
        <w:t>publicly</w:t>
      </w:r>
      <w:r w:rsidRPr="00E035CB">
        <w:rPr>
          <w:rFonts w:cstheme="minorHAnsi"/>
          <w:color w:val="244061" w:themeColor="accent1" w:themeShade="80"/>
        </w:rPr>
        <w:t xml:space="preserve"> reported and may be used for scoring in accreditation. </w:t>
      </w:r>
    </w:p>
    <w:p w14:paraId="10A6B351" w14:textId="77777777" w:rsidR="00657383" w:rsidRPr="00E035CB" w:rsidRDefault="00657383" w:rsidP="00657383">
      <w:pPr>
        <w:pStyle w:val="Style5"/>
        <w:rPr>
          <w:rFonts w:asciiTheme="minorHAnsi" w:hAnsiTheme="minorHAnsi"/>
          <w:i w:val="0"/>
          <w:color w:val="244061" w:themeColor="accent1" w:themeShade="80"/>
          <w:sz w:val="22"/>
          <w:szCs w:val="22"/>
        </w:rPr>
      </w:pPr>
    </w:p>
    <w:p w14:paraId="6639E5B1" w14:textId="77777777" w:rsidR="00657383" w:rsidRPr="00E035CB" w:rsidRDefault="00657383" w:rsidP="00657383">
      <w:pPr>
        <w:pStyle w:val="Style5"/>
        <w:rPr>
          <w:rFonts w:asciiTheme="minorHAnsi" w:hAnsiTheme="minorHAnsi"/>
          <w:i w:val="0"/>
          <w:color w:val="244061" w:themeColor="accent1" w:themeShade="80"/>
          <w:sz w:val="22"/>
          <w:szCs w:val="22"/>
        </w:rPr>
      </w:pPr>
      <w:r w:rsidRPr="00E035CB">
        <w:rPr>
          <w:rFonts w:asciiTheme="minorHAnsi" w:hAnsiTheme="minorHAnsi"/>
          <w:i w:val="0"/>
          <w:color w:val="244061" w:themeColor="accent1" w:themeShade="80"/>
          <w:sz w:val="22"/>
          <w:szCs w:val="22"/>
        </w:rPr>
        <w:t xml:space="preserve">STEP 6: Evaluation is the ongoing review of a measure’s performance and recommendations for its modification or retirement. Every measure is reviewed for reevaluation at least every three years. NCQA </w:t>
      </w:r>
      <w:r w:rsidRPr="00E035CB">
        <w:rPr>
          <w:rFonts w:asciiTheme="minorHAnsi" w:hAnsiTheme="minorHAnsi"/>
          <w:i w:val="0"/>
          <w:color w:val="244061" w:themeColor="accent1" w:themeShade="80"/>
          <w:sz w:val="22"/>
          <w:szCs w:val="22"/>
        </w:rPr>
        <w:lastRenderedPageBreak/>
        <w:t xml:space="preserve">staff continually monitors the performance of publicly reported measures. Statistical analysis, audit result review and user comments through NCQA’s Policy Clarification Support portal contribute to measure refinement during re-evaluation. Information derived from analyzing the performance of existing measures is used to improve development of the next generation of measures. </w:t>
      </w:r>
    </w:p>
    <w:p w14:paraId="562DAB24" w14:textId="77777777" w:rsidR="00657383" w:rsidRPr="00E035CB" w:rsidRDefault="00657383" w:rsidP="00657383">
      <w:pPr>
        <w:spacing w:after="0" w:line="240" w:lineRule="auto"/>
        <w:rPr>
          <w:rFonts w:cstheme="minorHAnsi"/>
          <w:color w:val="244061" w:themeColor="accent1" w:themeShade="80"/>
        </w:rPr>
      </w:pPr>
      <w:r w:rsidRPr="00E035CB">
        <w:rPr>
          <w:rFonts w:cstheme="minorHAnsi"/>
          <w:color w:val="244061" w:themeColor="accent1" w:themeShade="80"/>
        </w:rPr>
        <w:t>Each year, NCQA prioritizes measures for re-evaluation and selected measures are researched for changes in clinical guidelines or in the health care delivery systems, and the results from previous years are analyzed. Measure work-ups are updated with new information gathered from the literature review, and the appropriate MAPs review the work-ups and the previous year’s data. If necessary, the measure specification may be updated or the measure may be recommended for retirement. The CPM reviews recommendations from the evaluation process and approves or rejects the recommendation. If approved, the change is included in the next year’s HEDIS Volume 2.</w:t>
      </w:r>
    </w:p>
    <w:p w14:paraId="310B56E0" w14:textId="77777777" w:rsidR="00657383" w:rsidRPr="00E035CB" w:rsidRDefault="00657383" w:rsidP="00657383">
      <w:pPr>
        <w:pStyle w:val="Heading4"/>
        <w:spacing w:before="0" w:after="0" w:line="240" w:lineRule="auto"/>
        <w:rPr>
          <w:i w:val="0"/>
          <w:color w:val="244061" w:themeColor="accent1" w:themeShade="80"/>
          <w:sz w:val="22"/>
          <w:u w:val="single"/>
        </w:rPr>
      </w:pPr>
    </w:p>
    <w:p w14:paraId="1B109E34" w14:textId="77777777" w:rsidR="00657383" w:rsidRPr="00E035CB" w:rsidRDefault="00657383" w:rsidP="00657383">
      <w:pPr>
        <w:pStyle w:val="Heading4"/>
        <w:spacing w:before="0" w:after="0" w:line="240" w:lineRule="auto"/>
        <w:rPr>
          <w:i w:val="0"/>
          <w:color w:val="244061" w:themeColor="accent1" w:themeShade="80"/>
          <w:sz w:val="22"/>
          <w:u w:val="single"/>
        </w:rPr>
      </w:pPr>
      <w:r w:rsidRPr="00E035CB">
        <w:rPr>
          <w:i w:val="0"/>
          <w:color w:val="244061" w:themeColor="accent1" w:themeShade="80"/>
          <w:sz w:val="22"/>
          <w:u w:val="single"/>
        </w:rPr>
        <w:t>ICD-10 CONVERSION</w:t>
      </w:r>
    </w:p>
    <w:p w14:paraId="6791E7A9" w14:textId="77777777" w:rsidR="00657383" w:rsidRPr="00E035CB" w:rsidRDefault="00657383" w:rsidP="00657383">
      <w:pPr>
        <w:pStyle w:val="Default"/>
        <w:rPr>
          <w:rFonts w:asciiTheme="minorHAnsi" w:hAnsiTheme="minorHAnsi"/>
          <w:color w:val="244061" w:themeColor="accent1" w:themeShade="80"/>
          <w:sz w:val="22"/>
          <w:szCs w:val="22"/>
        </w:rPr>
      </w:pPr>
      <w:r w:rsidRPr="00E035CB">
        <w:rPr>
          <w:rFonts w:asciiTheme="minorHAnsi" w:hAnsiTheme="minorHAnsi"/>
          <w:color w:val="244061" w:themeColor="accent1" w:themeShade="80"/>
          <w:sz w:val="22"/>
          <w:szCs w:val="22"/>
        </w:rPr>
        <w:t xml:space="preserve">The below steps describe our methods to convert this measure to ICD-10 in order to develop a new code set fully consistent with the intent of the measure. </w:t>
      </w:r>
    </w:p>
    <w:p w14:paraId="63713621" w14:textId="77777777" w:rsidR="00657383" w:rsidRPr="00E035CB" w:rsidRDefault="00657383" w:rsidP="00657383">
      <w:pPr>
        <w:pStyle w:val="Default"/>
        <w:numPr>
          <w:ilvl w:val="0"/>
          <w:numId w:val="38"/>
        </w:numPr>
        <w:ind w:left="360" w:hanging="360"/>
        <w:rPr>
          <w:rFonts w:asciiTheme="minorHAnsi" w:hAnsiTheme="minorHAnsi"/>
          <w:color w:val="244061" w:themeColor="accent1" w:themeShade="80"/>
          <w:sz w:val="22"/>
          <w:szCs w:val="22"/>
        </w:rPr>
      </w:pPr>
      <w:r w:rsidRPr="00E035CB">
        <w:rPr>
          <w:rFonts w:asciiTheme="minorHAnsi" w:hAnsiTheme="minorHAnsi"/>
          <w:color w:val="244061" w:themeColor="accent1" w:themeShade="80"/>
          <w:sz w:val="22"/>
          <w:szCs w:val="22"/>
        </w:rPr>
        <w:t>NCQA staff identify ICD-10 codes to be considered based on ICD-9 codes currently in measure. Use General Equivalence Mapping (GEM) to identify ICD-10 codes that map to ICD-9 codes. Review GEM mapping in both directions (ICD-9 to ICD-10 and ICD-10 to ICD-9) to identify potential trending issues.</w:t>
      </w:r>
    </w:p>
    <w:p w14:paraId="093673DF" w14:textId="77777777" w:rsidR="00657383" w:rsidRPr="00E035CB" w:rsidRDefault="00657383" w:rsidP="00657383">
      <w:pPr>
        <w:pStyle w:val="Default"/>
        <w:numPr>
          <w:ilvl w:val="0"/>
          <w:numId w:val="38"/>
        </w:numPr>
        <w:ind w:left="360" w:hanging="360"/>
        <w:rPr>
          <w:rFonts w:asciiTheme="minorHAnsi" w:hAnsiTheme="minorHAnsi"/>
          <w:color w:val="244061" w:themeColor="accent1" w:themeShade="80"/>
          <w:sz w:val="22"/>
          <w:szCs w:val="22"/>
        </w:rPr>
      </w:pPr>
      <w:r w:rsidRPr="00E035CB">
        <w:rPr>
          <w:rFonts w:asciiTheme="minorHAnsi" w:hAnsiTheme="minorHAnsi"/>
          <w:color w:val="244061" w:themeColor="accent1" w:themeShade="80"/>
          <w:sz w:val="22"/>
          <w:szCs w:val="22"/>
        </w:rPr>
        <w:t>NCQA staff identify additional codes (not identified by GEM mapping step) that should be considered. Using ICD-10 tabular list and ICD-10 Index, search by diagnosis or procedure name for appropriate codes.</w:t>
      </w:r>
    </w:p>
    <w:p w14:paraId="0907EA5D" w14:textId="77777777" w:rsidR="00657383" w:rsidRPr="00E035CB" w:rsidRDefault="00657383" w:rsidP="00657383">
      <w:pPr>
        <w:pStyle w:val="Default"/>
        <w:numPr>
          <w:ilvl w:val="0"/>
          <w:numId w:val="38"/>
        </w:numPr>
        <w:ind w:left="360" w:hanging="360"/>
        <w:rPr>
          <w:rFonts w:asciiTheme="minorHAnsi" w:hAnsiTheme="minorHAnsi"/>
          <w:color w:val="244061" w:themeColor="accent1" w:themeShade="80"/>
          <w:sz w:val="22"/>
          <w:szCs w:val="22"/>
        </w:rPr>
      </w:pPr>
      <w:r w:rsidRPr="00E035CB">
        <w:rPr>
          <w:rFonts w:asciiTheme="minorHAnsi" w:hAnsiTheme="minorHAnsi"/>
          <w:color w:val="244061" w:themeColor="accent1" w:themeShade="80"/>
          <w:sz w:val="22"/>
          <w:szCs w:val="22"/>
        </w:rPr>
        <w:t xml:space="preserve">NCQA HEDIS Expert Coding Panel review NCQA staff recommendations and provide feedback. </w:t>
      </w:r>
    </w:p>
    <w:p w14:paraId="0FB695AE" w14:textId="77777777" w:rsidR="00657383" w:rsidRPr="00E035CB" w:rsidRDefault="00657383" w:rsidP="00657383">
      <w:pPr>
        <w:pStyle w:val="Default"/>
        <w:numPr>
          <w:ilvl w:val="0"/>
          <w:numId w:val="38"/>
        </w:numPr>
        <w:ind w:left="360" w:hanging="360"/>
        <w:rPr>
          <w:rFonts w:asciiTheme="minorHAnsi" w:hAnsiTheme="minorHAnsi"/>
          <w:color w:val="244061" w:themeColor="accent1" w:themeShade="80"/>
          <w:sz w:val="22"/>
          <w:szCs w:val="22"/>
        </w:rPr>
      </w:pPr>
      <w:r w:rsidRPr="00E035CB">
        <w:rPr>
          <w:rFonts w:asciiTheme="minorHAnsi" w:hAnsiTheme="minorHAnsi"/>
          <w:color w:val="244061" w:themeColor="accent1" w:themeShade="80"/>
          <w:sz w:val="22"/>
          <w:szCs w:val="22"/>
        </w:rPr>
        <w:t>As needed, NCQA Measurement Advisory Panels perform clinical review. Due to increased specificity in ICD-10, new codes and definitions require review to confirm the diagnosis or procedure is intended to be included in the scope of the measure. Not all ICD-10 recommendations are reviewed by NCQA MAP; MAP review items are identified during staff conversion or by HEDIS Expert Coding Panel.</w:t>
      </w:r>
    </w:p>
    <w:p w14:paraId="6A98E7E9" w14:textId="77777777" w:rsidR="00657383" w:rsidRPr="00E035CB" w:rsidRDefault="00657383" w:rsidP="00657383">
      <w:pPr>
        <w:pStyle w:val="Default"/>
        <w:numPr>
          <w:ilvl w:val="0"/>
          <w:numId w:val="38"/>
        </w:numPr>
        <w:ind w:left="360" w:hanging="360"/>
        <w:rPr>
          <w:rFonts w:asciiTheme="minorHAnsi" w:hAnsiTheme="minorHAnsi"/>
          <w:color w:val="244061" w:themeColor="accent1" w:themeShade="80"/>
          <w:sz w:val="22"/>
          <w:szCs w:val="22"/>
        </w:rPr>
      </w:pPr>
      <w:r w:rsidRPr="00E035CB">
        <w:rPr>
          <w:rFonts w:asciiTheme="minorHAnsi" w:hAnsiTheme="minorHAnsi"/>
          <w:color w:val="244061" w:themeColor="accent1" w:themeShade="80"/>
          <w:sz w:val="22"/>
          <w:szCs w:val="22"/>
        </w:rPr>
        <w:t xml:space="preserve">Post ICD-10 code recommendations for public review and comment. </w:t>
      </w:r>
    </w:p>
    <w:p w14:paraId="0705BC3A" w14:textId="77777777" w:rsidR="00657383" w:rsidRPr="00E035CB" w:rsidRDefault="00657383" w:rsidP="00657383">
      <w:pPr>
        <w:pStyle w:val="Default"/>
        <w:numPr>
          <w:ilvl w:val="0"/>
          <w:numId w:val="38"/>
        </w:numPr>
        <w:ind w:left="360" w:hanging="360"/>
        <w:rPr>
          <w:rFonts w:asciiTheme="minorHAnsi" w:hAnsiTheme="minorHAnsi"/>
          <w:color w:val="244061" w:themeColor="accent1" w:themeShade="80"/>
          <w:sz w:val="22"/>
          <w:szCs w:val="22"/>
        </w:rPr>
      </w:pPr>
      <w:r w:rsidRPr="00E035CB">
        <w:rPr>
          <w:rFonts w:asciiTheme="minorHAnsi" w:hAnsiTheme="minorHAnsi"/>
          <w:color w:val="244061" w:themeColor="accent1" w:themeShade="80"/>
          <w:sz w:val="22"/>
          <w:szCs w:val="22"/>
        </w:rPr>
        <w:t>Reconcile public comments. Obtain additional feedback from HEDIS Expert Coding Panel and MAPs as needed.</w:t>
      </w:r>
    </w:p>
    <w:p w14:paraId="0212A3BD" w14:textId="77777777" w:rsidR="00657383" w:rsidRPr="00E035CB" w:rsidRDefault="00657383" w:rsidP="00657383">
      <w:pPr>
        <w:pStyle w:val="Default"/>
        <w:numPr>
          <w:ilvl w:val="0"/>
          <w:numId w:val="38"/>
        </w:numPr>
        <w:ind w:left="360" w:hanging="360"/>
        <w:rPr>
          <w:rFonts w:asciiTheme="minorHAnsi" w:hAnsiTheme="minorHAnsi"/>
          <w:color w:val="244061" w:themeColor="accent1" w:themeShade="80"/>
          <w:sz w:val="22"/>
          <w:szCs w:val="22"/>
        </w:rPr>
      </w:pPr>
      <w:r w:rsidRPr="00E035CB">
        <w:rPr>
          <w:rFonts w:asciiTheme="minorHAnsi" w:hAnsiTheme="minorHAnsi"/>
          <w:color w:val="244061" w:themeColor="accent1" w:themeShade="80"/>
          <w:sz w:val="22"/>
          <w:szCs w:val="22"/>
        </w:rPr>
        <w:t>NCQA staff finalize ICD-10 code recommendations.</w:t>
      </w:r>
    </w:p>
    <w:p w14:paraId="202032A6" w14:textId="77777777" w:rsidR="00657383" w:rsidRPr="00E035CB" w:rsidRDefault="00657383" w:rsidP="00657383">
      <w:pPr>
        <w:pStyle w:val="Default"/>
        <w:rPr>
          <w:rFonts w:asciiTheme="minorHAnsi" w:hAnsiTheme="minorHAnsi"/>
          <w:i/>
          <w:color w:val="244061" w:themeColor="accent1" w:themeShade="80"/>
          <w:sz w:val="22"/>
          <w:szCs w:val="22"/>
        </w:rPr>
      </w:pPr>
    </w:p>
    <w:p w14:paraId="0E43CB7F" w14:textId="77777777" w:rsidR="00657383" w:rsidRPr="00E035CB" w:rsidRDefault="00657383" w:rsidP="00657383">
      <w:pPr>
        <w:pStyle w:val="Default"/>
        <w:rPr>
          <w:rFonts w:asciiTheme="minorHAnsi" w:hAnsiTheme="minorHAnsi"/>
          <w:i/>
          <w:color w:val="244061" w:themeColor="accent1" w:themeShade="80"/>
          <w:sz w:val="22"/>
          <w:szCs w:val="22"/>
        </w:rPr>
      </w:pPr>
      <w:r w:rsidRPr="00E035CB">
        <w:rPr>
          <w:rFonts w:asciiTheme="minorHAnsi" w:hAnsiTheme="minorHAnsi"/>
          <w:i/>
          <w:color w:val="244061" w:themeColor="accent1" w:themeShade="80"/>
          <w:sz w:val="22"/>
          <w:szCs w:val="22"/>
        </w:rPr>
        <w:t xml:space="preserve">Tools Used to Identify/Map to ICD-10 </w:t>
      </w:r>
    </w:p>
    <w:p w14:paraId="59E292AA" w14:textId="77777777" w:rsidR="00657383" w:rsidRPr="00E035CB" w:rsidRDefault="00657383" w:rsidP="00657383">
      <w:pPr>
        <w:pStyle w:val="Default"/>
        <w:rPr>
          <w:rFonts w:asciiTheme="minorHAnsi" w:hAnsiTheme="minorHAnsi"/>
          <w:color w:val="244061" w:themeColor="accent1" w:themeShade="80"/>
          <w:sz w:val="22"/>
          <w:szCs w:val="22"/>
        </w:rPr>
      </w:pPr>
      <w:r w:rsidRPr="00E035CB">
        <w:rPr>
          <w:rFonts w:asciiTheme="minorHAnsi" w:hAnsiTheme="minorHAnsi"/>
          <w:color w:val="244061" w:themeColor="accent1" w:themeShade="80"/>
          <w:sz w:val="22"/>
          <w:szCs w:val="22"/>
        </w:rPr>
        <w:t>All tools used for mapping/code identification from CMS ICD-10 website</w:t>
      </w:r>
    </w:p>
    <w:p w14:paraId="64216131" w14:textId="41961DD5" w:rsidR="00657383" w:rsidRPr="00E035CB" w:rsidRDefault="00657383" w:rsidP="00657383">
      <w:pPr>
        <w:pStyle w:val="Default"/>
        <w:rPr>
          <w:rFonts w:asciiTheme="minorHAnsi" w:hAnsiTheme="minorHAnsi"/>
          <w:color w:val="244061" w:themeColor="accent1" w:themeShade="80"/>
          <w:sz w:val="22"/>
          <w:szCs w:val="22"/>
        </w:rPr>
      </w:pPr>
      <w:r w:rsidRPr="00E035CB">
        <w:rPr>
          <w:rFonts w:asciiTheme="minorHAnsi" w:hAnsiTheme="minorHAnsi"/>
          <w:color w:val="244061" w:themeColor="accent1" w:themeShade="80"/>
          <w:sz w:val="22"/>
          <w:szCs w:val="22"/>
        </w:rPr>
        <w:t>(</w:t>
      </w:r>
      <w:hyperlink r:id="rId14" w:history="1">
        <w:r w:rsidR="00FD7628" w:rsidRPr="00C544F1">
          <w:rPr>
            <w:rStyle w:val="Hyperlink"/>
            <w:rFonts w:asciiTheme="minorHAnsi" w:hAnsiTheme="minorHAnsi"/>
            <w:sz w:val="22"/>
            <w:szCs w:val="22"/>
          </w:rPr>
          <w:t>https://www.cms.gov/medicare/Coding/ICD10/index.html</w:t>
        </w:r>
      </w:hyperlink>
      <w:r w:rsidRPr="00E035CB">
        <w:rPr>
          <w:rFonts w:asciiTheme="minorHAnsi" w:hAnsiTheme="minorHAnsi"/>
          <w:color w:val="244061" w:themeColor="accent1" w:themeShade="80"/>
          <w:sz w:val="22"/>
          <w:szCs w:val="22"/>
        </w:rPr>
        <w:t>).</w:t>
      </w:r>
    </w:p>
    <w:p w14:paraId="6F9A820B" w14:textId="77777777" w:rsidR="00657383" w:rsidRPr="00E035CB" w:rsidRDefault="00657383" w:rsidP="00657383">
      <w:pPr>
        <w:pStyle w:val="Default"/>
        <w:rPr>
          <w:rFonts w:asciiTheme="minorHAnsi" w:hAnsiTheme="minorHAnsi"/>
          <w:color w:val="244061" w:themeColor="accent1" w:themeShade="80"/>
          <w:sz w:val="22"/>
          <w:szCs w:val="22"/>
        </w:rPr>
      </w:pPr>
      <w:r w:rsidRPr="00E035CB">
        <w:rPr>
          <w:rFonts w:asciiTheme="minorHAnsi" w:hAnsiTheme="minorHAnsi"/>
          <w:color w:val="244061" w:themeColor="accent1" w:themeShade="80"/>
          <w:sz w:val="22"/>
          <w:szCs w:val="22"/>
        </w:rPr>
        <w:t>GEM, ICD-10 Guidelines, ICD-10-CM Tabular List of Diseases and Injuries, ICD-10-PCS Tabular List.</w:t>
      </w:r>
    </w:p>
    <w:p w14:paraId="157BD9C2" w14:textId="77777777" w:rsidR="00657383" w:rsidRPr="00E035CB" w:rsidRDefault="00657383" w:rsidP="00657383">
      <w:pPr>
        <w:pStyle w:val="Heading3"/>
        <w:spacing w:before="0" w:line="240" w:lineRule="auto"/>
        <w:rPr>
          <w:rFonts w:asciiTheme="minorHAnsi" w:hAnsiTheme="minorHAnsi"/>
          <w:color w:val="244061" w:themeColor="accent1" w:themeShade="80"/>
          <w:sz w:val="22"/>
          <w:szCs w:val="22"/>
        </w:rPr>
      </w:pPr>
    </w:p>
    <w:p w14:paraId="4B5DA165" w14:textId="77777777" w:rsidR="00657383" w:rsidRPr="00E035CB" w:rsidRDefault="00657383" w:rsidP="00657383">
      <w:pPr>
        <w:pStyle w:val="Heading3"/>
        <w:spacing w:before="0" w:line="240" w:lineRule="auto"/>
        <w:rPr>
          <w:rFonts w:asciiTheme="minorHAnsi" w:hAnsiTheme="minorHAnsi"/>
          <w:i/>
          <w:color w:val="244061" w:themeColor="accent1" w:themeShade="80"/>
          <w:sz w:val="22"/>
          <w:szCs w:val="22"/>
        </w:rPr>
      </w:pPr>
      <w:r w:rsidRPr="00E035CB">
        <w:rPr>
          <w:rFonts w:asciiTheme="minorHAnsi" w:hAnsiTheme="minorHAnsi"/>
          <w:i/>
          <w:color w:val="244061" w:themeColor="accent1" w:themeShade="80"/>
          <w:sz w:val="22"/>
          <w:szCs w:val="22"/>
        </w:rPr>
        <w:t>Expert Participation</w:t>
      </w:r>
    </w:p>
    <w:p w14:paraId="62058930" w14:textId="77777777" w:rsidR="00657383" w:rsidRPr="00E035CB" w:rsidRDefault="00657383" w:rsidP="00657383">
      <w:pPr>
        <w:autoSpaceDE w:val="0"/>
        <w:autoSpaceDN w:val="0"/>
        <w:adjustRightInd w:val="0"/>
        <w:spacing w:after="0" w:line="240" w:lineRule="auto"/>
        <w:rPr>
          <w:rFonts w:cstheme="minorHAnsi"/>
          <w:bCs/>
          <w:color w:val="244061" w:themeColor="accent1" w:themeShade="80"/>
        </w:rPr>
      </w:pPr>
      <w:r w:rsidRPr="00E035CB">
        <w:rPr>
          <w:rFonts w:cstheme="minorHAnsi"/>
          <w:bCs/>
          <w:color w:val="244061" w:themeColor="accent1" w:themeShade="80"/>
        </w:rPr>
        <w:t xml:space="preserve">The </w:t>
      </w:r>
      <w:r w:rsidRPr="00E035CB">
        <w:rPr>
          <w:color w:val="244061" w:themeColor="accent1" w:themeShade="80"/>
        </w:rPr>
        <w:t xml:space="preserve">NCQA HEDIS Expert Coding Panel and NCQA’s Behavioral Health Measurement Advisory Panel reviewed and provided feedback on staff recommendations.  Names and credentials of the experts who served on these panels are listed under Additional Information, Ad. 1. Workgroup/Expert Panel Involved in Measure Development. </w:t>
      </w:r>
    </w:p>
    <w:p w14:paraId="096CED0D" w14:textId="77777777" w:rsidR="00657383" w:rsidRPr="00E035CB" w:rsidRDefault="00657383" w:rsidP="00657383">
      <w:pPr>
        <w:spacing w:after="0" w:line="240" w:lineRule="auto"/>
        <w:rPr>
          <w:rFonts w:cs="Arial"/>
          <w:b/>
          <w:color w:val="244061" w:themeColor="accent1" w:themeShade="80"/>
          <w:u w:val="single"/>
        </w:rPr>
      </w:pPr>
    </w:p>
    <w:p w14:paraId="32CED3CE" w14:textId="77777777" w:rsidR="00657383" w:rsidRPr="00E035CB" w:rsidRDefault="00657383" w:rsidP="00657383">
      <w:pPr>
        <w:spacing w:after="0" w:line="240" w:lineRule="auto"/>
        <w:rPr>
          <w:rFonts w:cs="Arial"/>
          <w:b/>
          <w:color w:val="244061" w:themeColor="accent1" w:themeShade="80"/>
          <w:u w:val="single"/>
        </w:rPr>
      </w:pPr>
      <w:r w:rsidRPr="00E035CB">
        <w:rPr>
          <w:rFonts w:cs="Arial"/>
          <w:b/>
          <w:color w:val="244061" w:themeColor="accent1" w:themeShade="80"/>
          <w:u w:val="single"/>
        </w:rPr>
        <w:t>2012 Submission</w:t>
      </w:r>
    </w:p>
    <w:p w14:paraId="43A055A2" w14:textId="77777777" w:rsidR="00657383" w:rsidRPr="00E035CB" w:rsidRDefault="00657383" w:rsidP="00657383">
      <w:pPr>
        <w:spacing w:after="0" w:line="240" w:lineRule="auto"/>
        <w:rPr>
          <w:rFonts w:cs="Arial"/>
          <w:b/>
          <w:bCs/>
          <w:color w:val="244061" w:themeColor="accent1" w:themeShade="80"/>
        </w:rPr>
      </w:pPr>
      <w:r w:rsidRPr="00E035CB">
        <w:rPr>
          <w:rFonts w:cs="Arial"/>
          <w:color w:val="244061" w:themeColor="accent1" w:themeShade="80"/>
        </w:rPr>
        <w:t xml:space="preserve">NCQA identified and refined measure management into a standardized process called the HEDIS measure life cycle. </w:t>
      </w:r>
    </w:p>
    <w:p w14:paraId="790212D9" w14:textId="77777777" w:rsidR="00657383" w:rsidRPr="00E035CB" w:rsidRDefault="00657383" w:rsidP="00657383">
      <w:pPr>
        <w:spacing w:after="0" w:line="240" w:lineRule="auto"/>
        <w:rPr>
          <w:rFonts w:cs="Arial"/>
          <w:color w:val="244061" w:themeColor="accent1" w:themeShade="80"/>
        </w:rPr>
      </w:pPr>
    </w:p>
    <w:p w14:paraId="5F99F75B" w14:textId="77777777" w:rsidR="00657383" w:rsidRPr="00E035CB" w:rsidRDefault="00657383" w:rsidP="00657383">
      <w:pPr>
        <w:spacing w:after="0" w:line="240" w:lineRule="auto"/>
        <w:rPr>
          <w:rFonts w:cs="Arial"/>
          <w:color w:val="244061" w:themeColor="accent1" w:themeShade="80"/>
        </w:rPr>
      </w:pPr>
      <w:r w:rsidRPr="00E035CB">
        <w:rPr>
          <w:rFonts w:cs="Arial"/>
          <w:color w:val="244061" w:themeColor="accent1" w:themeShade="80"/>
        </w:rPr>
        <w:t>*Step 1: Topic selection is the process of identifying measures that meet criteria consistent with the overall model for performance measurement. There is a huge universe of potential performance measures for future versions of HEDIS. The first step is identifying measures that meet formal criteria for further development.</w:t>
      </w:r>
    </w:p>
    <w:p w14:paraId="30B346E2" w14:textId="77777777" w:rsidR="00657383" w:rsidRPr="00E035CB" w:rsidRDefault="00657383" w:rsidP="00657383">
      <w:pPr>
        <w:spacing w:after="0" w:line="240" w:lineRule="auto"/>
        <w:rPr>
          <w:rFonts w:cs="Arial"/>
          <w:color w:val="244061" w:themeColor="accent1" w:themeShade="80"/>
        </w:rPr>
      </w:pPr>
    </w:p>
    <w:p w14:paraId="68B32A5C" w14:textId="77777777" w:rsidR="00657383" w:rsidRPr="00E035CB" w:rsidRDefault="00657383" w:rsidP="00657383">
      <w:pPr>
        <w:spacing w:after="0" w:line="240" w:lineRule="auto"/>
        <w:rPr>
          <w:rFonts w:cs="Arial"/>
          <w:color w:val="244061" w:themeColor="accent1" w:themeShade="80"/>
        </w:rPr>
      </w:pPr>
      <w:r w:rsidRPr="00E035CB">
        <w:rPr>
          <w:rFonts w:cs="Arial"/>
          <w:color w:val="244061" w:themeColor="accent1" w:themeShade="80"/>
        </w:rPr>
        <w:t xml:space="preserve">NCQA staff identifies areas of interest or gaps in care. Clinical expert panels (MAPs—whose members are authorities on clinical priorities for measurement) participate in this process. Once topics are identified, a literature review is conducted to find supporting documentation on their importance, scientific soundness and feasibility. This information is gathered into a work-up format. Refer to What Makes a Measure “Desirable”? The work-up is vetted by NCQA’s MAPs, the TAG, the HEDIS Policy Panel and various other panels. </w:t>
      </w:r>
    </w:p>
    <w:p w14:paraId="3C6CF898" w14:textId="77777777" w:rsidR="00657383" w:rsidRPr="00E035CB" w:rsidRDefault="00657383" w:rsidP="00657383">
      <w:pPr>
        <w:spacing w:after="0" w:line="240" w:lineRule="auto"/>
        <w:rPr>
          <w:rFonts w:cs="Arial"/>
          <w:color w:val="244061" w:themeColor="accent1" w:themeShade="80"/>
        </w:rPr>
      </w:pPr>
    </w:p>
    <w:p w14:paraId="3B89ABA5" w14:textId="77777777" w:rsidR="00657383" w:rsidRPr="00E035CB" w:rsidRDefault="00657383" w:rsidP="00657383">
      <w:pPr>
        <w:spacing w:after="0" w:line="240" w:lineRule="auto"/>
        <w:rPr>
          <w:rFonts w:cs="Arial"/>
          <w:color w:val="244061" w:themeColor="accent1" w:themeShade="80"/>
        </w:rPr>
      </w:pPr>
      <w:r w:rsidRPr="00E035CB">
        <w:rPr>
          <w:rFonts w:cs="Arial"/>
          <w:color w:val="244061" w:themeColor="accent1" w:themeShade="80"/>
        </w:rPr>
        <w:t xml:space="preserve">*Step 2: Development ensures that measures are fully defined and tested before the organization collects them. MAPs participate in this process by helping identify the best measures for assessing health care performance in clinical areas identified in the topic selection phase. </w:t>
      </w:r>
    </w:p>
    <w:p w14:paraId="2B8ABD46" w14:textId="77777777" w:rsidR="00657383" w:rsidRPr="00E035CB" w:rsidRDefault="00657383" w:rsidP="00657383">
      <w:pPr>
        <w:spacing w:after="0" w:line="240" w:lineRule="auto"/>
        <w:rPr>
          <w:rFonts w:cs="Arial"/>
          <w:color w:val="244061" w:themeColor="accent1" w:themeShade="80"/>
        </w:rPr>
      </w:pPr>
    </w:p>
    <w:p w14:paraId="048BE23A" w14:textId="77777777" w:rsidR="00657383" w:rsidRPr="00E035CB" w:rsidRDefault="00657383" w:rsidP="00657383">
      <w:pPr>
        <w:spacing w:after="0" w:line="240" w:lineRule="auto"/>
        <w:rPr>
          <w:rFonts w:cs="Arial"/>
          <w:color w:val="244061" w:themeColor="accent1" w:themeShade="80"/>
        </w:rPr>
      </w:pPr>
      <w:r w:rsidRPr="00E035CB">
        <w:rPr>
          <w:rFonts w:cs="Arial"/>
          <w:color w:val="244061" w:themeColor="accent1" w:themeShade="80"/>
        </w:rPr>
        <w:t>Development includes the following tasks.</w:t>
      </w:r>
    </w:p>
    <w:p w14:paraId="05727C9A" w14:textId="77777777" w:rsidR="00657383" w:rsidRPr="00E035CB" w:rsidRDefault="00657383" w:rsidP="00657383">
      <w:pPr>
        <w:spacing w:after="0" w:line="240" w:lineRule="auto"/>
        <w:rPr>
          <w:rFonts w:cs="Arial"/>
          <w:color w:val="244061" w:themeColor="accent1" w:themeShade="80"/>
        </w:rPr>
      </w:pPr>
      <w:r w:rsidRPr="00E035CB">
        <w:rPr>
          <w:rFonts w:cs="Arial"/>
          <w:color w:val="244061" w:themeColor="accent1" w:themeShade="80"/>
        </w:rPr>
        <w:t>1.Ensure funding throughout measure testing</w:t>
      </w:r>
    </w:p>
    <w:p w14:paraId="1422D5E6" w14:textId="77777777" w:rsidR="00657383" w:rsidRPr="00E035CB" w:rsidRDefault="00657383" w:rsidP="00657383">
      <w:pPr>
        <w:spacing w:after="0" w:line="240" w:lineRule="auto"/>
        <w:rPr>
          <w:rFonts w:cs="Arial"/>
          <w:color w:val="244061" w:themeColor="accent1" w:themeShade="80"/>
        </w:rPr>
      </w:pPr>
      <w:r w:rsidRPr="00E035CB">
        <w:rPr>
          <w:rFonts w:cs="Arial"/>
          <w:color w:val="244061" w:themeColor="accent1" w:themeShade="80"/>
        </w:rPr>
        <w:t>2.Prepare a detailed conceptual and operational work-up that includes a testing proposal</w:t>
      </w:r>
    </w:p>
    <w:p w14:paraId="177483A4" w14:textId="77777777" w:rsidR="00657383" w:rsidRPr="00E035CB" w:rsidRDefault="00657383" w:rsidP="00657383">
      <w:pPr>
        <w:spacing w:after="0" w:line="240" w:lineRule="auto"/>
        <w:rPr>
          <w:rFonts w:cs="Arial"/>
          <w:color w:val="244061" w:themeColor="accent1" w:themeShade="80"/>
        </w:rPr>
      </w:pPr>
      <w:r w:rsidRPr="00E035CB">
        <w:rPr>
          <w:rFonts w:cs="Arial"/>
          <w:color w:val="244061" w:themeColor="accent1" w:themeShade="80"/>
        </w:rPr>
        <w:t>3.Collaborate with health plans to conduct field-tests that assess the feasibility and validity of potential measures</w:t>
      </w:r>
    </w:p>
    <w:p w14:paraId="6BEAEF0F" w14:textId="77777777" w:rsidR="00657383" w:rsidRPr="00E035CB" w:rsidRDefault="00657383" w:rsidP="00657383">
      <w:pPr>
        <w:spacing w:after="0" w:line="240" w:lineRule="auto"/>
        <w:rPr>
          <w:rFonts w:cs="Arial"/>
          <w:color w:val="244061" w:themeColor="accent1" w:themeShade="80"/>
        </w:rPr>
      </w:pPr>
    </w:p>
    <w:p w14:paraId="2EE21367" w14:textId="77777777" w:rsidR="00657383" w:rsidRPr="00E035CB" w:rsidRDefault="00657383" w:rsidP="00657383">
      <w:pPr>
        <w:spacing w:after="0" w:line="240" w:lineRule="auto"/>
        <w:rPr>
          <w:rFonts w:cs="Arial"/>
          <w:color w:val="244061" w:themeColor="accent1" w:themeShade="80"/>
        </w:rPr>
      </w:pPr>
      <w:r w:rsidRPr="00E035CB">
        <w:rPr>
          <w:rFonts w:cs="Arial"/>
          <w:color w:val="244061" w:themeColor="accent1" w:themeShade="80"/>
        </w:rPr>
        <w:t>The CPM uses testing results and proposed final specifications to determine if the measure will move forward to Public Comment.</w:t>
      </w:r>
    </w:p>
    <w:p w14:paraId="320F211F" w14:textId="77777777" w:rsidR="00657383" w:rsidRPr="00E035CB" w:rsidRDefault="00657383" w:rsidP="00657383">
      <w:pPr>
        <w:spacing w:after="0" w:line="240" w:lineRule="auto"/>
        <w:rPr>
          <w:rFonts w:cs="Arial"/>
          <w:color w:val="244061" w:themeColor="accent1" w:themeShade="80"/>
        </w:rPr>
      </w:pPr>
    </w:p>
    <w:p w14:paraId="09767FC7" w14:textId="77777777" w:rsidR="00657383" w:rsidRPr="00E035CB" w:rsidRDefault="00657383" w:rsidP="00657383">
      <w:pPr>
        <w:spacing w:after="0" w:line="240" w:lineRule="auto"/>
        <w:rPr>
          <w:rFonts w:cs="Arial"/>
          <w:color w:val="244061" w:themeColor="accent1" w:themeShade="80"/>
        </w:rPr>
      </w:pPr>
      <w:r w:rsidRPr="00E035CB">
        <w:rPr>
          <w:rFonts w:cs="Arial"/>
          <w:color w:val="244061" w:themeColor="accent1" w:themeShade="80"/>
        </w:rPr>
        <w:t xml:space="preserve">*Step 3: Public Comment is a 30-day period of review that allows interested parties to offer feedback to the CPM about new measures or about changes to existing measures. </w:t>
      </w:r>
    </w:p>
    <w:p w14:paraId="22109CC8" w14:textId="77777777" w:rsidR="00657383" w:rsidRPr="00E035CB" w:rsidRDefault="00657383" w:rsidP="00657383">
      <w:pPr>
        <w:spacing w:after="0" w:line="240" w:lineRule="auto"/>
        <w:rPr>
          <w:rFonts w:cs="Arial"/>
          <w:color w:val="244061" w:themeColor="accent1" w:themeShade="80"/>
        </w:rPr>
      </w:pPr>
      <w:r w:rsidRPr="00E035CB">
        <w:rPr>
          <w:rFonts w:cs="Arial"/>
          <w:color w:val="244061" w:themeColor="accent1" w:themeShade="80"/>
        </w:rPr>
        <w:t xml:space="preserve">NCQA MAPs and technical panels consider all comments and advise NCQA staff on appropriate recommendations brought to the CPM. The CPM reviews all comments before making a final decision about Public Comment measures. New measures and changes to existing measures approved by the CPM will be included in the next HEDIS year and reported as first-year measures. </w:t>
      </w:r>
    </w:p>
    <w:p w14:paraId="725B73ED" w14:textId="77777777" w:rsidR="00657383" w:rsidRPr="00E035CB" w:rsidRDefault="00657383" w:rsidP="00657383">
      <w:pPr>
        <w:spacing w:after="0" w:line="240" w:lineRule="auto"/>
        <w:rPr>
          <w:rFonts w:cs="Arial"/>
          <w:color w:val="244061" w:themeColor="accent1" w:themeShade="80"/>
        </w:rPr>
      </w:pPr>
    </w:p>
    <w:p w14:paraId="397B520B" w14:textId="12DFC2E9" w:rsidR="00657383" w:rsidRPr="00E035CB" w:rsidRDefault="00657383" w:rsidP="00657383">
      <w:pPr>
        <w:spacing w:after="0" w:line="240" w:lineRule="auto"/>
        <w:rPr>
          <w:rFonts w:cs="Arial"/>
          <w:color w:val="244061" w:themeColor="accent1" w:themeShade="80"/>
        </w:rPr>
      </w:pPr>
      <w:r w:rsidRPr="00E035CB">
        <w:rPr>
          <w:rFonts w:cs="Arial"/>
          <w:color w:val="244061" w:themeColor="accent1" w:themeShade="80"/>
        </w:rPr>
        <w:t xml:space="preserve">*Step 4: First-year data collection requires organizations to collect, be audited on and report these measures, but results are not publicly reported in the first year and are not included in NCQA’s Quality Compass? </w:t>
      </w:r>
      <w:r w:rsidR="00FD7628" w:rsidRPr="00E035CB">
        <w:rPr>
          <w:rFonts w:cs="Arial"/>
          <w:color w:val="244061" w:themeColor="accent1" w:themeShade="80"/>
        </w:rPr>
        <w:t>O</w:t>
      </w:r>
      <w:r w:rsidRPr="00E035CB">
        <w:rPr>
          <w:rFonts w:cs="Arial"/>
          <w:color w:val="244061" w:themeColor="accent1" w:themeShade="80"/>
        </w:rPr>
        <w:t xml:space="preserve">r in accreditation scoring. </w:t>
      </w:r>
    </w:p>
    <w:p w14:paraId="4B074F14" w14:textId="77777777" w:rsidR="00657383" w:rsidRPr="00E035CB" w:rsidRDefault="00657383" w:rsidP="00657383">
      <w:pPr>
        <w:spacing w:after="0" w:line="240" w:lineRule="auto"/>
        <w:rPr>
          <w:rFonts w:cs="Arial"/>
          <w:color w:val="244061" w:themeColor="accent1" w:themeShade="80"/>
        </w:rPr>
      </w:pPr>
    </w:p>
    <w:p w14:paraId="72719F5C" w14:textId="77777777" w:rsidR="00657383" w:rsidRPr="00E035CB" w:rsidRDefault="00657383" w:rsidP="00657383">
      <w:pPr>
        <w:spacing w:after="0" w:line="240" w:lineRule="auto"/>
        <w:rPr>
          <w:rFonts w:cs="Arial"/>
          <w:color w:val="244061" w:themeColor="accent1" w:themeShade="80"/>
        </w:rPr>
      </w:pPr>
      <w:r w:rsidRPr="00E035CB">
        <w:rPr>
          <w:rFonts w:cs="Arial"/>
          <w:color w:val="244061" w:themeColor="accent1" w:themeShade="80"/>
        </w:rPr>
        <w:t>The first-year distinction guarantees that a measure can be efficiently collected, reported and audited before it is used for public accountability or accreditation. This is not testing—the measure was already tested as part of its development—rather, it ensures that there are no unforeseen problems when the measure is implemented in the real world. NCQA’s experience is that the first year of large-scale data collection often reveals unanticipated issues.</w:t>
      </w:r>
    </w:p>
    <w:p w14:paraId="0BFB783F" w14:textId="77777777" w:rsidR="00657383" w:rsidRPr="00E035CB" w:rsidRDefault="00657383" w:rsidP="00657383">
      <w:pPr>
        <w:spacing w:after="0" w:line="240" w:lineRule="auto"/>
        <w:rPr>
          <w:rFonts w:cs="Arial"/>
          <w:color w:val="244061" w:themeColor="accent1" w:themeShade="80"/>
        </w:rPr>
      </w:pPr>
    </w:p>
    <w:p w14:paraId="4940CB0C" w14:textId="77777777" w:rsidR="00657383" w:rsidRPr="00E035CB" w:rsidRDefault="00657383" w:rsidP="00657383">
      <w:pPr>
        <w:spacing w:after="0" w:line="240" w:lineRule="auto"/>
        <w:rPr>
          <w:rFonts w:cs="Arial"/>
          <w:color w:val="244061" w:themeColor="accent1" w:themeShade="80"/>
        </w:rPr>
      </w:pPr>
      <w:r w:rsidRPr="00E035CB">
        <w:rPr>
          <w:rFonts w:cs="Arial"/>
          <w:color w:val="244061" w:themeColor="accent1" w:themeShade="80"/>
        </w:rPr>
        <w:t>After collection, reporting and auditing on a one-year introductory basis, NCQA conducts a detailed evaluation of first-year data. The CPM uses evaluation results to decide whether the measure should become publicly reportable or whether it needs further modifications.</w:t>
      </w:r>
    </w:p>
    <w:p w14:paraId="55BA741C" w14:textId="77777777" w:rsidR="00657383" w:rsidRPr="00E035CB" w:rsidRDefault="00657383" w:rsidP="00657383">
      <w:pPr>
        <w:spacing w:after="0" w:line="240" w:lineRule="auto"/>
        <w:rPr>
          <w:rFonts w:cs="Arial"/>
          <w:color w:val="244061" w:themeColor="accent1" w:themeShade="80"/>
        </w:rPr>
      </w:pPr>
    </w:p>
    <w:p w14:paraId="6D052D76" w14:textId="77777777" w:rsidR="00657383" w:rsidRPr="00E035CB" w:rsidRDefault="00657383" w:rsidP="00657383">
      <w:pPr>
        <w:spacing w:after="0" w:line="240" w:lineRule="auto"/>
        <w:rPr>
          <w:rFonts w:cs="Arial"/>
          <w:color w:val="244061" w:themeColor="accent1" w:themeShade="80"/>
        </w:rPr>
      </w:pPr>
      <w:r w:rsidRPr="00E035CB">
        <w:rPr>
          <w:rFonts w:cs="Arial"/>
          <w:color w:val="244061" w:themeColor="accent1" w:themeShade="80"/>
        </w:rPr>
        <w:t xml:space="preserve">*Step 5: Public reporting is based on the first-year measure evaluation results. If the measure is approved, it will be reported in Quality Compass and may be used for scoring in accreditation. </w:t>
      </w:r>
    </w:p>
    <w:p w14:paraId="7AADF928" w14:textId="77777777" w:rsidR="00657383" w:rsidRPr="00E035CB" w:rsidRDefault="00657383" w:rsidP="00657383">
      <w:pPr>
        <w:spacing w:after="0" w:line="240" w:lineRule="auto"/>
        <w:rPr>
          <w:rFonts w:cs="Arial"/>
          <w:color w:val="244061" w:themeColor="accent1" w:themeShade="80"/>
        </w:rPr>
      </w:pPr>
    </w:p>
    <w:p w14:paraId="7F3C65F1" w14:textId="77777777" w:rsidR="00657383" w:rsidRPr="00E035CB" w:rsidRDefault="00657383" w:rsidP="00657383">
      <w:pPr>
        <w:spacing w:after="0" w:line="240" w:lineRule="auto"/>
        <w:rPr>
          <w:rFonts w:cs="Arial"/>
          <w:color w:val="244061" w:themeColor="accent1" w:themeShade="80"/>
        </w:rPr>
      </w:pPr>
      <w:r w:rsidRPr="00E035CB">
        <w:rPr>
          <w:rFonts w:cs="Arial"/>
          <w:color w:val="244061" w:themeColor="accent1" w:themeShade="80"/>
        </w:rPr>
        <w:t xml:space="preserve">Step 6: Evaluation is the ongoing review of a measure’s performance and recommendations for its modification or retirement. Every measure is reevaluated at least every three years. NCQA staff continually monitors the performance of publicly reported measures. Statistical analysis, audit result review and user comments contribute to measure evaluation. Information derived from analyzing the performance of existing measures is used to improve development of the next generation of measures. </w:t>
      </w:r>
    </w:p>
    <w:p w14:paraId="4B1FDCD7" w14:textId="77777777" w:rsidR="00657383" w:rsidRPr="00E035CB" w:rsidRDefault="00657383" w:rsidP="00657383">
      <w:pPr>
        <w:spacing w:after="0" w:line="240" w:lineRule="auto"/>
        <w:rPr>
          <w:rFonts w:cs="Arial"/>
          <w:color w:val="244061" w:themeColor="accent1" w:themeShade="80"/>
        </w:rPr>
      </w:pPr>
    </w:p>
    <w:p w14:paraId="2067FB8D" w14:textId="77777777" w:rsidR="00657383" w:rsidRPr="00E035CB" w:rsidRDefault="00657383" w:rsidP="00657383">
      <w:pPr>
        <w:spacing w:after="0" w:line="240" w:lineRule="auto"/>
        <w:rPr>
          <w:rFonts w:cs="Arial"/>
          <w:color w:val="244061" w:themeColor="accent1" w:themeShade="80"/>
        </w:rPr>
      </w:pPr>
      <w:r w:rsidRPr="00E035CB">
        <w:rPr>
          <w:rFonts w:cs="Arial"/>
          <w:color w:val="244061" w:themeColor="accent1" w:themeShade="80"/>
        </w:rPr>
        <w:t>Each year, a third of the measurement set is researched for changes in clinical guidelines or health care delivery systems, and the results from previous years are analyzed. Measure work-ups are updated with new information gathered from the literature review, and the appropriate MAPs review the work-ups and the previous year’s data. If necessary, the measure specification may be updated or the measure may be recommended for retirement. The CPM reviews recommendations from the evaluation process and approves or rejects the recommendation. If approved, the change is included in the next year’s HEDIS Volume 2.</w:t>
      </w:r>
    </w:p>
    <w:p w14:paraId="502A02B9" w14:textId="77777777" w:rsidR="00657383" w:rsidRPr="00E035CB" w:rsidRDefault="00657383" w:rsidP="00657383">
      <w:pPr>
        <w:spacing w:after="0" w:line="240" w:lineRule="auto"/>
        <w:rPr>
          <w:rFonts w:cs="Arial"/>
          <w:color w:val="244061" w:themeColor="accent1" w:themeShade="80"/>
        </w:rPr>
      </w:pPr>
    </w:p>
    <w:p w14:paraId="76B75D61" w14:textId="77777777" w:rsidR="00657383" w:rsidRPr="00E035CB" w:rsidRDefault="00657383" w:rsidP="00657383">
      <w:pPr>
        <w:spacing w:after="0" w:line="240" w:lineRule="auto"/>
        <w:rPr>
          <w:rFonts w:cs="Arial"/>
          <w:color w:val="244061" w:themeColor="accent1" w:themeShade="80"/>
        </w:rPr>
      </w:pPr>
      <w:r w:rsidRPr="00E035CB">
        <w:rPr>
          <w:rFonts w:cs="Arial"/>
          <w:color w:val="244061" w:themeColor="accent1" w:themeShade="80"/>
        </w:rPr>
        <w:t>What makes a measure “Desirable”?</w:t>
      </w:r>
    </w:p>
    <w:p w14:paraId="73863AD6" w14:textId="77777777" w:rsidR="00657383" w:rsidRPr="00E035CB" w:rsidRDefault="00657383" w:rsidP="00657383">
      <w:pPr>
        <w:spacing w:after="0" w:line="240" w:lineRule="auto"/>
        <w:rPr>
          <w:rFonts w:cs="Arial"/>
          <w:color w:val="244061" w:themeColor="accent1" w:themeShade="80"/>
        </w:rPr>
      </w:pPr>
    </w:p>
    <w:p w14:paraId="7F8C1375" w14:textId="77777777" w:rsidR="00657383" w:rsidRPr="00E035CB" w:rsidRDefault="00657383" w:rsidP="00657383">
      <w:pPr>
        <w:spacing w:after="0" w:line="240" w:lineRule="auto"/>
        <w:rPr>
          <w:rFonts w:cs="Arial"/>
          <w:color w:val="244061" w:themeColor="accent1" w:themeShade="80"/>
        </w:rPr>
      </w:pPr>
      <w:r w:rsidRPr="00E035CB">
        <w:rPr>
          <w:rFonts w:cs="Arial"/>
          <w:color w:val="244061" w:themeColor="accent1" w:themeShade="80"/>
        </w:rPr>
        <w:t>Whether considering the value of a new measure or the continuing worth of an existing one, we must define what makes a measure useful. HEDIS measures encourage improvement. The defining question for all performance measurement—”Where can measurement make a difference?”—can be answered only after considering many factors. NCQA has established three areas of desirable characteristics for HEDIS measures, discussed below.</w:t>
      </w:r>
    </w:p>
    <w:p w14:paraId="3BD3691D" w14:textId="77777777" w:rsidR="00657383" w:rsidRPr="00E035CB" w:rsidRDefault="00657383" w:rsidP="00657383">
      <w:pPr>
        <w:spacing w:after="0" w:line="240" w:lineRule="auto"/>
        <w:rPr>
          <w:rFonts w:cs="Arial"/>
          <w:color w:val="244061" w:themeColor="accent1" w:themeShade="80"/>
        </w:rPr>
      </w:pPr>
    </w:p>
    <w:p w14:paraId="38744FE2" w14:textId="0EA91472" w:rsidR="00657383" w:rsidRPr="00FD7628" w:rsidRDefault="00657383" w:rsidP="00423442">
      <w:pPr>
        <w:pStyle w:val="ListParagraph"/>
        <w:numPr>
          <w:ilvl w:val="1"/>
          <w:numId w:val="30"/>
        </w:numPr>
        <w:spacing w:after="0" w:line="240" w:lineRule="auto"/>
        <w:rPr>
          <w:rFonts w:cs="Arial"/>
          <w:color w:val="244061" w:themeColor="accent1" w:themeShade="80"/>
        </w:rPr>
      </w:pPr>
      <w:r w:rsidRPr="00FD7628">
        <w:rPr>
          <w:rFonts w:cs="Arial"/>
          <w:color w:val="244061" w:themeColor="accent1" w:themeShade="80"/>
        </w:rPr>
        <w:t>Relevance: Measures should address features that apply to purchasers or consumers, or which will stimulate internal efforts toward quality improvement. More specifically, relevance includes the following attributes.</w:t>
      </w:r>
    </w:p>
    <w:p w14:paraId="61295C7A" w14:textId="77777777" w:rsidR="00657383" w:rsidRPr="00E035CB" w:rsidRDefault="00657383" w:rsidP="00657383">
      <w:pPr>
        <w:spacing w:after="0" w:line="240" w:lineRule="auto"/>
        <w:rPr>
          <w:rFonts w:cs="Arial"/>
          <w:color w:val="244061" w:themeColor="accent1" w:themeShade="80"/>
        </w:rPr>
      </w:pPr>
    </w:p>
    <w:p w14:paraId="0ACDAA30" w14:textId="77777777" w:rsidR="00657383" w:rsidRPr="00E035CB" w:rsidRDefault="00657383" w:rsidP="00657383">
      <w:pPr>
        <w:spacing w:after="0" w:line="240" w:lineRule="auto"/>
        <w:rPr>
          <w:rFonts w:cs="Arial"/>
          <w:color w:val="244061" w:themeColor="accent1" w:themeShade="80"/>
        </w:rPr>
      </w:pPr>
      <w:r w:rsidRPr="00E035CB">
        <w:rPr>
          <w:rFonts w:cs="Arial"/>
          <w:color w:val="244061" w:themeColor="accent1" w:themeShade="80"/>
        </w:rPr>
        <w:t>Meaningful: What is the significance of the measure to the different groups concerned with health care? Is the measure easily interpreted? Are the results meaningful to target audiences?</w:t>
      </w:r>
    </w:p>
    <w:p w14:paraId="0F069C34" w14:textId="77777777" w:rsidR="00657383" w:rsidRPr="00E035CB" w:rsidRDefault="00657383" w:rsidP="00657383">
      <w:pPr>
        <w:spacing w:after="0" w:line="240" w:lineRule="auto"/>
        <w:rPr>
          <w:rFonts w:cs="Arial"/>
          <w:color w:val="244061" w:themeColor="accent1" w:themeShade="80"/>
        </w:rPr>
      </w:pPr>
      <w:r w:rsidRPr="00E035CB">
        <w:rPr>
          <w:rFonts w:cs="Arial"/>
          <w:color w:val="244061" w:themeColor="accent1" w:themeShade="80"/>
        </w:rPr>
        <w:t>Measures should be meaningful to at least one HEDIS audience (e.g., individual consumers, purchasers or health care systems). Decision makers should be able to understand a measure’s clinical and economic significance.</w:t>
      </w:r>
    </w:p>
    <w:p w14:paraId="0BA3232D" w14:textId="77777777" w:rsidR="00657383" w:rsidRPr="00E035CB" w:rsidRDefault="00657383" w:rsidP="00657383">
      <w:pPr>
        <w:spacing w:after="0" w:line="240" w:lineRule="auto"/>
        <w:rPr>
          <w:rFonts w:cs="Arial"/>
          <w:color w:val="244061" w:themeColor="accent1" w:themeShade="80"/>
        </w:rPr>
      </w:pPr>
    </w:p>
    <w:p w14:paraId="0C89363D" w14:textId="77777777" w:rsidR="00657383" w:rsidRPr="00E035CB" w:rsidRDefault="00657383" w:rsidP="00657383">
      <w:pPr>
        <w:spacing w:after="0" w:line="240" w:lineRule="auto"/>
        <w:rPr>
          <w:rFonts w:cs="Arial"/>
          <w:color w:val="244061" w:themeColor="accent1" w:themeShade="80"/>
        </w:rPr>
      </w:pPr>
      <w:r w:rsidRPr="00E035CB">
        <w:rPr>
          <w:rFonts w:cs="Arial"/>
          <w:color w:val="244061" w:themeColor="accent1" w:themeShade="80"/>
        </w:rPr>
        <w:t>Important to health: What is the prevalence and overall impact of the condition in the U.S. population? What significant health care aspects will the measure address?</w:t>
      </w:r>
    </w:p>
    <w:p w14:paraId="06F2812E" w14:textId="77777777" w:rsidR="00657383" w:rsidRPr="00E035CB" w:rsidRDefault="00657383" w:rsidP="00657383">
      <w:pPr>
        <w:spacing w:after="0" w:line="240" w:lineRule="auto"/>
        <w:rPr>
          <w:rFonts w:cs="Arial"/>
          <w:color w:val="244061" w:themeColor="accent1" w:themeShade="80"/>
        </w:rPr>
      </w:pPr>
      <w:r w:rsidRPr="00E035CB">
        <w:rPr>
          <w:rFonts w:cs="Arial"/>
          <w:color w:val="244061" w:themeColor="accent1" w:themeShade="80"/>
        </w:rPr>
        <w:t>We should consider the type of measure (e.g., outcome or process), the prevalence of medical condition addressed by the measure and the seriousness of affected health outcomes.</w:t>
      </w:r>
    </w:p>
    <w:p w14:paraId="20526BF9" w14:textId="77777777" w:rsidR="00657383" w:rsidRPr="00E035CB" w:rsidRDefault="00657383" w:rsidP="00657383">
      <w:pPr>
        <w:spacing w:after="0" w:line="240" w:lineRule="auto"/>
        <w:rPr>
          <w:rFonts w:cs="Arial"/>
          <w:color w:val="244061" w:themeColor="accent1" w:themeShade="80"/>
        </w:rPr>
      </w:pPr>
    </w:p>
    <w:p w14:paraId="1504F405" w14:textId="77777777" w:rsidR="00657383" w:rsidRPr="00E035CB" w:rsidRDefault="00657383" w:rsidP="00657383">
      <w:pPr>
        <w:spacing w:after="0" w:line="240" w:lineRule="auto"/>
        <w:rPr>
          <w:rFonts w:cs="Arial"/>
          <w:color w:val="244061" w:themeColor="accent1" w:themeShade="80"/>
        </w:rPr>
      </w:pPr>
      <w:r w:rsidRPr="00E035CB">
        <w:rPr>
          <w:rFonts w:cs="Arial"/>
          <w:color w:val="244061" w:themeColor="accent1" w:themeShade="80"/>
        </w:rPr>
        <w:t>Financially important: What financial implications result from actions evaluated by the measure? Does the measure relate to activities with high financial impact?</w:t>
      </w:r>
    </w:p>
    <w:p w14:paraId="7A121F02" w14:textId="77777777" w:rsidR="00657383" w:rsidRPr="00E035CB" w:rsidRDefault="00657383" w:rsidP="00657383">
      <w:pPr>
        <w:spacing w:after="0" w:line="240" w:lineRule="auto"/>
        <w:rPr>
          <w:rFonts w:cs="Arial"/>
          <w:color w:val="244061" w:themeColor="accent1" w:themeShade="80"/>
        </w:rPr>
      </w:pPr>
      <w:r w:rsidRPr="00E035CB">
        <w:rPr>
          <w:rFonts w:cs="Arial"/>
          <w:color w:val="244061" w:themeColor="accent1" w:themeShade="80"/>
        </w:rPr>
        <w:t>Measures should relate to activities that have high financial impact.</w:t>
      </w:r>
    </w:p>
    <w:p w14:paraId="243C7C99" w14:textId="77777777" w:rsidR="00657383" w:rsidRPr="00E035CB" w:rsidRDefault="00657383" w:rsidP="00657383">
      <w:pPr>
        <w:spacing w:after="0" w:line="240" w:lineRule="auto"/>
        <w:rPr>
          <w:rFonts w:cs="Arial"/>
          <w:color w:val="244061" w:themeColor="accent1" w:themeShade="80"/>
        </w:rPr>
      </w:pPr>
    </w:p>
    <w:p w14:paraId="3F84D093" w14:textId="77777777" w:rsidR="00657383" w:rsidRPr="00E035CB" w:rsidRDefault="00657383" w:rsidP="00657383">
      <w:pPr>
        <w:spacing w:after="0" w:line="240" w:lineRule="auto"/>
        <w:rPr>
          <w:rFonts w:cs="Arial"/>
          <w:color w:val="244061" w:themeColor="accent1" w:themeShade="80"/>
        </w:rPr>
      </w:pPr>
      <w:r w:rsidRPr="00E035CB">
        <w:rPr>
          <w:rFonts w:cs="Arial"/>
          <w:color w:val="244061" w:themeColor="accent1" w:themeShade="80"/>
        </w:rPr>
        <w:t>Cost effective: What is the cost benefit of implementing the change in the health care system? Does the measure encourage the use of cost-effective activities or discourage the use of activities that have low cost-effectiveness? Measures should encourage the use of cost-effective activities or discourage the use of activities that have low cost-effectiveness.</w:t>
      </w:r>
    </w:p>
    <w:p w14:paraId="65426CD2" w14:textId="77777777" w:rsidR="00657383" w:rsidRPr="00E035CB" w:rsidRDefault="00657383" w:rsidP="00657383">
      <w:pPr>
        <w:spacing w:after="0" w:line="240" w:lineRule="auto"/>
        <w:rPr>
          <w:rFonts w:cs="Arial"/>
          <w:color w:val="244061" w:themeColor="accent1" w:themeShade="80"/>
        </w:rPr>
      </w:pPr>
    </w:p>
    <w:p w14:paraId="405590D3" w14:textId="77777777" w:rsidR="00657383" w:rsidRPr="00E035CB" w:rsidRDefault="00657383" w:rsidP="00657383">
      <w:pPr>
        <w:spacing w:after="0" w:line="240" w:lineRule="auto"/>
        <w:rPr>
          <w:rFonts w:cs="Arial"/>
          <w:color w:val="244061" w:themeColor="accent1" w:themeShade="80"/>
        </w:rPr>
      </w:pPr>
      <w:r w:rsidRPr="00E035CB">
        <w:rPr>
          <w:rFonts w:cs="Arial"/>
          <w:color w:val="244061" w:themeColor="accent1" w:themeShade="80"/>
        </w:rPr>
        <w:t>Strategically important: What are the policy implications? Does the measure encourage activities that use resources efficiently? Measures should encourage activities that use resources most efficiently to maximize member health.</w:t>
      </w:r>
    </w:p>
    <w:p w14:paraId="2DA1D501" w14:textId="77777777" w:rsidR="00657383" w:rsidRPr="00E035CB" w:rsidRDefault="00657383" w:rsidP="00657383">
      <w:pPr>
        <w:spacing w:after="0" w:line="240" w:lineRule="auto"/>
        <w:rPr>
          <w:rFonts w:cs="Arial"/>
          <w:color w:val="244061" w:themeColor="accent1" w:themeShade="80"/>
        </w:rPr>
      </w:pPr>
    </w:p>
    <w:p w14:paraId="347565D9" w14:textId="77777777" w:rsidR="00657383" w:rsidRPr="00E035CB" w:rsidRDefault="00657383" w:rsidP="00657383">
      <w:pPr>
        <w:spacing w:after="0" w:line="240" w:lineRule="auto"/>
        <w:rPr>
          <w:rFonts w:cs="Arial"/>
          <w:color w:val="244061" w:themeColor="accent1" w:themeShade="80"/>
        </w:rPr>
      </w:pPr>
      <w:r w:rsidRPr="00E035CB">
        <w:rPr>
          <w:rFonts w:cs="Arial"/>
          <w:color w:val="244061" w:themeColor="accent1" w:themeShade="80"/>
        </w:rPr>
        <w:t>Controllable: What impact can the organization have on the condition or disease? What impact can the organization have on the measure? Health care systems should be able to improve their performance. For outcome measures, at least one process should be controlled and have an important effect on outcome. For process measures, there should be a strong link between the process and desired outcome.</w:t>
      </w:r>
    </w:p>
    <w:p w14:paraId="16D1118C" w14:textId="77777777" w:rsidR="00657383" w:rsidRPr="00E035CB" w:rsidRDefault="00657383" w:rsidP="00657383">
      <w:pPr>
        <w:spacing w:after="0" w:line="240" w:lineRule="auto"/>
        <w:rPr>
          <w:rFonts w:cs="Arial"/>
          <w:color w:val="244061" w:themeColor="accent1" w:themeShade="80"/>
        </w:rPr>
      </w:pPr>
    </w:p>
    <w:p w14:paraId="6D9AE7EC" w14:textId="77777777" w:rsidR="00657383" w:rsidRPr="00E035CB" w:rsidRDefault="00657383" w:rsidP="00657383">
      <w:pPr>
        <w:spacing w:after="0" w:line="240" w:lineRule="auto"/>
        <w:rPr>
          <w:rFonts w:cs="Arial"/>
          <w:color w:val="244061" w:themeColor="accent1" w:themeShade="80"/>
        </w:rPr>
      </w:pPr>
      <w:r w:rsidRPr="00E035CB">
        <w:rPr>
          <w:rFonts w:cs="Arial"/>
          <w:color w:val="244061" w:themeColor="accent1" w:themeShade="80"/>
        </w:rPr>
        <w:t>Variation across systems: Will there be variation across systems? There should be the potential for wide variation across systems.</w:t>
      </w:r>
    </w:p>
    <w:p w14:paraId="6AC02E2F" w14:textId="77777777" w:rsidR="00657383" w:rsidRPr="00E035CB" w:rsidRDefault="00657383" w:rsidP="00657383">
      <w:pPr>
        <w:spacing w:after="0" w:line="240" w:lineRule="auto"/>
        <w:rPr>
          <w:rFonts w:cs="Arial"/>
          <w:color w:val="244061" w:themeColor="accent1" w:themeShade="80"/>
        </w:rPr>
      </w:pPr>
    </w:p>
    <w:p w14:paraId="69B8BF2D" w14:textId="77777777" w:rsidR="00657383" w:rsidRPr="00E035CB" w:rsidRDefault="00657383" w:rsidP="00657383">
      <w:pPr>
        <w:spacing w:after="0" w:line="240" w:lineRule="auto"/>
        <w:rPr>
          <w:rFonts w:cs="Arial"/>
          <w:color w:val="244061" w:themeColor="accent1" w:themeShade="80"/>
        </w:rPr>
      </w:pPr>
      <w:r w:rsidRPr="00E035CB">
        <w:rPr>
          <w:rFonts w:cs="Arial"/>
          <w:color w:val="244061" w:themeColor="accent1" w:themeShade="80"/>
        </w:rPr>
        <w:t>Potential for improvement: Will organizations be able to improve performance? There should be substantial room for performance improvement.</w:t>
      </w:r>
    </w:p>
    <w:p w14:paraId="6F8B1615" w14:textId="77777777" w:rsidR="00657383" w:rsidRPr="00E035CB" w:rsidRDefault="00657383" w:rsidP="00657383">
      <w:pPr>
        <w:spacing w:after="0" w:line="240" w:lineRule="auto"/>
        <w:rPr>
          <w:rFonts w:cs="Arial"/>
          <w:color w:val="244061" w:themeColor="accent1" w:themeShade="80"/>
        </w:rPr>
      </w:pPr>
    </w:p>
    <w:p w14:paraId="45DB23AE" w14:textId="61263CAB" w:rsidR="00657383" w:rsidRPr="00FD7628" w:rsidRDefault="00657383" w:rsidP="00F2523E">
      <w:pPr>
        <w:pStyle w:val="ListParagraph"/>
        <w:numPr>
          <w:ilvl w:val="1"/>
          <w:numId w:val="30"/>
        </w:numPr>
        <w:spacing w:after="0" w:line="240" w:lineRule="auto"/>
        <w:rPr>
          <w:rFonts w:cs="Arial"/>
          <w:color w:val="244061" w:themeColor="accent1" w:themeShade="80"/>
        </w:rPr>
      </w:pPr>
      <w:r w:rsidRPr="00FD7628">
        <w:rPr>
          <w:rFonts w:cs="Arial"/>
          <w:color w:val="244061" w:themeColor="accent1" w:themeShade="80"/>
        </w:rPr>
        <w:t>Scientific soundness: Perhaps in no other industry is scientific soundness as important as in health care. Scientific soundness must be a core value of our health care system—a system that has extended and improved the lives of countless individuals.</w:t>
      </w:r>
    </w:p>
    <w:p w14:paraId="02F4B463" w14:textId="77777777" w:rsidR="00657383" w:rsidRPr="00E035CB" w:rsidRDefault="00657383" w:rsidP="00657383">
      <w:pPr>
        <w:spacing w:after="0" w:line="240" w:lineRule="auto"/>
        <w:rPr>
          <w:rFonts w:cs="Arial"/>
          <w:color w:val="244061" w:themeColor="accent1" w:themeShade="80"/>
        </w:rPr>
      </w:pPr>
    </w:p>
    <w:p w14:paraId="00B8FC35" w14:textId="77777777" w:rsidR="00657383" w:rsidRPr="00E035CB" w:rsidRDefault="00657383" w:rsidP="00657383">
      <w:pPr>
        <w:spacing w:after="0" w:line="240" w:lineRule="auto"/>
        <w:rPr>
          <w:rFonts w:cs="Arial"/>
          <w:color w:val="244061" w:themeColor="accent1" w:themeShade="80"/>
        </w:rPr>
      </w:pPr>
      <w:r w:rsidRPr="00E035CB">
        <w:rPr>
          <w:rFonts w:cs="Arial"/>
          <w:color w:val="244061" w:themeColor="accent1" w:themeShade="80"/>
        </w:rPr>
        <w:t>Clinical evidence: Is there strong evidence to support the measure? Are there published guidelines for the condition? Do the guidelines discuss aspects of the measure? Does evidence document a link between clinical processes and outcomes addressed by the measure? There should be evidence documenting a link between clinical processes and outcomes.</w:t>
      </w:r>
    </w:p>
    <w:p w14:paraId="53B0203F" w14:textId="77777777" w:rsidR="00657383" w:rsidRPr="00E035CB" w:rsidRDefault="00657383" w:rsidP="00657383">
      <w:pPr>
        <w:spacing w:after="0" w:line="240" w:lineRule="auto"/>
        <w:rPr>
          <w:rFonts w:cs="Arial"/>
          <w:color w:val="244061" w:themeColor="accent1" w:themeShade="80"/>
        </w:rPr>
      </w:pPr>
    </w:p>
    <w:p w14:paraId="26D1FB0E" w14:textId="77777777" w:rsidR="00657383" w:rsidRPr="00E035CB" w:rsidRDefault="00657383" w:rsidP="00657383">
      <w:pPr>
        <w:spacing w:after="0" w:line="240" w:lineRule="auto"/>
        <w:rPr>
          <w:rFonts w:cs="Arial"/>
          <w:color w:val="244061" w:themeColor="accent1" w:themeShade="80"/>
        </w:rPr>
      </w:pPr>
      <w:r w:rsidRPr="00E035CB">
        <w:rPr>
          <w:rFonts w:cs="Arial"/>
          <w:color w:val="244061" w:themeColor="accent1" w:themeShade="80"/>
        </w:rPr>
        <w:t>Reproducible: Are results consistent? Measures should produce the same results when repeated in the same population and setting.</w:t>
      </w:r>
    </w:p>
    <w:p w14:paraId="60991D94" w14:textId="77777777" w:rsidR="00657383" w:rsidRPr="00E035CB" w:rsidRDefault="00657383" w:rsidP="00657383">
      <w:pPr>
        <w:spacing w:after="0" w:line="240" w:lineRule="auto"/>
        <w:rPr>
          <w:rFonts w:cs="Arial"/>
          <w:color w:val="244061" w:themeColor="accent1" w:themeShade="80"/>
        </w:rPr>
      </w:pPr>
    </w:p>
    <w:p w14:paraId="6D109A45" w14:textId="77777777" w:rsidR="00657383" w:rsidRPr="00E035CB" w:rsidRDefault="00657383" w:rsidP="00657383">
      <w:pPr>
        <w:spacing w:after="0" w:line="240" w:lineRule="auto"/>
        <w:rPr>
          <w:rFonts w:cs="Arial"/>
          <w:color w:val="244061" w:themeColor="accent1" w:themeShade="80"/>
        </w:rPr>
      </w:pPr>
      <w:r w:rsidRPr="00E035CB">
        <w:rPr>
          <w:rFonts w:cs="Arial"/>
          <w:color w:val="244061" w:themeColor="accent1" w:themeShade="80"/>
        </w:rPr>
        <w:t>Valid: Does the measure make sense? Measures should make sense logically and clinically, and should correlate well with other measures of the same aspects of care.</w:t>
      </w:r>
    </w:p>
    <w:p w14:paraId="30FB2B4C" w14:textId="77777777" w:rsidR="00657383" w:rsidRPr="00E035CB" w:rsidRDefault="00657383" w:rsidP="00657383">
      <w:pPr>
        <w:spacing w:after="0" w:line="240" w:lineRule="auto"/>
        <w:rPr>
          <w:rFonts w:cs="Arial"/>
          <w:color w:val="244061" w:themeColor="accent1" w:themeShade="80"/>
        </w:rPr>
      </w:pPr>
    </w:p>
    <w:p w14:paraId="2EB8E18B" w14:textId="77777777" w:rsidR="00657383" w:rsidRPr="00E035CB" w:rsidRDefault="00657383" w:rsidP="00657383">
      <w:pPr>
        <w:spacing w:after="0" w:line="240" w:lineRule="auto"/>
        <w:rPr>
          <w:rFonts w:cs="Arial"/>
          <w:color w:val="244061" w:themeColor="accent1" w:themeShade="80"/>
        </w:rPr>
      </w:pPr>
      <w:r w:rsidRPr="00E035CB">
        <w:rPr>
          <w:rFonts w:cs="Arial"/>
          <w:color w:val="244061" w:themeColor="accent1" w:themeShade="80"/>
        </w:rPr>
        <w:t xml:space="preserve">Accurate: How well does the measure evaluate what is happening? Measures should precisely evaluate what is actually happening. </w:t>
      </w:r>
    </w:p>
    <w:p w14:paraId="05B170A9" w14:textId="77777777" w:rsidR="00657383" w:rsidRPr="00E035CB" w:rsidRDefault="00657383" w:rsidP="00657383">
      <w:pPr>
        <w:spacing w:after="0" w:line="240" w:lineRule="auto"/>
        <w:rPr>
          <w:rFonts w:cs="Arial"/>
          <w:color w:val="244061" w:themeColor="accent1" w:themeShade="80"/>
        </w:rPr>
      </w:pPr>
    </w:p>
    <w:p w14:paraId="033BAABC" w14:textId="77777777" w:rsidR="00657383" w:rsidRPr="00E035CB" w:rsidRDefault="00657383" w:rsidP="00657383">
      <w:pPr>
        <w:spacing w:after="0" w:line="240" w:lineRule="auto"/>
        <w:rPr>
          <w:rFonts w:cs="Arial"/>
          <w:color w:val="244061" w:themeColor="accent1" w:themeShade="80"/>
        </w:rPr>
      </w:pPr>
      <w:r w:rsidRPr="00E035CB">
        <w:rPr>
          <w:rFonts w:cs="Arial"/>
          <w:color w:val="244061" w:themeColor="accent1" w:themeShade="80"/>
        </w:rPr>
        <w:t>Risk adjustment: Is it appropriate to stratify the measure by age or another variable? Measure variables should not differ appreciably beyond the health care system’s control, or variables should be known and measurable. Risk stratification or a validated model for calculating an adjusted result can be used for measures with confounding variables.</w:t>
      </w:r>
    </w:p>
    <w:p w14:paraId="2311AFA3" w14:textId="77777777" w:rsidR="00657383" w:rsidRPr="00E035CB" w:rsidRDefault="00657383" w:rsidP="00657383">
      <w:pPr>
        <w:spacing w:after="0" w:line="240" w:lineRule="auto"/>
        <w:rPr>
          <w:rFonts w:cs="Arial"/>
          <w:color w:val="244061" w:themeColor="accent1" w:themeShade="80"/>
        </w:rPr>
      </w:pPr>
    </w:p>
    <w:p w14:paraId="788BC2AD" w14:textId="77777777" w:rsidR="00657383" w:rsidRPr="00E035CB" w:rsidRDefault="00657383" w:rsidP="00657383">
      <w:pPr>
        <w:spacing w:after="0" w:line="240" w:lineRule="auto"/>
        <w:rPr>
          <w:rFonts w:cs="Arial"/>
          <w:color w:val="244061" w:themeColor="accent1" w:themeShade="80"/>
        </w:rPr>
      </w:pPr>
      <w:r w:rsidRPr="00E035CB">
        <w:rPr>
          <w:rFonts w:cs="Arial"/>
          <w:color w:val="244061" w:themeColor="accent1" w:themeShade="80"/>
        </w:rPr>
        <w:t>Comparability of data sources: How do different systems affect accuracy, reproducibility and validity? Accuracy, reproducibility and validity should not be affected if different systems use different data sources for a measure.</w:t>
      </w:r>
    </w:p>
    <w:p w14:paraId="24B85C1D" w14:textId="77777777" w:rsidR="00657383" w:rsidRPr="00E035CB" w:rsidRDefault="00657383" w:rsidP="00657383">
      <w:pPr>
        <w:spacing w:after="0" w:line="240" w:lineRule="auto"/>
        <w:rPr>
          <w:rFonts w:cs="Arial"/>
          <w:color w:val="244061" w:themeColor="accent1" w:themeShade="80"/>
        </w:rPr>
      </w:pPr>
    </w:p>
    <w:p w14:paraId="4FB2825A" w14:textId="12F258EC" w:rsidR="00657383" w:rsidRPr="00FD7628" w:rsidRDefault="00657383" w:rsidP="00F2523E">
      <w:pPr>
        <w:pStyle w:val="ListParagraph"/>
        <w:numPr>
          <w:ilvl w:val="1"/>
          <w:numId w:val="30"/>
        </w:numPr>
        <w:spacing w:after="0" w:line="240" w:lineRule="auto"/>
        <w:rPr>
          <w:rFonts w:cs="Arial"/>
          <w:color w:val="244061" w:themeColor="accent1" w:themeShade="80"/>
        </w:rPr>
      </w:pPr>
      <w:r w:rsidRPr="00FD7628">
        <w:rPr>
          <w:rFonts w:cs="Arial"/>
          <w:color w:val="244061" w:themeColor="accent1" w:themeShade="80"/>
        </w:rPr>
        <w:t>Feasibility:</w:t>
      </w:r>
    </w:p>
    <w:p w14:paraId="0E3F8AEB" w14:textId="77777777" w:rsidR="00657383" w:rsidRPr="00E035CB" w:rsidRDefault="00657383" w:rsidP="00657383">
      <w:pPr>
        <w:spacing w:after="0" w:line="240" w:lineRule="auto"/>
        <w:rPr>
          <w:rFonts w:cs="Arial"/>
          <w:color w:val="244061" w:themeColor="accent1" w:themeShade="80"/>
        </w:rPr>
      </w:pPr>
      <w:r w:rsidRPr="00E035CB">
        <w:rPr>
          <w:rFonts w:cs="Arial"/>
          <w:color w:val="244061" w:themeColor="accent1" w:themeShade="80"/>
        </w:rPr>
        <w:t xml:space="preserve">The goal is not only to include feasible measures, but also to catalyze a process whereby relevant measures can be made feasible. </w:t>
      </w:r>
    </w:p>
    <w:p w14:paraId="36C11324" w14:textId="77777777" w:rsidR="00657383" w:rsidRPr="00E035CB" w:rsidRDefault="00657383" w:rsidP="00657383">
      <w:pPr>
        <w:spacing w:after="0" w:line="240" w:lineRule="auto"/>
        <w:rPr>
          <w:rFonts w:cs="Arial"/>
          <w:color w:val="244061" w:themeColor="accent1" w:themeShade="80"/>
        </w:rPr>
      </w:pPr>
    </w:p>
    <w:p w14:paraId="280827A4" w14:textId="77777777" w:rsidR="00657383" w:rsidRPr="00E035CB" w:rsidRDefault="00657383" w:rsidP="00657383">
      <w:pPr>
        <w:spacing w:after="0" w:line="240" w:lineRule="auto"/>
        <w:rPr>
          <w:rFonts w:cs="Arial"/>
          <w:color w:val="244061" w:themeColor="accent1" w:themeShade="80"/>
        </w:rPr>
      </w:pPr>
      <w:r w:rsidRPr="00E035CB">
        <w:rPr>
          <w:rFonts w:cs="Arial"/>
          <w:color w:val="244061" w:themeColor="accent1" w:themeShade="80"/>
        </w:rPr>
        <w:t>Precise specifications: Are there clear specifications for data sources and methods for data collection and reporting? Measures should have clear specifications for data sources and methods for data collection and reporting.</w:t>
      </w:r>
    </w:p>
    <w:p w14:paraId="5BE59711" w14:textId="77777777" w:rsidR="00657383" w:rsidRPr="00E035CB" w:rsidRDefault="00657383" w:rsidP="00657383">
      <w:pPr>
        <w:spacing w:after="0" w:line="240" w:lineRule="auto"/>
        <w:rPr>
          <w:rFonts w:cs="Arial"/>
          <w:color w:val="244061" w:themeColor="accent1" w:themeShade="80"/>
        </w:rPr>
      </w:pPr>
    </w:p>
    <w:p w14:paraId="11E154E0" w14:textId="77777777" w:rsidR="00657383" w:rsidRPr="00E035CB" w:rsidRDefault="00657383" w:rsidP="00657383">
      <w:pPr>
        <w:spacing w:after="0" w:line="240" w:lineRule="auto"/>
        <w:rPr>
          <w:rFonts w:cs="Arial"/>
          <w:color w:val="244061" w:themeColor="accent1" w:themeShade="80"/>
        </w:rPr>
      </w:pPr>
      <w:r w:rsidRPr="00E035CB">
        <w:rPr>
          <w:rFonts w:cs="Arial"/>
          <w:color w:val="244061" w:themeColor="accent1" w:themeShade="80"/>
        </w:rPr>
        <w:t>Reasonable cost: Does the measure impose a burden on health care systems? Measures should not impose an inappropriate burden on health care systems.</w:t>
      </w:r>
    </w:p>
    <w:p w14:paraId="0C81C5DB" w14:textId="77777777" w:rsidR="00657383" w:rsidRPr="00E035CB" w:rsidRDefault="00657383" w:rsidP="00657383">
      <w:pPr>
        <w:spacing w:after="0" w:line="240" w:lineRule="auto"/>
        <w:rPr>
          <w:rFonts w:cs="Arial"/>
          <w:color w:val="244061" w:themeColor="accent1" w:themeShade="80"/>
        </w:rPr>
      </w:pPr>
    </w:p>
    <w:p w14:paraId="69902A0A" w14:textId="77777777" w:rsidR="00657383" w:rsidRPr="00E035CB" w:rsidRDefault="00657383" w:rsidP="00657383">
      <w:pPr>
        <w:spacing w:after="0" w:line="240" w:lineRule="auto"/>
        <w:rPr>
          <w:rFonts w:cs="Arial"/>
          <w:color w:val="244061" w:themeColor="accent1" w:themeShade="80"/>
        </w:rPr>
      </w:pPr>
      <w:r w:rsidRPr="00E035CB">
        <w:rPr>
          <w:rFonts w:cs="Arial"/>
          <w:color w:val="244061" w:themeColor="accent1" w:themeShade="80"/>
        </w:rPr>
        <w:t xml:space="preserve">Confidentiality: Does data collection meet accepted standards of member confidentiality? </w:t>
      </w:r>
    </w:p>
    <w:p w14:paraId="5AA9A669" w14:textId="77777777" w:rsidR="00657383" w:rsidRPr="00E035CB" w:rsidRDefault="00657383" w:rsidP="00657383">
      <w:pPr>
        <w:spacing w:after="0" w:line="240" w:lineRule="auto"/>
        <w:rPr>
          <w:rFonts w:cs="Arial"/>
          <w:color w:val="244061" w:themeColor="accent1" w:themeShade="80"/>
        </w:rPr>
      </w:pPr>
      <w:r w:rsidRPr="00E035CB">
        <w:rPr>
          <w:rFonts w:cs="Arial"/>
          <w:color w:val="244061" w:themeColor="accent1" w:themeShade="80"/>
        </w:rPr>
        <w:t>Data collection should not violate accepted standards of member confidentiality. Logistical feasibility</w:t>
      </w:r>
    </w:p>
    <w:p w14:paraId="3961EFBF" w14:textId="77777777" w:rsidR="00657383" w:rsidRPr="00E035CB" w:rsidRDefault="00657383" w:rsidP="00657383">
      <w:pPr>
        <w:spacing w:after="0" w:line="240" w:lineRule="auto"/>
        <w:rPr>
          <w:rFonts w:cs="Arial"/>
          <w:color w:val="244061" w:themeColor="accent1" w:themeShade="80"/>
        </w:rPr>
      </w:pPr>
      <w:r w:rsidRPr="00E035CB">
        <w:rPr>
          <w:rFonts w:cs="Arial"/>
          <w:color w:val="244061" w:themeColor="accent1" w:themeShade="80"/>
        </w:rPr>
        <w:t xml:space="preserve">Are the required data available? </w:t>
      </w:r>
    </w:p>
    <w:p w14:paraId="7D3757E9" w14:textId="77777777" w:rsidR="00657383" w:rsidRPr="00E035CB" w:rsidRDefault="00657383" w:rsidP="00657383">
      <w:pPr>
        <w:spacing w:after="0" w:line="240" w:lineRule="auto"/>
        <w:rPr>
          <w:rFonts w:cs="Arial"/>
          <w:color w:val="244061" w:themeColor="accent1" w:themeShade="80"/>
        </w:rPr>
      </w:pPr>
    </w:p>
    <w:p w14:paraId="4F348A91" w14:textId="77777777" w:rsidR="00657383" w:rsidRPr="00E035CB" w:rsidRDefault="00657383" w:rsidP="00657383">
      <w:pPr>
        <w:spacing w:after="0" w:line="240" w:lineRule="auto"/>
        <w:rPr>
          <w:rFonts w:cs="Arial"/>
          <w:color w:val="244061" w:themeColor="accent1" w:themeShade="80"/>
        </w:rPr>
      </w:pPr>
      <w:r w:rsidRPr="00E035CB">
        <w:rPr>
          <w:rFonts w:cs="Arial"/>
          <w:color w:val="244061" w:themeColor="accent1" w:themeShade="80"/>
        </w:rPr>
        <w:t xml:space="preserve">Auditability: Is the measure susceptible to exploitation or “gaming” that would be undetectable in an audit? Measures should not be susceptible to manipulation that would be undetectable in an audit. </w:t>
      </w:r>
    </w:p>
    <w:p w14:paraId="69AD70C5" w14:textId="77777777" w:rsidR="00657383" w:rsidRDefault="00657383" w:rsidP="00DB3627">
      <w:pPr>
        <w:autoSpaceDE w:val="0"/>
        <w:autoSpaceDN w:val="0"/>
        <w:adjustRightInd w:val="0"/>
        <w:spacing w:after="0" w:line="240" w:lineRule="auto"/>
        <w:rPr>
          <w:rFonts w:cstheme="minorHAnsi"/>
          <w:bCs/>
        </w:rPr>
      </w:pPr>
    </w:p>
    <w:p w14:paraId="293F5CA8" w14:textId="77777777" w:rsidR="00657383" w:rsidRPr="00A25024" w:rsidRDefault="00657383" w:rsidP="00DB3627">
      <w:pPr>
        <w:autoSpaceDE w:val="0"/>
        <w:autoSpaceDN w:val="0"/>
        <w:adjustRightInd w:val="0"/>
        <w:spacing w:after="0" w:line="240" w:lineRule="auto"/>
        <w:rPr>
          <w:rFonts w:cstheme="minorHAnsi"/>
          <w:bCs/>
        </w:rPr>
      </w:pPr>
    </w:p>
    <w:p w14:paraId="0CABCFDE" w14:textId="6F9D7309" w:rsidR="007422FD" w:rsidRDefault="009C7513" w:rsidP="00092566">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p>
    <w:p w14:paraId="49D50204" w14:textId="0ECBA362" w:rsidR="001035A1" w:rsidRDefault="001035A1" w:rsidP="00092566">
      <w:pPr>
        <w:autoSpaceDE w:val="0"/>
        <w:autoSpaceDN w:val="0"/>
        <w:adjustRightInd w:val="0"/>
        <w:spacing w:after="0" w:line="240" w:lineRule="auto"/>
        <w:rPr>
          <w:rFonts w:cstheme="minorHAnsi"/>
          <w:b/>
          <w:color w:val="FF0000"/>
          <w:u w:val="single"/>
        </w:rPr>
      </w:pPr>
      <w:r w:rsidRPr="001035A1">
        <w:rPr>
          <w:rFonts w:cstheme="minorHAnsi"/>
          <w:b/>
          <w:color w:val="FF0000"/>
          <w:u w:val="single"/>
        </w:rPr>
        <w:t>2020 Submission:</w:t>
      </w:r>
    </w:p>
    <w:p w14:paraId="16C684C0" w14:textId="77777777" w:rsidR="001035A1" w:rsidRPr="001035A1" w:rsidRDefault="001035A1" w:rsidP="00092566">
      <w:pPr>
        <w:autoSpaceDE w:val="0"/>
        <w:autoSpaceDN w:val="0"/>
        <w:adjustRightInd w:val="0"/>
        <w:spacing w:after="0" w:line="240" w:lineRule="auto"/>
        <w:rPr>
          <w:rFonts w:cstheme="minorHAnsi"/>
          <w:b/>
          <w:color w:val="FF0000"/>
          <w:u w:val="single"/>
        </w:rPr>
      </w:pPr>
    </w:p>
    <w:p w14:paraId="6F6BFDE7" w14:textId="77777777" w:rsidR="00720775" w:rsidRPr="0085752B" w:rsidRDefault="00720775" w:rsidP="00720775">
      <w:pPr>
        <w:spacing w:after="0" w:line="240" w:lineRule="auto"/>
        <w:textAlignment w:val="baseline"/>
        <w:rPr>
          <w:rFonts w:eastAsia="Times New Roman" w:cstheme="minorHAnsi"/>
          <w:color w:val="FF0000"/>
        </w:rPr>
      </w:pPr>
      <w:r w:rsidRPr="0085752B">
        <w:rPr>
          <w:rFonts w:eastAsia="Times New Roman" w:cstheme="minorHAnsi"/>
          <w:color w:val="FF0000"/>
          <w:u w:val="single"/>
        </w:rPr>
        <w:t>Statistical results of construct validity testing</w:t>
      </w:r>
      <w:r w:rsidRPr="0085752B">
        <w:rPr>
          <w:rFonts w:eastAsia="Times New Roman" w:cstheme="minorHAnsi"/>
          <w:color w:val="FF0000"/>
        </w:rPr>
        <w:t>  </w:t>
      </w:r>
    </w:p>
    <w:p w14:paraId="1CF87B22" w14:textId="401FFF92" w:rsidR="00720775" w:rsidRDefault="00720775" w:rsidP="00720775">
      <w:pPr>
        <w:spacing w:after="0" w:line="240" w:lineRule="auto"/>
        <w:textAlignment w:val="baseline"/>
        <w:rPr>
          <w:rFonts w:eastAsia="Times New Roman" w:cstheme="minorHAnsi"/>
          <w:color w:val="FF0000"/>
        </w:rPr>
      </w:pPr>
      <w:r w:rsidRPr="0085752B">
        <w:rPr>
          <w:rFonts w:eastAsia="Times New Roman" w:cstheme="minorHAnsi"/>
          <w:color w:val="FF0000"/>
        </w:rPr>
        <w:t xml:space="preserve">Table </w:t>
      </w:r>
      <w:r w:rsidRPr="00013919">
        <w:rPr>
          <w:rFonts w:eastAsia="Times New Roman" w:cstheme="minorHAnsi"/>
          <w:color w:val="FF0000"/>
        </w:rPr>
        <w:t>4</w:t>
      </w:r>
      <w:r w:rsidRPr="0085752B">
        <w:rPr>
          <w:rFonts w:eastAsia="Times New Roman" w:cstheme="minorHAnsi"/>
          <w:color w:val="FF0000"/>
        </w:rPr>
        <w:t xml:space="preserve">a. Health-Plan Level Pearson Correlation Coefficients Among </w:t>
      </w:r>
      <w:r>
        <w:rPr>
          <w:rFonts w:ascii="Calibri" w:eastAsia="Times New Roman" w:hAnsi="Calibri" w:cs="Calibri"/>
          <w:i/>
          <w:iCs/>
          <w:color w:val="FF0000"/>
        </w:rPr>
        <w:t>Follow-Up After Hospitalization for Mental Illness</w:t>
      </w:r>
      <w:r w:rsidRPr="0033548A">
        <w:rPr>
          <w:rFonts w:ascii="Calibri" w:eastAsia="Times New Roman" w:hAnsi="Calibri" w:cs="Calibri"/>
          <w:color w:val="FF0000"/>
        </w:rPr>
        <w:t xml:space="preserve"> </w:t>
      </w:r>
      <w:r w:rsidRPr="0085752B">
        <w:rPr>
          <w:rFonts w:eastAsia="Times New Roman" w:cstheme="minorHAnsi"/>
          <w:color w:val="FF0000"/>
        </w:rPr>
        <w:t xml:space="preserve">Performance Scores Within Measure – </w:t>
      </w:r>
      <w:r w:rsidRPr="0085752B">
        <w:rPr>
          <w:rFonts w:eastAsia="Times New Roman" w:cstheme="minorHAnsi"/>
          <w:b/>
          <w:bCs/>
          <w:color w:val="FF0000"/>
        </w:rPr>
        <w:t>Commercial</w:t>
      </w:r>
      <w:r w:rsidRPr="0085752B">
        <w:rPr>
          <w:rFonts w:eastAsia="Times New Roman" w:cstheme="minorHAnsi"/>
          <w:color w:val="FF0000"/>
        </w:rPr>
        <w:t xml:space="preserve"> Plans, </w:t>
      </w:r>
      <w:r w:rsidRPr="00013919">
        <w:rPr>
          <w:rFonts w:eastAsia="Times New Roman" w:cstheme="minorHAnsi"/>
          <w:color w:val="FF0000"/>
        </w:rPr>
        <w:t>calendar year 2018 data</w:t>
      </w:r>
    </w:p>
    <w:p w14:paraId="039896B4" w14:textId="77777777" w:rsidR="00720775" w:rsidRPr="0085752B" w:rsidRDefault="00720775" w:rsidP="00720775">
      <w:pPr>
        <w:spacing w:after="0" w:line="240" w:lineRule="auto"/>
        <w:textAlignment w:val="baseline"/>
        <w:rPr>
          <w:rFonts w:eastAsia="Times New Roman" w:cstheme="minorHAnsi"/>
          <w:color w:val="FF0000"/>
        </w:rPr>
      </w:pPr>
      <w:r w:rsidRPr="0085752B">
        <w:rPr>
          <w:rFonts w:eastAsia="Times New Roman" w:cstheme="minorHAnsi"/>
          <w:color w:val="FF0000"/>
        </w:rPr>
        <w:t> </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20"/>
        <w:gridCol w:w="1275"/>
      </w:tblGrid>
      <w:tr w:rsidR="00720775" w:rsidRPr="00013919" w14:paraId="7FBDCD2B" w14:textId="77777777" w:rsidTr="00491A4D">
        <w:trPr>
          <w:trHeight w:val="255"/>
        </w:trPr>
        <w:tc>
          <w:tcPr>
            <w:tcW w:w="1620" w:type="dxa"/>
            <w:tcBorders>
              <w:top w:val="single" w:sz="6" w:space="0" w:color="auto"/>
              <w:left w:val="single" w:sz="6" w:space="0" w:color="auto"/>
              <w:bottom w:val="single" w:sz="6" w:space="0" w:color="auto"/>
              <w:right w:val="single" w:sz="6" w:space="0" w:color="auto"/>
            </w:tcBorders>
            <w:shd w:val="clear" w:color="auto" w:fill="auto"/>
          </w:tcPr>
          <w:p w14:paraId="0FDA3895" w14:textId="77777777" w:rsidR="00720775" w:rsidRPr="006716CA" w:rsidRDefault="00720775" w:rsidP="00491A4D">
            <w:pPr>
              <w:spacing w:after="0" w:line="240" w:lineRule="auto"/>
              <w:jc w:val="center"/>
              <w:textAlignment w:val="baseline"/>
              <w:rPr>
                <w:rFonts w:eastAsia="Times New Roman" w:cstheme="minorHAnsi"/>
                <w:b/>
                <w:bCs/>
                <w:color w:val="FF0000"/>
              </w:rPr>
            </w:pPr>
            <w:r w:rsidRPr="006716CA">
              <w:rPr>
                <w:rFonts w:eastAsia="Times New Roman" w:cstheme="minorHAnsi"/>
                <w:b/>
                <w:bCs/>
                <w:color w:val="FF0000"/>
              </w:rPr>
              <w:t>Rate</w:t>
            </w:r>
          </w:p>
        </w:tc>
        <w:tc>
          <w:tcPr>
            <w:tcW w:w="1275" w:type="dxa"/>
            <w:tcBorders>
              <w:top w:val="single" w:sz="6" w:space="0" w:color="auto"/>
              <w:left w:val="single" w:sz="6" w:space="0" w:color="auto"/>
              <w:bottom w:val="single" w:sz="6" w:space="0" w:color="auto"/>
              <w:right w:val="single" w:sz="6" w:space="0" w:color="auto"/>
            </w:tcBorders>
            <w:shd w:val="clear" w:color="auto" w:fill="auto"/>
          </w:tcPr>
          <w:p w14:paraId="41B960A7" w14:textId="77777777" w:rsidR="00720775" w:rsidRPr="006716CA" w:rsidRDefault="00720775" w:rsidP="00491A4D">
            <w:pPr>
              <w:spacing w:after="0" w:line="240" w:lineRule="auto"/>
              <w:jc w:val="center"/>
              <w:textAlignment w:val="baseline"/>
              <w:rPr>
                <w:rFonts w:eastAsia="Times New Roman" w:cstheme="minorHAnsi"/>
                <w:b/>
                <w:bCs/>
                <w:color w:val="FF0000"/>
              </w:rPr>
            </w:pPr>
            <w:r w:rsidRPr="006716CA">
              <w:rPr>
                <w:rFonts w:eastAsia="Times New Roman" w:cstheme="minorHAnsi"/>
                <w:b/>
                <w:bCs/>
                <w:color w:val="FF0000"/>
              </w:rPr>
              <w:t>Correlation Coefficient</w:t>
            </w:r>
          </w:p>
        </w:tc>
      </w:tr>
      <w:tr w:rsidR="00720775" w:rsidRPr="00013919" w14:paraId="03D16048" w14:textId="77777777" w:rsidTr="00491A4D">
        <w:trPr>
          <w:trHeight w:val="255"/>
        </w:trPr>
        <w:tc>
          <w:tcPr>
            <w:tcW w:w="1620" w:type="dxa"/>
            <w:tcBorders>
              <w:top w:val="single" w:sz="6" w:space="0" w:color="auto"/>
              <w:left w:val="single" w:sz="6" w:space="0" w:color="auto"/>
              <w:bottom w:val="single" w:sz="6" w:space="0" w:color="auto"/>
              <w:right w:val="single" w:sz="6" w:space="0" w:color="auto"/>
            </w:tcBorders>
            <w:shd w:val="clear" w:color="auto" w:fill="auto"/>
            <w:hideMark/>
          </w:tcPr>
          <w:p w14:paraId="2F74D70B" w14:textId="77777777" w:rsidR="00720775" w:rsidRPr="0085752B" w:rsidRDefault="00720775" w:rsidP="00491A4D">
            <w:pPr>
              <w:spacing w:after="0" w:line="240" w:lineRule="auto"/>
              <w:textAlignment w:val="baseline"/>
              <w:rPr>
                <w:rFonts w:eastAsia="Times New Roman" w:cstheme="minorHAnsi"/>
                <w:color w:val="FF0000"/>
              </w:rPr>
            </w:pPr>
            <w:r w:rsidRPr="0085752B">
              <w:rPr>
                <w:rFonts w:eastAsia="Times New Roman" w:cstheme="minorHAnsi"/>
                <w:color w:val="FF0000"/>
              </w:rPr>
              <w:t> </w:t>
            </w:r>
          </w:p>
        </w:tc>
        <w:tc>
          <w:tcPr>
            <w:tcW w:w="1275" w:type="dxa"/>
            <w:tcBorders>
              <w:top w:val="single" w:sz="6" w:space="0" w:color="auto"/>
              <w:left w:val="single" w:sz="6" w:space="0" w:color="auto"/>
              <w:bottom w:val="single" w:sz="6" w:space="0" w:color="auto"/>
              <w:right w:val="single" w:sz="6" w:space="0" w:color="auto"/>
            </w:tcBorders>
            <w:shd w:val="clear" w:color="auto" w:fill="auto"/>
            <w:hideMark/>
          </w:tcPr>
          <w:p w14:paraId="306A948B" w14:textId="2C84951E" w:rsidR="00720775" w:rsidRPr="0085752B" w:rsidRDefault="000F7D5E" w:rsidP="00491A4D">
            <w:pPr>
              <w:spacing w:after="0" w:line="240" w:lineRule="auto"/>
              <w:jc w:val="center"/>
              <w:textAlignment w:val="baseline"/>
              <w:rPr>
                <w:rFonts w:eastAsia="Times New Roman" w:cstheme="minorHAnsi"/>
                <w:color w:val="FF0000"/>
              </w:rPr>
            </w:pPr>
            <w:r>
              <w:rPr>
                <w:rFonts w:eastAsia="Times New Roman" w:cstheme="minorHAnsi"/>
                <w:color w:val="FF0000"/>
              </w:rPr>
              <w:t>30-day</w:t>
            </w:r>
            <w:r w:rsidR="00720775" w:rsidRPr="0085752B">
              <w:rPr>
                <w:rFonts w:eastAsia="Times New Roman" w:cstheme="minorHAnsi"/>
                <w:color w:val="FF0000"/>
              </w:rPr>
              <w:t> </w:t>
            </w:r>
          </w:p>
        </w:tc>
      </w:tr>
      <w:tr w:rsidR="00720775" w:rsidRPr="00013919" w14:paraId="4BA880FB" w14:textId="77777777" w:rsidTr="00491A4D">
        <w:tc>
          <w:tcPr>
            <w:tcW w:w="1620" w:type="dxa"/>
            <w:tcBorders>
              <w:top w:val="single" w:sz="6" w:space="0" w:color="auto"/>
              <w:left w:val="single" w:sz="6" w:space="0" w:color="auto"/>
              <w:bottom w:val="single" w:sz="6" w:space="0" w:color="auto"/>
              <w:right w:val="single" w:sz="6" w:space="0" w:color="auto"/>
            </w:tcBorders>
            <w:shd w:val="clear" w:color="auto" w:fill="auto"/>
            <w:hideMark/>
          </w:tcPr>
          <w:p w14:paraId="12675E16" w14:textId="75596A86" w:rsidR="00720775" w:rsidRPr="0085752B" w:rsidRDefault="00720775" w:rsidP="00491A4D">
            <w:pPr>
              <w:spacing w:after="0" w:line="240" w:lineRule="auto"/>
              <w:textAlignment w:val="baseline"/>
              <w:rPr>
                <w:rFonts w:eastAsia="Times New Roman" w:cstheme="minorHAnsi"/>
                <w:color w:val="FF0000"/>
              </w:rPr>
            </w:pPr>
            <w:r>
              <w:rPr>
                <w:rFonts w:eastAsia="Times New Roman" w:cstheme="minorHAnsi"/>
                <w:color w:val="FF0000"/>
              </w:rPr>
              <w:t xml:space="preserve">7-day </w:t>
            </w:r>
          </w:p>
          <w:p w14:paraId="229120C0" w14:textId="77777777" w:rsidR="00720775" w:rsidRPr="0085752B" w:rsidRDefault="00720775" w:rsidP="00491A4D">
            <w:pPr>
              <w:spacing w:after="0" w:line="240" w:lineRule="auto"/>
              <w:textAlignment w:val="baseline"/>
              <w:rPr>
                <w:rFonts w:eastAsia="Times New Roman" w:cstheme="minorHAnsi"/>
                <w:color w:val="FF0000"/>
              </w:rPr>
            </w:pPr>
            <w:r w:rsidRPr="0085752B">
              <w:rPr>
                <w:rFonts w:eastAsia="Times New Roman" w:cstheme="minorHAnsi"/>
                <w:color w:val="FF0000"/>
              </w:rPr>
              <w:t> </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A2266A" w14:textId="11B05AE6" w:rsidR="00720775" w:rsidRPr="0085752B" w:rsidRDefault="00720775" w:rsidP="00491A4D">
            <w:pPr>
              <w:spacing w:after="0" w:line="240" w:lineRule="auto"/>
              <w:jc w:val="center"/>
              <w:textAlignment w:val="baseline"/>
              <w:rPr>
                <w:rFonts w:eastAsia="Times New Roman" w:cstheme="minorHAnsi"/>
                <w:color w:val="FF0000"/>
              </w:rPr>
            </w:pPr>
            <w:r w:rsidRPr="0085752B">
              <w:rPr>
                <w:rFonts w:eastAsia="Times New Roman" w:cstheme="minorHAnsi"/>
                <w:color w:val="FF0000"/>
              </w:rPr>
              <w:t>0.</w:t>
            </w:r>
            <w:r w:rsidR="00EF6156">
              <w:rPr>
                <w:rFonts w:eastAsia="Times New Roman" w:cstheme="minorHAnsi"/>
                <w:color w:val="FF0000"/>
              </w:rPr>
              <w:t>9</w:t>
            </w:r>
            <w:r w:rsidR="00EE1E56">
              <w:rPr>
                <w:rFonts w:eastAsia="Times New Roman" w:cstheme="minorHAnsi"/>
                <w:color w:val="FF0000"/>
              </w:rPr>
              <w:t>0</w:t>
            </w:r>
            <w:r>
              <w:rPr>
                <w:rFonts w:eastAsia="Times New Roman" w:cstheme="minorHAnsi"/>
                <w:color w:val="FF0000"/>
              </w:rPr>
              <w:t>*</w:t>
            </w:r>
          </w:p>
        </w:tc>
      </w:tr>
    </w:tbl>
    <w:p w14:paraId="79A470E1" w14:textId="5CC58C91" w:rsidR="00D27F8C" w:rsidRPr="00D27F8C" w:rsidRDefault="00720775" w:rsidP="00D27F8C">
      <w:pPr>
        <w:spacing w:after="0" w:line="240" w:lineRule="auto"/>
        <w:textAlignment w:val="baseline"/>
        <w:rPr>
          <w:rFonts w:eastAsia="Times New Roman" w:cstheme="minorHAnsi"/>
          <w:color w:val="FF0000"/>
        </w:rPr>
      </w:pPr>
      <w:r>
        <w:rPr>
          <w:rFonts w:eastAsia="Times New Roman" w:cstheme="minorHAnsi"/>
          <w:color w:val="FF0000"/>
        </w:rPr>
        <w:t>*S</w:t>
      </w:r>
      <w:r w:rsidRPr="0085752B">
        <w:rPr>
          <w:rFonts w:eastAsia="Times New Roman" w:cstheme="minorHAnsi"/>
          <w:color w:val="FF0000"/>
        </w:rPr>
        <w:t xml:space="preserve">ignificant at </w:t>
      </w:r>
      <w:r w:rsidR="00D27F8C" w:rsidRPr="00D27F8C">
        <w:rPr>
          <w:rFonts w:eastAsia="Times New Roman" w:cstheme="minorHAnsi"/>
          <w:color w:val="FF0000"/>
        </w:rPr>
        <w:t>p &lt; 0.001</w:t>
      </w:r>
    </w:p>
    <w:p w14:paraId="1A68FA2C" w14:textId="1F745EF1" w:rsidR="00720775" w:rsidRPr="0085752B" w:rsidRDefault="00720775" w:rsidP="00720775">
      <w:pPr>
        <w:spacing w:after="0" w:line="240" w:lineRule="auto"/>
        <w:textAlignment w:val="baseline"/>
        <w:rPr>
          <w:rFonts w:eastAsia="Times New Roman" w:cstheme="minorHAnsi"/>
          <w:color w:val="FF0000"/>
        </w:rPr>
      </w:pPr>
    </w:p>
    <w:p w14:paraId="48522D6B" w14:textId="77777777" w:rsidR="00720775" w:rsidRPr="0085752B" w:rsidRDefault="00720775" w:rsidP="00720775">
      <w:pPr>
        <w:spacing w:after="0" w:line="240" w:lineRule="auto"/>
        <w:textAlignment w:val="baseline"/>
        <w:rPr>
          <w:rFonts w:eastAsia="Times New Roman" w:cstheme="minorHAnsi"/>
          <w:color w:val="FF0000"/>
        </w:rPr>
      </w:pPr>
      <w:r w:rsidRPr="0085752B">
        <w:rPr>
          <w:rFonts w:eastAsia="Times New Roman" w:cstheme="minorHAnsi"/>
          <w:color w:val="FF0000"/>
        </w:rPr>
        <w:t> </w:t>
      </w:r>
    </w:p>
    <w:p w14:paraId="13A54DFF" w14:textId="0BB544C6" w:rsidR="00720775" w:rsidRDefault="00720775" w:rsidP="00720775">
      <w:pPr>
        <w:spacing w:after="0" w:line="240" w:lineRule="auto"/>
        <w:textAlignment w:val="baseline"/>
        <w:rPr>
          <w:rFonts w:eastAsia="Times New Roman" w:cstheme="minorHAnsi"/>
          <w:color w:val="FF0000"/>
        </w:rPr>
      </w:pPr>
      <w:r w:rsidRPr="0085752B">
        <w:rPr>
          <w:rFonts w:eastAsia="Times New Roman" w:cstheme="minorHAnsi"/>
          <w:color w:val="FF0000"/>
        </w:rPr>
        <w:t xml:space="preserve">Table </w:t>
      </w:r>
      <w:r w:rsidRPr="00013919">
        <w:rPr>
          <w:rFonts w:eastAsia="Times New Roman" w:cstheme="minorHAnsi"/>
          <w:color w:val="FF0000"/>
        </w:rPr>
        <w:t>4</w:t>
      </w:r>
      <w:r w:rsidRPr="0085752B">
        <w:rPr>
          <w:rFonts w:eastAsia="Times New Roman" w:cstheme="minorHAnsi"/>
          <w:color w:val="FF0000"/>
        </w:rPr>
        <w:t xml:space="preserve">b. Health-Plan Level Pearson Correlation Coefficients Among </w:t>
      </w:r>
      <w:r>
        <w:rPr>
          <w:rFonts w:ascii="Calibri" w:eastAsia="Times New Roman" w:hAnsi="Calibri" w:cs="Calibri"/>
          <w:i/>
          <w:iCs/>
          <w:color w:val="FF0000"/>
        </w:rPr>
        <w:t>Follow-Up After Hospitalization for Mental Illness</w:t>
      </w:r>
      <w:r w:rsidRPr="0033548A">
        <w:rPr>
          <w:rFonts w:ascii="Calibri" w:eastAsia="Times New Roman" w:hAnsi="Calibri" w:cs="Calibri"/>
          <w:color w:val="FF0000"/>
        </w:rPr>
        <w:t xml:space="preserve"> </w:t>
      </w:r>
      <w:r w:rsidRPr="0085752B">
        <w:rPr>
          <w:rFonts w:eastAsia="Times New Roman" w:cstheme="minorHAnsi"/>
          <w:color w:val="FF0000"/>
        </w:rPr>
        <w:t xml:space="preserve">Performance Scores Within Measure – </w:t>
      </w:r>
      <w:r w:rsidRPr="0085752B">
        <w:rPr>
          <w:rFonts w:eastAsia="Times New Roman" w:cstheme="minorHAnsi"/>
          <w:b/>
          <w:bCs/>
          <w:color w:val="FF0000"/>
        </w:rPr>
        <w:t>Medicaid</w:t>
      </w:r>
      <w:r w:rsidRPr="0085752B">
        <w:rPr>
          <w:rFonts w:eastAsia="Times New Roman" w:cstheme="minorHAnsi"/>
          <w:color w:val="FF0000"/>
        </w:rPr>
        <w:t xml:space="preserve"> Plans, </w:t>
      </w:r>
      <w:r w:rsidRPr="00013919">
        <w:rPr>
          <w:rFonts w:eastAsia="Times New Roman" w:cstheme="minorHAnsi"/>
          <w:color w:val="FF0000"/>
        </w:rPr>
        <w:t>calendar year 2018 data</w:t>
      </w:r>
    </w:p>
    <w:p w14:paraId="02C85DFA" w14:textId="77777777" w:rsidR="00720775" w:rsidRPr="0085752B" w:rsidRDefault="00720775" w:rsidP="00720775">
      <w:pPr>
        <w:spacing w:after="0" w:line="240" w:lineRule="auto"/>
        <w:textAlignment w:val="baseline"/>
        <w:rPr>
          <w:rFonts w:eastAsia="Times New Roman" w:cstheme="minorHAnsi"/>
          <w:color w:val="FF0000"/>
        </w:rPr>
      </w:pP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20"/>
        <w:gridCol w:w="1275"/>
      </w:tblGrid>
      <w:tr w:rsidR="00720775" w:rsidRPr="00013919" w14:paraId="32CC07A2" w14:textId="77777777" w:rsidTr="00491A4D">
        <w:trPr>
          <w:trHeight w:val="255"/>
        </w:trPr>
        <w:tc>
          <w:tcPr>
            <w:tcW w:w="1620" w:type="dxa"/>
            <w:tcBorders>
              <w:top w:val="single" w:sz="6" w:space="0" w:color="auto"/>
              <w:left w:val="single" w:sz="6" w:space="0" w:color="auto"/>
              <w:bottom w:val="single" w:sz="6" w:space="0" w:color="auto"/>
              <w:right w:val="single" w:sz="6" w:space="0" w:color="auto"/>
            </w:tcBorders>
            <w:shd w:val="clear" w:color="auto" w:fill="auto"/>
          </w:tcPr>
          <w:p w14:paraId="47ADE73C" w14:textId="77777777" w:rsidR="00720775" w:rsidRPr="0085752B" w:rsidRDefault="00720775" w:rsidP="00491A4D">
            <w:pPr>
              <w:spacing w:after="0" w:line="240" w:lineRule="auto"/>
              <w:jc w:val="center"/>
              <w:textAlignment w:val="baseline"/>
              <w:rPr>
                <w:rFonts w:eastAsia="Times New Roman" w:cstheme="minorHAnsi"/>
                <w:color w:val="FF0000"/>
              </w:rPr>
            </w:pPr>
            <w:r w:rsidRPr="006716CA">
              <w:rPr>
                <w:rFonts w:eastAsia="Times New Roman" w:cstheme="minorHAnsi"/>
                <w:b/>
                <w:bCs/>
                <w:color w:val="FF0000"/>
              </w:rPr>
              <w:t>Rate</w:t>
            </w:r>
          </w:p>
        </w:tc>
        <w:tc>
          <w:tcPr>
            <w:tcW w:w="1275" w:type="dxa"/>
            <w:tcBorders>
              <w:top w:val="single" w:sz="6" w:space="0" w:color="auto"/>
              <w:left w:val="single" w:sz="6" w:space="0" w:color="auto"/>
              <w:bottom w:val="single" w:sz="6" w:space="0" w:color="auto"/>
              <w:right w:val="single" w:sz="6" w:space="0" w:color="auto"/>
            </w:tcBorders>
            <w:shd w:val="clear" w:color="auto" w:fill="auto"/>
          </w:tcPr>
          <w:p w14:paraId="758CBA17" w14:textId="77777777" w:rsidR="00720775" w:rsidRPr="00013919" w:rsidRDefault="00720775" w:rsidP="00491A4D">
            <w:pPr>
              <w:spacing w:after="0" w:line="240" w:lineRule="auto"/>
              <w:jc w:val="center"/>
              <w:textAlignment w:val="baseline"/>
              <w:rPr>
                <w:rFonts w:eastAsia="Times New Roman" w:cstheme="minorHAnsi"/>
                <w:color w:val="FF0000"/>
              </w:rPr>
            </w:pPr>
            <w:r w:rsidRPr="006716CA">
              <w:rPr>
                <w:rFonts w:eastAsia="Times New Roman" w:cstheme="minorHAnsi"/>
                <w:b/>
                <w:bCs/>
                <w:color w:val="FF0000"/>
              </w:rPr>
              <w:t>Correlation Coefficient</w:t>
            </w:r>
          </w:p>
        </w:tc>
      </w:tr>
      <w:tr w:rsidR="00720775" w:rsidRPr="00013919" w14:paraId="34CEE2B5" w14:textId="77777777" w:rsidTr="00491A4D">
        <w:trPr>
          <w:trHeight w:val="255"/>
        </w:trPr>
        <w:tc>
          <w:tcPr>
            <w:tcW w:w="1620" w:type="dxa"/>
            <w:tcBorders>
              <w:top w:val="single" w:sz="6" w:space="0" w:color="auto"/>
              <w:left w:val="single" w:sz="6" w:space="0" w:color="auto"/>
              <w:bottom w:val="single" w:sz="6" w:space="0" w:color="auto"/>
              <w:right w:val="single" w:sz="6" w:space="0" w:color="auto"/>
            </w:tcBorders>
            <w:shd w:val="clear" w:color="auto" w:fill="auto"/>
            <w:hideMark/>
          </w:tcPr>
          <w:p w14:paraId="584D8E51" w14:textId="77777777" w:rsidR="00720775" w:rsidRPr="0085752B" w:rsidRDefault="00720775" w:rsidP="00491A4D">
            <w:pPr>
              <w:spacing w:after="0" w:line="240" w:lineRule="auto"/>
              <w:textAlignment w:val="baseline"/>
              <w:rPr>
                <w:rFonts w:eastAsia="Times New Roman" w:cstheme="minorHAnsi"/>
                <w:color w:val="FF0000"/>
              </w:rPr>
            </w:pPr>
            <w:r w:rsidRPr="0085752B">
              <w:rPr>
                <w:rFonts w:eastAsia="Times New Roman" w:cstheme="minorHAnsi"/>
                <w:color w:val="FF0000"/>
              </w:rPr>
              <w:t> </w:t>
            </w:r>
          </w:p>
        </w:tc>
        <w:tc>
          <w:tcPr>
            <w:tcW w:w="1275" w:type="dxa"/>
            <w:tcBorders>
              <w:top w:val="single" w:sz="6" w:space="0" w:color="auto"/>
              <w:left w:val="single" w:sz="6" w:space="0" w:color="auto"/>
              <w:bottom w:val="single" w:sz="6" w:space="0" w:color="auto"/>
              <w:right w:val="single" w:sz="6" w:space="0" w:color="auto"/>
            </w:tcBorders>
            <w:shd w:val="clear" w:color="auto" w:fill="auto"/>
            <w:hideMark/>
          </w:tcPr>
          <w:p w14:paraId="3259A9AB" w14:textId="693775FC" w:rsidR="00720775" w:rsidRPr="0085752B" w:rsidRDefault="00092810" w:rsidP="00491A4D">
            <w:pPr>
              <w:spacing w:after="0" w:line="240" w:lineRule="auto"/>
              <w:jc w:val="center"/>
              <w:textAlignment w:val="baseline"/>
              <w:rPr>
                <w:rFonts w:eastAsia="Times New Roman" w:cstheme="minorHAnsi"/>
                <w:color w:val="FF0000"/>
              </w:rPr>
            </w:pPr>
            <w:r>
              <w:rPr>
                <w:rFonts w:eastAsia="Times New Roman" w:cstheme="minorHAnsi"/>
                <w:color w:val="FF0000"/>
              </w:rPr>
              <w:t>30-day</w:t>
            </w:r>
            <w:r w:rsidRPr="0085752B">
              <w:rPr>
                <w:rFonts w:eastAsia="Times New Roman" w:cstheme="minorHAnsi"/>
                <w:color w:val="FF0000"/>
              </w:rPr>
              <w:t> </w:t>
            </w:r>
            <w:r w:rsidR="00720775" w:rsidRPr="0085752B">
              <w:rPr>
                <w:rFonts w:eastAsia="Times New Roman" w:cstheme="minorHAnsi"/>
                <w:color w:val="FF0000"/>
              </w:rPr>
              <w:br/>
              <w:t> </w:t>
            </w:r>
          </w:p>
        </w:tc>
      </w:tr>
      <w:tr w:rsidR="00720775" w:rsidRPr="00013919" w14:paraId="2E1A3FDB" w14:textId="77777777" w:rsidTr="00491A4D">
        <w:tc>
          <w:tcPr>
            <w:tcW w:w="1620" w:type="dxa"/>
            <w:tcBorders>
              <w:top w:val="single" w:sz="6" w:space="0" w:color="auto"/>
              <w:left w:val="single" w:sz="6" w:space="0" w:color="auto"/>
              <w:bottom w:val="single" w:sz="6" w:space="0" w:color="auto"/>
              <w:right w:val="single" w:sz="6" w:space="0" w:color="auto"/>
            </w:tcBorders>
            <w:shd w:val="clear" w:color="auto" w:fill="auto"/>
            <w:hideMark/>
          </w:tcPr>
          <w:p w14:paraId="3CB3D06A" w14:textId="1B22B38B" w:rsidR="00720775" w:rsidRPr="0085752B" w:rsidRDefault="00720775" w:rsidP="00720775">
            <w:pPr>
              <w:spacing w:after="0" w:line="240" w:lineRule="auto"/>
              <w:textAlignment w:val="baseline"/>
              <w:rPr>
                <w:rFonts w:eastAsia="Times New Roman" w:cstheme="minorHAnsi"/>
                <w:color w:val="FF0000"/>
              </w:rPr>
            </w:pPr>
            <w:r>
              <w:rPr>
                <w:rFonts w:eastAsia="Times New Roman" w:cstheme="minorHAnsi"/>
                <w:color w:val="FF0000"/>
              </w:rPr>
              <w:t xml:space="preserve">7-day </w:t>
            </w:r>
          </w:p>
          <w:p w14:paraId="3827E88E" w14:textId="77777777" w:rsidR="00720775" w:rsidRPr="0085752B" w:rsidRDefault="00720775" w:rsidP="00491A4D">
            <w:pPr>
              <w:spacing w:after="0" w:line="240" w:lineRule="auto"/>
              <w:textAlignment w:val="baseline"/>
              <w:rPr>
                <w:rFonts w:eastAsia="Times New Roman" w:cstheme="minorHAnsi"/>
                <w:color w:val="FF0000"/>
              </w:rPr>
            </w:pPr>
            <w:r w:rsidRPr="0085752B">
              <w:rPr>
                <w:rFonts w:eastAsia="Times New Roman" w:cstheme="minorHAnsi"/>
                <w:color w:val="FF0000"/>
              </w:rPr>
              <w:t> </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11709E" w14:textId="46507F26" w:rsidR="00720775" w:rsidRPr="0085752B" w:rsidRDefault="00720775" w:rsidP="00491A4D">
            <w:pPr>
              <w:spacing w:after="0" w:line="240" w:lineRule="auto"/>
              <w:jc w:val="center"/>
              <w:textAlignment w:val="baseline"/>
              <w:rPr>
                <w:rFonts w:eastAsia="Times New Roman" w:cstheme="minorHAnsi"/>
                <w:color w:val="FF0000"/>
              </w:rPr>
            </w:pPr>
            <w:r w:rsidRPr="0085752B">
              <w:rPr>
                <w:rFonts w:eastAsia="Times New Roman" w:cstheme="minorHAnsi"/>
                <w:color w:val="FF0000"/>
              </w:rPr>
              <w:t>0.</w:t>
            </w:r>
            <w:r w:rsidR="00ED47B6">
              <w:rPr>
                <w:rFonts w:eastAsia="Times New Roman" w:cstheme="minorHAnsi"/>
                <w:color w:val="FF0000"/>
              </w:rPr>
              <w:t>93</w:t>
            </w:r>
            <w:r>
              <w:rPr>
                <w:rFonts w:eastAsia="Times New Roman" w:cstheme="minorHAnsi"/>
                <w:color w:val="FF0000"/>
              </w:rPr>
              <w:t>*</w:t>
            </w:r>
          </w:p>
        </w:tc>
      </w:tr>
    </w:tbl>
    <w:p w14:paraId="48A9ED83" w14:textId="77777777" w:rsidR="00D27F8C" w:rsidRPr="00D27F8C" w:rsidRDefault="00D27F8C" w:rsidP="00D27F8C">
      <w:pPr>
        <w:spacing w:after="0" w:line="240" w:lineRule="auto"/>
        <w:textAlignment w:val="baseline"/>
        <w:rPr>
          <w:rFonts w:eastAsia="Times New Roman" w:cstheme="minorHAnsi"/>
          <w:color w:val="FF0000"/>
        </w:rPr>
      </w:pPr>
      <w:r>
        <w:rPr>
          <w:rFonts w:eastAsia="Times New Roman" w:cstheme="minorHAnsi"/>
          <w:color w:val="FF0000"/>
        </w:rPr>
        <w:t>*S</w:t>
      </w:r>
      <w:r w:rsidRPr="0085752B">
        <w:rPr>
          <w:rFonts w:eastAsia="Times New Roman" w:cstheme="minorHAnsi"/>
          <w:color w:val="FF0000"/>
        </w:rPr>
        <w:t xml:space="preserve">ignificant at </w:t>
      </w:r>
      <w:r w:rsidRPr="00D27F8C">
        <w:rPr>
          <w:rFonts w:eastAsia="Times New Roman" w:cstheme="minorHAnsi"/>
          <w:color w:val="FF0000"/>
        </w:rPr>
        <w:t>p &lt; 0.001</w:t>
      </w:r>
    </w:p>
    <w:p w14:paraId="356E4020" w14:textId="77777777" w:rsidR="007B34C9" w:rsidRDefault="007B34C9" w:rsidP="007B34C9">
      <w:pPr>
        <w:autoSpaceDE w:val="0"/>
        <w:autoSpaceDN w:val="0"/>
        <w:adjustRightInd w:val="0"/>
        <w:spacing w:after="0" w:line="240" w:lineRule="auto"/>
        <w:rPr>
          <w:rFonts w:cstheme="minorHAnsi"/>
          <w:bCs/>
        </w:rPr>
      </w:pPr>
    </w:p>
    <w:p w14:paraId="380A5B3B" w14:textId="49653C39" w:rsidR="00720775" w:rsidRDefault="00720775" w:rsidP="00720775">
      <w:pPr>
        <w:spacing w:after="0" w:line="240" w:lineRule="auto"/>
        <w:textAlignment w:val="baseline"/>
        <w:rPr>
          <w:rFonts w:eastAsia="Times New Roman" w:cstheme="minorHAnsi"/>
          <w:color w:val="FF0000"/>
        </w:rPr>
      </w:pPr>
      <w:r w:rsidRPr="0085752B">
        <w:rPr>
          <w:rFonts w:eastAsia="Times New Roman" w:cstheme="minorHAnsi"/>
          <w:color w:val="FF0000"/>
        </w:rPr>
        <w:t xml:space="preserve">Table </w:t>
      </w:r>
      <w:r w:rsidRPr="00013919">
        <w:rPr>
          <w:rFonts w:eastAsia="Times New Roman" w:cstheme="minorHAnsi"/>
          <w:color w:val="FF0000"/>
        </w:rPr>
        <w:t>4</w:t>
      </w:r>
      <w:r w:rsidR="00D27F8C">
        <w:rPr>
          <w:rFonts w:eastAsia="Times New Roman" w:cstheme="minorHAnsi"/>
          <w:color w:val="FF0000"/>
        </w:rPr>
        <w:t>c</w:t>
      </w:r>
      <w:r w:rsidRPr="0085752B">
        <w:rPr>
          <w:rFonts w:eastAsia="Times New Roman" w:cstheme="minorHAnsi"/>
          <w:color w:val="FF0000"/>
        </w:rPr>
        <w:t xml:space="preserve">. Health-Plan Level Pearson Correlation Coefficients Among </w:t>
      </w:r>
      <w:r>
        <w:rPr>
          <w:rFonts w:ascii="Calibri" w:eastAsia="Times New Roman" w:hAnsi="Calibri" w:cs="Calibri"/>
          <w:i/>
          <w:iCs/>
          <w:color w:val="FF0000"/>
        </w:rPr>
        <w:t>Follow-Up After Hospitalization for Mental Illness</w:t>
      </w:r>
      <w:r w:rsidRPr="0033548A">
        <w:rPr>
          <w:rFonts w:ascii="Calibri" w:eastAsia="Times New Roman" w:hAnsi="Calibri" w:cs="Calibri"/>
          <w:color w:val="FF0000"/>
        </w:rPr>
        <w:t xml:space="preserve"> </w:t>
      </w:r>
      <w:r w:rsidRPr="0085752B">
        <w:rPr>
          <w:rFonts w:eastAsia="Times New Roman" w:cstheme="minorHAnsi"/>
          <w:color w:val="FF0000"/>
        </w:rPr>
        <w:t xml:space="preserve">Performance Scores Within Measure – </w:t>
      </w:r>
      <w:r w:rsidRPr="0085752B">
        <w:rPr>
          <w:rFonts w:eastAsia="Times New Roman" w:cstheme="minorHAnsi"/>
          <w:b/>
          <w:bCs/>
          <w:color w:val="FF0000"/>
        </w:rPr>
        <w:t>Medica</w:t>
      </w:r>
      <w:r>
        <w:rPr>
          <w:rFonts w:eastAsia="Times New Roman" w:cstheme="minorHAnsi"/>
          <w:b/>
          <w:bCs/>
          <w:color w:val="FF0000"/>
        </w:rPr>
        <w:t>re</w:t>
      </w:r>
      <w:r w:rsidRPr="0085752B">
        <w:rPr>
          <w:rFonts w:eastAsia="Times New Roman" w:cstheme="minorHAnsi"/>
          <w:color w:val="FF0000"/>
        </w:rPr>
        <w:t xml:space="preserve"> Plans, </w:t>
      </w:r>
      <w:r w:rsidRPr="00013919">
        <w:rPr>
          <w:rFonts w:eastAsia="Times New Roman" w:cstheme="minorHAnsi"/>
          <w:color w:val="FF0000"/>
        </w:rPr>
        <w:t>calendar year 2018 data</w:t>
      </w:r>
    </w:p>
    <w:p w14:paraId="005AAA8C" w14:textId="77777777" w:rsidR="00720775" w:rsidRPr="0085752B" w:rsidRDefault="00720775" w:rsidP="00720775">
      <w:pPr>
        <w:spacing w:after="0" w:line="240" w:lineRule="auto"/>
        <w:textAlignment w:val="baseline"/>
        <w:rPr>
          <w:rFonts w:eastAsia="Times New Roman" w:cstheme="minorHAnsi"/>
          <w:color w:val="FF0000"/>
        </w:rPr>
      </w:pP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20"/>
        <w:gridCol w:w="1275"/>
      </w:tblGrid>
      <w:tr w:rsidR="00720775" w:rsidRPr="00013919" w14:paraId="4368E08D" w14:textId="77777777" w:rsidTr="00491A4D">
        <w:trPr>
          <w:trHeight w:val="255"/>
        </w:trPr>
        <w:tc>
          <w:tcPr>
            <w:tcW w:w="1620" w:type="dxa"/>
            <w:tcBorders>
              <w:top w:val="single" w:sz="6" w:space="0" w:color="auto"/>
              <w:left w:val="single" w:sz="6" w:space="0" w:color="auto"/>
              <w:bottom w:val="single" w:sz="6" w:space="0" w:color="auto"/>
              <w:right w:val="single" w:sz="6" w:space="0" w:color="auto"/>
            </w:tcBorders>
            <w:shd w:val="clear" w:color="auto" w:fill="auto"/>
          </w:tcPr>
          <w:p w14:paraId="314D749B" w14:textId="77777777" w:rsidR="00720775" w:rsidRPr="0085752B" w:rsidRDefault="00720775" w:rsidP="00491A4D">
            <w:pPr>
              <w:spacing w:after="0" w:line="240" w:lineRule="auto"/>
              <w:jc w:val="center"/>
              <w:textAlignment w:val="baseline"/>
              <w:rPr>
                <w:rFonts w:eastAsia="Times New Roman" w:cstheme="minorHAnsi"/>
                <w:color w:val="FF0000"/>
              </w:rPr>
            </w:pPr>
            <w:r w:rsidRPr="006716CA">
              <w:rPr>
                <w:rFonts w:eastAsia="Times New Roman" w:cstheme="minorHAnsi"/>
                <w:b/>
                <w:bCs/>
                <w:color w:val="FF0000"/>
              </w:rPr>
              <w:t>Rate</w:t>
            </w:r>
          </w:p>
        </w:tc>
        <w:tc>
          <w:tcPr>
            <w:tcW w:w="1275" w:type="dxa"/>
            <w:tcBorders>
              <w:top w:val="single" w:sz="6" w:space="0" w:color="auto"/>
              <w:left w:val="single" w:sz="6" w:space="0" w:color="auto"/>
              <w:bottom w:val="single" w:sz="6" w:space="0" w:color="auto"/>
              <w:right w:val="single" w:sz="6" w:space="0" w:color="auto"/>
            </w:tcBorders>
            <w:shd w:val="clear" w:color="auto" w:fill="auto"/>
          </w:tcPr>
          <w:p w14:paraId="037F3D8C" w14:textId="77777777" w:rsidR="00720775" w:rsidRPr="00013919" w:rsidRDefault="00720775" w:rsidP="00491A4D">
            <w:pPr>
              <w:spacing w:after="0" w:line="240" w:lineRule="auto"/>
              <w:jc w:val="center"/>
              <w:textAlignment w:val="baseline"/>
              <w:rPr>
                <w:rFonts w:eastAsia="Times New Roman" w:cstheme="minorHAnsi"/>
                <w:color w:val="FF0000"/>
              </w:rPr>
            </w:pPr>
            <w:r w:rsidRPr="006716CA">
              <w:rPr>
                <w:rFonts w:eastAsia="Times New Roman" w:cstheme="minorHAnsi"/>
                <w:b/>
                <w:bCs/>
                <w:color w:val="FF0000"/>
              </w:rPr>
              <w:t>Correlation Coefficient</w:t>
            </w:r>
          </w:p>
        </w:tc>
      </w:tr>
      <w:tr w:rsidR="00720775" w:rsidRPr="00013919" w14:paraId="29012939" w14:textId="77777777" w:rsidTr="00491A4D">
        <w:trPr>
          <w:trHeight w:val="255"/>
        </w:trPr>
        <w:tc>
          <w:tcPr>
            <w:tcW w:w="1620" w:type="dxa"/>
            <w:tcBorders>
              <w:top w:val="single" w:sz="6" w:space="0" w:color="auto"/>
              <w:left w:val="single" w:sz="6" w:space="0" w:color="auto"/>
              <w:bottom w:val="single" w:sz="6" w:space="0" w:color="auto"/>
              <w:right w:val="single" w:sz="6" w:space="0" w:color="auto"/>
            </w:tcBorders>
            <w:shd w:val="clear" w:color="auto" w:fill="auto"/>
            <w:hideMark/>
          </w:tcPr>
          <w:p w14:paraId="297B6002" w14:textId="77777777" w:rsidR="00720775" w:rsidRPr="0085752B" w:rsidRDefault="00720775" w:rsidP="00491A4D">
            <w:pPr>
              <w:spacing w:after="0" w:line="240" w:lineRule="auto"/>
              <w:textAlignment w:val="baseline"/>
              <w:rPr>
                <w:rFonts w:eastAsia="Times New Roman" w:cstheme="minorHAnsi"/>
                <w:color w:val="FF0000"/>
              </w:rPr>
            </w:pPr>
            <w:r w:rsidRPr="0085752B">
              <w:rPr>
                <w:rFonts w:eastAsia="Times New Roman" w:cstheme="minorHAnsi"/>
                <w:color w:val="FF0000"/>
              </w:rPr>
              <w:t> </w:t>
            </w:r>
          </w:p>
        </w:tc>
        <w:tc>
          <w:tcPr>
            <w:tcW w:w="1275" w:type="dxa"/>
            <w:tcBorders>
              <w:top w:val="single" w:sz="6" w:space="0" w:color="auto"/>
              <w:left w:val="single" w:sz="6" w:space="0" w:color="auto"/>
              <w:bottom w:val="single" w:sz="6" w:space="0" w:color="auto"/>
              <w:right w:val="single" w:sz="6" w:space="0" w:color="auto"/>
            </w:tcBorders>
            <w:shd w:val="clear" w:color="auto" w:fill="auto"/>
            <w:hideMark/>
          </w:tcPr>
          <w:p w14:paraId="7D1EFDF2" w14:textId="4CE2FD2F" w:rsidR="00720775" w:rsidRPr="0085752B" w:rsidRDefault="00092810" w:rsidP="00491A4D">
            <w:pPr>
              <w:spacing w:after="0" w:line="240" w:lineRule="auto"/>
              <w:jc w:val="center"/>
              <w:textAlignment w:val="baseline"/>
              <w:rPr>
                <w:rFonts w:eastAsia="Times New Roman" w:cstheme="minorHAnsi"/>
                <w:color w:val="FF0000"/>
              </w:rPr>
            </w:pPr>
            <w:r>
              <w:rPr>
                <w:rFonts w:eastAsia="Times New Roman" w:cstheme="minorHAnsi"/>
                <w:color w:val="FF0000"/>
              </w:rPr>
              <w:t>30-day</w:t>
            </w:r>
            <w:r w:rsidR="00720775" w:rsidRPr="0085752B">
              <w:rPr>
                <w:rFonts w:eastAsia="Times New Roman" w:cstheme="minorHAnsi"/>
                <w:color w:val="FF0000"/>
              </w:rPr>
              <w:t> </w:t>
            </w:r>
          </w:p>
        </w:tc>
      </w:tr>
      <w:tr w:rsidR="00720775" w:rsidRPr="00013919" w14:paraId="40D1C735" w14:textId="77777777" w:rsidTr="00491A4D">
        <w:tc>
          <w:tcPr>
            <w:tcW w:w="1620" w:type="dxa"/>
            <w:tcBorders>
              <w:top w:val="single" w:sz="6" w:space="0" w:color="auto"/>
              <w:left w:val="single" w:sz="6" w:space="0" w:color="auto"/>
              <w:bottom w:val="single" w:sz="6" w:space="0" w:color="auto"/>
              <w:right w:val="single" w:sz="6" w:space="0" w:color="auto"/>
            </w:tcBorders>
            <w:shd w:val="clear" w:color="auto" w:fill="auto"/>
            <w:hideMark/>
          </w:tcPr>
          <w:p w14:paraId="6875D3E2" w14:textId="371A3EB5" w:rsidR="00720775" w:rsidRPr="0085752B" w:rsidRDefault="00720775" w:rsidP="00720775">
            <w:pPr>
              <w:spacing w:after="0" w:line="240" w:lineRule="auto"/>
              <w:textAlignment w:val="baseline"/>
              <w:rPr>
                <w:rFonts w:eastAsia="Times New Roman" w:cstheme="minorHAnsi"/>
                <w:color w:val="FF0000"/>
              </w:rPr>
            </w:pPr>
            <w:r>
              <w:rPr>
                <w:rFonts w:eastAsia="Times New Roman" w:cstheme="minorHAnsi"/>
                <w:color w:val="FF0000"/>
              </w:rPr>
              <w:t xml:space="preserve">7-day </w:t>
            </w:r>
          </w:p>
          <w:p w14:paraId="3F277CFC" w14:textId="4039120A" w:rsidR="00720775" w:rsidRPr="0085752B" w:rsidRDefault="00720775" w:rsidP="00491A4D">
            <w:pPr>
              <w:spacing w:after="0" w:line="240" w:lineRule="auto"/>
              <w:textAlignment w:val="baseline"/>
              <w:rPr>
                <w:rFonts w:eastAsia="Times New Roman" w:cstheme="minorHAnsi"/>
                <w:color w:val="FF0000"/>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F2AC88" w14:textId="6416D813" w:rsidR="00720775" w:rsidRPr="0085752B" w:rsidRDefault="00720775" w:rsidP="00491A4D">
            <w:pPr>
              <w:spacing w:after="0" w:line="240" w:lineRule="auto"/>
              <w:jc w:val="center"/>
              <w:textAlignment w:val="baseline"/>
              <w:rPr>
                <w:rFonts w:eastAsia="Times New Roman" w:cstheme="minorHAnsi"/>
                <w:color w:val="FF0000"/>
              </w:rPr>
            </w:pPr>
            <w:r w:rsidRPr="0085752B">
              <w:rPr>
                <w:rFonts w:eastAsia="Times New Roman" w:cstheme="minorHAnsi"/>
                <w:color w:val="FF0000"/>
              </w:rPr>
              <w:t>0.</w:t>
            </w:r>
            <w:r w:rsidR="00EE1E56">
              <w:rPr>
                <w:rFonts w:eastAsia="Times New Roman" w:cstheme="minorHAnsi"/>
                <w:color w:val="FF0000"/>
              </w:rPr>
              <w:t>91</w:t>
            </w:r>
            <w:r>
              <w:rPr>
                <w:rFonts w:eastAsia="Times New Roman" w:cstheme="minorHAnsi"/>
                <w:color w:val="FF0000"/>
              </w:rPr>
              <w:t>*</w:t>
            </w:r>
          </w:p>
        </w:tc>
      </w:tr>
    </w:tbl>
    <w:p w14:paraId="77FC9C47" w14:textId="77777777" w:rsidR="00D27F8C" w:rsidRPr="00D27F8C" w:rsidRDefault="00D27F8C" w:rsidP="00D27F8C">
      <w:pPr>
        <w:spacing w:after="0" w:line="240" w:lineRule="auto"/>
        <w:textAlignment w:val="baseline"/>
        <w:rPr>
          <w:rFonts w:eastAsia="Times New Roman" w:cstheme="minorHAnsi"/>
          <w:color w:val="FF0000"/>
        </w:rPr>
      </w:pPr>
      <w:r>
        <w:rPr>
          <w:rFonts w:eastAsia="Times New Roman" w:cstheme="minorHAnsi"/>
          <w:color w:val="FF0000"/>
        </w:rPr>
        <w:t>*S</w:t>
      </w:r>
      <w:r w:rsidRPr="0085752B">
        <w:rPr>
          <w:rFonts w:eastAsia="Times New Roman" w:cstheme="minorHAnsi"/>
          <w:color w:val="FF0000"/>
        </w:rPr>
        <w:t xml:space="preserve">ignificant at </w:t>
      </w:r>
      <w:r w:rsidRPr="00D27F8C">
        <w:rPr>
          <w:rFonts w:eastAsia="Times New Roman" w:cstheme="minorHAnsi"/>
          <w:color w:val="FF0000"/>
        </w:rPr>
        <w:t>p &lt; 0.001</w:t>
      </w:r>
    </w:p>
    <w:p w14:paraId="5F8CCFBC" w14:textId="77777777" w:rsidR="00720775" w:rsidRPr="00A41A0F" w:rsidRDefault="00720775" w:rsidP="007B34C9">
      <w:pPr>
        <w:autoSpaceDE w:val="0"/>
        <w:autoSpaceDN w:val="0"/>
        <w:adjustRightInd w:val="0"/>
        <w:spacing w:after="0" w:line="240" w:lineRule="auto"/>
        <w:rPr>
          <w:rFonts w:cstheme="minorHAnsi"/>
          <w:bCs/>
        </w:rPr>
      </w:pPr>
    </w:p>
    <w:p w14:paraId="619ED31B" w14:textId="3ACACCF1" w:rsidR="007B34C9" w:rsidRPr="00587EDD" w:rsidRDefault="007B34C9" w:rsidP="007B34C9">
      <w:pPr>
        <w:spacing w:after="0"/>
        <w:rPr>
          <w:rFonts w:cstheme="minorHAnsi"/>
          <w:color w:val="FF0000"/>
        </w:rPr>
      </w:pPr>
      <w:r w:rsidRPr="00587EDD">
        <w:rPr>
          <w:color w:val="FF0000"/>
        </w:rPr>
        <w:t>Table 5</w:t>
      </w:r>
      <w:r w:rsidR="00CA002A" w:rsidRPr="00587EDD">
        <w:rPr>
          <w:color w:val="FF0000"/>
        </w:rPr>
        <w:t>a</w:t>
      </w:r>
      <w:r w:rsidRPr="00587EDD">
        <w:rPr>
          <w:color w:val="FF0000"/>
        </w:rPr>
        <w:t xml:space="preserve">. Results of Pearson Correlation Coefficient </w:t>
      </w:r>
      <w:r w:rsidRPr="00587EDD">
        <w:rPr>
          <w:rFonts w:cstheme="minorHAnsi"/>
          <w:bCs/>
          <w:color w:val="FF0000"/>
        </w:rPr>
        <w:t>for Commercial</w:t>
      </w:r>
      <w:r w:rsidR="00C97B08">
        <w:rPr>
          <w:rFonts w:cstheme="minorHAnsi"/>
          <w:bCs/>
          <w:color w:val="FF0000"/>
        </w:rPr>
        <w:t>, Medicaid and Medicare</w:t>
      </w:r>
      <w:r w:rsidR="00CA002A" w:rsidRPr="00587EDD">
        <w:rPr>
          <w:rFonts w:cstheme="minorHAnsi"/>
          <w:bCs/>
          <w:color w:val="FF0000"/>
        </w:rPr>
        <w:t xml:space="preserve"> </w:t>
      </w:r>
      <w:r w:rsidRPr="00587EDD">
        <w:rPr>
          <w:rFonts w:cstheme="minorHAnsi"/>
          <w:bCs/>
          <w:color w:val="FF0000"/>
        </w:rPr>
        <w:t xml:space="preserve">health plans </w:t>
      </w:r>
      <w:r w:rsidRPr="00587EDD">
        <w:rPr>
          <w:rFonts w:cstheme="minorHAnsi"/>
          <w:color w:val="FF0000"/>
        </w:rPr>
        <w:t xml:space="preserve">for the </w:t>
      </w:r>
      <w:r w:rsidR="00AA1DDA" w:rsidRPr="003969B7">
        <w:rPr>
          <w:rFonts w:cstheme="minorHAnsi"/>
          <w:i/>
          <w:iCs/>
          <w:color w:val="FF0000"/>
        </w:rPr>
        <w:t>Follow-Up After Hospitalization for Mental Illness</w:t>
      </w:r>
      <w:r w:rsidRPr="00587EDD">
        <w:rPr>
          <w:rFonts w:cstheme="minorHAnsi"/>
          <w:i/>
          <w:iCs/>
          <w:color w:val="FF0000"/>
        </w:rPr>
        <w:t xml:space="preserve"> </w:t>
      </w:r>
      <w:r w:rsidR="003969B7">
        <w:rPr>
          <w:rFonts w:cstheme="minorHAnsi"/>
          <w:color w:val="FF0000"/>
        </w:rPr>
        <w:t xml:space="preserve">and </w:t>
      </w:r>
      <w:r w:rsidR="003969B7">
        <w:rPr>
          <w:rFonts w:cstheme="minorHAnsi"/>
          <w:i/>
          <w:iCs/>
          <w:color w:val="FF0000"/>
        </w:rPr>
        <w:t xml:space="preserve">Follow-Up After Emergency Department Visit for Mental Illness </w:t>
      </w:r>
      <w:r w:rsidRPr="00587EDD">
        <w:rPr>
          <w:rFonts w:cstheme="minorHAnsi"/>
          <w:color w:val="FF0000"/>
        </w:rPr>
        <w:t>Measure</w:t>
      </w:r>
      <w:r w:rsidR="003969B7">
        <w:rPr>
          <w:rFonts w:cstheme="minorHAnsi"/>
          <w:color w:val="FF0000"/>
        </w:rPr>
        <w:t>s</w:t>
      </w:r>
      <w:r w:rsidRPr="00587EDD">
        <w:rPr>
          <w:rFonts w:cstheme="minorHAnsi"/>
          <w:bCs/>
          <w:color w:val="FF0000"/>
        </w:rPr>
        <w:t xml:space="preserve">, </w:t>
      </w:r>
      <w:r w:rsidRPr="00587EDD">
        <w:rPr>
          <w:rFonts w:cstheme="minorHAnsi"/>
          <w:color w:val="FF0000"/>
        </w:rPr>
        <w:t>Calendar Year 201</w:t>
      </w:r>
      <w:r w:rsidR="00AA1DDA" w:rsidRPr="00587EDD">
        <w:rPr>
          <w:rFonts w:cstheme="minorHAnsi"/>
          <w:color w:val="FF0000"/>
        </w:rPr>
        <w:t>8</w:t>
      </w:r>
      <w:r w:rsidRPr="00587EDD">
        <w:rPr>
          <w:rFonts w:cstheme="minorHAnsi"/>
          <w:color w:val="FF0000"/>
        </w:rPr>
        <w:t xml:space="preserve"> Data</w:t>
      </w:r>
    </w:p>
    <w:tbl>
      <w:tblPr>
        <w:tblW w:w="8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9"/>
        <w:gridCol w:w="3019"/>
        <w:gridCol w:w="2353"/>
      </w:tblGrid>
      <w:tr w:rsidR="003969B7" w:rsidRPr="00587EDD" w14:paraId="27FF3929" w14:textId="77777777" w:rsidTr="00F076A3">
        <w:trPr>
          <w:trHeight w:val="897"/>
        </w:trPr>
        <w:tc>
          <w:tcPr>
            <w:tcW w:w="3019" w:type="dxa"/>
            <w:shd w:val="clear" w:color="auto" w:fill="D9D9D9" w:themeFill="background1" w:themeFillShade="D9"/>
          </w:tcPr>
          <w:p w14:paraId="279F53DD" w14:textId="5EB54811" w:rsidR="003969B7" w:rsidRPr="00587EDD" w:rsidRDefault="003969B7" w:rsidP="003969B7">
            <w:pPr>
              <w:spacing w:after="0" w:line="240" w:lineRule="auto"/>
              <w:rPr>
                <w:rFonts w:ascii="Calibri" w:eastAsia="Times New Roman" w:hAnsi="Calibri" w:cs="Calibri"/>
                <w:color w:val="FF0000"/>
              </w:rPr>
            </w:pPr>
            <w:r>
              <w:rPr>
                <w:rFonts w:ascii="Calibri" w:eastAsia="Times New Roman" w:hAnsi="Calibri" w:cs="Calibri"/>
                <w:color w:val="FF0000"/>
              </w:rPr>
              <w:t>Product Line</w:t>
            </w:r>
          </w:p>
        </w:tc>
        <w:tc>
          <w:tcPr>
            <w:tcW w:w="3019" w:type="dxa"/>
            <w:shd w:val="clear" w:color="auto" w:fill="D9D9D9" w:themeFill="background1" w:themeFillShade="D9"/>
            <w:noWrap/>
            <w:vAlign w:val="bottom"/>
            <w:hideMark/>
          </w:tcPr>
          <w:p w14:paraId="26610247" w14:textId="3B17642D" w:rsidR="003969B7" w:rsidRPr="00587EDD" w:rsidRDefault="003969B7" w:rsidP="003969B7">
            <w:pPr>
              <w:spacing w:after="0" w:line="240" w:lineRule="auto"/>
              <w:rPr>
                <w:rFonts w:ascii="Calibri" w:eastAsia="Times New Roman" w:hAnsi="Calibri" w:cs="Calibri"/>
                <w:color w:val="FF0000"/>
              </w:rPr>
            </w:pPr>
            <w:r w:rsidRPr="00587EDD">
              <w:rPr>
                <w:rFonts w:ascii="Calibri" w:eastAsia="Times New Roman" w:hAnsi="Calibri" w:cs="Calibri"/>
                <w:color w:val="FF0000"/>
              </w:rPr>
              <w:t> </w:t>
            </w:r>
            <w:r>
              <w:rPr>
                <w:rFonts w:ascii="Calibri" w:eastAsia="Times New Roman" w:hAnsi="Calibri" w:cs="Calibri"/>
                <w:color w:val="FF0000"/>
              </w:rPr>
              <w:t>Rate</w:t>
            </w:r>
          </w:p>
        </w:tc>
        <w:tc>
          <w:tcPr>
            <w:tcW w:w="2353" w:type="dxa"/>
            <w:shd w:val="clear" w:color="auto" w:fill="D9D9D9" w:themeFill="background1" w:themeFillShade="D9"/>
            <w:hideMark/>
          </w:tcPr>
          <w:p w14:paraId="2D0B5D18" w14:textId="2EA0DB9A" w:rsidR="003969B7" w:rsidRPr="00587EDD" w:rsidRDefault="003969B7" w:rsidP="003969B7">
            <w:pPr>
              <w:spacing w:after="0" w:line="240" w:lineRule="auto"/>
              <w:rPr>
                <w:rFonts w:ascii="Calibri" w:eastAsia="Times New Roman" w:hAnsi="Calibri" w:cs="Calibri"/>
                <w:color w:val="FF0000"/>
              </w:rPr>
            </w:pPr>
            <w:r w:rsidRPr="006716CA">
              <w:rPr>
                <w:rFonts w:eastAsia="Times New Roman" w:cstheme="minorHAnsi"/>
                <w:b/>
                <w:bCs/>
                <w:color w:val="FF0000"/>
              </w:rPr>
              <w:t>Correlation Coefficient</w:t>
            </w:r>
          </w:p>
        </w:tc>
      </w:tr>
      <w:tr w:rsidR="0059793D" w:rsidRPr="00587EDD" w14:paraId="11CCBF63" w14:textId="77777777" w:rsidTr="00F010E1">
        <w:trPr>
          <w:trHeight w:val="290"/>
        </w:trPr>
        <w:tc>
          <w:tcPr>
            <w:tcW w:w="3019" w:type="dxa"/>
            <w:vMerge w:val="restart"/>
          </w:tcPr>
          <w:p w14:paraId="0540B2C3" w14:textId="089435FB" w:rsidR="0059793D" w:rsidRPr="00587EDD" w:rsidRDefault="0059793D" w:rsidP="00511BC7">
            <w:pPr>
              <w:spacing w:after="0" w:line="240" w:lineRule="auto"/>
              <w:rPr>
                <w:rFonts w:ascii="Calibri" w:eastAsia="Times New Roman" w:hAnsi="Calibri" w:cs="Calibri"/>
                <w:color w:val="FF0000"/>
              </w:rPr>
            </w:pPr>
            <w:r>
              <w:rPr>
                <w:rFonts w:ascii="Calibri" w:eastAsia="Times New Roman" w:hAnsi="Calibri" w:cs="Calibri"/>
                <w:color w:val="FF0000"/>
              </w:rPr>
              <w:t xml:space="preserve">Commercial </w:t>
            </w:r>
          </w:p>
        </w:tc>
        <w:tc>
          <w:tcPr>
            <w:tcW w:w="3019" w:type="dxa"/>
            <w:shd w:val="clear" w:color="auto" w:fill="auto"/>
            <w:noWrap/>
            <w:vAlign w:val="bottom"/>
          </w:tcPr>
          <w:p w14:paraId="1E16A6A7" w14:textId="5802206F" w:rsidR="0059793D" w:rsidRPr="00587EDD" w:rsidRDefault="0059793D" w:rsidP="00511BC7">
            <w:pPr>
              <w:spacing w:after="0" w:line="240" w:lineRule="auto"/>
              <w:rPr>
                <w:rFonts w:ascii="Calibri" w:eastAsia="Times New Roman" w:hAnsi="Calibri" w:cs="Calibri"/>
                <w:color w:val="FF0000"/>
              </w:rPr>
            </w:pPr>
            <w:r>
              <w:rPr>
                <w:rFonts w:ascii="Calibri" w:eastAsia="Times New Roman" w:hAnsi="Calibri" w:cs="Calibri"/>
                <w:color w:val="FF0000"/>
              </w:rPr>
              <w:t>FUH 7-day  and FUM 7-day</w:t>
            </w:r>
          </w:p>
        </w:tc>
        <w:tc>
          <w:tcPr>
            <w:tcW w:w="2353" w:type="dxa"/>
            <w:shd w:val="clear" w:color="auto" w:fill="auto"/>
            <w:noWrap/>
            <w:vAlign w:val="bottom"/>
          </w:tcPr>
          <w:p w14:paraId="45EF8BA3" w14:textId="303CAA49" w:rsidR="0059793D" w:rsidRPr="00587EDD" w:rsidRDefault="0059793D" w:rsidP="00A25DDC">
            <w:pPr>
              <w:spacing w:after="0" w:line="240" w:lineRule="auto"/>
              <w:jc w:val="both"/>
              <w:rPr>
                <w:rFonts w:ascii="Calibri" w:eastAsia="Times New Roman" w:hAnsi="Calibri" w:cs="Calibri"/>
                <w:color w:val="FF0000"/>
              </w:rPr>
            </w:pPr>
            <w:r>
              <w:rPr>
                <w:rFonts w:ascii="Calibri" w:eastAsia="Times New Roman" w:hAnsi="Calibri" w:cs="Calibri"/>
                <w:color w:val="FF0000"/>
              </w:rPr>
              <w:t>.497</w:t>
            </w:r>
          </w:p>
        </w:tc>
      </w:tr>
      <w:tr w:rsidR="0059793D" w:rsidRPr="00587EDD" w14:paraId="3958554B" w14:textId="77777777" w:rsidTr="00F010E1">
        <w:trPr>
          <w:trHeight w:val="290"/>
        </w:trPr>
        <w:tc>
          <w:tcPr>
            <w:tcW w:w="3019" w:type="dxa"/>
            <w:vMerge/>
          </w:tcPr>
          <w:p w14:paraId="76D70444" w14:textId="77777777" w:rsidR="0059793D" w:rsidRPr="00587EDD" w:rsidRDefault="0059793D" w:rsidP="00511BC7">
            <w:pPr>
              <w:spacing w:after="0" w:line="240" w:lineRule="auto"/>
              <w:rPr>
                <w:rFonts w:ascii="Calibri" w:eastAsia="Times New Roman" w:hAnsi="Calibri" w:cs="Calibri"/>
                <w:color w:val="FF0000"/>
              </w:rPr>
            </w:pPr>
          </w:p>
        </w:tc>
        <w:tc>
          <w:tcPr>
            <w:tcW w:w="3019" w:type="dxa"/>
            <w:shd w:val="clear" w:color="auto" w:fill="auto"/>
            <w:noWrap/>
            <w:vAlign w:val="bottom"/>
          </w:tcPr>
          <w:p w14:paraId="31CB9399" w14:textId="77777777" w:rsidR="0059793D" w:rsidRPr="00587EDD" w:rsidRDefault="0059793D" w:rsidP="00511BC7">
            <w:pPr>
              <w:spacing w:after="0" w:line="240" w:lineRule="auto"/>
              <w:ind w:left="200"/>
              <w:rPr>
                <w:rFonts w:ascii="Calibri" w:eastAsia="Times New Roman" w:hAnsi="Calibri" w:cs="Calibri"/>
                <w:color w:val="FF0000"/>
              </w:rPr>
            </w:pPr>
            <w:r w:rsidRPr="00587EDD">
              <w:rPr>
                <w:rFonts w:ascii="Calibri" w:eastAsia="Times New Roman" w:hAnsi="Calibri" w:cs="Calibri"/>
                <w:color w:val="FF0000"/>
                <w:sz w:val="20"/>
                <w:szCs w:val="20"/>
              </w:rPr>
              <w:t>(N=, p value =)</w:t>
            </w:r>
          </w:p>
        </w:tc>
        <w:tc>
          <w:tcPr>
            <w:tcW w:w="2353" w:type="dxa"/>
            <w:shd w:val="clear" w:color="auto" w:fill="auto"/>
            <w:noWrap/>
            <w:vAlign w:val="bottom"/>
          </w:tcPr>
          <w:p w14:paraId="5706C249" w14:textId="225D85D8" w:rsidR="0059793D" w:rsidRPr="00587EDD" w:rsidRDefault="0059793D" w:rsidP="00511BC7">
            <w:pPr>
              <w:spacing w:after="0" w:line="240" w:lineRule="auto"/>
              <w:jc w:val="right"/>
              <w:rPr>
                <w:rFonts w:ascii="Calibri" w:eastAsia="Times New Roman" w:hAnsi="Calibri" w:cs="Calibri"/>
                <w:color w:val="FF0000"/>
              </w:rPr>
            </w:pPr>
            <w:r>
              <w:rPr>
                <w:rFonts w:ascii="Calibri" w:eastAsia="Times New Roman" w:hAnsi="Calibri" w:cs="Calibri"/>
                <w:color w:val="FF0000"/>
              </w:rPr>
              <w:t xml:space="preserve">(316, </w:t>
            </w:r>
            <w:r w:rsidRPr="0040027C">
              <w:rPr>
                <w:rFonts w:ascii="Calibri" w:eastAsia="Times New Roman" w:hAnsi="Calibri" w:cs="Calibri"/>
                <w:color w:val="FF0000"/>
              </w:rPr>
              <w:t>p &lt; 0.001</w:t>
            </w:r>
            <w:r>
              <w:rPr>
                <w:rFonts w:ascii="Calibri" w:eastAsia="Times New Roman" w:hAnsi="Calibri" w:cs="Calibri"/>
                <w:color w:val="FF0000"/>
              </w:rPr>
              <w:t>)</w:t>
            </w:r>
          </w:p>
        </w:tc>
      </w:tr>
      <w:tr w:rsidR="0059793D" w:rsidRPr="00587EDD" w14:paraId="0315DF1C" w14:textId="77777777" w:rsidTr="00C97B08">
        <w:trPr>
          <w:trHeight w:val="350"/>
        </w:trPr>
        <w:tc>
          <w:tcPr>
            <w:tcW w:w="3019" w:type="dxa"/>
            <w:vMerge/>
          </w:tcPr>
          <w:p w14:paraId="0CCCF1DF" w14:textId="77777777" w:rsidR="0059793D" w:rsidRPr="00587EDD" w:rsidRDefault="0059793D" w:rsidP="00050392">
            <w:pPr>
              <w:spacing w:after="0" w:line="240" w:lineRule="auto"/>
              <w:rPr>
                <w:rFonts w:ascii="Calibri" w:eastAsia="Times New Roman" w:hAnsi="Calibri" w:cs="Calibri"/>
                <w:color w:val="FF0000"/>
              </w:rPr>
            </w:pPr>
          </w:p>
        </w:tc>
        <w:tc>
          <w:tcPr>
            <w:tcW w:w="3019" w:type="dxa"/>
            <w:shd w:val="clear" w:color="auto" w:fill="auto"/>
            <w:noWrap/>
            <w:vAlign w:val="bottom"/>
          </w:tcPr>
          <w:p w14:paraId="2D67A066" w14:textId="2B953E3E" w:rsidR="0059793D" w:rsidRPr="00587EDD" w:rsidRDefault="0059793D" w:rsidP="00050392">
            <w:pPr>
              <w:spacing w:after="0" w:line="240" w:lineRule="auto"/>
              <w:rPr>
                <w:rFonts w:ascii="Calibri" w:eastAsia="Times New Roman" w:hAnsi="Calibri" w:cs="Calibri"/>
                <w:color w:val="FF0000"/>
              </w:rPr>
            </w:pPr>
            <w:r>
              <w:rPr>
                <w:rFonts w:ascii="Calibri" w:eastAsia="Times New Roman" w:hAnsi="Calibri" w:cs="Calibri"/>
                <w:color w:val="FF0000"/>
              </w:rPr>
              <w:t>FUH 30-day and FUM 30-day</w:t>
            </w:r>
          </w:p>
        </w:tc>
        <w:tc>
          <w:tcPr>
            <w:tcW w:w="2353" w:type="dxa"/>
            <w:shd w:val="clear" w:color="auto" w:fill="auto"/>
            <w:noWrap/>
            <w:vAlign w:val="bottom"/>
          </w:tcPr>
          <w:p w14:paraId="28634334" w14:textId="232D92BA" w:rsidR="0059793D" w:rsidRPr="00587EDD" w:rsidRDefault="0059793D" w:rsidP="00C97B08">
            <w:pPr>
              <w:spacing w:after="0" w:line="240" w:lineRule="auto"/>
              <w:rPr>
                <w:rFonts w:ascii="Calibri" w:eastAsia="Times New Roman" w:hAnsi="Calibri" w:cs="Calibri"/>
                <w:color w:val="FF0000"/>
              </w:rPr>
            </w:pPr>
            <w:r>
              <w:rPr>
                <w:rFonts w:ascii="Calibri" w:eastAsia="Times New Roman" w:hAnsi="Calibri" w:cs="Calibri"/>
                <w:color w:val="FF0000"/>
                <w:sz w:val="20"/>
                <w:szCs w:val="20"/>
              </w:rPr>
              <w:t>.609</w:t>
            </w:r>
          </w:p>
        </w:tc>
      </w:tr>
      <w:tr w:rsidR="0059793D" w:rsidRPr="00587EDD" w14:paraId="27867B4D" w14:textId="77777777" w:rsidTr="00C97B08">
        <w:trPr>
          <w:trHeight w:val="290"/>
        </w:trPr>
        <w:tc>
          <w:tcPr>
            <w:tcW w:w="3019" w:type="dxa"/>
            <w:vMerge/>
          </w:tcPr>
          <w:p w14:paraId="791CF801" w14:textId="77777777" w:rsidR="0059793D" w:rsidRPr="00587EDD" w:rsidRDefault="0059793D" w:rsidP="00C97B08">
            <w:pPr>
              <w:spacing w:after="0" w:line="240" w:lineRule="auto"/>
              <w:ind w:firstLineChars="100" w:firstLine="200"/>
              <w:rPr>
                <w:rFonts w:ascii="Calibri" w:eastAsia="Times New Roman" w:hAnsi="Calibri" w:cs="Calibri"/>
                <w:color w:val="FF0000"/>
                <w:sz w:val="20"/>
                <w:szCs w:val="20"/>
              </w:rPr>
            </w:pPr>
          </w:p>
        </w:tc>
        <w:tc>
          <w:tcPr>
            <w:tcW w:w="3019" w:type="dxa"/>
            <w:shd w:val="clear" w:color="auto" w:fill="auto"/>
            <w:noWrap/>
            <w:vAlign w:val="bottom"/>
          </w:tcPr>
          <w:p w14:paraId="67633F77" w14:textId="77777777" w:rsidR="0059793D" w:rsidRPr="00587EDD" w:rsidRDefault="0059793D" w:rsidP="00C97B08">
            <w:pPr>
              <w:spacing w:after="0" w:line="240" w:lineRule="auto"/>
              <w:ind w:firstLineChars="100" w:firstLine="200"/>
              <w:rPr>
                <w:rFonts w:ascii="Calibri" w:eastAsia="Times New Roman" w:hAnsi="Calibri" w:cs="Calibri"/>
                <w:color w:val="FF0000"/>
                <w:sz w:val="20"/>
                <w:szCs w:val="20"/>
              </w:rPr>
            </w:pPr>
            <w:r w:rsidRPr="00587EDD">
              <w:rPr>
                <w:rFonts w:ascii="Calibri" w:eastAsia="Times New Roman" w:hAnsi="Calibri" w:cs="Calibri"/>
                <w:color w:val="FF0000"/>
                <w:sz w:val="20"/>
                <w:szCs w:val="20"/>
              </w:rPr>
              <w:t>(N=, p value =)</w:t>
            </w:r>
          </w:p>
        </w:tc>
        <w:tc>
          <w:tcPr>
            <w:tcW w:w="2353" w:type="dxa"/>
            <w:shd w:val="clear" w:color="auto" w:fill="auto"/>
            <w:noWrap/>
            <w:vAlign w:val="bottom"/>
          </w:tcPr>
          <w:p w14:paraId="79E028B4" w14:textId="4D12F7E5" w:rsidR="0059793D" w:rsidRPr="00587EDD" w:rsidRDefault="0059793D" w:rsidP="00C97B08">
            <w:pPr>
              <w:spacing w:after="0" w:line="240" w:lineRule="auto"/>
              <w:jc w:val="right"/>
              <w:rPr>
                <w:rFonts w:ascii="Calibri" w:eastAsia="Times New Roman" w:hAnsi="Calibri" w:cs="Calibri"/>
                <w:color w:val="FF0000"/>
                <w:sz w:val="20"/>
                <w:szCs w:val="20"/>
              </w:rPr>
            </w:pPr>
            <w:r>
              <w:rPr>
                <w:rFonts w:ascii="Calibri" w:eastAsia="Times New Roman" w:hAnsi="Calibri" w:cs="Calibri"/>
                <w:color w:val="FF0000"/>
              </w:rPr>
              <w:t xml:space="preserve">(316, </w:t>
            </w:r>
            <w:r w:rsidRPr="0040027C">
              <w:rPr>
                <w:rFonts w:ascii="Calibri" w:eastAsia="Times New Roman" w:hAnsi="Calibri" w:cs="Calibri"/>
                <w:color w:val="FF0000"/>
              </w:rPr>
              <w:t>p &lt; 0.001</w:t>
            </w:r>
            <w:r>
              <w:rPr>
                <w:rFonts w:ascii="Calibri" w:eastAsia="Times New Roman" w:hAnsi="Calibri" w:cs="Calibri"/>
                <w:color w:val="FF0000"/>
              </w:rPr>
              <w:t>)</w:t>
            </w:r>
          </w:p>
        </w:tc>
      </w:tr>
      <w:tr w:rsidR="0059793D" w:rsidRPr="00587EDD" w14:paraId="6DC9E0AB" w14:textId="77777777" w:rsidTr="00C97B08">
        <w:trPr>
          <w:trHeight w:val="290"/>
        </w:trPr>
        <w:tc>
          <w:tcPr>
            <w:tcW w:w="3019" w:type="dxa"/>
            <w:vMerge/>
          </w:tcPr>
          <w:p w14:paraId="74C426F7" w14:textId="77777777" w:rsidR="0059793D" w:rsidRPr="00587EDD" w:rsidRDefault="0059793D" w:rsidP="00C97B08">
            <w:pPr>
              <w:spacing w:after="0" w:line="240" w:lineRule="auto"/>
              <w:ind w:firstLineChars="100" w:firstLine="200"/>
              <w:rPr>
                <w:rFonts w:ascii="Calibri" w:eastAsia="Times New Roman" w:hAnsi="Calibri" w:cs="Calibri"/>
                <w:color w:val="FF0000"/>
                <w:sz w:val="20"/>
                <w:szCs w:val="20"/>
              </w:rPr>
            </w:pPr>
          </w:p>
        </w:tc>
        <w:tc>
          <w:tcPr>
            <w:tcW w:w="3019" w:type="dxa"/>
            <w:shd w:val="clear" w:color="auto" w:fill="auto"/>
            <w:noWrap/>
            <w:vAlign w:val="bottom"/>
          </w:tcPr>
          <w:p w14:paraId="2417C14D" w14:textId="20A225A7" w:rsidR="0059793D" w:rsidRPr="00587EDD" w:rsidRDefault="0059793D" w:rsidP="0059793D">
            <w:pPr>
              <w:spacing w:after="0" w:line="240" w:lineRule="auto"/>
              <w:rPr>
                <w:rFonts w:ascii="Calibri" w:eastAsia="Times New Roman" w:hAnsi="Calibri" w:cs="Calibri"/>
                <w:color w:val="FF0000"/>
                <w:sz w:val="20"/>
                <w:szCs w:val="20"/>
              </w:rPr>
            </w:pPr>
            <w:r>
              <w:rPr>
                <w:rFonts w:ascii="Calibri" w:eastAsia="Times New Roman" w:hAnsi="Calibri" w:cs="Calibri"/>
                <w:color w:val="FF0000"/>
                <w:sz w:val="20"/>
                <w:szCs w:val="20"/>
              </w:rPr>
              <w:t>FUH 7-day and FUM 30-day</w:t>
            </w:r>
          </w:p>
        </w:tc>
        <w:tc>
          <w:tcPr>
            <w:tcW w:w="2353" w:type="dxa"/>
            <w:shd w:val="clear" w:color="auto" w:fill="auto"/>
            <w:noWrap/>
            <w:vAlign w:val="bottom"/>
          </w:tcPr>
          <w:p w14:paraId="3E5F6C48" w14:textId="38C4F9FF" w:rsidR="0059793D" w:rsidRDefault="00727F0C" w:rsidP="00BA79D4">
            <w:pPr>
              <w:spacing w:after="0" w:line="240" w:lineRule="auto"/>
              <w:rPr>
                <w:rFonts w:ascii="Calibri" w:eastAsia="Times New Roman" w:hAnsi="Calibri" w:cs="Calibri"/>
                <w:color w:val="FF0000"/>
              </w:rPr>
            </w:pPr>
            <w:r>
              <w:rPr>
                <w:rFonts w:ascii="Calibri" w:eastAsia="Times New Roman" w:hAnsi="Calibri" w:cs="Calibri"/>
                <w:color w:val="FF0000"/>
              </w:rPr>
              <w:t>.555</w:t>
            </w:r>
          </w:p>
        </w:tc>
      </w:tr>
      <w:tr w:rsidR="0059793D" w:rsidRPr="00587EDD" w14:paraId="2F122BED" w14:textId="77777777" w:rsidTr="00C97B08">
        <w:trPr>
          <w:trHeight w:val="290"/>
        </w:trPr>
        <w:tc>
          <w:tcPr>
            <w:tcW w:w="3019" w:type="dxa"/>
            <w:vMerge/>
          </w:tcPr>
          <w:p w14:paraId="45118761" w14:textId="77777777" w:rsidR="0059793D" w:rsidRPr="00587EDD" w:rsidRDefault="0059793D" w:rsidP="00C97B08">
            <w:pPr>
              <w:spacing w:after="0" w:line="240" w:lineRule="auto"/>
              <w:ind w:firstLineChars="100" w:firstLine="200"/>
              <w:rPr>
                <w:rFonts w:ascii="Calibri" w:eastAsia="Times New Roman" w:hAnsi="Calibri" w:cs="Calibri"/>
                <w:color w:val="FF0000"/>
                <w:sz w:val="20"/>
                <w:szCs w:val="20"/>
              </w:rPr>
            </w:pPr>
          </w:p>
        </w:tc>
        <w:tc>
          <w:tcPr>
            <w:tcW w:w="3019" w:type="dxa"/>
            <w:shd w:val="clear" w:color="auto" w:fill="auto"/>
            <w:noWrap/>
            <w:vAlign w:val="bottom"/>
          </w:tcPr>
          <w:p w14:paraId="4C83781E" w14:textId="03D19BC9" w:rsidR="0059793D" w:rsidRPr="00587EDD" w:rsidRDefault="0059793D" w:rsidP="00C97B08">
            <w:pPr>
              <w:spacing w:after="0" w:line="240" w:lineRule="auto"/>
              <w:ind w:firstLineChars="100" w:firstLine="200"/>
              <w:rPr>
                <w:rFonts w:ascii="Calibri" w:eastAsia="Times New Roman" w:hAnsi="Calibri" w:cs="Calibri"/>
                <w:color w:val="FF0000"/>
                <w:sz w:val="20"/>
                <w:szCs w:val="20"/>
              </w:rPr>
            </w:pPr>
            <w:r w:rsidRPr="00587EDD">
              <w:rPr>
                <w:rFonts w:ascii="Calibri" w:eastAsia="Times New Roman" w:hAnsi="Calibri" w:cs="Calibri"/>
                <w:color w:val="FF0000"/>
                <w:sz w:val="20"/>
                <w:szCs w:val="20"/>
              </w:rPr>
              <w:t>(N=, p value =)</w:t>
            </w:r>
          </w:p>
        </w:tc>
        <w:tc>
          <w:tcPr>
            <w:tcW w:w="2353" w:type="dxa"/>
            <w:shd w:val="clear" w:color="auto" w:fill="auto"/>
            <w:noWrap/>
            <w:vAlign w:val="bottom"/>
          </w:tcPr>
          <w:p w14:paraId="6AA3F59B" w14:textId="209959B3" w:rsidR="0059793D" w:rsidRDefault="00BA79D4" w:rsidP="00C97B08">
            <w:pPr>
              <w:spacing w:after="0" w:line="240" w:lineRule="auto"/>
              <w:jc w:val="right"/>
              <w:rPr>
                <w:rFonts w:ascii="Calibri" w:eastAsia="Times New Roman" w:hAnsi="Calibri" w:cs="Calibri"/>
                <w:color w:val="FF0000"/>
              </w:rPr>
            </w:pPr>
            <w:r>
              <w:rPr>
                <w:rFonts w:ascii="Calibri" w:eastAsia="Times New Roman" w:hAnsi="Calibri" w:cs="Calibri"/>
                <w:color w:val="FF0000"/>
              </w:rPr>
              <w:t xml:space="preserve">(316, </w:t>
            </w:r>
            <w:r w:rsidRPr="0040027C">
              <w:rPr>
                <w:rFonts w:ascii="Calibri" w:eastAsia="Times New Roman" w:hAnsi="Calibri" w:cs="Calibri"/>
                <w:color w:val="FF0000"/>
              </w:rPr>
              <w:t>p &lt; 0.001</w:t>
            </w:r>
            <w:r>
              <w:rPr>
                <w:rFonts w:ascii="Calibri" w:eastAsia="Times New Roman" w:hAnsi="Calibri" w:cs="Calibri"/>
                <w:color w:val="FF0000"/>
              </w:rPr>
              <w:t>)</w:t>
            </w:r>
          </w:p>
        </w:tc>
      </w:tr>
      <w:tr w:rsidR="0059793D" w:rsidRPr="00587EDD" w14:paraId="428B5D77" w14:textId="77777777" w:rsidTr="00C97B08">
        <w:trPr>
          <w:trHeight w:val="290"/>
        </w:trPr>
        <w:tc>
          <w:tcPr>
            <w:tcW w:w="3019" w:type="dxa"/>
            <w:vMerge/>
          </w:tcPr>
          <w:p w14:paraId="7125D21D" w14:textId="77777777" w:rsidR="0059793D" w:rsidRPr="00587EDD" w:rsidRDefault="0059793D" w:rsidP="00C97B08">
            <w:pPr>
              <w:spacing w:after="0" w:line="240" w:lineRule="auto"/>
              <w:ind w:firstLineChars="100" w:firstLine="200"/>
              <w:rPr>
                <w:rFonts w:ascii="Calibri" w:eastAsia="Times New Roman" w:hAnsi="Calibri" w:cs="Calibri"/>
                <w:color w:val="FF0000"/>
                <w:sz w:val="20"/>
                <w:szCs w:val="20"/>
              </w:rPr>
            </w:pPr>
          </w:p>
        </w:tc>
        <w:tc>
          <w:tcPr>
            <w:tcW w:w="3019" w:type="dxa"/>
            <w:shd w:val="clear" w:color="auto" w:fill="auto"/>
            <w:noWrap/>
            <w:vAlign w:val="bottom"/>
          </w:tcPr>
          <w:p w14:paraId="52FA9852" w14:textId="7AE45D2D" w:rsidR="0059793D" w:rsidRPr="00587EDD" w:rsidRDefault="0059793D" w:rsidP="0059793D">
            <w:pPr>
              <w:spacing w:after="0" w:line="240" w:lineRule="auto"/>
              <w:rPr>
                <w:rFonts w:ascii="Calibri" w:eastAsia="Times New Roman" w:hAnsi="Calibri" w:cs="Calibri"/>
                <w:color w:val="FF0000"/>
                <w:sz w:val="20"/>
                <w:szCs w:val="20"/>
              </w:rPr>
            </w:pPr>
            <w:r>
              <w:rPr>
                <w:rFonts w:ascii="Calibri" w:eastAsia="Times New Roman" w:hAnsi="Calibri" w:cs="Calibri"/>
                <w:color w:val="FF0000"/>
                <w:sz w:val="20"/>
                <w:szCs w:val="20"/>
              </w:rPr>
              <w:t>FUH 30-day and FUM 7-day</w:t>
            </w:r>
          </w:p>
        </w:tc>
        <w:tc>
          <w:tcPr>
            <w:tcW w:w="2353" w:type="dxa"/>
            <w:shd w:val="clear" w:color="auto" w:fill="auto"/>
            <w:noWrap/>
            <w:vAlign w:val="bottom"/>
          </w:tcPr>
          <w:p w14:paraId="72B2704E" w14:textId="679519CA" w:rsidR="0059793D" w:rsidRDefault="005A58B3" w:rsidP="005A58B3">
            <w:pPr>
              <w:spacing w:after="0" w:line="240" w:lineRule="auto"/>
              <w:rPr>
                <w:rFonts w:ascii="Calibri" w:eastAsia="Times New Roman" w:hAnsi="Calibri" w:cs="Calibri"/>
                <w:color w:val="FF0000"/>
              </w:rPr>
            </w:pPr>
            <w:r>
              <w:rPr>
                <w:rFonts w:ascii="Calibri" w:eastAsia="Times New Roman" w:hAnsi="Calibri" w:cs="Calibri"/>
                <w:color w:val="FF0000"/>
              </w:rPr>
              <w:t>.533</w:t>
            </w:r>
          </w:p>
        </w:tc>
      </w:tr>
      <w:tr w:rsidR="0059793D" w:rsidRPr="00587EDD" w14:paraId="70B36CE8" w14:textId="77777777" w:rsidTr="00C97B08">
        <w:trPr>
          <w:trHeight w:val="290"/>
        </w:trPr>
        <w:tc>
          <w:tcPr>
            <w:tcW w:w="3019" w:type="dxa"/>
            <w:vMerge/>
          </w:tcPr>
          <w:p w14:paraId="0C94A2F8" w14:textId="77777777" w:rsidR="0059793D" w:rsidRPr="00587EDD" w:rsidRDefault="0059793D" w:rsidP="00C97B08">
            <w:pPr>
              <w:spacing w:after="0" w:line="240" w:lineRule="auto"/>
              <w:ind w:firstLineChars="100" w:firstLine="200"/>
              <w:rPr>
                <w:rFonts w:ascii="Calibri" w:eastAsia="Times New Roman" w:hAnsi="Calibri" w:cs="Calibri"/>
                <w:color w:val="FF0000"/>
                <w:sz w:val="20"/>
                <w:szCs w:val="20"/>
              </w:rPr>
            </w:pPr>
          </w:p>
        </w:tc>
        <w:tc>
          <w:tcPr>
            <w:tcW w:w="3019" w:type="dxa"/>
            <w:shd w:val="clear" w:color="auto" w:fill="auto"/>
            <w:noWrap/>
            <w:vAlign w:val="bottom"/>
          </w:tcPr>
          <w:p w14:paraId="3D3CAC55" w14:textId="25D77C9D" w:rsidR="0059793D" w:rsidRPr="00587EDD" w:rsidRDefault="0059793D" w:rsidP="00C97B08">
            <w:pPr>
              <w:spacing w:after="0" w:line="240" w:lineRule="auto"/>
              <w:ind w:firstLineChars="100" w:firstLine="200"/>
              <w:rPr>
                <w:rFonts w:ascii="Calibri" w:eastAsia="Times New Roman" w:hAnsi="Calibri" w:cs="Calibri"/>
                <w:color w:val="FF0000"/>
                <w:sz w:val="20"/>
                <w:szCs w:val="20"/>
              </w:rPr>
            </w:pPr>
            <w:r w:rsidRPr="00587EDD">
              <w:rPr>
                <w:rFonts w:ascii="Calibri" w:eastAsia="Times New Roman" w:hAnsi="Calibri" w:cs="Calibri"/>
                <w:color w:val="FF0000"/>
                <w:sz w:val="20"/>
                <w:szCs w:val="20"/>
              </w:rPr>
              <w:t>(N=, p value =)</w:t>
            </w:r>
          </w:p>
        </w:tc>
        <w:tc>
          <w:tcPr>
            <w:tcW w:w="2353" w:type="dxa"/>
            <w:shd w:val="clear" w:color="auto" w:fill="auto"/>
            <w:noWrap/>
            <w:vAlign w:val="bottom"/>
          </w:tcPr>
          <w:p w14:paraId="5BAC011C" w14:textId="4307C092" w:rsidR="0059793D" w:rsidRDefault="005A58B3" w:rsidP="00C97B08">
            <w:pPr>
              <w:spacing w:after="0" w:line="240" w:lineRule="auto"/>
              <w:jc w:val="right"/>
              <w:rPr>
                <w:rFonts w:ascii="Calibri" w:eastAsia="Times New Roman" w:hAnsi="Calibri" w:cs="Calibri"/>
                <w:color w:val="FF0000"/>
              </w:rPr>
            </w:pPr>
            <w:r>
              <w:rPr>
                <w:rFonts w:ascii="Calibri" w:eastAsia="Times New Roman" w:hAnsi="Calibri" w:cs="Calibri"/>
                <w:color w:val="FF0000"/>
              </w:rPr>
              <w:t xml:space="preserve">(316, </w:t>
            </w:r>
            <w:r w:rsidRPr="0040027C">
              <w:rPr>
                <w:rFonts w:ascii="Calibri" w:eastAsia="Times New Roman" w:hAnsi="Calibri" w:cs="Calibri"/>
                <w:color w:val="FF0000"/>
              </w:rPr>
              <w:t>p &lt; 0.001</w:t>
            </w:r>
            <w:r>
              <w:rPr>
                <w:rFonts w:ascii="Calibri" w:eastAsia="Times New Roman" w:hAnsi="Calibri" w:cs="Calibri"/>
                <w:color w:val="FF0000"/>
              </w:rPr>
              <w:t>)</w:t>
            </w:r>
          </w:p>
        </w:tc>
      </w:tr>
      <w:tr w:rsidR="0059793D" w:rsidRPr="00587EDD" w14:paraId="0AFD45E3" w14:textId="77777777" w:rsidTr="00C97B08">
        <w:trPr>
          <w:trHeight w:val="290"/>
        </w:trPr>
        <w:tc>
          <w:tcPr>
            <w:tcW w:w="3019" w:type="dxa"/>
            <w:vMerge w:val="restart"/>
          </w:tcPr>
          <w:p w14:paraId="6D3500D4" w14:textId="412E9BED" w:rsidR="0059793D" w:rsidRPr="00587EDD" w:rsidRDefault="0059793D" w:rsidP="00C97B08">
            <w:pPr>
              <w:spacing w:after="0" w:line="240" w:lineRule="auto"/>
              <w:rPr>
                <w:rFonts w:ascii="Calibri" w:eastAsia="Times New Roman" w:hAnsi="Calibri" w:cs="Calibri"/>
                <w:color w:val="FF0000"/>
              </w:rPr>
            </w:pPr>
            <w:r>
              <w:rPr>
                <w:rFonts w:ascii="Calibri" w:eastAsia="Times New Roman" w:hAnsi="Calibri" w:cs="Calibri"/>
                <w:color w:val="FF0000"/>
              </w:rPr>
              <w:t>Medicaid</w:t>
            </w:r>
          </w:p>
        </w:tc>
        <w:tc>
          <w:tcPr>
            <w:tcW w:w="3019" w:type="dxa"/>
            <w:shd w:val="clear" w:color="auto" w:fill="auto"/>
            <w:noWrap/>
            <w:vAlign w:val="bottom"/>
          </w:tcPr>
          <w:p w14:paraId="256DA646" w14:textId="2ACE71C5" w:rsidR="0059793D" w:rsidRPr="00587EDD" w:rsidRDefault="0059793D" w:rsidP="00C97B08">
            <w:pPr>
              <w:spacing w:after="0" w:line="240" w:lineRule="auto"/>
              <w:rPr>
                <w:rFonts w:ascii="Calibri" w:eastAsia="Times New Roman" w:hAnsi="Calibri" w:cs="Calibri"/>
                <w:color w:val="FF0000"/>
              </w:rPr>
            </w:pPr>
            <w:r>
              <w:rPr>
                <w:rFonts w:ascii="Calibri" w:eastAsia="Times New Roman" w:hAnsi="Calibri" w:cs="Calibri"/>
                <w:color w:val="FF0000"/>
              </w:rPr>
              <w:t>FUH 7-day and FUM 7-day</w:t>
            </w:r>
          </w:p>
        </w:tc>
        <w:tc>
          <w:tcPr>
            <w:tcW w:w="2353" w:type="dxa"/>
            <w:shd w:val="clear" w:color="auto" w:fill="auto"/>
            <w:noWrap/>
            <w:vAlign w:val="bottom"/>
          </w:tcPr>
          <w:p w14:paraId="18D3A8BE" w14:textId="655794BB" w:rsidR="0059793D" w:rsidRPr="00587EDD" w:rsidRDefault="0059793D" w:rsidP="00F15F20">
            <w:pPr>
              <w:spacing w:after="0" w:line="240" w:lineRule="auto"/>
              <w:rPr>
                <w:rFonts w:ascii="Calibri" w:eastAsia="Times New Roman" w:hAnsi="Calibri" w:cs="Calibri"/>
                <w:color w:val="FF0000"/>
              </w:rPr>
            </w:pPr>
            <w:r>
              <w:rPr>
                <w:rFonts w:ascii="Calibri" w:eastAsia="Times New Roman" w:hAnsi="Calibri" w:cs="Calibri"/>
                <w:color w:val="FF0000"/>
              </w:rPr>
              <w:t>.476</w:t>
            </w:r>
          </w:p>
        </w:tc>
      </w:tr>
      <w:tr w:rsidR="0059793D" w:rsidRPr="00587EDD" w14:paraId="480048CD" w14:textId="77777777" w:rsidTr="00C97B08">
        <w:trPr>
          <w:trHeight w:val="290"/>
        </w:trPr>
        <w:tc>
          <w:tcPr>
            <w:tcW w:w="3019" w:type="dxa"/>
            <w:vMerge/>
          </w:tcPr>
          <w:p w14:paraId="316EC62B" w14:textId="77777777" w:rsidR="0059793D" w:rsidRPr="00587EDD" w:rsidRDefault="0059793D" w:rsidP="00C97B08">
            <w:pPr>
              <w:spacing w:after="0" w:line="240" w:lineRule="auto"/>
              <w:ind w:firstLineChars="100" w:firstLine="200"/>
              <w:rPr>
                <w:rFonts w:ascii="Calibri" w:eastAsia="Times New Roman" w:hAnsi="Calibri" w:cs="Calibri"/>
                <w:color w:val="FF0000"/>
                <w:sz w:val="20"/>
                <w:szCs w:val="20"/>
              </w:rPr>
            </w:pPr>
          </w:p>
        </w:tc>
        <w:tc>
          <w:tcPr>
            <w:tcW w:w="3019" w:type="dxa"/>
            <w:shd w:val="clear" w:color="auto" w:fill="auto"/>
            <w:noWrap/>
            <w:vAlign w:val="bottom"/>
          </w:tcPr>
          <w:p w14:paraId="01B53C03" w14:textId="77777777" w:rsidR="0059793D" w:rsidRPr="00587EDD" w:rsidRDefault="0059793D" w:rsidP="00C97B08">
            <w:pPr>
              <w:spacing w:after="0" w:line="240" w:lineRule="auto"/>
              <w:ind w:firstLineChars="100" w:firstLine="200"/>
              <w:rPr>
                <w:rFonts w:ascii="Calibri" w:eastAsia="Times New Roman" w:hAnsi="Calibri" w:cs="Calibri"/>
                <w:color w:val="FF0000"/>
                <w:sz w:val="20"/>
                <w:szCs w:val="20"/>
              </w:rPr>
            </w:pPr>
            <w:r w:rsidRPr="00587EDD">
              <w:rPr>
                <w:rFonts w:ascii="Calibri" w:eastAsia="Times New Roman" w:hAnsi="Calibri" w:cs="Calibri"/>
                <w:color w:val="FF0000"/>
                <w:sz w:val="20"/>
                <w:szCs w:val="20"/>
              </w:rPr>
              <w:t>(N=, p value =)</w:t>
            </w:r>
          </w:p>
        </w:tc>
        <w:tc>
          <w:tcPr>
            <w:tcW w:w="2353" w:type="dxa"/>
            <w:shd w:val="clear" w:color="auto" w:fill="auto"/>
            <w:noWrap/>
            <w:vAlign w:val="bottom"/>
          </w:tcPr>
          <w:p w14:paraId="4AEED8CF" w14:textId="4DE58372" w:rsidR="0059793D" w:rsidRPr="00587EDD" w:rsidRDefault="0059793D" w:rsidP="00C97B08">
            <w:pPr>
              <w:spacing w:after="0" w:line="240" w:lineRule="auto"/>
              <w:jc w:val="right"/>
              <w:rPr>
                <w:rFonts w:ascii="Calibri" w:eastAsia="Times New Roman" w:hAnsi="Calibri" w:cs="Calibri"/>
                <w:color w:val="FF0000"/>
                <w:sz w:val="20"/>
                <w:szCs w:val="20"/>
              </w:rPr>
            </w:pPr>
            <w:r>
              <w:rPr>
                <w:rFonts w:ascii="Calibri" w:eastAsia="Times New Roman" w:hAnsi="Calibri" w:cs="Calibri"/>
                <w:color w:val="FF0000"/>
                <w:sz w:val="20"/>
                <w:szCs w:val="20"/>
              </w:rPr>
              <w:t>(156, p &lt;0.001)</w:t>
            </w:r>
          </w:p>
        </w:tc>
      </w:tr>
      <w:tr w:rsidR="0059793D" w:rsidRPr="00587EDD" w14:paraId="3C7E390A" w14:textId="77777777" w:rsidTr="00F010E1">
        <w:trPr>
          <w:trHeight w:val="290"/>
        </w:trPr>
        <w:tc>
          <w:tcPr>
            <w:tcW w:w="3019" w:type="dxa"/>
            <w:vMerge/>
          </w:tcPr>
          <w:p w14:paraId="4DF5C4E0" w14:textId="77777777" w:rsidR="0059793D" w:rsidRPr="00587EDD" w:rsidRDefault="0059793D" w:rsidP="00C97B08">
            <w:pPr>
              <w:spacing w:after="0" w:line="240" w:lineRule="auto"/>
              <w:rPr>
                <w:rFonts w:ascii="Calibri" w:eastAsia="Times New Roman" w:hAnsi="Calibri" w:cs="Calibri"/>
                <w:color w:val="FF0000"/>
              </w:rPr>
            </w:pPr>
          </w:p>
        </w:tc>
        <w:tc>
          <w:tcPr>
            <w:tcW w:w="3019" w:type="dxa"/>
            <w:shd w:val="clear" w:color="auto" w:fill="auto"/>
            <w:noWrap/>
            <w:vAlign w:val="bottom"/>
          </w:tcPr>
          <w:p w14:paraId="688EAE7F" w14:textId="21FB35E4" w:rsidR="0059793D" w:rsidRPr="00587EDD" w:rsidRDefault="0059793D" w:rsidP="00C97B08">
            <w:pPr>
              <w:spacing w:after="0" w:line="240" w:lineRule="auto"/>
              <w:rPr>
                <w:rFonts w:ascii="Calibri" w:eastAsia="Times New Roman" w:hAnsi="Calibri" w:cs="Calibri"/>
                <w:color w:val="FF0000"/>
                <w:sz w:val="20"/>
                <w:szCs w:val="20"/>
              </w:rPr>
            </w:pPr>
            <w:r>
              <w:rPr>
                <w:rFonts w:ascii="Calibri" w:eastAsia="Times New Roman" w:hAnsi="Calibri" w:cs="Calibri"/>
                <w:color w:val="FF0000"/>
              </w:rPr>
              <w:t>FUH 30-day and FUM 30-day</w:t>
            </w:r>
          </w:p>
        </w:tc>
        <w:tc>
          <w:tcPr>
            <w:tcW w:w="2353" w:type="dxa"/>
            <w:shd w:val="clear" w:color="auto" w:fill="auto"/>
            <w:noWrap/>
            <w:vAlign w:val="bottom"/>
          </w:tcPr>
          <w:p w14:paraId="76808BC0" w14:textId="658FC319" w:rsidR="0059793D" w:rsidRPr="00587EDD" w:rsidRDefault="0059793D" w:rsidP="00E42049">
            <w:pPr>
              <w:spacing w:after="0" w:line="240" w:lineRule="auto"/>
              <w:rPr>
                <w:rFonts w:ascii="Calibri" w:eastAsia="Times New Roman" w:hAnsi="Calibri" w:cs="Calibri"/>
                <w:color w:val="FF0000"/>
                <w:sz w:val="20"/>
                <w:szCs w:val="20"/>
              </w:rPr>
            </w:pPr>
            <w:r>
              <w:rPr>
                <w:rFonts w:ascii="Calibri" w:eastAsia="Times New Roman" w:hAnsi="Calibri" w:cs="Calibri"/>
                <w:color w:val="FF0000"/>
                <w:sz w:val="20"/>
                <w:szCs w:val="20"/>
              </w:rPr>
              <w:t>.514</w:t>
            </w:r>
          </w:p>
        </w:tc>
      </w:tr>
      <w:tr w:rsidR="0059793D" w:rsidRPr="00587EDD" w14:paraId="73396CC5" w14:textId="77777777" w:rsidTr="00F010E1">
        <w:trPr>
          <w:trHeight w:val="290"/>
        </w:trPr>
        <w:tc>
          <w:tcPr>
            <w:tcW w:w="3019" w:type="dxa"/>
            <w:vMerge/>
          </w:tcPr>
          <w:p w14:paraId="515F0AE0" w14:textId="77777777" w:rsidR="0059793D" w:rsidRPr="00587EDD" w:rsidRDefault="0059793D" w:rsidP="00C97B08">
            <w:pPr>
              <w:spacing w:after="0" w:line="240" w:lineRule="auto"/>
              <w:ind w:firstLineChars="100" w:firstLine="200"/>
              <w:rPr>
                <w:rFonts w:ascii="Calibri" w:eastAsia="Times New Roman" w:hAnsi="Calibri" w:cs="Calibri"/>
                <w:color w:val="FF0000"/>
                <w:sz w:val="20"/>
                <w:szCs w:val="20"/>
              </w:rPr>
            </w:pPr>
          </w:p>
        </w:tc>
        <w:tc>
          <w:tcPr>
            <w:tcW w:w="3019" w:type="dxa"/>
            <w:shd w:val="clear" w:color="auto" w:fill="auto"/>
            <w:noWrap/>
            <w:vAlign w:val="bottom"/>
          </w:tcPr>
          <w:p w14:paraId="46310FD6" w14:textId="77777777" w:rsidR="0059793D" w:rsidRPr="00587EDD" w:rsidRDefault="0059793D" w:rsidP="00C97B08">
            <w:pPr>
              <w:spacing w:after="0" w:line="240" w:lineRule="auto"/>
              <w:ind w:firstLineChars="100" w:firstLine="200"/>
              <w:rPr>
                <w:rFonts w:ascii="Calibri" w:eastAsia="Times New Roman" w:hAnsi="Calibri" w:cs="Calibri"/>
                <w:color w:val="FF0000"/>
                <w:sz w:val="20"/>
                <w:szCs w:val="20"/>
              </w:rPr>
            </w:pPr>
            <w:r w:rsidRPr="00587EDD">
              <w:rPr>
                <w:rFonts w:ascii="Calibri" w:eastAsia="Times New Roman" w:hAnsi="Calibri" w:cs="Calibri"/>
                <w:color w:val="FF0000"/>
                <w:sz w:val="20"/>
                <w:szCs w:val="20"/>
              </w:rPr>
              <w:t>(N=, p value =)</w:t>
            </w:r>
          </w:p>
        </w:tc>
        <w:tc>
          <w:tcPr>
            <w:tcW w:w="2353" w:type="dxa"/>
            <w:shd w:val="clear" w:color="auto" w:fill="auto"/>
            <w:noWrap/>
            <w:vAlign w:val="bottom"/>
          </w:tcPr>
          <w:p w14:paraId="2BC3023B" w14:textId="2BB24CD5" w:rsidR="0059793D" w:rsidRPr="00587EDD" w:rsidRDefault="0059793D" w:rsidP="00C97B08">
            <w:pPr>
              <w:spacing w:after="0" w:line="240" w:lineRule="auto"/>
              <w:jc w:val="right"/>
              <w:rPr>
                <w:rFonts w:ascii="Calibri" w:eastAsia="Times New Roman" w:hAnsi="Calibri" w:cs="Calibri"/>
                <w:color w:val="FF0000"/>
                <w:sz w:val="20"/>
                <w:szCs w:val="20"/>
              </w:rPr>
            </w:pPr>
            <w:r>
              <w:rPr>
                <w:rFonts w:ascii="Calibri" w:eastAsia="Times New Roman" w:hAnsi="Calibri" w:cs="Calibri"/>
                <w:color w:val="FF0000"/>
                <w:sz w:val="20"/>
                <w:szCs w:val="20"/>
              </w:rPr>
              <w:t>(156, p &lt;0.001)</w:t>
            </w:r>
          </w:p>
        </w:tc>
      </w:tr>
      <w:tr w:rsidR="0059793D" w:rsidRPr="00587EDD" w14:paraId="7F16F05A" w14:textId="77777777" w:rsidTr="00F010E1">
        <w:trPr>
          <w:trHeight w:val="290"/>
        </w:trPr>
        <w:tc>
          <w:tcPr>
            <w:tcW w:w="3019" w:type="dxa"/>
            <w:vMerge/>
          </w:tcPr>
          <w:p w14:paraId="68853023" w14:textId="77777777" w:rsidR="0059793D" w:rsidRPr="00587EDD" w:rsidRDefault="0059793D" w:rsidP="0059793D">
            <w:pPr>
              <w:spacing w:after="0" w:line="240" w:lineRule="auto"/>
              <w:ind w:firstLineChars="100" w:firstLine="200"/>
              <w:rPr>
                <w:rFonts w:ascii="Calibri" w:eastAsia="Times New Roman" w:hAnsi="Calibri" w:cs="Calibri"/>
                <w:color w:val="FF0000"/>
                <w:sz w:val="20"/>
                <w:szCs w:val="20"/>
              </w:rPr>
            </w:pPr>
          </w:p>
        </w:tc>
        <w:tc>
          <w:tcPr>
            <w:tcW w:w="3019" w:type="dxa"/>
            <w:shd w:val="clear" w:color="auto" w:fill="auto"/>
            <w:noWrap/>
            <w:vAlign w:val="bottom"/>
          </w:tcPr>
          <w:p w14:paraId="5894AD91" w14:textId="7E73894F" w:rsidR="0059793D" w:rsidRPr="00587EDD" w:rsidRDefault="0059793D" w:rsidP="0059793D">
            <w:pPr>
              <w:spacing w:after="0" w:line="240" w:lineRule="auto"/>
              <w:rPr>
                <w:rFonts w:ascii="Calibri" w:eastAsia="Times New Roman" w:hAnsi="Calibri" w:cs="Calibri"/>
                <w:color w:val="FF0000"/>
                <w:sz w:val="20"/>
                <w:szCs w:val="20"/>
              </w:rPr>
            </w:pPr>
            <w:r>
              <w:rPr>
                <w:rFonts w:ascii="Calibri" w:eastAsia="Times New Roman" w:hAnsi="Calibri" w:cs="Calibri"/>
                <w:color w:val="FF0000"/>
                <w:sz w:val="20"/>
                <w:szCs w:val="20"/>
              </w:rPr>
              <w:t>FUH 7-day and FUM 30-day</w:t>
            </w:r>
          </w:p>
        </w:tc>
        <w:tc>
          <w:tcPr>
            <w:tcW w:w="2353" w:type="dxa"/>
            <w:shd w:val="clear" w:color="auto" w:fill="auto"/>
            <w:noWrap/>
            <w:vAlign w:val="bottom"/>
          </w:tcPr>
          <w:p w14:paraId="5AD3815F" w14:textId="1B00FF7D" w:rsidR="0059793D" w:rsidRDefault="00813F72" w:rsidP="00813F72">
            <w:pPr>
              <w:spacing w:after="0" w:line="240" w:lineRule="auto"/>
              <w:rPr>
                <w:rFonts w:ascii="Calibri" w:eastAsia="Times New Roman" w:hAnsi="Calibri" w:cs="Calibri"/>
                <w:color w:val="FF0000"/>
                <w:sz w:val="20"/>
                <w:szCs w:val="20"/>
              </w:rPr>
            </w:pPr>
            <w:r>
              <w:rPr>
                <w:rFonts w:ascii="Calibri" w:eastAsia="Times New Roman" w:hAnsi="Calibri" w:cs="Calibri"/>
                <w:color w:val="FF0000"/>
                <w:sz w:val="20"/>
                <w:szCs w:val="20"/>
              </w:rPr>
              <w:t>.524</w:t>
            </w:r>
          </w:p>
        </w:tc>
      </w:tr>
      <w:tr w:rsidR="0059793D" w:rsidRPr="00587EDD" w14:paraId="3507B2C9" w14:textId="77777777" w:rsidTr="00F010E1">
        <w:trPr>
          <w:trHeight w:val="290"/>
        </w:trPr>
        <w:tc>
          <w:tcPr>
            <w:tcW w:w="3019" w:type="dxa"/>
            <w:vMerge/>
          </w:tcPr>
          <w:p w14:paraId="1F4A7139" w14:textId="77777777" w:rsidR="0059793D" w:rsidRPr="00587EDD" w:rsidRDefault="0059793D" w:rsidP="0059793D">
            <w:pPr>
              <w:spacing w:after="0" w:line="240" w:lineRule="auto"/>
              <w:ind w:firstLineChars="100" w:firstLine="200"/>
              <w:rPr>
                <w:rFonts w:ascii="Calibri" w:eastAsia="Times New Roman" w:hAnsi="Calibri" w:cs="Calibri"/>
                <w:color w:val="FF0000"/>
                <w:sz w:val="20"/>
                <w:szCs w:val="20"/>
              </w:rPr>
            </w:pPr>
          </w:p>
        </w:tc>
        <w:tc>
          <w:tcPr>
            <w:tcW w:w="3019" w:type="dxa"/>
            <w:shd w:val="clear" w:color="auto" w:fill="auto"/>
            <w:noWrap/>
            <w:vAlign w:val="bottom"/>
          </w:tcPr>
          <w:p w14:paraId="05E65993" w14:textId="3167A1D2" w:rsidR="0059793D" w:rsidRPr="00587EDD" w:rsidRDefault="0059793D" w:rsidP="0059793D">
            <w:pPr>
              <w:spacing w:after="0" w:line="240" w:lineRule="auto"/>
              <w:ind w:firstLineChars="100" w:firstLine="200"/>
              <w:rPr>
                <w:rFonts w:ascii="Calibri" w:eastAsia="Times New Roman" w:hAnsi="Calibri" w:cs="Calibri"/>
                <w:color w:val="FF0000"/>
                <w:sz w:val="20"/>
                <w:szCs w:val="20"/>
              </w:rPr>
            </w:pPr>
            <w:r w:rsidRPr="00587EDD">
              <w:rPr>
                <w:rFonts w:ascii="Calibri" w:eastAsia="Times New Roman" w:hAnsi="Calibri" w:cs="Calibri"/>
                <w:color w:val="FF0000"/>
                <w:sz w:val="20"/>
                <w:szCs w:val="20"/>
              </w:rPr>
              <w:t>(N=, p value =)</w:t>
            </w:r>
          </w:p>
        </w:tc>
        <w:tc>
          <w:tcPr>
            <w:tcW w:w="2353" w:type="dxa"/>
            <w:shd w:val="clear" w:color="auto" w:fill="auto"/>
            <w:noWrap/>
            <w:vAlign w:val="bottom"/>
          </w:tcPr>
          <w:p w14:paraId="710702EA" w14:textId="2CFBD1FC" w:rsidR="0059793D" w:rsidRDefault="00813F72" w:rsidP="0059793D">
            <w:pPr>
              <w:spacing w:after="0" w:line="240" w:lineRule="auto"/>
              <w:jc w:val="right"/>
              <w:rPr>
                <w:rFonts w:ascii="Calibri" w:eastAsia="Times New Roman" w:hAnsi="Calibri" w:cs="Calibri"/>
                <w:color w:val="FF0000"/>
                <w:sz w:val="20"/>
                <w:szCs w:val="20"/>
              </w:rPr>
            </w:pPr>
            <w:r>
              <w:rPr>
                <w:rFonts w:ascii="Calibri" w:eastAsia="Times New Roman" w:hAnsi="Calibri" w:cs="Calibri"/>
                <w:color w:val="FF0000"/>
                <w:sz w:val="20"/>
                <w:szCs w:val="20"/>
              </w:rPr>
              <w:t>(156, p &lt;0.001)</w:t>
            </w:r>
          </w:p>
        </w:tc>
      </w:tr>
      <w:tr w:rsidR="0059793D" w:rsidRPr="00587EDD" w14:paraId="63D6A1BD" w14:textId="77777777" w:rsidTr="00F010E1">
        <w:trPr>
          <w:trHeight w:val="290"/>
        </w:trPr>
        <w:tc>
          <w:tcPr>
            <w:tcW w:w="3019" w:type="dxa"/>
            <w:vMerge/>
          </w:tcPr>
          <w:p w14:paraId="7852F19E" w14:textId="77777777" w:rsidR="0059793D" w:rsidRPr="00587EDD" w:rsidRDefault="0059793D" w:rsidP="0059793D">
            <w:pPr>
              <w:spacing w:after="0" w:line="240" w:lineRule="auto"/>
              <w:ind w:firstLineChars="100" w:firstLine="200"/>
              <w:rPr>
                <w:rFonts w:ascii="Calibri" w:eastAsia="Times New Roman" w:hAnsi="Calibri" w:cs="Calibri"/>
                <w:color w:val="FF0000"/>
                <w:sz w:val="20"/>
                <w:szCs w:val="20"/>
              </w:rPr>
            </w:pPr>
          </w:p>
        </w:tc>
        <w:tc>
          <w:tcPr>
            <w:tcW w:w="3019" w:type="dxa"/>
            <w:shd w:val="clear" w:color="auto" w:fill="auto"/>
            <w:noWrap/>
            <w:vAlign w:val="bottom"/>
          </w:tcPr>
          <w:p w14:paraId="210C21E0" w14:textId="6FB7D485" w:rsidR="0059793D" w:rsidRPr="00587EDD" w:rsidRDefault="0059793D" w:rsidP="0059793D">
            <w:pPr>
              <w:spacing w:after="0" w:line="240" w:lineRule="auto"/>
              <w:rPr>
                <w:rFonts w:ascii="Calibri" w:eastAsia="Times New Roman" w:hAnsi="Calibri" w:cs="Calibri"/>
                <w:color w:val="FF0000"/>
                <w:sz w:val="20"/>
                <w:szCs w:val="20"/>
              </w:rPr>
            </w:pPr>
            <w:r>
              <w:rPr>
                <w:rFonts w:ascii="Calibri" w:eastAsia="Times New Roman" w:hAnsi="Calibri" w:cs="Calibri"/>
                <w:color w:val="FF0000"/>
                <w:sz w:val="20"/>
                <w:szCs w:val="20"/>
              </w:rPr>
              <w:t>FUH 30-day and FUM 7-day</w:t>
            </w:r>
          </w:p>
        </w:tc>
        <w:tc>
          <w:tcPr>
            <w:tcW w:w="2353" w:type="dxa"/>
            <w:shd w:val="clear" w:color="auto" w:fill="auto"/>
            <w:noWrap/>
            <w:vAlign w:val="bottom"/>
          </w:tcPr>
          <w:p w14:paraId="697C625E" w14:textId="4E8629E3" w:rsidR="0059793D" w:rsidRDefault="00787230" w:rsidP="00787230">
            <w:pPr>
              <w:spacing w:after="0" w:line="240" w:lineRule="auto"/>
              <w:rPr>
                <w:rFonts w:ascii="Calibri" w:eastAsia="Times New Roman" w:hAnsi="Calibri" w:cs="Calibri"/>
                <w:color w:val="FF0000"/>
                <w:sz w:val="20"/>
                <w:szCs w:val="20"/>
              </w:rPr>
            </w:pPr>
            <w:r>
              <w:rPr>
                <w:rFonts w:ascii="Calibri" w:eastAsia="Times New Roman" w:hAnsi="Calibri" w:cs="Calibri"/>
                <w:color w:val="FF0000"/>
                <w:sz w:val="20"/>
                <w:szCs w:val="20"/>
              </w:rPr>
              <w:t>.452</w:t>
            </w:r>
          </w:p>
        </w:tc>
      </w:tr>
      <w:tr w:rsidR="0059793D" w:rsidRPr="00587EDD" w14:paraId="49446AAD" w14:textId="77777777" w:rsidTr="00F010E1">
        <w:trPr>
          <w:trHeight w:val="290"/>
        </w:trPr>
        <w:tc>
          <w:tcPr>
            <w:tcW w:w="3019" w:type="dxa"/>
            <w:vMerge/>
          </w:tcPr>
          <w:p w14:paraId="79A55E31" w14:textId="77777777" w:rsidR="0059793D" w:rsidRPr="00587EDD" w:rsidRDefault="0059793D" w:rsidP="0059793D">
            <w:pPr>
              <w:spacing w:after="0" w:line="240" w:lineRule="auto"/>
              <w:ind w:firstLineChars="100" w:firstLine="200"/>
              <w:rPr>
                <w:rFonts w:ascii="Calibri" w:eastAsia="Times New Roman" w:hAnsi="Calibri" w:cs="Calibri"/>
                <w:color w:val="FF0000"/>
                <w:sz w:val="20"/>
                <w:szCs w:val="20"/>
              </w:rPr>
            </w:pPr>
          </w:p>
        </w:tc>
        <w:tc>
          <w:tcPr>
            <w:tcW w:w="3019" w:type="dxa"/>
            <w:shd w:val="clear" w:color="auto" w:fill="auto"/>
            <w:noWrap/>
            <w:vAlign w:val="bottom"/>
          </w:tcPr>
          <w:p w14:paraId="581B8379" w14:textId="7A60ED58" w:rsidR="0059793D" w:rsidRPr="00587EDD" w:rsidRDefault="0059793D" w:rsidP="0059793D">
            <w:pPr>
              <w:spacing w:after="0" w:line="240" w:lineRule="auto"/>
              <w:ind w:firstLineChars="100" w:firstLine="200"/>
              <w:rPr>
                <w:rFonts w:ascii="Calibri" w:eastAsia="Times New Roman" w:hAnsi="Calibri" w:cs="Calibri"/>
                <w:color w:val="FF0000"/>
                <w:sz w:val="20"/>
                <w:szCs w:val="20"/>
              </w:rPr>
            </w:pPr>
            <w:r w:rsidRPr="00587EDD">
              <w:rPr>
                <w:rFonts w:ascii="Calibri" w:eastAsia="Times New Roman" w:hAnsi="Calibri" w:cs="Calibri"/>
                <w:color w:val="FF0000"/>
                <w:sz w:val="20"/>
                <w:szCs w:val="20"/>
              </w:rPr>
              <w:t>(N=, p value =)</w:t>
            </w:r>
          </w:p>
        </w:tc>
        <w:tc>
          <w:tcPr>
            <w:tcW w:w="2353" w:type="dxa"/>
            <w:shd w:val="clear" w:color="auto" w:fill="auto"/>
            <w:noWrap/>
            <w:vAlign w:val="bottom"/>
          </w:tcPr>
          <w:p w14:paraId="328F9498" w14:textId="21875FE6" w:rsidR="0059793D" w:rsidRDefault="00787230" w:rsidP="0059793D">
            <w:pPr>
              <w:spacing w:after="0" w:line="240" w:lineRule="auto"/>
              <w:jc w:val="right"/>
              <w:rPr>
                <w:rFonts w:ascii="Calibri" w:eastAsia="Times New Roman" w:hAnsi="Calibri" w:cs="Calibri"/>
                <w:color w:val="FF0000"/>
                <w:sz w:val="20"/>
                <w:szCs w:val="20"/>
              </w:rPr>
            </w:pPr>
            <w:r>
              <w:rPr>
                <w:rFonts w:ascii="Calibri" w:eastAsia="Times New Roman" w:hAnsi="Calibri" w:cs="Calibri"/>
                <w:color w:val="FF0000"/>
                <w:sz w:val="20"/>
                <w:szCs w:val="20"/>
              </w:rPr>
              <w:t>(156, p &lt;0.001)</w:t>
            </w:r>
          </w:p>
        </w:tc>
      </w:tr>
      <w:tr w:rsidR="0059793D" w:rsidRPr="00587EDD" w14:paraId="00BBF13D" w14:textId="77777777" w:rsidTr="00F010E1">
        <w:trPr>
          <w:trHeight w:val="77"/>
        </w:trPr>
        <w:tc>
          <w:tcPr>
            <w:tcW w:w="3019" w:type="dxa"/>
            <w:vMerge w:val="restart"/>
          </w:tcPr>
          <w:p w14:paraId="7D0EAB83" w14:textId="079FE2B9" w:rsidR="0059793D" w:rsidRPr="00587EDD" w:rsidRDefault="0059793D" w:rsidP="0059793D">
            <w:pPr>
              <w:spacing w:after="0" w:line="240" w:lineRule="auto"/>
              <w:rPr>
                <w:rFonts w:ascii="Calibri" w:eastAsia="Times New Roman" w:hAnsi="Calibri" w:cs="Calibri"/>
                <w:color w:val="FF0000"/>
                <w:sz w:val="20"/>
                <w:szCs w:val="20"/>
              </w:rPr>
            </w:pPr>
            <w:r>
              <w:rPr>
                <w:rFonts w:ascii="Calibri" w:eastAsia="Times New Roman" w:hAnsi="Calibri" w:cs="Calibri"/>
                <w:color w:val="FF0000"/>
                <w:sz w:val="20"/>
                <w:szCs w:val="20"/>
              </w:rPr>
              <w:t>Medicare</w:t>
            </w:r>
          </w:p>
        </w:tc>
        <w:tc>
          <w:tcPr>
            <w:tcW w:w="3019" w:type="dxa"/>
            <w:shd w:val="clear" w:color="auto" w:fill="auto"/>
            <w:noWrap/>
            <w:vAlign w:val="bottom"/>
          </w:tcPr>
          <w:p w14:paraId="36D6BACC" w14:textId="37CFA955" w:rsidR="0059793D" w:rsidRPr="00587EDD" w:rsidRDefault="0059793D" w:rsidP="0059793D">
            <w:pPr>
              <w:spacing w:after="0" w:line="240" w:lineRule="auto"/>
              <w:rPr>
                <w:rFonts w:ascii="Calibri" w:eastAsia="Times New Roman" w:hAnsi="Calibri" w:cs="Calibri"/>
                <w:color w:val="FF0000"/>
              </w:rPr>
            </w:pPr>
            <w:r>
              <w:rPr>
                <w:rFonts w:ascii="Calibri" w:eastAsia="Times New Roman" w:hAnsi="Calibri" w:cs="Calibri"/>
                <w:color w:val="FF0000"/>
              </w:rPr>
              <w:t>FUH 7-day and FUM 30-day</w:t>
            </w:r>
          </w:p>
        </w:tc>
        <w:tc>
          <w:tcPr>
            <w:tcW w:w="2353" w:type="dxa"/>
            <w:shd w:val="clear" w:color="auto" w:fill="auto"/>
            <w:noWrap/>
            <w:vAlign w:val="bottom"/>
          </w:tcPr>
          <w:p w14:paraId="493E93E1" w14:textId="2961AACD" w:rsidR="0059793D" w:rsidRPr="00587EDD" w:rsidRDefault="0059793D" w:rsidP="0059793D">
            <w:pPr>
              <w:spacing w:after="0" w:line="240" w:lineRule="auto"/>
              <w:rPr>
                <w:rFonts w:ascii="Calibri" w:eastAsia="Times New Roman" w:hAnsi="Calibri" w:cs="Calibri"/>
                <w:color w:val="FF0000"/>
                <w:sz w:val="20"/>
                <w:szCs w:val="20"/>
              </w:rPr>
            </w:pPr>
            <w:r>
              <w:rPr>
                <w:rFonts w:ascii="Calibri" w:eastAsia="Times New Roman" w:hAnsi="Calibri" w:cs="Calibri"/>
                <w:color w:val="FF0000"/>
                <w:sz w:val="20"/>
                <w:szCs w:val="20"/>
              </w:rPr>
              <w:t>.537</w:t>
            </w:r>
          </w:p>
        </w:tc>
      </w:tr>
      <w:tr w:rsidR="0059793D" w:rsidRPr="00587EDD" w14:paraId="4F757276" w14:textId="77777777" w:rsidTr="00F010E1">
        <w:trPr>
          <w:trHeight w:val="77"/>
        </w:trPr>
        <w:tc>
          <w:tcPr>
            <w:tcW w:w="3019" w:type="dxa"/>
            <w:vMerge/>
          </w:tcPr>
          <w:p w14:paraId="4522641D" w14:textId="77777777" w:rsidR="0059793D" w:rsidRPr="00587EDD" w:rsidRDefault="0059793D" w:rsidP="0059793D">
            <w:pPr>
              <w:spacing w:after="0" w:line="240" w:lineRule="auto"/>
              <w:rPr>
                <w:rFonts w:ascii="Calibri" w:eastAsia="Times New Roman" w:hAnsi="Calibri" w:cs="Calibri"/>
                <w:color w:val="FF0000"/>
                <w:sz w:val="20"/>
                <w:szCs w:val="20"/>
              </w:rPr>
            </w:pPr>
          </w:p>
        </w:tc>
        <w:tc>
          <w:tcPr>
            <w:tcW w:w="3019" w:type="dxa"/>
            <w:shd w:val="clear" w:color="auto" w:fill="auto"/>
            <w:noWrap/>
            <w:vAlign w:val="bottom"/>
          </w:tcPr>
          <w:p w14:paraId="536773CB" w14:textId="77777777" w:rsidR="0059793D" w:rsidRPr="00587EDD" w:rsidRDefault="0059793D" w:rsidP="0059793D">
            <w:pPr>
              <w:spacing w:after="0" w:line="240" w:lineRule="auto"/>
              <w:ind w:left="200"/>
              <w:rPr>
                <w:rFonts w:ascii="Calibri" w:eastAsia="Times New Roman" w:hAnsi="Calibri" w:cs="Calibri"/>
                <w:color w:val="FF0000"/>
              </w:rPr>
            </w:pPr>
            <w:r w:rsidRPr="00587EDD">
              <w:rPr>
                <w:rFonts w:ascii="Calibri" w:eastAsia="Times New Roman" w:hAnsi="Calibri" w:cs="Calibri"/>
                <w:color w:val="FF0000"/>
                <w:sz w:val="20"/>
                <w:szCs w:val="20"/>
              </w:rPr>
              <w:t>(N=, p value =)</w:t>
            </w:r>
          </w:p>
        </w:tc>
        <w:tc>
          <w:tcPr>
            <w:tcW w:w="2353" w:type="dxa"/>
            <w:shd w:val="clear" w:color="auto" w:fill="auto"/>
            <w:noWrap/>
            <w:vAlign w:val="bottom"/>
          </w:tcPr>
          <w:p w14:paraId="0F732595" w14:textId="3316290B" w:rsidR="0059793D" w:rsidRPr="00587EDD" w:rsidRDefault="0059793D" w:rsidP="0059793D">
            <w:pPr>
              <w:spacing w:after="0" w:line="240" w:lineRule="auto"/>
              <w:jc w:val="right"/>
              <w:rPr>
                <w:rFonts w:ascii="Calibri" w:eastAsia="Times New Roman" w:hAnsi="Calibri" w:cs="Calibri"/>
                <w:color w:val="FF0000"/>
                <w:sz w:val="20"/>
                <w:szCs w:val="20"/>
              </w:rPr>
            </w:pPr>
            <w:r>
              <w:rPr>
                <w:rFonts w:ascii="Calibri" w:eastAsia="Times New Roman" w:hAnsi="Calibri" w:cs="Calibri"/>
                <w:color w:val="FF0000"/>
                <w:sz w:val="20"/>
                <w:szCs w:val="20"/>
              </w:rPr>
              <w:t>(243, p &lt;0.001)</w:t>
            </w:r>
          </w:p>
        </w:tc>
      </w:tr>
      <w:tr w:rsidR="0059793D" w:rsidRPr="00587EDD" w14:paraId="5547022C" w14:textId="77777777" w:rsidTr="00F010E1">
        <w:trPr>
          <w:trHeight w:val="77"/>
        </w:trPr>
        <w:tc>
          <w:tcPr>
            <w:tcW w:w="3019" w:type="dxa"/>
            <w:vMerge/>
          </w:tcPr>
          <w:p w14:paraId="67B4EE95" w14:textId="77777777" w:rsidR="0059793D" w:rsidRPr="00587EDD" w:rsidRDefault="0059793D" w:rsidP="0059793D">
            <w:pPr>
              <w:spacing w:after="0" w:line="240" w:lineRule="auto"/>
              <w:rPr>
                <w:rFonts w:ascii="Calibri" w:eastAsia="Times New Roman" w:hAnsi="Calibri" w:cs="Calibri"/>
                <w:color w:val="FF0000"/>
                <w:sz w:val="20"/>
                <w:szCs w:val="20"/>
              </w:rPr>
            </w:pPr>
          </w:p>
        </w:tc>
        <w:tc>
          <w:tcPr>
            <w:tcW w:w="3019" w:type="dxa"/>
            <w:shd w:val="clear" w:color="auto" w:fill="auto"/>
            <w:noWrap/>
            <w:vAlign w:val="bottom"/>
          </w:tcPr>
          <w:p w14:paraId="2331C28A" w14:textId="350ADF7A" w:rsidR="0059793D" w:rsidRPr="00587EDD" w:rsidRDefault="0059793D" w:rsidP="0059793D">
            <w:pPr>
              <w:spacing w:after="0" w:line="240" w:lineRule="auto"/>
              <w:rPr>
                <w:rFonts w:ascii="Calibri" w:eastAsia="Times New Roman" w:hAnsi="Calibri" w:cs="Calibri"/>
                <w:color w:val="FF0000"/>
                <w:sz w:val="20"/>
                <w:szCs w:val="20"/>
              </w:rPr>
            </w:pPr>
            <w:r>
              <w:rPr>
                <w:rFonts w:ascii="Calibri" w:eastAsia="Times New Roman" w:hAnsi="Calibri" w:cs="Calibri"/>
                <w:color w:val="FF0000"/>
              </w:rPr>
              <w:t xml:space="preserve">FUH 30-day and FUM 30-day </w:t>
            </w:r>
          </w:p>
        </w:tc>
        <w:tc>
          <w:tcPr>
            <w:tcW w:w="2353" w:type="dxa"/>
            <w:shd w:val="clear" w:color="auto" w:fill="auto"/>
            <w:noWrap/>
            <w:vAlign w:val="bottom"/>
          </w:tcPr>
          <w:p w14:paraId="0C1D25FD" w14:textId="335713E9" w:rsidR="0059793D" w:rsidRPr="00587EDD" w:rsidRDefault="0059793D" w:rsidP="0059793D">
            <w:pPr>
              <w:spacing w:after="0" w:line="240" w:lineRule="auto"/>
              <w:rPr>
                <w:rFonts w:ascii="Calibri" w:eastAsia="Times New Roman" w:hAnsi="Calibri" w:cs="Calibri"/>
                <w:color w:val="FF0000"/>
                <w:sz w:val="20"/>
                <w:szCs w:val="20"/>
              </w:rPr>
            </w:pPr>
            <w:r>
              <w:rPr>
                <w:rFonts w:ascii="Calibri" w:eastAsia="Times New Roman" w:hAnsi="Calibri" w:cs="Calibri"/>
                <w:color w:val="FF0000"/>
                <w:sz w:val="20"/>
                <w:szCs w:val="20"/>
              </w:rPr>
              <w:t>.630</w:t>
            </w:r>
          </w:p>
        </w:tc>
      </w:tr>
      <w:tr w:rsidR="0059793D" w:rsidRPr="00587EDD" w14:paraId="4FE260E8" w14:textId="77777777" w:rsidTr="00F010E1">
        <w:trPr>
          <w:trHeight w:val="290"/>
        </w:trPr>
        <w:tc>
          <w:tcPr>
            <w:tcW w:w="3019" w:type="dxa"/>
            <w:vMerge/>
          </w:tcPr>
          <w:p w14:paraId="202B32B8" w14:textId="77777777" w:rsidR="0059793D" w:rsidRPr="00587EDD" w:rsidRDefault="0059793D" w:rsidP="0059793D">
            <w:pPr>
              <w:spacing w:after="0" w:line="240" w:lineRule="auto"/>
              <w:ind w:firstLineChars="100" w:firstLine="200"/>
              <w:rPr>
                <w:rFonts w:ascii="Calibri" w:eastAsia="Times New Roman" w:hAnsi="Calibri" w:cs="Calibri"/>
                <w:color w:val="FF0000"/>
                <w:sz w:val="20"/>
                <w:szCs w:val="20"/>
              </w:rPr>
            </w:pPr>
          </w:p>
        </w:tc>
        <w:tc>
          <w:tcPr>
            <w:tcW w:w="3019" w:type="dxa"/>
            <w:shd w:val="clear" w:color="auto" w:fill="auto"/>
            <w:noWrap/>
            <w:vAlign w:val="bottom"/>
          </w:tcPr>
          <w:p w14:paraId="3445836D" w14:textId="77777777" w:rsidR="0059793D" w:rsidRPr="00587EDD" w:rsidRDefault="0059793D" w:rsidP="0059793D">
            <w:pPr>
              <w:spacing w:after="0" w:line="240" w:lineRule="auto"/>
              <w:ind w:firstLineChars="100" w:firstLine="200"/>
              <w:rPr>
                <w:rFonts w:ascii="Calibri" w:eastAsia="Times New Roman" w:hAnsi="Calibri" w:cs="Calibri"/>
                <w:color w:val="FF0000"/>
                <w:sz w:val="20"/>
                <w:szCs w:val="20"/>
              </w:rPr>
            </w:pPr>
            <w:r w:rsidRPr="00587EDD">
              <w:rPr>
                <w:rFonts w:ascii="Calibri" w:eastAsia="Times New Roman" w:hAnsi="Calibri" w:cs="Calibri"/>
                <w:color w:val="FF0000"/>
                <w:sz w:val="20"/>
                <w:szCs w:val="20"/>
              </w:rPr>
              <w:t>(N=, p value =)</w:t>
            </w:r>
          </w:p>
        </w:tc>
        <w:tc>
          <w:tcPr>
            <w:tcW w:w="2353" w:type="dxa"/>
            <w:shd w:val="clear" w:color="auto" w:fill="auto"/>
            <w:noWrap/>
            <w:vAlign w:val="bottom"/>
          </w:tcPr>
          <w:p w14:paraId="6397C160" w14:textId="2EA3B214" w:rsidR="0059793D" w:rsidRPr="00587EDD" w:rsidRDefault="0059793D" w:rsidP="0059793D">
            <w:pPr>
              <w:spacing w:after="0" w:line="240" w:lineRule="auto"/>
              <w:jc w:val="right"/>
              <w:rPr>
                <w:rFonts w:ascii="Calibri" w:eastAsia="Times New Roman" w:hAnsi="Calibri" w:cs="Calibri"/>
                <w:color w:val="FF0000"/>
                <w:sz w:val="20"/>
                <w:szCs w:val="20"/>
              </w:rPr>
            </w:pPr>
            <w:r>
              <w:rPr>
                <w:rFonts w:ascii="Calibri" w:eastAsia="Times New Roman" w:hAnsi="Calibri" w:cs="Calibri"/>
                <w:color w:val="FF0000"/>
                <w:sz w:val="20"/>
                <w:szCs w:val="20"/>
              </w:rPr>
              <w:t>(243, p &lt;0.001)</w:t>
            </w:r>
          </w:p>
        </w:tc>
      </w:tr>
      <w:tr w:rsidR="0059793D" w:rsidRPr="00587EDD" w14:paraId="189F8E57" w14:textId="77777777" w:rsidTr="00F010E1">
        <w:trPr>
          <w:trHeight w:val="290"/>
        </w:trPr>
        <w:tc>
          <w:tcPr>
            <w:tcW w:w="3019" w:type="dxa"/>
            <w:vMerge/>
          </w:tcPr>
          <w:p w14:paraId="3521A8D2" w14:textId="77777777" w:rsidR="0059793D" w:rsidRPr="00587EDD" w:rsidRDefault="0059793D" w:rsidP="0059793D">
            <w:pPr>
              <w:spacing w:after="0" w:line="240" w:lineRule="auto"/>
              <w:ind w:firstLineChars="100" w:firstLine="200"/>
              <w:rPr>
                <w:rFonts w:ascii="Calibri" w:eastAsia="Times New Roman" w:hAnsi="Calibri" w:cs="Calibri"/>
                <w:color w:val="FF0000"/>
                <w:sz w:val="20"/>
                <w:szCs w:val="20"/>
              </w:rPr>
            </w:pPr>
          </w:p>
        </w:tc>
        <w:tc>
          <w:tcPr>
            <w:tcW w:w="3019" w:type="dxa"/>
            <w:shd w:val="clear" w:color="auto" w:fill="auto"/>
            <w:noWrap/>
            <w:vAlign w:val="bottom"/>
          </w:tcPr>
          <w:p w14:paraId="67566358" w14:textId="057A5BCD" w:rsidR="0059793D" w:rsidRPr="00587EDD" w:rsidRDefault="0059793D" w:rsidP="0059793D">
            <w:pPr>
              <w:spacing w:after="0" w:line="240" w:lineRule="auto"/>
              <w:rPr>
                <w:rFonts w:ascii="Calibri" w:eastAsia="Times New Roman" w:hAnsi="Calibri" w:cs="Calibri"/>
                <w:color w:val="FF0000"/>
                <w:sz w:val="20"/>
                <w:szCs w:val="20"/>
              </w:rPr>
            </w:pPr>
            <w:r>
              <w:rPr>
                <w:rFonts w:ascii="Calibri" w:eastAsia="Times New Roman" w:hAnsi="Calibri" w:cs="Calibri"/>
                <w:color w:val="FF0000"/>
              </w:rPr>
              <w:t>FUH 7-day and FUM 30-day</w:t>
            </w:r>
          </w:p>
        </w:tc>
        <w:tc>
          <w:tcPr>
            <w:tcW w:w="2353" w:type="dxa"/>
            <w:shd w:val="clear" w:color="auto" w:fill="auto"/>
            <w:noWrap/>
            <w:vAlign w:val="bottom"/>
          </w:tcPr>
          <w:p w14:paraId="782E05C0" w14:textId="7027BC87" w:rsidR="0059793D" w:rsidRDefault="00D345F4" w:rsidP="00D345F4">
            <w:pPr>
              <w:spacing w:after="0" w:line="240" w:lineRule="auto"/>
              <w:rPr>
                <w:rFonts w:ascii="Calibri" w:eastAsia="Times New Roman" w:hAnsi="Calibri" w:cs="Calibri"/>
                <w:color w:val="FF0000"/>
                <w:sz w:val="20"/>
                <w:szCs w:val="20"/>
              </w:rPr>
            </w:pPr>
            <w:r>
              <w:rPr>
                <w:rFonts w:ascii="Calibri" w:eastAsia="Times New Roman" w:hAnsi="Calibri" w:cs="Calibri"/>
                <w:color w:val="FF0000"/>
                <w:sz w:val="20"/>
                <w:szCs w:val="20"/>
              </w:rPr>
              <w:t>.585</w:t>
            </w:r>
          </w:p>
        </w:tc>
      </w:tr>
      <w:tr w:rsidR="0059793D" w:rsidRPr="00587EDD" w14:paraId="1AA6A7C0" w14:textId="77777777" w:rsidTr="00F010E1">
        <w:trPr>
          <w:trHeight w:val="290"/>
        </w:trPr>
        <w:tc>
          <w:tcPr>
            <w:tcW w:w="3019" w:type="dxa"/>
            <w:vMerge/>
          </w:tcPr>
          <w:p w14:paraId="0866BC00" w14:textId="77777777" w:rsidR="0059793D" w:rsidRPr="00587EDD" w:rsidRDefault="0059793D" w:rsidP="0059793D">
            <w:pPr>
              <w:spacing w:after="0" w:line="240" w:lineRule="auto"/>
              <w:ind w:firstLineChars="100" w:firstLine="200"/>
              <w:rPr>
                <w:rFonts w:ascii="Calibri" w:eastAsia="Times New Roman" w:hAnsi="Calibri" w:cs="Calibri"/>
                <w:color w:val="FF0000"/>
                <w:sz w:val="20"/>
                <w:szCs w:val="20"/>
              </w:rPr>
            </w:pPr>
          </w:p>
        </w:tc>
        <w:tc>
          <w:tcPr>
            <w:tcW w:w="3019" w:type="dxa"/>
            <w:shd w:val="clear" w:color="auto" w:fill="auto"/>
            <w:noWrap/>
            <w:vAlign w:val="bottom"/>
          </w:tcPr>
          <w:p w14:paraId="6846F057" w14:textId="6A23B58F" w:rsidR="0059793D" w:rsidRPr="00587EDD" w:rsidRDefault="0059793D" w:rsidP="0059793D">
            <w:pPr>
              <w:spacing w:after="0" w:line="240" w:lineRule="auto"/>
              <w:ind w:firstLineChars="100" w:firstLine="200"/>
              <w:rPr>
                <w:rFonts w:ascii="Calibri" w:eastAsia="Times New Roman" w:hAnsi="Calibri" w:cs="Calibri"/>
                <w:color w:val="FF0000"/>
                <w:sz w:val="20"/>
                <w:szCs w:val="20"/>
              </w:rPr>
            </w:pPr>
            <w:r w:rsidRPr="00587EDD">
              <w:rPr>
                <w:rFonts w:ascii="Calibri" w:eastAsia="Times New Roman" w:hAnsi="Calibri" w:cs="Calibri"/>
                <w:color w:val="FF0000"/>
                <w:sz w:val="20"/>
                <w:szCs w:val="20"/>
              </w:rPr>
              <w:t>(N=, p value =)</w:t>
            </w:r>
          </w:p>
        </w:tc>
        <w:tc>
          <w:tcPr>
            <w:tcW w:w="2353" w:type="dxa"/>
            <w:shd w:val="clear" w:color="auto" w:fill="auto"/>
            <w:noWrap/>
            <w:vAlign w:val="bottom"/>
          </w:tcPr>
          <w:p w14:paraId="047F171F" w14:textId="2B696AC3" w:rsidR="0059793D" w:rsidRDefault="00D345F4" w:rsidP="0059793D">
            <w:pPr>
              <w:spacing w:after="0" w:line="240" w:lineRule="auto"/>
              <w:jc w:val="right"/>
              <w:rPr>
                <w:rFonts w:ascii="Calibri" w:eastAsia="Times New Roman" w:hAnsi="Calibri" w:cs="Calibri"/>
                <w:color w:val="FF0000"/>
                <w:sz w:val="20"/>
                <w:szCs w:val="20"/>
              </w:rPr>
            </w:pPr>
            <w:r>
              <w:rPr>
                <w:rFonts w:ascii="Calibri" w:eastAsia="Times New Roman" w:hAnsi="Calibri" w:cs="Calibri"/>
                <w:color w:val="FF0000"/>
                <w:sz w:val="20"/>
                <w:szCs w:val="20"/>
              </w:rPr>
              <w:t>(243, p &lt;0.001)</w:t>
            </w:r>
          </w:p>
        </w:tc>
      </w:tr>
      <w:tr w:rsidR="0059793D" w:rsidRPr="00587EDD" w14:paraId="1F775B5A" w14:textId="77777777" w:rsidTr="00F010E1">
        <w:trPr>
          <w:trHeight w:val="290"/>
        </w:trPr>
        <w:tc>
          <w:tcPr>
            <w:tcW w:w="3019" w:type="dxa"/>
            <w:vMerge/>
          </w:tcPr>
          <w:p w14:paraId="63703921" w14:textId="77777777" w:rsidR="0059793D" w:rsidRPr="00587EDD" w:rsidRDefault="0059793D" w:rsidP="0059793D">
            <w:pPr>
              <w:spacing w:after="0" w:line="240" w:lineRule="auto"/>
              <w:ind w:firstLineChars="100" w:firstLine="200"/>
              <w:rPr>
                <w:rFonts w:ascii="Calibri" w:eastAsia="Times New Roman" w:hAnsi="Calibri" w:cs="Calibri"/>
                <w:color w:val="FF0000"/>
                <w:sz w:val="20"/>
                <w:szCs w:val="20"/>
              </w:rPr>
            </w:pPr>
          </w:p>
        </w:tc>
        <w:tc>
          <w:tcPr>
            <w:tcW w:w="3019" w:type="dxa"/>
            <w:shd w:val="clear" w:color="auto" w:fill="auto"/>
            <w:noWrap/>
            <w:vAlign w:val="bottom"/>
          </w:tcPr>
          <w:p w14:paraId="634C8FE3" w14:textId="76F93092" w:rsidR="0059793D" w:rsidRPr="00587EDD" w:rsidRDefault="0059793D" w:rsidP="0059793D">
            <w:pPr>
              <w:spacing w:after="0" w:line="240" w:lineRule="auto"/>
              <w:rPr>
                <w:rFonts w:ascii="Calibri" w:eastAsia="Times New Roman" w:hAnsi="Calibri" w:cs="Calibri"/>
                <w:color w:val="FF0000"/>
                <w:sz w:val="20"/>
                <w:szCs w:val="20"/>
              </w:rPr>
            </w:pPr>
            <w:r>
              <w:rPr>
                <w:rFonts w:ascii="Calibri" w:eastAsia="Times New Roman" w:hAnsi="Calibri" w:cs="Calibri"/>
                <w:color w:val="FF0000"/>
              </w:rPr>
              <w:t xml:space="preserve">FUH 30-day and FUM 30-day </w:t>
            </w:r>
          </w:p>
        </w:tc>
        <w:tc>
          <w:tcPr>
            <w:tcW w:w="2353" w:type="dxa"/>
            <w:shd w:val="clear" w:color="auto" w:fill="auto"/>
            <w:noWrap/>
            <w:vAlign w:val="bottom"/>
          </w:tcPr>
          <w:p w14:paraId="0B38DCB2" w14:textId="53717BCC" w:rsidR="0059793D" w:rsidRDefault="004A130B" w:rsidP="004A130B">
            <w:pPr>
              <w:spacing w:after="0" w:line="240" w:lineRule="auto"/>
              <w:rPr>
                <w:rFonts w:ascii="Calibri" w:eastAsia="Times New Roman" w:hAnsi="Calibri" w:cs="Calibri"/>
                <w:color w:val="FF0000"/>
                <w:sz w:val="20"/>
                <w:szCs w:val="20"/>
              </w:rPr>
            </w:pPr>
            <w:r>
              <w:rPr>
                <w:rFonts w:ascii="Calibri" w:eastAsia="Times New Roman" w:hAnsi="Calibri" w:cs="Calibri"/>
                <w:color w:val="FF0000"/>
                <w:sz w:val="20"/>
                <w:szCs w:val="20"/>
              </w:rPr>
              <w:t>.555</w:t>
            </w:r>
          </w:p>
        </w:tc>
      </w:tr>
      <w:tr w:rsidR="0059793D" w:rsidRPr="00587EDD" w14:paraId="74922D43" w14:textId="77777777" w:rsidTr="00F010E1">
        <w:trPr>
          <w:trHeight w:val="290"/>
        </w:trPr>
        <w:tc>
          <w:tcPr>
            <w:tcW w:w="3019" w:type="dxa"/>
            <w:vMerge/>
          </w:tcPr>
          <w:p w14:paraId="2E99F878" w14:textId="77777777" w:rsidR="0059793D" w:rsidRPr="00587EDD" w:rsidRDefault="0059793D" w:rsidP="0059793D">
            <w:pPr>
              <w:spacing w:after="0" w:line="240" w:lineRule="auto"/>
              <w:ind w:firstLineChars="100" w:firstLine="200"/>
              <w:rPr>
                <w:rFonts w:ascii="Calibri" w:eastAsia="Times New Roman" w:hAnsi="Calibri" w:cs="Calibri"/>
                <w:color w:val="FF0000"/>
                <w:sz w:val="20"/>
                <w:szCs w:val="20"/>
              </w:rPr>
            </w:pPr>
          </w:p>
        </w:tc>
        <w:tc>
          <w:tcPr>
            <w:tcW w:w="3019" w:type="dxa"/>
            <w:shd w:val="clear" w:color="auto" w:fill="auto"/>
            <w:noWrap/>
            <w:vAlign w:val="bottom"/>
          </w:tcPr>
          <w:p w14:paraId="63DDD6A7" w14:textId="50C95A62" w:rsidR="0059793D" w:rsidRPr="00587EDD" w:rsidRDefault="0059793D" w:rsidP="0059793D">
            <w:pPr>
              <w:spacing w:after="0" w:line="240" w:lineRule="auto"/>
              <w:ind w:firstLineChars="100" w:firstLine="200"/>
              <w:rPr>
                <w:rFonts w:ascii="Calibri" w:eastAsia="Times New Roman" w:hAnsi="Calibri" w:cs="Calibri"/>
                <w:color w:val="FF0000"/>
                <w:sz w:val="20"/>
                <w:szCs w:val="20"/>
              </w:rPr>
            </w:pPr>
            <w:r w:rsidRPr="00587EDD">
              <w:rPr>
                <w:rFonts w:ascii="Calibri" w:eastAsia="Times New Roman" w:hAnsi="Calibri" w:cs="Calibri"/>
                <w:color w:val="FF0000"/>
                <w:sz w:val="20"/>
                <w:szCs w:val="20"/>
              </w:rPr>
              <w:t>(N=, p value =)</w:t>
            </w:r>
          </w:p>
        </w:tc>
        <w:tc>
          <w:tcPr>
            <w:tcW w:w="2353" w:type="dxa"/>
            <w:shd w:val="clear" w:color="auto" w:fill="auto"/>
            <w:noWrap/>
            <w:vAlign w:val="bottom"/>
          </w:tcPr>
          <w:p w14:paraId="5080B44F" w14:textId="39910E06" w:rsidR="0059793D" w:rsidRDefault="004A130B" w:rsidP="0059793D">
            <w:pPr>
              <w:spacing w:after="0" w:line="240" w:lineRule="auto"/>
              <w:jc w:val="right"/>
              <w:rPr>
                <w:rFonts w:ascii="Calibri" w:eastAsia="Times New Roman" w:hAnsi="Calibri" w:cs="Calibri"/>
                <w:color w:val="FF0000"/>
                <w:sz w:val="20"/>
                <w:szCs w:val="20"/>
              </w:rPr>
            </w:pPr>
            <w:r>
              <w:rPr>
                <w:rFonts w:ascii="Calibri" w:eastAsia="Times New Roman" w:hAnsi="Calibri" w:cs="Calibri"/>
                <w:color w:val="FF0000"/>
                <w:sz w:val="20"/>
                <w:szCs w:val="20"/>
              </w:rPr>
              <w:t>(243, p &lt;0.001)</w:t>
            </w:r>
          </w:p>
        </w:tc>
      </w:tr>
    </w:tbl>
    <w:p w14:paraId="3EC94A70" w14:textId="050957DF" w:rsidR="007B34C9" w:rsidRPr="00587EDD" w:rsidRDefault="00FD7628" w:rsidP="00742A1E">
      <w:pPr>
        <w:ind w:left="720"/>
        <w:rPr>
          <w:color w:val="FF0000"/>
        </w:rPr>
      </w:pPr>
      <w:r>
        <w:rPr>
          <w:color w:val="FF0000"/>
        </w:rPr>
        <w:t>N = the number of plans reporting both indicators.</w:t>
      </w:r>
    </w:p>
    <w:p w14:paraId="6E57FBDE" w14:textId="77777777" w:rsidR="001035A1" w:rsidRPr="00E035CB" w:rsidRDefault="001035A1" w:rsidP="001035A1">
      <w:pPr>
        <w:autoSpaceDE w:val="0"/>
        <w:autoSpaceDN w:val="0"/>
        <w:adjustRightInd w:val="0"/>
        <w:spacing w:after="0" w:line="240" w:lineRule="auto"/>
        <w:rPr>
          <w:rFonts w:cstheme="minorHAnsi"/>
          <w:bCs/>
          <w:color w:val="244061" w:themeColor="accent1" w:themeShade="80"/>
        </w:rPr>
      </w:pPr>
    </w:p>
    <w:p w14:paraId="406663E4" w14:textId="77777777" w:rsidR="001035A1" w:rsidRPr="00E035CB" w:rsidRDefault="001035A1" w:rsidP="001035A1">
      <w:pPr>
        <w:autoSpaceDE w:val="0"/>
        <w:autoSpaceDN w:val="0"/>
        <w:adjustRightInd w:val="0"/>
        <w:spacing w:after="0" w:line="240" w:lineRule="auto"/>
        <w:rPr>
          <w:rFonts w:cstheme="minorHAnsi"/>
          <w:bCs/>
          <w:color w:val="244061" w:themeColor="accent1" w:themeShade="80"/>
        </w:rPr>
      </w:pPr>
      <w:r w:rsidRPr="00E035CB">
        <w:rPr>
          <w:rFonts w:cstheme="minorHAnsi"/>
          <w:b/>
          <w:bCs/>
          <w:color w:val="244061" w:themeColor="accent1" w:themeShade="80"/>
          <w:u w:val="single"/>
        </w:rPr>
        <w:t>2016 Update</w:t>
      </w:r>
    </w:p>
    <w:p w14:paraId="3312FF91" w14:textId="77777777" w:rsidR="001035A1" w:rsidRPr="00E035CB" w:rsidRDefault="001035A1" w:rsidP="001035A1">
      <w:pPr>
        <w:pStyle w:val="Heading7"/>
        <w:autoSpaceDE w:val="0"/>
        <w:autoSpaceDN w:val="0"/>
        <w:adjustRightInd w:val="0"/>
        <w:spacing w:before="0" w:line="240" w:lineRule="auto"/>
        <w:rPr>
          <w:rFonts w:asciiTheme="minorHAnsi" w:hAnsiTheme="minorHAnsi"/>
          <w:b/>
          <w:bCs/>
          <w:i w:val="0"/>
          <w:color w:val="244061" w:themeColor="accent1" w:themeShade="80"/>
        </w:rPr>
      </w:pPr>
      <w:r w:rsidRPr="00E035CB">
        <w:rPr>
          <w:rFonts w:asciiTheme="minorHAnsi" w:hAnsiTheme="minorHAnsi"/>
          <w:b/>
          <w:bCs/>
          <w:i w:val="0"/>
          <w:color w:val="244061" w:themeColor="accent1" w:themeShade="80"/>
        </w:rPr>
        <w:t>ICD-10 CONVERSION</w:t>
      </w:r>
    </w:p>
    <w:p w14:paraId="7AE31A11" w14:textId="77777777" w:rsidR="001035A1" w:rsidRPr="00E035CB" w:rsidRDefault="001035A1" w:rsidP="001035A1">
      <w:pPr>
        <w:autoSpaceDE w:val="0"/>
        <w:autoSpaceDN w:val="0"/>
        <w:adjustRightInd w:val="0"/>
        <w:spacing w:after="0" w:line="240" w:lineRule="auto"/>
        <w:rPr>
          <w:rFonts w:cstheme="minorHAnsi"/>
          <w:bCs/>
          <w:i/>
          <w:color w:val="244061" w:themeColor="accent1" w:themeShade="80"/>
        </w:rPr>
      </w:pPr>
      <w:r w:rsidRPr="00E035CB">
        <w:rPr>
          <w:rFonts w:cstheme="minorHAnsi"/>
          <w:bCs/>
          <w:i/>
          <w:color w:val="244061" w:themeColor="accent1" w:themeShade="80"/>
        </w:rPr>
        <w:t>Summary of Stakeholder Comments Received</w:t>
      </w:r>
    </w:p>
    <w:p w14:paraId="756BE772" w14:textId="77777777" w:rsidR="001035A1" w:rsidRPr="00E035CB" w:rsidRDefault="001035A1" w:rsidP="001035A1">
      <w:pPr>
        <w:autoSpaceDE w:val="0"/>
        <w:autoSpaceDN w:val="0"/>
        <w:adjustRightInd w:val="0"/>
        <w:spacing w:after="0" w:line="240" w:lineRule="auto"/>
        <w:rPr>
          <w:rFonts w:cstheme="minorHAnsi"/>
          <w:bCs/>
          <w:color w:val="244061" w:themeColor="accent1" w:themeShade="80"/>
        </w:rPr>
      </w:pPr>
      <w:r w:rsidRPr="00E035CB">
        <w:rPr>
          <w:rFonts w:cstheme="minorHAnsi"/>
          <w:bCs/>
          <w:color w:val="244061" w:themeColor="accent1" w:themeShade="80"/>
        </w:rPr>
        <w:t>NCQA posted ICD-10 codes for public review and comment in March 2011 and March 2012. Comments received helped to ensure we were mapping the codes correctly.</w:t>
      </w:r>
    </w:p>
    <w:p w14:paraId="6F42A827" w14:textId="77777777" w:rsidR="007B34C9" w:rsidRDefault="007B34C9" w:rsidP="00092566">
      <w:pPr>
        <w:autoSpaceDE w:val="0"/>
        <w:autoSpaceDN w:val="0"/>
        <w:adjustRightInd w:val="0"/>
        <w:spacing w:after="0" w:line="240" w:lineRule="auto"/>
        <w:rPr>
          <w:rFonts w:cstheme="minorHAnsi"/>
          <w:bCs/>
        </w:rPr>
      </w:pPr>
    </w:p>
    <w:p w14:paraId="0F20D8F1" w14:textId="77777777" w:rsidR="001035A1" w:rsidRPr="00E035CB" w:rsidRDefault="001035A1" w:rsidP="001035A1">
      <w:pPr>
        <w:spacing w:after="0" w:line="240" w:lineRule="auto"/>
        <w:rPr>
          <w:rFonts w:eastAsia="Times New Roman" w:cs="Arial"/>
          <w:b/>
          <w:color w:val="244061" w:themeColor="accent1" w:themeShade="80"/>
          <w:u w:val="single"/>
        </w:rPr>
      </w:pPr>
      <w:r w:rsidRPr="00E035CB">
        <w:rPr>
          <w:rFonts w:eastAsia="Times New Roman" w:cs="Arial"/>
          <w:b/>
          <w:color w:val="244061" w:themeColor="accent1" w:themeShade="80"/>
          <w:u w:val="single"/>
        </w:rPr>
        <w:t>2012 Submission</w:t>
      </w:r>
    </w:p>
    <w:p w14:paraId="7A2F4A26" w14:textId="77777777" w:rsidR="001035A1" w:rsidRPr="00E035CB" w:rsidRDefault="001035A1" w:rsidP="001035A1">
      <w:pPr>
        <w:spacing w:after="0" w:line="240" w:lineRule="auto"/>
        <w:rPr>
          <w:rFonts w:eastAsia="Times New Roman" w:cs="Arial"/>
          <w:color w:val="244061" w:themeColor="accent1" w:themeShade="80"/>
        </w:rPr>
      </w:pPr>
      <w:r w:rsidRPr="00E035CB">
        <w:rPr>
          <w:rFonts w:eastAsia="Times New Roman" w:cs="Arial"/>
          <w:b/>
          <w:color w:val="244061" w:themeColor="accent1" w:themeShade="80"/>
        </w:rPr>
        <w:t>Results of face validity assessment</w:t>
      </w:r>
    </w:p>
    <w:p w14:paraId="033C8147" w14:textId="77777777" w:rsidR="001035A1" w:rsidRPr="00E035CB" w:rsidRDefault="001035A1" w:rsidP="001035A1">
      <w:pPr>
        <w:spacing w:after="0" w:line="240" w:lineRule="auto"/>
        <w:rPr>
          <w:rFonts w:eastAsia="Times New Roman" w:cs="Arial"/>
          <w:color w:val="244061" w:themeColor="accent1" w:themeShade="80"/>
        </w:rPr>
      </w:pPr>
      <w:r w:rsidRPr="00E035CB">
        <w:rPr>
          <w:rFonts w:eastAsia="Times New Roman" w:cs="Arial"/>
          <w:color w:val="244061" w:themeColor="accent1" w:themeShade="80"/>
        </w:rPr>
        <w:t>Step 1: The Follow-Up After Hospitalization for Mental Illness measure was developed to address a gap in care concerning follow-up care for people with mental illness. NCQA’s Performance Measurement Department and the Behavioral Health MAP worked together to assess the most appropriate tools for monitoring follow-up for mental illness.</w:t>
      </w:r>
    </w:p>
    <w:p w14:paraId="433842CE" w14:textId="77777777" w:rsidR="001035A1" w:rsidRPr="00E035CB" w:rsidRDefault="001035A1" w:rsidP="001035A1">
      <w:pPr>
        <w:spacing w:after="0" w:line="240" w:lineRule="auto"/>
        <w:rPr>
          <w:rFonts w:eastAsia="Times New Roman" w:cs="Arial"/>
          <w:color w:val="244061" w:themeColor="accent1" w:themeShade="80"/>
        </w:rPr>
      </w:pPr>
    </w:p>
    <w:p w14:paraId="6067B3A6" w14:textId="77777777" w:rsidR="001035A1" w:rsidRPr="00E035CB" w:rsidRDefault="001035A1" w:rsidP="001035A1">
      <w:pPr>
        <w:spacing w:after="0" w:line="240" w:lineRule="auto"/>
        <w:rPr>
          <w:rFonts w:eastAsia="Times New Roman" w:cs="Arial"/>
          <w:color w:val="244061" w:themeColor="accent1" w:themeShade="80"/>
        </w:rPr>
      </w:pPr>
      <w:r w:rsidRPr="00E035CB">
        <w:rPr>
          <w:rFonts w:eastAsia="Times New Roman" w:cs="Arial"/>
          <w:color w:val="244061" w:themeColor="accent1" w:themeShade="80"/>
        </w:rPr>
        <w:t xml:space="preserve">Step 2: The measure was written, field-tested, and presented to the CPM and incorporated into HEDIS in 1994. </w:t>
      </w:r>
    </w:p>
    <w:p w14:paraId="0563DDD8" w14:textId="77777777" w:rsidR="001035A1" w:rsidRPr="00E035CB" w:rsidRDefault="001035A1" w:rsidP="001035A1">
      <w:pPr>
        <w:spacing w:after="0" w:line="240" w:lineRule="auto"/>
        <w:rPr>
          <w:rFonts w:eastAsia="Times New Roman" w:cs="Arial"/>
          <w:color w:val="244061" w:themeColor="accent1" w:themeShade="80"/>
        </w:rPr>
      </w:pPr>
    </w:p>
    <w:p w14:paraId="63426894" w14:textId="77777777" w:rsidR="001035A1" w:rsidRPr="00E035CB" w:rsidRDefault="001035A1" w:rsidP="001035A1">
      <w:pPr>
        <w:spacing w:after="0" w:line="240" w:lineRule="auto"/>
        <w:rPr>
          <w:rFonts w:eastAsia="Times New Roman" w:cs="Arial"/>
          <w:color w:val="244061" w:themeColor="accent1" w:themeShade="80"/>
        </w:rPr>
      </w:pPr>
      <w:r w:rsidRPr="00E035CB">
        <w:rPr>
          <w:rFonts w:eastAsia="Times New Roman" w:cs="Arial"/>
          <w:color w:val="244061" w:themeColor="accent1" w:themeShade="80"/>
        </w:rPr>
        <w:t>Step 3: The measure was released for Public Comment prior to publication in HEDIS. We received and responded to comments on this measure.</w:t>
      </w:r>
    </w:p>
    <w:p w14:paraId="05B2F00D" w14:textId="77777777" w:rsidR="001035A1" w:rsidRPr="00E035CB" w:rsidRDefault="001035A1" w:rsidP="001035A1">
      <w:pPr>
        <w:spacing w:after="0" w:line="240" w:lineRule="auto"/>
        <w:rPr>
          <w:rFonts w:eastAsia="Times New Roman" w:cs="Arial"/>
          <w:color w:val="244061" w:themeColor="accent1" w:themeShade="80"/>
        </w:rPr>
      </w:pPr>
    </w:p>
    <w:p w14:paraId="3CAFE6FC" w14:textId="77777777" w:rsidR="001035A1" w:rsidRPr="00E035CB" w:rsidRDefault="001035A1" w:rsidP="001035A1">
      <w:pPr>
        <w:spacing w:after="0" w:line="240" w:lineRule="auto"/>
        <w:rPr>
          <w:rFonts w:eastAsia="Times New Roman" w:cs="Arial"/>
          <w:color w:val="244061" w:themeColor="accent1" w:themeShade="80"/>
        </w:rPr>
      </w:pPr>
      <w:r w:rsidRPr="00E035CB">
        <w:rPr>
          <w:rFonts w:eastAsia="Times New Roman" w:cs="Arial"/>
          <w:color w:val="244061" w:themeColor="accent1" w:themeShade="80"/>
        </w:rPr>
        <w:t xml:space="preserve">Step 4: The Follow-Up After Hospitalization for Mental Illness measure was introduced in HEDIS 1994. Organizations reported the measures in the first year and the results were analyzed for public reporting in the following year. </w:t>
      </w:r>
    </w:p>
    <w:p w14:paraId="433D173B" w14:textId="77777777" w:rsidR="001035A1" w:rsidRPr="00E035CB" w:rsidRDefault="001035A1" w:rsidP="001035A1">
      <w:pPr>
        <w:spacing w:after="0" w:line="240" w:lineRule="auto"/>
        <w:rPr>
          <w:rFonts w:eastAsia="Times New Roman" w:cs="Arial"/>
          <w:color w:val="244061" w:themeColor="accent1" w:themeShade="80"/>
        </w:rPr>
      </w:pPr>
    </w:p>
    <w:p w14:paraId="19B1096E" w14:textId="77777777" w:rsidR="001035A1" w:rsidRPr="00E035CB" w:rsidRDefault="001035A1" w:rsidP="001035A1">
      <w:pPr>
        <w:autoSpaceDE w:val="0"/>
        <w:autoSpaceDN w:val="0"/>
        <w:adjustRightInd w:val="0"/>
        <w:spacing w:after="0" w:line="240" w:lineRule="auto"/>
        <w:rPr>
          <w:rFonts w:eastAsia="Times New Roman" w:cs="Arial"/>
          <w:color w:val="244061" w:themeColor="accent1" w:themeShade="80"/>
        </w:rPr>
      </w:pPr>
      <w:r w:rsidRPr="00E035CB">
        <w:rPr>
          <w:rFonts w:eastAsia="Times New Roman" w:cs="Arial"/>
          <w:color w:val="244061" w:themeColor="accent1" w:themeShade="80"/>
        </w:rPr>
        <w:t>Step 5: The Follow-Up After Hospitalization for Mental Illness measure was reevaluated in 2011/2012.</w:t>
      </w:r>
    </w:p>
    <w:p w14:paraId="32A56BAF" w14:textId="77777777" w:rsidR="001035A1" w:rsidRPr="00092566" w:rsidRDefault="001035A1" w:rsidP="00092566">
      <w:pPr>
        <w:autoSpaceDE w:val="0"/>
        <w:autoSpaceDN w:val="0"/>
        <w:adjustRightInd w:val="0"/>
        <w:spacing w:after="0" w:line="240" w:lineRule="auto"/>
        <w:rPr>
          <w:rFonts w:cstheme="minorHAnsi"/>
          <w:bCs/>
        </w:rPr>
      </w:pPr>
    </w:p>
    <w:p w14:paraId="0CABCFDF" w14:textId="1A4B2A0D" w:rsidR="007422FD"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p>
    <w:p w14:paraId="11427B28" w14:textId="4F1B8A8A" w:rsidR="001035A1" w:rsidRDefault="001035A1" w:rsidP="00DB3627">
      <w:pPr>
        <w:autoSpaceDE w:val="0"/>
        <w:autoSpaceDN w:val="0"/>
        <w:adjustRightInd w:val="0"/>
        <w:spacing w:after="0" w:line="240" w:lineRule="auto"/>
        <w:rPr>
          <w:rFonts w:cstheme="minorHAnsi"/>
          <w:b/>
          <w:color w:val="FF0000"/>
          <w:u w:val="single"/>
        </w:rPr>
      </w:pPr>
      <w:r w:rsidRPr="001035A1">
        <w:rPr>
          <w:rFonts w:cstheme="minorHAnsi"/>
          <w:b/>
          <w:color w:val="FF0000"/>
          <w:u w:val="single"/>
        </w:rPr>
        <w:t>2020 Submission:</w:t>
      </w:r>
    </w:p>
    <w:p w14:paraId="59BD322D" w14:textId="77777777" w:rsidR="001035A1" w:rsidRPr="001035A1" w:rsidRDefault="001035A1" w:rsidP="00DB3627">
      <w:pPr>
        <w:autoSpaceDE w:val="0"/>
        <w:autoSpaceDN w:val="0"/>
        <w:adjustRightInd w:val="0"/>
        <w:spacing w:after="0" w:line="240" w:lineRule="auto"/>
        <w:rPr>
          <w:rFonts w:cstheme="minorHAnsi"/>
          <w:b/>
          <w:color w:val="FF0000"/>
          <w:u w:val="single"/>
        </w:rPr>
      </w:pPr>
    </w:p>
    <w:p w14:paraId="4B58609C" w14:textId="0BDB445F" w:rsidR="00D55F4A" w:rsidRPr="009D514E" w:rsidRDefault="00D55F4A" w:rsidP="00D55F4A">
      <w:pPr>
        <w:spacing w:after="0" w:line="240" w:lineRule="auto"/>
        <w:textAlignment w:val="baseline"/>
        <w:rPr>
          <w:rFonts w:ascii="&amp;quot" w:eastAsia="Times New Roman" w:hAnsi="&amp;quot" w:cs="Times New Roman"/>
          <w:color w:val="FF0000"/>
          <w:sz w:val="18"/>
          <w:szCs w:val="18"/>
        </w:rPr>
      </w:pPr>
      <w:r w:rsidRPr="009D514E">
        <w:rPr>
          <w:rFonts w:ascii="Calibri" w:eastAsia="Times New Roman" w:hAnsi="Calibri" w:cs="Calibri"/>
          <w:color w:val="FF0000"/>
          <w:u w:val="single"/>
        </w:rPr>
        <w:t>Interpretation of construct validity testing</w:t>
      </w:r>
      <w:r w:rsidRPr="009D514E">
        <w:rPr>
          <w:rFonts w:ascii="Calibri" w:eastAsia="Times New Roman" w:hAnsi="Calibri" w:cs="Calibri"/>
          <w:color w:val="FF0000"/>
        </w:rPr>
        <w:t xml:space="preserve">  </w:t>
      </w:r>
      <w:r>
        <w:br/>
      </w:r>
      <w:r w:rsidRPr="009D514E">
        <w:rPr>
          <w:rFonts w:ascii="Calibri" w:eastAsia="Times New Roman" w:hAnsi="Calibri" w:cs="Calibri"/>
          <w:color w:val="FF0000"/>
        </w:rPr>
        <w:t xml:space="preserve">Correlations between individual rates within the </w:t>
      </w:r>
      <w:r w:rsidRPr="00D55F4A">
        <w:rPr>
          <w:rFonts w:eastAsia="Times New Roman" w:cs="Arial"/>
          <w:i/>
          <w:iCs/>
          <w:color w:val="FF0000"/>
        </w:rPr>
        <w:t>Follow-Up After Hospitalization for Mental Illness</w:t>
      </w:r>
      <w:r w:rsidRPr="00D55F4A">
        <w:rPr>
          <w:rFonts w:ascii="Calibri" w:eastAsia="Times New Roman" w:hAnsi="Calibri" w:cs="Calibri"/>
          <w:i/>
          <w:iCs/>
          <w:color w:val="FF0000"/>
        </w:rPr>
        <w:t xml:space="preserve"> </w:t>
      </w:r>
      <w:r w:rsidRPr="009D514E">
        <w:rPr>
          <w:rFonts w:ascii="Calibri" w:eastAsia="Times New Roman" w:hAnsi="Calibri" w:cs="Calibri"/>
          <w:color w:val="FF0000"/>
        </w:rPr>
        <w:t xml:space="preserve">measure were </w:t>
      </w:r>
      <w:r w:rsidR="3A376C63" w:rsidRPr="7C1B3648">
        <w:rPr>
          <w:rFonts w:ascii="Calibri" w:eastAsia="Times New Roman" w:hAnsi="Calibri" w:cs="Calibri"/>
          <w:color w:val="FF0000"/>
        </w:rPr>
        <w:t xml:space="preserve">positive and </w:t>
      </w:r>
      <w:r w:rsidRPr="009D514E">
        <w:rPr>
          <w:rFonts w:ascii="Calibri" w:eastAsia="Times New Roman" w:hAnsi="Calibri" w:cs="Calibri"/>
          <w:color w:val="FF0000"/>
        </w:rPr>
        <w:t>strong (Tables 4a, 4b</w:t>
      </w:r>
      <w:r>
        <w:rPr>
          <w:rFonts w:ascii="Calibri" w:eastAsia="Times New Roman" w:hAnsi="Calibri" w:cs="Calibri"/>
          <w:color w:val="FF0000"/>
        </w:rPr>
        <w:t>, 4c</w:t>
      </w:r>
      <w:r w:rsidRPr="009D514E">
        <w:rPr>
          <w:rFonts w:ascii="Calibri" w:eastAsia="Times New Roman" w:hAnsi="Calibri" w:cs="Calibri"/>
          <w:color w:val="FF0000"/>
        </w:rPr>
        <w:t>)</w:t>
      </w:r>
      <w:r>
        <w:rPr>
          <w:rFonts w:ascii="Calibri" w:eastAsia="Times New Roman" w:hAnsi="Calibri" w:cs="Calibri"/>
          <w:color w:val="FF0000"/>
        </w:rPr>
        <w:t xml:space="preserve"> across product lines</w:t>
      </w:r>
      <w:r w:rsidRPr="009D514E">
        <w:rPr>
          <w:rFonts w:ascii="Calibri" w:eastAsia="Times New Roman" w:hAnsi="Calibri" w:cs="Calibri"/>
          <w:color w:val="FF0000"/>
        </w:rPr>
        <w:t xml:space="preserve">. </w:t>
      </w:r>
      <w:r w:rsidR="00727568">
        <w:rPr>
          <w:rFonts w:ascii="Calibri" w:eastAsia="Times New Roman" w:hAnsi="Calibri" w:cs="Calibri"/>
          <w:color w:val="FF0000"/>
        </w:rPr>
        <w:t>Across all product lines</w:t>
      </w:r>
      <w:r w:rsidRPr="009D514E">
        <w:rPr>
          <w:rFonts w:ascii="Calibri" w:eastAsia="Times New Roman" w:hAnsi="Calibri" w:cs="Calibri"/>
          <w:color w:val="FF0000"/>
        </w:rPr>
        <w:t xml:space="preserve">, correlations between the </w:t>
      </w:r>
      <w:r w:rsidR="00612BC2" w:rsidRPr="00D55F4A">
        <w:rPr>
          <w:rFonts w:eastAsia="Times New Roman" w:cs="Arial"/>
          <w:i/>
          <w:iCs/>
          <w:color w:val="FF0000"/>
        </w:rPr>
        <w:t>Follow-Up After Hospitalization for Mental Illness</w:t>
      </w:r>
      <w:r w:rsidRPr="009D514E">
        <w:rPr>
          <w:rFonts w:ascii="Calibri" w:eastAsia="Times New Roman" w:hAnsi="Calibri" w:cs="Calibri"/>
          <w:i/>
          <w:iCs/>
          <w:color w:val="FF0000"/>
        </w:rPr>
        <w:t xml:space="preserve"> </w:t>
      </w:r>
      <w:r w:rsidRPr="009D514E">
        <w:rPr>
          <w:rFonts w:ascii="Calibri" w:eastAsia="Times New Roman" w:hAnsi="Calibri" w:cs="Calibri"/>
          <w:color w:val="FF0000"/>
        </w:rPr>
        <w:t xml:space="preserve">and the </w:t>
      </w:r>
      <w:r w:rsidR="00612BC2" w:rsidRPr="00D55F4A">
        <w:rPr>
          <w:rFonts w:eastAsia="Times New Roman" w:cs="Arial"/>
          <w:i/>
          <w:iCs/>
          <w:color w:val="FF0000"/>
        </w:rPr>
        <w:t xml:space="preserve">Follow-Up After </w:t>
      </w:r>
      <w:r w:rsidR="00612BC2">
        <w:rPr>
          <w:rFonts w:eastAsia="Times New Roman" w:cs="Arial"/>
          <w:i/>
          <w:iCs/>
          <w:color w:val="FF0000"/>
        </w:rPr>
        <w:t>Emergency Department Visit</w:t>
      </w:r>
      <w:r w:rsidR="00612BC2" w:rsidRPr="7C1B3648">
        <w:rPr>
          <w:i/>
          <w:color w:val="FF0000"/>
        </w:rPr>
        <w:t xml:space="preserve"> for </w:t>
      </w:r>
      <w:r w:rsidR="00612BC2" w:rsidRPr="00D55F4A">
        <w:rPr>
          <w:rFonts w:eastAsia="Times New Roman" w:cs="Arial"/>
          <w:i/>
          <w:iCs/>
          <w:color w:val="FF0000"/>
        </w:rPr>
        <w:t>Mental Illness</w:t>
      </w:r>
      <w:r w:rsidR="00612BC2" w:rsidRPr="00D55F4A">
        <w:rPr>
          <w:rFonts w:ascii="Calibri" w:eastAsia="Times New Roman" w:hAnsi="Calibri" w:cs="Calibri"/>
          <w:i/>
          <w:iCs/>
          <w:color w:val="FF0000"/>
        </w:rPr>
        <w:t xml:space="preserve"> </w:t>
      </w:r>
      <w:r w:rsidRPr="7C1B3648">
        <w:rPr>
          <w:color w:val="FF0000"/>
        </w:rPr>
        <w:t xml:space="preserve">measure rates (Table 5a) were </w:t>
      </w:r>
      <w:r w:rsidR="31271AA8" w:rsidRPr="7C1B3648">
        <w:rPr>
          <w:color w:val="FF0000"/>
        </w:rPr>
        <w:t xml:space="preserve">positive and </w:t>
      </w:r>
      <w:r w:rsidRPr="7C1B3648">
        <w:rPr>
          <w:color w:val="FF0000"/>
        </w:rPr>
        <w:t xml:space="preserve">moderate. </w:t>
      </w:r>
      <w:r w:rsidRPr="009D514E">
        <w:rPr>
          <w:rFonts w:ascii="Calibri" w:eastAsia="Times New Roman" w:hAnsi="Calibri" w:cs="Calibri"/>
          <w:color w:val="FF0000"/>
        </w:rPr>
        <w:t xml:space="preserve">Plans with higher rates on </w:t>
      </w:r>
      <w:r w:rsidR="00612BC2" w:rsidRPr="00D55F4A">
        <w:rPr>
          <w:rFonts w:eastAsia="Times New Roman" w:cs="Arial"/>
          <w:i/>
          <w:iCs/>
          <w:color w:val="FF0000"/>
        </w:rPr>
        <w:t>Follow-Up After Hospitalization for Mental Illness</w:t>
      </w:r>
      <w:r w:rsidR="00612BC2" w:rsidRPr="009D514E" w:rsidDel="00612BC2">
        <w:rPr>
          <w:rFonts w:ascii="Calibri" w:eastAsia="Times New Roman" w:hAnsi="Calibri" w:cs="Calibri"/>
          <w:i/>
          <w:iCs/>
          <w:color w:val="FF0000"/>
        </w:rPr>
        <w:t xml:space="preserve"> </w:t>
      </w:r>
      <w:r w:rsidRPr="009D514E">
        <w:rPr>
          <w:rFonts w:ascii="Calibri" w:eastAsia="Times New Roman" w:hAnsi="Calibri" w:cs="Calibri"/>
          <w:color w:val="FF0000"/>
        </w:rPr>
        <w:t xml:space="preserve">tend to also have higher rates on the </w:t>
      </w:r>
      <w:r w:rsidR="00612BC2" w:rsidRPr="00D55F4A">
        <w:rPr>
          <w:rFonts w:eastAsia="Times New Roman" w:cs="Arial"/>
          <w:i/>
          <w:iCs/>
          <w:color w:val="FF0000"/>
        </w:rPr>
        <w:t xml:space="preserve">Follow-Up After </w:t>
      </w:r>
      <w:r w:rsidR="00612BC2">
        <w:rPr>
          <w:rFonts w:eastAsia="Times New Roman" w:cs="Arial"/>
          <w:i/>
          <w:iCs/>
          <w:color w:val="FF0000"/>
        </w:rPr>
        <w:t>Emergency Department Visit</w:t>
      </w:r>
      <w:r w:rsidR="00612BC2" w:rsidRPr="00D55F4A">
        <w:rPr>
          <w:rFonts w:eastAsia="Times New Roman" w:cs="Arial"/>
          <w:i/>
          <w:iCs/>
          <w:color w:val="FF0000"/>
        </w:rPr>
        <w:t xml:space="preserve"> for Mental Illness</w:t>
      </w:r>
      <w:r w:rsidR="00612BC2" w:rsidRPr="00D55F4A">
        <w:rPr>
          <w:rFonts w:ascii="Calibri" w:eastAsia="Times New Roman" w:hAnsi="Calibri" w:cs="Calibri"/>
          <w:i/>
          <w:iCs/>
          <w:color w:val="FF0000"/>
        </w:rPr>
        <w:t xml:space="preserve"> </w:t>
      </w:r>
      <w:r w:rsidRPr="7C1B3648">
        <w:rPr>
          <w:color w:val="FF0000"/>
        </w:rPr>
        <w:t>measure</w:t>
      </w:r>
      <w:r w:rsidRPr="009D514E">
        <w:rPr>
          <w:rFonts w:ascii="Calibri" w:eastAsia="Times New Roman" w:hAnsi="Calibri" w:cs="Calibri"/>
          <w:color w:val="FF0000"/>
        </w:rPr>
        <w:t xml:space="preserve">. The results indicate that the </w:t>
      </w:r>
      <w:r w:rsidR="00612BC2" w:rsidRPr="00D55F4A">
        <w:rPr>
          <w:rFonts w:eastAsia="Times New Roman" w:cs="Arial"/>
          <w:i/>
          <w:iCs/>
          <w:color w:val="FF0000"/>
        </w:rPr>
        <w:t>Follow-Up After Hospitalization for Mental Illness</w:t>
      </w:r>
      <w:r w:rsidRPr="009D514E">
        <w:rPr>
          <w:rFonts w:ascii="Calibri" w:eastAsia="Times New Roman" w:hAnsi="Calibri" w:cs="Calibri"/>
          <w:i/>
          <w:iCs/>
          <w:color w:val="FF0000"/>
        </w:rPr>
        <w:t xml:space="preserve"> </w:t>
      </w:r>
      <w:r w:rsidRPr="009D514E">
        <w:rPr>
          <w:rFonts w:ascii="Calibri" w:eastAsia="Times New Roman" w:hAnsi="Calibri" w:cs="Calibri"/>
          <w:color w:val="FF0000"/>
        </w:rPr>
        <w:t xml:space="preserve">measure has good validity.   </w:t>
      </w:r>
    </w:p>
    <w:p w14:paraId="187F2108" w14:textId="77777777" w:rsidR="00D55F4A" w:rsidRDefault="00D55F4A" w:rsidP="00D55F4A">
      <w:pPr>
        <w:spacing w:after="0" w:line="240" w:lineRule="auto"/>
        <w:textAlignment w:val="baseline"/>
        <w:rPr>
          <w:rFonts w:ascii="Calibri" w:eastAsia="Times New Roman" w:hAnsi="Calibri" w:cs="Calibri"/>
          <w:color w:val="FF0000"/>
          <w:u w:val="single"/>
        </w:rPr>
      </w:pPr>
    </w:p>
    <w:p w14:paraId="6022FA02" w14:textId="77777777" w:rsidR="00D55F4A" w:rsidRPr="00700A37" w:rsidRDefault="00D55F4A" w:rsidP="00D55F4A">
      <w:pPr>
        <w:spacing w:after="0" w:line="240" w:lineRule="auto"/>
        <w:textAlignment w:val="baseline"/>
        <w:rPr>
          <w:rFonts w:ascii="&amp;quot" w:eastAsia="Times New Roman" w:hAnsi="&amp;quot" w:cs="Times New Roman"/>
          <w:color w:val="FF0000"/>
          <w:sz w:val="18"/>
          <w:szCs w:val="18"/>
        </w:rPr>
      </w:pPr>
      <w:r w:rsidRPr="00390ED2">
        <w:rPr>
          <w:rFonts w:ascii="Calibri" w:eastAsia="Times New Roman" w:hAnsi="Calibri" w:cs="Calibri"/>
          <w:color w:val="FF0000"/>
          <w:u w:val="single"/>
        </w:rPr>
        <w:t>I</w:t>
      </w:r>
      <w:r w:rsidRPr="00700A37">
        <w:rPr>
          <w:rFonts w:ascii="Calibri" w:eastAsia="Times New Roman" w:hAnsi="Calibri" w:cs="Calibri"/>
          <w:color w:val="FF0000"/>
          <w:u w:val="single"/>
        </w:rPr>
        <w:t>nterpretation of systematic assessment of face validity</w:t>
      </w:r>
      <w:r w:rsidRPr="00700A37">
        <w:rPr>
          <w:rFonts w:ascii="Calibri" w:eastAsia="Times New Roman" w:hAnsi="Calibri" w:cs="Calibri"/>
          <w:color w:val="FF0000"/>
        </w:rPr>
        <w:t> </w:t>
      </w:r>
    </w:p>
    <w:p w14:paraId="38DE1138" w14:textId="77777777" w:rsidR="00D55F4A" w:rsidRPr="00700A37" w:rsidRDefault="00D55F4A" w:rsidP="00D55F4A">
      <w:pPr>
        <w:spacing w:after="0" w:line="240" w:lineRule="auto"/>
        <w:textAlignment w:val="baseline"/>
        <w:rPr>
          <w:rFonts w:ascii="&amp;quot" w:eastAsia="Times New Roman" w:hAnsi="&amp;quot" w:cs="Times New Roman"/>
          <w:color w:val="FF0000"/>
          <w:sz w:val="18"/>
          <w:szCs w:val="18"/>
        </w:rPr>
      </w:pPr>
      <w:r w:rsidRPr="00700A37">
        <w:rPr>
          <w:rFonts w:ascii="Calibri" w:eastAsia="Times New Roman" w:hAnsi="Calibri" w:cs="Calibri"/>
          <w:color w:val="FF0000"/>
        </w:rPr>
        <w:t> The multi-stakeholder advisory panels concluded the measures had good face validity. </w:t>
      </w:r>
    </w:p>
    <w:p w14:paraId="3014EAEB" w14:textId="77777777" w:rsidR="00587EDD" w:rsidRDefault="00587EDD" w:rsidP="00587EDD">
      <w:pPr>
        <w:autoSpaceDE w:val="0"/>
        <w:autoSpaceDN w:val="0"/>
        <w:adjustRightInd w:val="0"/>
        <w:spacing w:after="0" w:line="240" w:lineRule="auto"/>
        <w:rPr>
          <w:rFonts w:cstheme="minorHAnsi"/>
          <w:bCs/>
        </w:rPr>
      </w:pPr>
    </w:p>
    <w:p w14:paraId="386F6968" w14:textId="77777777" w:rsidR="005238DA" w:rsidRPr="00E035CB" w:rsidRDefault="005238DA" w:rsidP="005238DA">
      <w:pPr>
        <w:autoSpaceDE w:val="0"/>
        <w:autoSpaceDN w:val="0"/>
        <w:adjustRightInd w:val="0"/>
        <w:spacing w:after="0" w:line="240" w:lineRule="auto"/>
        <w:rPr>
          <w:rFonts w:cstheme="minorHAnsi"/>
          <w:b/>
          <w:color w:val="244061" w:themeColor="accent1" w:themeShade="80"/>
          <w:u w:val="single"/>
        </w:rPr>
      </w:pPr>
      <w:r w:rsidRPr="00E035CB">
        <w:rPr>
          <w:rFonts w:cstheme="minorHAnsi"/>
          <w:b/>
          <w:color w:val="244061" w:themeColor="accent1" w:themeShade="80"/>
          <w:u w:val="single"/>
        </w:rPr>
        <w:t>2016 Submission:</w:t>
      </w:r>
    </w:p>
    <w:p w14:paraId="252B893C" w14:textId="77777777" w:rsidR="005238DA" w:rsidRPr="00E035CB" w:rsidRDefault="005238DA" w:rsidP="005238DA">
      <w:pPr>
        <w:autoSpaceDE w:val="0"/>
        <w:autoSpaceDN w:val="0"/>
        <w:adjustRightInd w:val="0"/>
        <w:spacing w:after="0" w:line="240" w:lineRule="auto"/>
        <w:rPr>
          <w:rFonts w:cstheme="minorHAnsi"/>
          <w:bCs/>
          <w:color w:val="244061" w:themeColor="accent1" w:themeShade="80"/>
        </w:rPr>
      </w:pPr>
      <w:r w:rsidRPr="00E035CB">
        <w:rPr>
          <w:rFonts w:cstheme="minorHAnsi"/>
          <w:b/>
          <w:color w:val="244061" w:themeColor="accent1" w:themeShade="80"/>
        </w:rPr>
        <w:t>Interpretation of systematic assessment of face validity:</w:t>
      </w:r>
      <w:r w:rsidRPr="00E035CB">
        <w:rPr>
          <w:rFonts w:cstheme="minorHAnsi"/>
          <w:color w:val="244061" w:themeColor="accent1" w:themeShade="80"/>
        </w:rPr>
        <w:t xml:space="preserve"> </w:t>
      </w:r>
      <w:r w:rsidRPr="00E035CB">
        <w:rPr>
          <w:rFonts w:cstheme="minorHAnsi"/>
          <w:bCs/>
          <w:color w:val="244061" w:themeColor="accent1" w:themeShade="80"/>
        </w:rPr>
        <w:t>Our advisory panels agreed that the measures as specified will accurately differentiate quality across health plans. The measure had sufficient face validity.</w:t>
      </w:r>
    </w:p>
    <w:p w14:paraId="14AA85A0" w14:textId="77777777" w:rsidR="00375CBB" w:rsidRDefault="00375CBB" w:rsidP="00DB3627">
      <w:pPr>
        <w:autoSpaceDE w:val="0"/>
        <w:autoSpaceDN w:val="0"/>
        <w:adjustRightInd w:val="0"/>
        <w:spacing w:after="0" w:line="240" w:lineRule="auto"/>
        <w:rPr>
          <w:rFonts w:cstheme="minorHAnsi"/>
          <w:bCs/>
        </w:rPr>
      </w:pPr>
    </w:p>
    <w:p w14:paraId="42354BBF" w14:textId="77777777" w:rsidR="00375CBB" w:rsidRDefault="00375CBB" w:rsidP="00DB3627">
      <w:pPr>
        <w:autoSpaceDE w:val="0"/>
        <w:autoSpaceDN w:val="0"/>
        <w:adjustRightInd w:val="0"/>
        <w:spacing w:after="0" w:line="240" w:lineRule="auto"/>
        <w:rPr>
          <w:rFonts w:cstheme="minorHAnsi"/>
          <w:bCs/>
        </w:rPr>
      </w:pPr>
    </w:p>
    <w:p w14:paraId="6AE31446" w14:textId="77777777" w:rsidR="00375CBB" w:rsidRDefault="00375CBB" w:rsidP="00DB3627">
      <w:pPr>
        <w:autoSpaceDE w:val="0"/>
        <w:autoSpaceDN w:val="0"/>
        <w:adjustRightInd w:val="0"/>
        <w:spacing w:after="0" w:line="240" w:lineRule="auto"/>
        <w:rPr>
          <w:rFonts w:cstheme="minorHAnsi"/>
          <w:bCs/>
        </w:rPr>
      </w:pPr>
    </w:p>
    <w:p w14:paraId="6B16CEF2" w14:textId="77777777" w:rsidR="00375CBB" w:rsidRPr="00A25024" w:rsidRDefault="00375CBB" w:rsidP="00DB3627">
      <w:pPr>
        <w:autoSpaceDE w:val="0"/>
        <w:autoSpaceDN w:val="0"/>
        <w:adjustRightInd w:val="0"/>
        <w:spacing w:after="0" w:line="240" w:lineRule="auto"/>
        <w:rPr>
          <w:rFonts w:cstheme="minorHAnsi"/>
          <w:bCs/>
        </w:rPr>
      </w:pPr>
    </w:p>
    <w:p w14:paraId="0CABCFE0"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3077CA93"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1"/>
            <w14:checkedState w14:val="2612" w14:font="MS Gothic"/>
            <w14:uncheckedState w14:val="2610" w14:font="MS Gothic"/>
          </w14:checkbox>
        </w:sdtPr>
        <w:sdtEndPr/>
        <w:sdtContent>
          <w:r w:rsidR="00152782">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565946">
          <w:rPr>
            <w:rStyle w:val="Hyperlink"/>
            <w:rFonts w:cstheme="minorHAnsi"/>
            <w:b/>
            <w:bCs/>
            <w:i/>
            <w:highlight w:val="green"/>
          </w:rPr>
          <w:t>3</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431CCE52" w14:textId="10337E90" w:rsidR="00337B6F" w:rsidRPr="00906107" w:rsidRDefault="00092566" w:rsidP="00906107">
      <w:pPr>
        <w:spacing w:after="0" w:line="240" w:lineRule="auto"/>
        <w:rPr>
          <w:rFonts w:cs="Arial"/>
          <w:b/>
          <w:color w:val="244061" w:themeColor="accent1" w:themeShade="80"/>
          <w:u w:val="single"/>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r>
    </w:p>
    <w:p w14:paraId="15029C36" w14:textId="77777777" w:rsidR="00906107" w:rsidRPr="006E655D" w:rsidRDefault="00906107" w:rsidP="00906107">
      <w:pPr>
        <w:autoSpaceDE w:val="0"/>
        <w:autoSpaceDN w:val="0"/>
        <w:adjustRightInd w:val="0"/>
        <w:spacing w:after="0" w:line="240" w:lineRule="auto"/>
        <w:rPr>
          <w:rFonts w:cstheme="minorHAnsi"/>
          <w:b/>
          <w:bCs/>
          <w:color w:val="FF0000"/>
          <w:u w:val="single"/>
        </w:rPr>
      </w:pPr>
      <w:r w:rsidRPr="006E655D">
        <w:rPr>
          <w:rFonts w:cstheme="minorHAnsi"/>
          <w:b/>
          <w:bCs/>
          <w:color w:val="FF0000"/>
          <w:u w:val="single"/>
        </w:rPr>
        <w:t xml:space="preserve">2020 Submission: </w:t>
      </w:r>
    </w:p>
    <w:p w14:paraId="5E648EE7" w14:textId="0C148ED3" w:rsidR="00906107" w:rsidRPr="00906107" w:rsidRDefault="00906107" w:rsidP="00906107">
      <w:pPr>
        <w:spacing w:after="0" w:line="240" w:lineRule="auto"/>
        <w:rPr>
          <w:rFonts w:cs="Arial"/>
          <w:color w:val="FF0000"/>
        </w:rPr>
      </w:pPr>
      <w:r w:rsidRPr="00906107">
        <w:rPr>
          <w:rFonts w:cs="Arial"/>
          <w:color w:val="FF0000"/>
        </w:rPr>
        <w:t>NCQA currently allows health plans to apply</w:t>
      </w:r>
      <w:r w:rsidR="00191F59">
        <w:rPr>
          <w:rFonts w:cs="Arial"/>
          <w:color w:val="FF0000"/>
        </w:rPr>
        <w:t xml:space="preserve"> exclusions </w:t>
      </w:r>
      <w:r w:rsidRPr="00906107">
        <w:rPr>
          <w:rFonts w:cs="Arial"/>
          <w:color w:val="FF0000"/>
        </w:rPr>
        <w:t>to their results. NCQA does not collect data on exclusion for HEDIS reporting of the measure. In measure development and field testing, we investigate</w:t>
      </w:r>
      <w:r w:rsidR="00462A10">
        <w:rPr>
          <w:rFonts w:cs="Arial"/>
          <w:color w:val="FF0000"/>
        </w:rPr>
        <w:t>d</w:t>
      </w:r>
      <w:r w:rsidRPr="00906107">
        <w:rPr>
          <w:rFonts w:cs="Arial"/>
          <w:color w:val="FF0000"/>
        </w:rPr>
        <w:t xml:space="preserve"> and validate</w:t>
      </w:r>
      <w:r w:rsidR="00462A10">
        <w:rPr>
          <w:rFonts w:cs="Arial"/>
          <w:color w:val="FF0000"/>
        </w:rPr>
        <w:t>d</w:t>
      </w:r>
      <w:r w:rsidRPr="00906107">
        <w:rPr>
          <w:rFonts w:cs="Arial"/>
          <w:color w:val="FF0000"/>
        </w:rPr>
        <w:t xml:space="preserve"> the exclusion applied to the eligible denominator. </w:t>
      </w:r>
    </w:p>
    <w:p w14:paraId="202F7A2B" w14:textId="77777777" w:rsidR="00906107" w:rsidRDefault="00906107" w:rsidP="00906107">
      <w:pPr>
        <w:spacing w:after="0" w:line="240" w:lineRule="auto"/>
        <w:rPr>
          <w:rFonts w:cs="Arial"/>
          <w:b/>
          <w:color w:val="1F497D" w:themeColor="text2"/>
          <w:u w:val="single"/>
        </w:rPr>
      </w:pPr>
    </w:p>
    <w:p w14:paraId="5C262762" w14:textId="77777777" w:rsidR="00906107" w:rsidRPr="00E035CB" w:rsidRDefault="00906107" w:rsidP="00906107">
      <w:pPr>
        <w:spacing w:after="0" w:line="240" w:lineRule="auto"/>
        <w:rPr>
          <w:rFonts w:cs="Arial"/>
          <w:color w:val="244061" w:themeColor="accent1" w:themeShade="80"/>
        </w:rPr>
      </w:pPr>
    </w:p>
    <w:p w14:paraId="3EC1AF6C" w14:textId="77777777" w:rsidR="00906107" w:rsidRPr="00E035CB" w:rsidRDefault="00906107" w:rsidP="00906107">
      <w:pPr>
        <w:spacing w:after="0" w:line="240" w:lineRule="auto"/>
        <w:rPr>
          <w:rFonts w:cs="Arial"/>
          <w:b/>
          <w:color w:val="244061" w:themeColor="accent1" w:themeShade="80"/>
          <w:u w:val="single"/>
        </w:rPr>
      </w:pPr>
      <w:r w:rsidRPr="00E035CB">
        <w:rPr>
          <w:rFonts w:cs="Arial"/>
          <w:b/>
          <w:color w:val="244061" w:themeColor="accent1" w:themeShade="80"/>
          <w:u w:val="single"/>
        </w:rPr>
        <w:t>2016 Update: EXCLUSIONS ANALYSIS</w:t>
      </w:r>
    </w:p>
    <w:p w14:paraId="27738D64" w14:textId="77CFC519" w:rsidR="00906107" w:rsidRDefault="00906107" w:rsidP="00906107">
      <w:pPr>
        <w:spacing w:after="0" w:line="240" w:lineRule="auto"/>
        <w:rPr>
          <w:rFonts w:cs="Arial"/>
          <w:color w:val="244061" w:themeColor="accent1" w:themeShade="80"/>
        </w:rPr>
      </w:pPr>
      <w:r w:rsidRPr="00E035CB">
        <w:rPr>
          <w:rFonts w:cs="Arial"/>
          <w:color w:val="244061" w:themeColor="accent1" w:themeShade="80"/>
        </w:rPr>
        <w:t xml:space="preserve">NCQA currently allows health plans for exclusion to their results. NCQA does not collect data on exclusion for HEDIS reporting of the measure. In measure development and field testing, we investigate and validate the exclusion applied to the eligible denominator. </w:t>
      </w:r>
    </w:p>
    <w:p w14:paraId="15A50C26" w14:textId="77777777" w:rsidR="00906107" w:rsidRPr="00E035CB" w:rsidRDefault="00906107" w:rsidP="00906107">
      <w:pPr>
        <w:spacing w:after="0" w:line="240" w:lineRule="auto"/>
        <w:rPr>
          <w:rFonts w:cs="Arial"/>
          <w:color w:val="244061" w:themeColor="accent1" w:themeShade="80"/>
        </w:rPr>
      </w:pPr>
    </w:p>
    <w:p w14:paraId="5BADE281" w14:textId="77777777" w:rsidR="00906107" w:rsidRPr="00E035CB" w:rsidRDefault="00906107" w:rsidP="00906107">
      <w:pPr>
        <w:spacing w:after="0" w:line="240" w:lineRule="auto"/>
        <w:rPr>
          <w:rFonts w:cs="Arial"/>
          <w:b/>
          <w:color w:val="244061" w:themeColor="accent1" w:themeShade="80"/>
          <w:u w:val="single"/>
        </w:rPr>
      </w:pPr>
      <w:r w:rsidRPr="00E035CB">
        <w:rPr>
          <w:rFonts w:cs="Arial"/>
          <w:b/>
          <w:color w:val="244061" w:themeColor="accent1" w:themeShade="80"/>
          <w:u w:val="single"/>
        </w:rPr>
        <w:t>2012 Submission</w:t>
      </w:r>
    </w:p>
    <w:p w14:paraId="38D75D3C" w14:textId="77777777" w:rsidR="00906107" w:rsidRPr="00E035CB" w:rsidRDefault="00906107" w:rsidP="00906107">
      <w:pPr>
        <w:spacing w:after="0" w:line="240" w:lineRule="auto"/>
        <w:rPr>
          <w:rFonts w:cs="Arial"/>
          <w:color w:val="244061" w:themeColor="accent1" w:themeShade="80"/>
        </w:rPr>
      </w:pPr>
      <w:r w:rsidRPr="00E035CB">
        <w:rPr>
          <w:rFonts w:cs="Arial"/>
          <w:color w:val="244061" w:themeColor="accent1" w:themeShade="80"/>
        </w:rPr>
        <w:t xml:space="preserve">NCQA currently allows health plans for optional exclusion to their results. NCQA does not conduct the annual analysis applied to a sample. In measure development, field testing and any re-analysis for update, we investigate and validate the </w:t>
      </w:r>
      <w:proofErr w:type="spellStart"/>
      <w:r w:rsidRPr="00E035CB">
        <w:rPr>
          <w:rFonts w:cs="Arial"/>
          <w:color w:val="244061" w:themeColor="accent1" w:themeShade="80"/>
        </w:rPr>
        <w:t>affect</w:t>
      </w:r>
      <w:proofErr w:type="spellEnd"/>
      <w:r w:rsidRPr="00E035CB">
        <w:rPr>
          <w:rFonts w:cs="Arial"/>
          <w:color w:val="244061" w:themeColor="accent1" w:themeShade="80"/>
        </w:rPr>
        <w:t xml:space="preserve"> of the reliability exclusion applied to the eligible denominator.</w:t>
      </w:r>
    </w:p>
    <w:p w14:paraId="0CABCFE5" w14:textId="77777777" w:rsidR="00833325" w:rsidRPr="00A25024" w:rsidRDefault="00833325" w:rsidP="00DB3627">
      <w:pPr>
        <w:autoSpaceDE w:val="0"/>
        <w:autoSpaceDN w:val="0"/>
        <w:adjustRightInd w:val="0"/>
        <w:spacing w:after="0" w:line="240" w:lineRule="auto"/>
        <w:rPr>
          <w:rFonts w:cstheme="minorHAnsi"/>
          <w:bCs/>
        </w:rPr>
      </w:pPr>
    </w:p>
    <w:p w14:paraId="0CABCFE6" w14:textId="38532CDE" w:rsidR="007422FD" w:rsidRDefault="00092566" w:rsidP="00092566">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14:paraId="11087334" w14:textId="77777777" w:rsidR="00337B6F" w:rsidRPr="006E655D" w:rsidRDefault="00337B6F" w:rsidP="00337B6F">
      <w:pPr>
        <w:autoSpaceDE w:val="0"/>
        <w:autoSpaceDN w:val="0"/>
        <w:adjustRightInd w:val="0"/>
        <w:spacing w:after="0" w:line="240" w:lineRule="auto"/>
        <w:rPr>
          <w:rFonts w:cstheme="minorHAnsi"/>
          <w:b/>
          <w:bCs/>
          <w:color w:val="FF0000"/>
          <w:u w:val="single"/>
        </w:rPr>
      </w:pPr>
      <w:r w:rsidRPr="006E655D">
        <w:rPr>
          <w:rFonts w:cstheme="minorHAnsi"/>
          <w:b/>
          <w:bCs/>
          <w:color w:val="FF0000"/>
          <w:u w:val="single"/>
        </w:rPr>
        <w:t xml:space="preserve">2020 Submission: </w:t>
      </w:r>
    </w:p>
    <w:p w14:paraId="0C384897" w14:textId="77777777" w:rsidR="00337B6F" w:rsidRPr="00AE1E46" w:rsidRDefault="00337B6F" w:rsidP="00337B6F">
      <w:pPr>
        <w:autoSpaceDE w:val="0"/>
        <w:autoSpaceDN w:val="0"/>
        <w:adjustRightInd w:val="0"/>
        <w:spacing w:after="0" w:line="240" w:lineRule="auto"/>
        <w:rPr>
          <w:rFonts w:cstheme="minorHAnsi"/>
          <w:bCs/>
          <w:color w:val="FF0000"/>
        </w:rPr>
      </w:pPr>
      <w:r w:rsidRPr="00AE1E46">
        <w:rPr>
          <w:rFonts w:cstheme="minorHAnsi"/>
          <w:bCs/>
          <w:color w:val="FF0000"/>
        </w:rPr>
        <w:t>N/A</w:t>
      </w:r>
    </w:p>
    <w:p w14:paraId="66459342" w14:textId="77777777" w:rsidR="00337B6F" w:rsidRDefault="00337B6F" w:rsidP="00337B6F">
      <w:pPr>
        <w:autoSpaceDE w:val="0"/>
        <w:autoSpaceDN w:val="0"/>
        <w:adjustRightInd w:val="0"/>
        <w:spacing w:after="0" w:line="240" w:lineRule="auto"/>
        <w:rPr>
          <w:rFonts w:cstheme="minorHAnsi"/>
          <w:bCs/>
          <w:color w:val="1F497D" w:themeColor="text2"/>
        </w:rPr>
      </w:pPr>
    </w:p>
    <w:p w14:paraId="162F32FB" w14:textId="77777777" w:rsidR="00337B6F" w:rsidRPr="00E035CB" w:rsidRDefault="00337B6F" w:rsidP="00337B6F">
      <w:pPr>
        <w:autoSpaceDE w:val="0"/>
        <w:autoSpaceDN w:val="0"/>
        <w:adjustRightInd w:val="0"/>
        <w:spacing w:after="0" w:line="240" w:lineRule="auto"/>
        <w:rPr>
          <w:rFonts w:cstheme="minorHAnsi"/>
          <w:b/>
          <w:color w:val="1F497D" w:themeColor="text2"/>
          <w:u w:val="single"/>
        </w:rPr>
      </w:pPr>
      <w:r w:rsidRPr="00E035CB">
        <w:rPr>
          <w:rFonts w:cstheme="minorHAnsi"/>
          <w:b/>
          <w:color w:val="1F497D" w:themeColor="text2"/>
          <w:u w:val="single"/>
        </w:rPr>
        <w:t>2016 Submission:</w:t>
      </w:r>
    </w:p>
    <w:p w14:paraId="2BC37F28" w14:textId="77777777" w:rsidR="00337B6F" w:rsidRPr="00753C06" w:rsidRDefault="00337B6F" w:rsidP="00337B6F">
      <w:pPr>
        <w:autoSpaceDE w:val="0"/>
        <w:autoSpaceDN w:val="0"/>
        <w:adjustRightInd w:val="0"/>
        <w:spacing w:after="0" w:line="240" w:lineRule="auto"/>
        <w:rPr>
          <w:rFonts w:cstheme="minorHAnsi"/>
          <w:bCs/>
        </w:rPr>
      </w:pPr>
      <w:r w:rsidRPr="00753C06">
        <w:rPr>
          <w:rFonts w:cstheme="minorHAnsi"/>
          <w:bCs/>
          <w:color w:val="1F497D" w:themeColor="text2"/>
        </w:rPr>
        <w:t>N/A</w:t>
      </w:r>
    </w:p>
    <w:p w14:paraId="0CABCFE7" w14:textId="77777777" w:rsidR="00092566" w:rsidRPr="009D3882" w:rsidRDefault="00092566" w:rsidP="00092566">
      <w:pPr>
        <w:autoSpaceDE w:val="0"/>
        <w:autoSpaceDN w:val="0"/>
        <w:adjustRightInd w:val="0"/>
        <w:spacing w:after="0" w:line="240" w:lineRule="auto"/>
        <w:rPr>
          <w:rFonts w:cstheme="minorHAnsi"/>
          <w:bCs/>
          <w:sz w:val="12"/>
        </w:rPr>
      </w:pPr>
    </w:p>
    <w:p w14:paraId="419A6529" w14:textId="77777777" w:rsidR="008176D2" w:rsidRDefault="00092566" w:rsidP="008176D2">
      <w:pPr>
        <w:autoSpaceDE w:val="0"/>
        <w:autoSpaceDN w:val="0"/>
        <w:adjustRightInd w:val="0"/>
        <w:spacing w:after="0" w:line="240" w:lineRule="auto"/>
        <w:rPr>
          <w:rFonts w:cstheme="minorHAnsi"/>
          <w:bCs/>
          <w:color w:val="FF0000"/>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6C1BE100" w14:textId="77777777" w:rsidR="00337B6F" w:rsidRPr="006E655D" w:rsidRDefault="00337B6F" w:rsidP="00337B6F">
      <w:pPr>
        <w:autoSpaceDE w:val="0"/>
        <w:autoSpaceDN w:val="0"/>
        <w:adjustRightInd w:val="0"/>
        <w:spacing w:after="0" w:line="240" w:lineRule="auto"/>
        <w:rPr>
          <w:rFonts w:cstheme="minorHAnsi"/>
          <w:b/>
          <w:bCs/>
          <w:color w:val="FF0000"/>
          <w:u w:val="single"/>
        </w:rPr>
      </w:pPr>
      <w:r w:rsidRPr="006E655D">
        <w:rPr>
          <w:rFonts w:cstheme="minorHAnsi"/>
          <w:b/>
          <w:bCs/>
          <w:color w:val="FF0000"/>
          <w:u w:val="single"/>
        </w:rPr>
        <w:t xml:space="preserve">2020 Submission: </w:t>
      </w:r>
    </w:p>
    <w:p w14:paraId="0493A00F" w14:textId="77777777" w:rsidR="00337B6F" w:rsidRPr="00AE1E46" w:rsidRDefault="00337B6F" w:rsidP="00337B6F">
      <w:pPr>
        <w:autoSpaceDE w:val="0"/>
        <w:autoSpaceDN w:val="0"/>
        <w:adjustRightInd w:val="0"/>
        <w:spacing w:after="0" w:line="240" w:lineRule="auto"/>
        <w:rPr>
          <w:rFonts w:cstheme="minorHAnsi"/>
          <w:bCs/>
          <w:color w:val="FF0000"/>
        </w:rPr>
      </w:pPr>
      <w:r w:rsidRPr="00AE1E46">
        <w:rPr>
          <w:rFonts w:cstheme="minorHAnsi"/>
          <w:bCs/>
          <w:color w:val="FF0000"/>
        </w:rPr>
        <w:t>N/A</w:t>
      </w:r>
    </w:p>
    <w:p w14:paraId="2E702369" w14:textId="77777777" w:rsidR="00337B6F" w:rsidRDefault="00337B6F" w:rsidP="00337B6F">
      <w:pPr>
        <w:autoSpaceDE w:val="0"/>
        <w:autoSpaceDN w:val="0"/>
        <w:adjustRightInd w:val="0"/>
        <w:spacing w:after="0" w:line="240" w:lineRule="auto"/>
        <w:rPr>
          <w:rFonts w:cstheme="minorHAnsi"/>
          <w:bCs/>
          <w:color w:val="1F497D" w:themeColor="text2"/>
        </w:rPr>
      </w:pPr>
    </w:p>
    <w:p w14:paraId="1F0B4352" w14:textId="77777777" w:rsidR="00337B6F" w:rsidRPr="00E035CB" w:rsidRDefault="00337B6F" w:rsidP="00337B6F">
      <w:pPr>
        <w:autoSpaceDE w:val="0"/>
        <w:autoSpaceDN w:val="0"/>
        <w:adjustRightInd w:val="0"/>
        <w:spacing w:after="0" w:line="240" w:lineRule="auto"/>
        <w:rPr>
          <w:rFonts w:cstheme="minorHAnsi"/>
          <w:b/>
          <w:color w:val="1F497D" w:themeColor="text2"/>
          <w:u w:val="single"/>
        </w:rPr>
      </w:pPr>
      <w:r w:rsidRPr="00E035CB">
        <w:rPr>
          <w:rFonts w:cstheme="minorHAnsi"/>
          <w:b/>
          <w:color w:val="1F497D" w:themeColor="text2"/>
          <w:u w:val="single"/>
        </w:rPr>
        <w:t>2016 Submission:</w:t>
      </w:r>
    </w:p>
    <w:p w14:paraId="0E2261E8" w14:textId="77777777" w:rsidR="00337B6F" w:rsidRPr="00753C06" w:rsidRDefault="00337B6F" w:rsidP="00337B6F">
      <w:pPr>
        <w:autoSpaceDE w:val="0"/>
        <w:autoSpaceDN w:val="0"/>
        <w:adjustRightInd w:val="0"/>
        <w:spacing w:after="0" w:line="240" w:lineRule="auto"/>
        <w:rPr>
          <w:rFonts w:cstheme="minorHAnsi"/>
          <w:bCs/>
        </w:rPr>
      </w:pPr>
      <w:r w:rsidRPr="00753C06">
        <w:rPr>
          <w:rFonts w:cstheme="minorHAnsi"/>
          <w:bCs/>
          <w:color w:val="1F497D" w:themeColor="text2"/>
        </w:rPr>
        <w:t>N/A</w:t>
      </w:r>
    </w:p>
    <w:p w14:paraId="0CABCFE8" w14:textId="73A0A762" w:rsidR="007422FD" w:rsidRPr="00A25024" w:rsidRDefault="007422FD" w:rsidP="00DB3627">
      <w:pPr>
        <w:autoSpaceDE w:val="0"/>
        <w:autoSpaceDN w:val="0"/>
        <w:adjustRightInd w:val="0"/>
        <w:spacing w:after="0" w:line="240" w:lineRule="auto"/>
        <w:rPr>
          <w:rFonts w:cstheme="minorHAnsi"/>
          <w:bCs/>
        </w:rPr>
      </w:pPr>
    </w:p>
    <w:p w14:paraId="0CABCFE9"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A6C3041" w:rsidR="00AC1D8E" w:rsidRPr="0086464B" w:rsidRDefault="00092566" w:rsidP="00AC1D8E">
      <w:pPr>
        <w:autoSpaceDE w:val="0"/>
        <w:autoSpaceDN w:val="0"/>
        <w:adjustRightInd w:val="0"/>
        <w:spacing w:after="0" w:line="240" w:lineRule="auto"/>
        <w:rPr>
          <w:rFonts w:cstheme="minorHAnsi"/>
          <w:b/>
          <w:bCs/>
          <w:i/>
        </w:rPr>
      </w:pPr>
      <w:bookmarkStart w:id="11" w:name="section2b4"/>
      <w:bookmarkEnd w:id="11"/>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w:t>
        </w:r>
        <w:r w:rsidR="00565946">
          <w:rPr>
            <w:rStyle w:val="Hyperlink"/>
            <w:rFonts w:cstheme="minorHAnsi"/>
            <w:b/>
            <w:bCs/>
            <w:i/>
            <w:highlight w:val="green"/>
          </w:rPr>
          <w:t>4</w:t>
        </w:r>
      </w:hyperlink>
      <w:r w:rsidR="00BE592D" w:rsidRPr="00BE592D">
        <w:rPr>
          <w:rFonts w:cstheme="minorHAnsi"/>
          <w:b/>
          <w:bCs/>
          <w:i/>
          <w:highlight w:val="green"/>
        </w:rPr>
        <w:t>.</w:t>
      </w:r>
    </w:p>
    <w:p w14:paraId="0CABCFEB" w14:textId="77777777" w:rsidR="008871A9" w:rsidRDefault="008871A9" w:rsidP="00092566">
      <w:pPr>
        <w:autoSpaceDE w:val="0"/>
        <w:autoSpaceDN w:val="0"/>
        <w:adjustRightInd w:val="0"/>
        <w:spacing w:after="0" w:line="240" w:lineRule="auto"/>
        <w:rPr>
          <w:rFonts w:cstheme="minorHAnsi"/>
          <w:b/>
          <w:bCs/>
        </w:rPr>
      </w:pPr>
    </w:p>
    <w:p w14:paraId="0CABCFEC" w14:textId="166E6E8B"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r w:rsidR="00743E46" w:rsidRPr="005232D6">
        <w:rPr>
          <w:rFonts w:cstheme="minorHAnsi"/>
          <w:b/>
          <w:bCs/>
        </w:rPr>
        <w:t>What method of controlling for differences in case mix is used?</w:t>
      </w:r>
    </w:p>
    <w:p w14:paraId="0CABCFED" w14:textId="14755F3E" w:rsidR="00033038" w:rsidRPr="005232D6" w:rsidRDefault="00F0285B"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610B30">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77777777" w:rsidR="00743E46" w:rsidRPr="005232D6" w:rsidRDefault="00F0285B"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0CABCFEF" w14:textId="77777777" w:rsidR="00743E46" w:rsidRPr="005232D6" w:rsidRDefault="00F0285B"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F0285B"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CABCFF1" w14:textId="77777777" w:rsidR="00743E46" w:rsidRDefault="00743E46" w:rsidP="00092566">
      <w:pPr>
        <w:autoSpaceDE w:val="0"/>
        <w:autoSpaceDN w:val="0"/>
        <w:adjustRightInd w:val="0"/>
        <w:spacing w:after="0" w:line="240" w:lineRule="auto"/>
        <w:rPr>
          <w:rFonts w:cstheme="minorHAnsi"/>
          <w:b/>
          <w:bCs/>
        </w:rPr>
      </w:pPr>
    </w:p>
    <w:p w14:paraId="0CABCFF2" w14:textId="7B192693" w:rsidR="00092566" w:rsidRDefault="000B7D57" w:rsidP="00F34FAB">
      <w:pPr>
        <w:autoSpaceDE w:val="0"/>
        <w:autoSpaceDN w:val="0"/>
        <w:adjustRightInd w:val="0"/>
        <w:spacing w:after="0" w:line="240" w:lineRule="auto"/>
        <w:rPr>
          <w:rFonts w:cstheme="minorHAnsi"/>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0A1E352E" w14:textId="77777777" w:rsidR="00AF2D68" w:rsidRDefault="00AF2D68" w:rsidP="009D3882">
      <w:pPr>
        <w:rPr>
          <w:rFonts w:cs="Calibri"/>
          <w:b/>
          <w:bCs/>
        </w:rPr>
      </w:pPr>
    </w:p>
    <w:p w14:paraId="0CABCFF4" w14:textId="72F05C9F" w:rsidR="009D3882" w:rsidRPr="009D3882" w:rsidRDefault="009C7513" w:rsidP="009D3882">
      <w:pPr>
        <w:rPr>
          <w:rFonts w:cstheme="minorHAnsi"/>
          <w:b/>
          <w:bCs/>
          <w:sz w:val="14"/>
        </w:rPr>
      </w:pPr>
      <w:r>
        <w:rPr>
          <w:rFonts w:cs="Calibri"/>
          <w:b/>
          <w:bCs/>
        </w:rPr>
        <w:t>2b3</w:t>
      </w:r>
      <w:r w:rsidR="009D3882">
        <w:rPr>
          <w:rFonts w:cs="Calibri"/>
          <w:b/>
          <w:bCs/>
        </w:rPr>
        <w:t xml:space="preserve">.2. If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r w:rsidR="009D3882">
        <w:rPr>
          <w:rFonts w:cs="Calibri"/>
          <w:bCs/>
        </w:rPr>
        <w:br/>
      </w:r>
    </w:p>
    <w:p w14:paraId="0CABCFF6" w14:textId="6B194552" w:rsidR="00001D73" w:rsidRPr="00AF2D68" w:rsidRDefault="009C7513" w:rsidP="00AF2D68">
      <w:pPr>
        <w:rPr>
          <w:rFonts w:cstheme="minorHAnsi"/>
          <w:bCs/>
          <w:sz w:val="4"/>
        </w:rPr>
      </w:pPr>
      <w:r>
        <w:rPr>
          <w:rFonts w:cstheme="minorHAnsi"/>
          <w:b/>
          <w:bCs/>
        </w:rPr>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AF2D68">
        <w:rPr>
          <w:rFonts w:cstheme="minorHAnsi"/>
          <w:b/>
          <w:bCs/>
        </w:rPr>
        <w:t>Also discuss any “ordering” of risk factor inclusion</w:t>
      </w:r>
      <w:r w:rsidR="00CE284E">
        <w:rPr>
          <w:rFonts w:cstheme="minorHAnsi"/>
          <w:bCs/>
        </w:rPr>
        <w:t>; for example, a</w:t>
      </w:r>
      <w:r w:rsidR="00AF2D68">
        <w:rPr>
          <w:rFonts w:cstheme="minorHAnsi"/>
          <w:bCs/>
        </w:rPr>
        <w:t>re social risk factors added after all clinical factors?</w:t>
      </w:r>
      <w:r w:rsidR="00092566" w:rsidRPr="00A25024">
        <w:rPr>
          <w:rFonts w:cstheme="minorHAnsi"/>
          <w:bCs/>
        </w:rPr>
        <w:br/>
      </w:r>
    </w:p>
    <w:p w14:paraId="4260792A" w14:textId="019483A8" w:rsidR="00275563" w:rsidRDefault="00275563" w:rsidP="00001D73">
      <w:pPr>
        <w:autoSpaceDE w:val="0"/>
        <w:autoSpaceDN w:val="0"/>
        <w:adjustRightInd w:val="0"/>
        <w:spacing w:after="0" w:line="240" w:lineRule="auto"/>
        <w:rPr>
          <w:rFonts w:cstheme="minorHAnsi"/>
          <w:b/>
          <w:bCs/>
        </w:rPr>
      </w:pPr>
      <w:r>
        <w:rPr>
          <w:rFonts w:cstheme="minorHAnsi"/>
          <w:b/>
          <w:bCs/>
        </w:rPr>
        <w:t xml:space="preserve">2b3.3b. How was the conceptual model </w:t>
      </w:r>
      <w:r w:rsidR="00CE284E">
        <w:rPr>
          <w:rFonts w:cstheme="minorHAnsi"/>
          <w:b/>
          <w:bCs/>
        </w:rPr>
        <w:t xml:space="preserve">of how social risk impacts this outcome </w:t>
      </w:r>
      <w:r>
        <w:rPr>
          <w:rFonts w:cstheme="minorHAnsi"/>
          <w:b/>
          <w:bCs/>
        </w:rPr>
        <w:t>developed?  Please check all that apply:</w:t>
      </w:r>
    </w:p>
    <w:p w14:paraId="2B47DA83" w14:textId="30659D6E" w:rsidR="00275563" w:rsidRPr="005232D6" w:rsidRDefault="00F0285B"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6BA683BB" w:rsidR="00275563" w:rsidRPr="005232D6" w:rsidRDefault="00F0285B"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1489D6C2" w:rsidR="00275563" w:rsidRPr="005232D6" w:rsidRDefault="00F0285B"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6574D2">
            <w:rPr>
              <w:rFonts w:ascii="MS Gothic" w:eastAsia="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p>
    <w:p w14:paraId="7C5644B4" w14:textId="77777777" w:rsidR="00275563" w:rsidRDefault="00275563" w:rsidP="00001D73">
      <w:pPr>
        <w:autoSpaceDE w:val="0"/>
        <w:autoSpaceDN w:val="0"/>
        <w:adjustRightInd w:val="0"/>
        <w:spacing w:after="0" w:line="240" w:lineRule="auto"/>
        <w:rPr>
          <w:rFonts w:cstheme="minorHAnsi"/>
          <w:b/>
          <w:bCs/>
        </w:rPr>
      </w:pPr>
    </w:p>
    <w:p w14:paraId="0CABCFF7" w14:textId="434655CC" w:rsidR="00092566" w:rsidRDefault="009C7513" w:rsidP="00001D73">
      <w:pPr>
        <w:autoSpaceDE w:val="0"/>
        <w:autoSpaceDN w:val="0"/>
        <w:adjustRightInd w:val="0"/>
        <w:spacing w:after="0" w:line="240" w:lineRule="auto"/>
        <w:rPr>
          <w:rFonts w:cstheme="minorHAnsi"/>
          <w:b/>
          <w:bCs/>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r w:rsidR="00092566" w:rsidRPr="00A25024">
        <w:rPr>
          <w:rFonts w:cstheme="minorHAnsi"/>
          <w:b/>
          <w:bCs/>
        </w:rPr>
        <w:t>What were the statistical results of the analyses used to select risk factors?</w:t>
      </w:r>
      <w:r w:rsidR="00001D73">
        <w:rPr>
          <w:rFonts w:cstheme="minorHAnsi"/>
          <w:b/>
          <w:bCs/>
        </w:rPr>
        <w:br/>
      </w:r>
    </w:p>
    <w:p w14:paraId="0CABCFF8" w14:textId="350A0D85" w:rsidR="00001D73" w:rsidRPr="00CE284E" w:rsidRDefault="009C7513" w:rsidP="00001D73">
      <w:pPr>
        <w:autoSpaceDE w:val="0"/>
        <w:autoSpaceDN w:val="0"/>
        <w:adjustRightInd w:val="0"/>
        <w:spacing w:after="0" w:line="240" w:lineRule="auto"/>
        <w:rPr>
          <w:rFonts w:cstheme="minorHAnsi"/>
          <w:b/>
          <w:bCs/>
        </w:rPr>
      </w:pPr>
      <w:r>
        <w:rPr>
          <w:rFonts w:cstheme="minorHAnsi"/>
          <w:b/>
          <w:bCs/>
        </w:rPr>
        <w:t>2b3</w:t>
      </w:r>
      <w:r w:rsidR="00C1695E">
        <w:rPr>
          <w:rFonts w:cstheme="minorHAnsi"/>
          <w:b/>
          <w:bCs/>
        </w:rPr>
        <w:t xml:space="preserve">.4b. Describe the analyses and interpretation resulting in the decision to select </w:t>
      </w:r>
      <w:r w:rsidR="00AF2D68">
        <w:rPr>
          <w:rFonts w:cstheme="minorHAnsi"/>
          <w:b/>
          <w:bCs/>
        </w:rPr>
        <w:t>social risk</w:t>
      </w:r>
      <w:r w:rsidR="00C1695E">
        <w:rPr>
          <w:rFonts w:cstheme="minorHAnsi"/>
          <w:b/>
          <w:bCs/>
        </w:rPr>
        <w:t xml:space="preserve"> factors </w:t>
      </w:r>
      <w:r w:rsidR="00C1695E" w:rsidRPr="00AF2D68">
        <w:rPr>
          <w:rFonts w:cstheme="minorHAnsi"/>
          <w:bCs/>
          <w:i/>
        </w:rPr>
        <w:t>(e.g. prevalence of the factor across measured entities, empirical association with the outcome, contribution of unique variation in the outcome, assessment of between-unit effects and within-unit effects</w:t>
      </w:r>
      <w:r w:rsidR="00CE284E">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14:paraId="0CABCFF9" w14:textId="77777777" w:rsidR="00C1695E" w:rsidRPr="00001D73" w:rsidRDefault="00C1695E" w:rsidP="00001D73">
      <w:pPr>
        <w:autoSpaceDE w:val="0"/>
        <w:autoSpaceDN w:val="0"/>
        <w:adjustRightInd w:val="0"/>
        <w:spacing w:after="0" w:line="240" w:lineRule="auto"/>
        <w:rPr>
          <w:rFonts w:cstheme="minorHAnsi"/>
          <w:b/>
          <w:bCs/>
        </w:rPr>
      </w:pPr>
    </w:p>
    <w:p w14:paraId="0CABCFFA" w14:textId="5F1D568F" w:rsidR="00092566" w:rsidRPr="00A25024" w:rsidRDefault="009C7513" w:rsidP="00092566">
      <w:pPr>
        <w:autoSpaceDE w:val="0"/>
        <w:autoSpaceDN w:val="0"/>
        <w:adjustRightInd w:val="0"/>
        <w:spacing w:after="0" w:line="240" w:lineRule="auto"/>
        <w:rPr>
          <w:rFonts w:cstheme="minorHAnsi"/>
          <w:bCs/>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14:paraId="0CABCFFB" w14:textId="78FCA6D3"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9C7513">
          <w:rPr>
            <w:rStyle w:val="Hyperlink"/>
            <w:rFonts w:cstheme="minorHAnsi"/>
            <w:b/>
            <w:bCs/>
            <w:i/>
            <w:highlight w:val="green"/>
          </w:rPr>
          <w:t>2b3.9</w:t>
        </w:r>
      </w:hyperlink>
    </w:p>
    <w:p w14:paraId="0CABCFFC" w14:textId="77777777" w:rsidR="00743E46" w:rsidRDefault="00743E46" w:rsidP="00092566">
      <w:pPr>
        <w:autoSpaceDE w:val="0"/>
        <w:autoSpaceDN w:val="0"/>
        <w:adjustRightInd w:val="0"/>
        <w:spacing w:after="0" w:line="240" w:lineRule="auto"/>
        <w:rPr>
          <w:rFonts w:cstheme="minorHAnsi"/>
          <w:b/>
          <w:bCs/>
        </w:rPr>
      </w:pPr>
    </w:p>
    <w:p w14:paraId="0CABCFFD" w14:textId="79D5D7A7" w:rsidR="00001D73" w:rsidRPr="00001D73" w:rsidRDefault="00743E46" w:rsidP="00092566">
      <w:pPr>
        <w:autoSpaceDE w:val="0"/>
        <w:autoSpaceDN w:val="0"/>
        <w:adjustRightInd w:val="0"/>
        <w:spacing w:after="0" w:line="240" w:lineRule="auto"/>
        <w:rPr>
          <w:rFonts w:cstheme="minorHAnsi"/>
          <w:b/>
          <w:bCs/>
        </w:rPr>
      </w:pPr>
      <w:r>
        <w:rPr>
          <w:rFonts w:cstheme="minorHAnsi"/>
          <w:b/>
          <w:bCs/>
        </w:rPr>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14:paraId="0CABCFFE" w14:textId="57E7DDD4" w:rsidR="00001D73" w:rsidRDefault="009C7513" w:rsidP="00092566">
      <w:pPr>
        <w:autoSpaceDE w:val="0"/>
        <w:autoSpaceDN w:val="0"/>
        <w:adjustRightInd w:val="0"/>
        <w:spacing w:after="0" w:line="240" w:lineRule="auto"/>
        <w:rPr>
          <w:rFonts w:cstheme="minorHAnsi"/>
          <w:b/>
          <w:bCs/>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w:t>
      </w:r>
      <w:proofErr w:type="spellStart"/>
      <w:r w:rsidR="003605B4" w:rsidRPr="003605B4">
        <w:rPr>
          <w:rFonts w:cstheme="minorHAnsi"/>
          <w:bCs/>
          <w:i/>
        </w:rPr>
        <w:t>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14:paraId="0CABCFFF" w14:textId="7ECFB7AA" w:rsidR="00743E46" w:rsidRDefault="009C7513" w:rsidP="00092566">
      <w:pPr>
        <w:autoSpaceDE w:val="0"/>
        <w:autoSpaceDN w:val="0"/>
        <w:adjustRightInd w:val="0"/>
        <w:spacing w:after="0" w:line="240" w:lineRule="auto"/>
        <w:rPr>
          <w:rFonts w:cstheme="minorHAnsi"/>
          <w:b/>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p>
    <w:p w14:paraId="0CABD000" w14:textId="2277C090" w:rsidR="00092566" w:rsidRPr="00A25024" w:rsidRDefault="009C7513" w:rsidP="00092566">
      <w:pPr>
        <w:autoSpaceDE w:val="0"/>
        <w:autoSpaceDN w:val="0"/>
        <w:adjustRightInd w:val="0"/>
        <w:spacing w:after="0" w:line="240" w:lineRule="auto"/>
        <w:rPr>
          <w:rFonts w:cstheme="minorHAnsi"/>
          <w:bCs/>
        </w:rPr>
      </w:pPr>
      <w:bookmarkStart w:id="12" w:name="question2b49"/>
      <w:bookmarkEnd w:id="12"/>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0CABD001" w14:textId="77777777" w:rsidR="00092566" w:rsidRPr="00A25024" w:rsidRDefault="00092566" w:rsidP="00092566">
      <w:pPr>
        <w:pStyle w:val="ListParagraph"/>
        <w:rPr>
          <w:rFonts w:cstheme="minorHAnsi"/>
          <w:bCs/>
        </w:rPr>
      </w:pPr>
    </w:p>
    <w:p w14:paraId="0CABD002" w14:textId="35305BFC" w:rsidR="00092566" w:rsidRPr="00A25024" w:rsidRDefault="009C7513"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p>
    <w:p w14:paraId="0CABD003" w14:textId="77777777" w:rsidR="00092566" w:rsidRPr="00A25024" w:rsidRDefault="00092566" w:rsidP="00092566">
      <w:pPr>
        <w:spacing w:after="0" w:line="240" w:lineRule="auto"/>
        <w:rPr>
          <w:rFonts w:cstheme="minorHAnsi"/>
        </w:rPr>
      </w:pPr>
    </w:p>
    <w:p w14:paraId="0CABD004" w14:textId="74D8FEB4" w:rsidR="00021170" w:rsidRPr="009B1A15" w:rsidRDefault="009C7513" w:rsidP="009B1A15">
      <w:pPr>
        <w:spacing w:after="0" w:line="240" w:lineRule="auto"/>
        <w:rPr>
          <w:rFonts w:cstheme="minorHAnsi"/>
        </w:rPr>
      </w:pPr>
      <w:r>
        <w:rPr>
          <w:rFonts w:cstheme="minorHAnsi"/>
          <w:b/>
          <w:highlight w:val="green"/>
        </w:rPr>
        <w:t>2b3</w:t>
      </w:r>
      <w:r w:rsidR="009B1A15" w:rsidRPr="009B1A15">
        <w:rPr>
          <w:rFonts w:cstheme="minorHAnsi"/>
          <w:b/>
          <w:highlight w:val="green"/>
        </w:rPr>
        <w:t>.11.</w:t>
      </w:r>
      <w:r w:rsidR="009B1A15">
        <w:rPr>
          <w:rFonts w:cstheme="minorHAnsi"/>
          <w:highlight w:val="green"/>
        </w:rPr>
        <w:t xml:space="preserve"> </w:t>
      </w:r>
      <w:r w:rsidR="00092566"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0CABD005" w14:textId="77777777" w:rsidR="003755CB" w:rsidRDefault="003755CB" w:rsidP="00D61410">
      <w:pPr>
        <w:autoSpaceDE w:val="0"/>
        <w:autoSpaceDN w:val="0"/>
        <w:adjustRightInd w:val="0"/>
        <w:spacing w:after="0" w:line="240" w:lineRule="auto"/>
        <w:rPr>
          <w:rFonts w:cstheme="minorHAnsi"/>
          <w:b/>
          <w:bCs/>
        </w:rPr>
      </w:pP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13" w:name="section2b5"/>
      <w:bookmarkEnd w:id="13"/>
      <w:r>
        <w:rPr>
          <w:rFonts w:cstheme="minorHAnsi"/>
          <w:b/>
          <w:bCs/>
        </w:rPr>
        <w:t>2b4</w:t>
      </w:r>
      <w:r w:rsidR="00D61410" w:rsidRPr="00A25024">
        <w:rPr>
          <w:rFonts w:cstheme="minorHAnsi"/>
          <w:b/>
          <w:bCs/>
        </w:rPr>
        <w:t>. IDENTIFICATION OF STATISTICALLY SIGNIFICANT &amp; MEANINGFUL DIFFERENCES IN PERFORMANCE</w:t>
      </w:r>
    </w:p>
    <w:p w14:paraId="0CABD008" w14:textId="6E67827C" w:rsidR="00D61410"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D61410" w:rsidRPr="00A25024">
        <w:rPr>
          <w:rFonts w:cstheme="minorHAnsi"/>
          <w:bCs/>
        </w:rPr>
        <w:br/>
        <w:t xml:space="preserve"> </w:t>
      </w:r>
    </w:p>
    <w:p w14:paraId="5A9DC079" w14:textId="587BF2A4" w:rsidR="00920C47" w:rsidRPr="00920C47" w:rsidRDefault="00920C47" w:rsidP="00920C47">
      <w:pPr>
        <w:rPr>
          <w:b/>
          <w:bCs/>
          <w:color w:val="FF0000"/>
          <w:u w:val="single"/>
        </w:rPr>
      </w:pPr>
      <w:r w:rsidRPr="00920C47">
        <w:rPr>
          <w:b/>
          <w:bCs/>
          <w:color w:val="FF0000"/>
          <w:u w:val="single"/>
        </w:rPr>
        <w:t>2020 Submission:</w:t>
      </w:r>
    </w:p>
    <w:p w14:paraId="1AA7D183" w14:textId="6784542A" w:rsidR="00920C47" w:rsidRPr="00920C47" w:rsidRDefault="00920C47" w:rsidP="00920C47">
      <w:pPr>
        <w:rPr>
          <w:color w:val="FF0000"/>
        </w:rPr>
      </w:pPr>
      <w:r w:rsidRPr="00920C47">
        <w:rPr>
          <w:color w:val="FF0000"/>
        </w:rPr>
        <w:t xml:space="preserve">To demonstrate meaningful differences in performance, NCQA calculates an inter-quartile range (IQR) for each indicator. The IQR provides a measure of the dispersion of performance. The IQR can be interpreted as the difference between the 25th and 75th percentile on a measure. </w:t>
      </w:r>
    </w:p>
    <w:p w14:paraId="331D570C" w14:textId="39F98470" w:rsidR="00920C47" w:rsidRPr="00920C47" w:rsidRDefault="00920C47" w:rsidP="00920C47">
      <w:pPr>
        <w:rPr>
          <w:color w:val="FF0000"/>
        </w:rPr>
      </w:pPr>
      <w:r w:rsidRPr="00920C47">
        <w:rPr>
          <w:color w:val="FF0000"/>
        </w:rPr>
        <w:t xml:space="preserve">To determine if this difference is statistically significant, NCQA calculates an independent sample t-test of the performance difference between two randomly selected plans at the below 25th and above 75th percentile groups. The t-test method calculates a testing statistic based on the sample size, performance rate, and standard error of each plan. The test statistic is then compared against a </w:t>
      </w:r>
      <w:r w:rsidR="00C06D04">
        <w:rPr>
          <w:color w:val="FF0000"/>
        </w:rPr>
        <w:t>t distribution, which is similar to a</w:t>
      </w:r>
      <w:r w:rsidRPr="00920C47">
        <w:rPr>
          <w:color w:val="FF0000"/>
        </w:rPr>
        <w:t xml:space="preserve"> normal distribution. If the p-value of the test statistic is less than .05, then the two plans’ performance is significantly different from each other.</w:t>
      </w:r>
    </w:p>
    <w:p w14:paraId="582BC8AB" w14:textId="77777777" w:rsidR="00920C47" w:rsidRDefault="00920C47" w:rsidP="00D61410">
      <w:pPr>
        <w:autoSpaceDE w:val="0"/>
        <w:autoSpaceDN w:val="0"/>
        <w:adjustRightInd w:val="0"/>
        <w:spacing w:after="0" w:line="240" w:lineRule="auto"/>
        <w:rPr>
          <w:rFonts w:cstheme="minorHAnsi"/>
          <w:bCs/>
        </w:rPr>
      </w:pPr>
    </w:p>
    <w:p w14:paraId="7423C0C9" w14:textId="77777777" w:rsidR="00920C47" w:rsidRDefault="00920C47" w:rsidP="00D61410">
      <w:pPr>
        <w:autoSpaceDE w:val="0"/>
        <w:autoSpaceDN w:val="0"/>
        <w:adjustRightInd w:val="0"/>
        <w:spacing w:after="0" w:line="240" w:lineRule="auto"/>
        <w:rPr>
          <w:rFonts w:cstheme="minorHAnsi"/>
          <w:bCs/>
        </w:rPr>
      </w:pPr>
    </w:p>
    <w:p w14:paraId="266B36AD" w14:textId="77777777" w:rsidR="006D52AE" w:rsidRPr="00F44DFA" w:rsidRDefault="006D52AE" w:rsidP="006D52AE">
      <w:pPr>
        <w:autoSpaceDE w:val="0"/>
        <w:autoSpaceDN w:val="0"/>
        <w:adjustRightInd w:val="0"/>
        <w:spacing w:after="0" w:line="240" w:lineRule="auto"/>
        <w:rPr>
          <w:rFonts w:cstheme="minorHAnsi"/>
          <w:bCs/>
          <w:color w:val="244061" w:themeColor="accent1" w:themeShade="80"/>
        </w:rPr>
      </w:pPr>
    </w:p>
    <w:p w14:paraId="7A1D41B1" w14:textId="77777777" w:rsidR="006D52AE" w:rsidRPr="00F44DFA" w:rsidRDefault="006D52AE" w:rsidP="006D52AE">
      <w:pPr>
        <w:autoSpaceDE w:val="0"/>
        <w:autoSpaceDN w:val="0"/>
        <w:adjustRightInd w:val="0"/>
        <w:spacing w:after="0" w:line="240" w:lineRule="auto"/>
        <w:rPr>
          <w:rFonts w:cstheme="minorHAnsi"/>
          <w:bCs/>
          <w:color w:val="244061" w:themeColor="accent1" w:themeShade="80"/>
        </w:rPr>
      </w:pPr>
      <w:r w:rsidRPr="00F44DFA">
        <w:rPr>
          <w:rFonts w:cstheme="minorHAnsi"/>
          <w:b/>
          <w:bCs/>
          <w:color w:val="244061" w:themeColor="accent1" w:themeShade="80"/>
          <w:u w:val="single"/>
        </w:rPr>
        <w:t>2016 Update</w:t>
      </w:r>
      <w:r w:rsidRPr="00F44DFA">
        <w:rPr>
          <w:rFonts w:cstheme="minorHAnsi"/>
          <w:bCs/>
          <w:color w:val="244061" w:themeColor="accent1" w:themeShade="80"/>
        </w:rPr>
        <w:br/>
      </w:r>
      <w:r w:rsidRPr="00F44DFA">
        <w:rPr>
          <w:color w:val="244061" w:themeColor="accent1" w:themeShade="80"/>
        </w:rPr>
        <w:t>To demonstrate meaningful differences in performance, NCQA calculates an inter-quartile range (IQR) for each indicator. The IQR provides a measure of the dispersion of performance. The IQR can be interpreted as the difference between the 25</w:t>
      </w:r>
      <w:r w:rsidRPr="00F44DFA">
        <w:rPr>
          <w:color w:val="244061" w:themeColor="accent1" w:themeShade="80"/>
          <w:vertAlign w:val="superscript"/>
        </w:rPr>
        <w:t>th</w:t>
      </w:r>
      <w:r w:rsidRPr="00F44DFA">
        <w:rPr>
          <w:color w:val="244061" w:themeColor="accent1" w:themeShade="80"/>
        </w:rPr>
        <w:t xml:space="preserve"> and 75</w:t>
      </w:r>
      <w:r w:rsidRPr="00F44DFA">
        <w:rPr>
          <w:color w:val="244061" w:themeColor="accent1" w:themeShade="80"/>
          <w:vertAlign w:val="superscript"/>
        </w:rPr>
        <w:t>th</w:t>
      </w:r>
      <w:r w:rsidRPr="00F44DFA">
        <w:rPr>
          <w:color w:val="244061" w:themeColor="accent1" w:themeShade="80"/>
        </w:rPr>
        <w:t xml:space="preserve"> percentile on a measure. To determine if this difference is statistically significant, NCQA calculates an independent sample t-test of the performance difference between two randomly selected plans at the 25</w:t>
      </w:r>
      <w:r w:rsidRPr="00F44DFA">
        <w:rPr>
          <w:color w:val="244061" w:themeColor="accent1" w:themeShade="80"/>
          <w:vertAlign w:val="superscript"/>
        </w:rPr>
        <w:t>th</w:t>
      </w:r>
      <w:r w:rsidRPr="00F44DFA">
        <w:rPr>
          <w:color w:val="244061" w:themeColor="accent1" w:themeShade="80"/>
        </w:rPr>
        <w:t xml:space="preserve"> and 75</w:t>
      </w:r>
      <w:r w:rsidRPr="00F44DFA">
        <w:rPr>
          <w:color w:val="244061" w:themeColor="accent1" w:themeShade="80"/>
          <w:vertAlign w:val="superscript"/>
        </w:rPr>
        <w:t>th</w:t>
      </w:r>
      <w:r w:rsidRPr="00F44DFA">
        <w:rPr>
          <w:color w:val="244061" w:themeColor="accent1" w:themeShade="80"/>
        </w:rPr>
        <w:t xml:space="preserve"> percentile. The t-test method calculates a testing statistic based on the sample size, performance rate, and standardized error of each plan.  The test statistic is then compared against a normal distribution. If the p value of the test statistic is less than .05, then the two plans’ performance is significantly different from each other. Using this method, we compared the performance rates of two randomly selected plans, one plan in the 25th percentile and another plan in the 75th percentile of performance using 2016 data. We used these two plans as examples of measured entities. However the method can be used for comparison of any two measured entities.</w:t>
      </w:r>
    </w:p>
    <w:p w14:paraId="4F6E2201" w14:textId="77777777" w:rsidR="006D52AE" w:rsidRPr="00F44DFA" w:rsidRDefault="006D52AE" w:rsidP="006D52AE">
      <w:pPr>
        <w:autoSpaceDE w:val="0"/>
        <w:autoSpaceDN w:val="0"/>
        <w:adjustRightInd w:val="0"/>
        <w:spacing w:after="0" w:line="240" w:lineRule="auto"/>
        <w:rPr>
          <w:rFonts w:cstheme="minorHAnsi"/>
          <w:bCs/>
          <w:color w:val="244061" w:themeColor="accent1" w:themeShade="80"/>
        </w:rPr>
      </w:pPr>
    </w:p>
    <w:p w14:paraId="6A834F34" w14:textId="77777777" w:rsidR="00920C47" w:rsidRPr="00F44DFA" w:rsidRDefault="00920C47" w:rsidP="00920C47">
      <w:pPr>
        <w:spacing w:after="0" w:line="240" w:lineRule="auto"/>
        <w:rPr>
          <w:rFonts w:cs="Arial"/>
          <w:color w:val="244061" w:themeColor="accent1" w:themeShade="80"/>
        </w:rPr>
      </w:pPr>
      <w:r w:rsidRPr="00F44DFA">
        <w:rPr>
          <w:rFonts w:cs="Arial"/>
          <w:b/>
          <w:color w:val="244061" w:themeColor="accent1" w:themeShade="80"/>
          <w:u w:val="single"/>
        </w:rPr>
        <w:t>2012 Submission</w:t>
      </w:r>
    </w:p>
    <w:p w14:paraId="4A825FE6" w14:textId="77777777" w:rsidR="00920C47" w:rsidRPr="00F44DFA" w:rsidRDefault="00920C47" w:rsidP="00920C47">
      <w:pPr>
        <w:spacing w:after="0" w:line="240" w:lineRule="auto"/>
        <w:rPr>
          <w:rFonts w:cs="Arial"/>
          <w:b/>
          <w:bCs/>
          <w:color w:val="244061" w:themeColor="accent1" w:themeShade="80"/>
        </w:rPr>
      </w:pPr>
      <w:r w:rsidRPr="00F44DFA">
        <w:rPr>
          <w:rFonts w:cs="Arial"/>
          <w:color w:val="244061" w:themeColor="accent1" w:themeShade="80"/>
        </w:rPr>
        <w:t xml:space="preserve">Data analysis demonstrates that methods for scoring and analysis of the specified measure allow for identification of statistically significant and practically/clinically meaningful differences in performance. </w:t>
      </w:r>
    </w:p>
    <w:p w14:paraId="1405B254" w14:textId="239FA358" w:rsidR="006D52AE" w:rsidRPr="009E2E6C" w:rsidRDefault="00920C47" w:rsidP="009E2E6C">
      <w:pPr>
        <w:spacing w:after="0" w:line="240" w:lineRule="auto"/>
        <w:rPr>
          <w:rFonts w:cs="Arial"/>
          <w:b/>
          <w:bCs/>
          <w:color w:val="244061" w:themeColor="accent1" w:themeShade="80"/>
        </w:rPr>
      </w:pPr>
      <w:r w:rsidRPr="00F44DFA">
        <w:rPr>
          <w:rFonts w:cs="Arial"/>
          <w:color w:val="244061" w:themeColor="accent1" w:themeShade="80"/>
        </w:rPr>
        <w:t xml:space="preserve">Comparison of means and percentiles; analysis of variance against established benchmarks: if sample size is &gt;400, we would use an analysis of variance. </w:t>
      </w:r>
    </w:p>
    <w:p w14:paraId="0CABD009" w14:textId="77777777" w:rsidR="00D61410" w:rsidRPr="00A25024" w:rsidRDefault="00D61410" w:rsidP="00D61410">
      <w:pPr>
        <w:autoSpaceDE w:val="0"/>
        <w:autoSpaceDN w:val="0"/>
        <w:adjustRightInd w:val="0"/>
        <w:spacing w:after="0" w:line="240" w:lineRule="auto"/>
        <w:rPr>
          <w:rFonts w:cstheme="minorHAnsi"/>
          <w:bCs/>
        </w:rPr>
      </w:pPr>
    </w:p>
    <w:p w14:paraId="489A9EA1" w14:textId="77777777" w:rsidR="00920C47" w:rsidRDefault="009C7513" w:rsidP="00E04CE5">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.2. </w:t>
      </w:r>
      <w:r w:rsidR="00D61410"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p>
    <w:p w14:paraId="0EB78EFF" w14:textId="75E0B55D" w:rsidR="00E04CE5" w:rsidRPr="006E655D" w:rsidRDefault="00D61410" w:rsidP="00E04CE5">
      <w:pPr>
        <w:autoSpaceDE w:val="0"/>
        <w:autoSpaceDN w:val="0"/>
        <w:adjustRightInd w:val="0"/>
        <w:spacing w:after="0" w:line="240" w:lineRule="auto"/>
        <w:rPr>
          <w:rFonts w:cstheme="minorHAnsi"/>
          <w:b/>
          <w:bCs/>
          <w:color w:val="FF0000"/>
          <w:u w:val="single"/>
        </w:rPr>
      </w:pPr>
      <w:r w:rsidRPr="00A25024">
        <w:rPr>
          <w:rFonts w:cstheme="minorHAnsi"/>
          <w:bCs/>
        </w:rPr>
        <w:br/>
      </w:r>
      <w:r w:rsidR="00E04CE5" w:rsidRPr="006E655D">
        <w:rPr>
          <w:rFonts w:cstheme="minorHAnsi"/>
          <w:b/>
          <w:bCs/>
          <w:color w:val="FF0000"/>
          <w:u w:val="single"/>
        </w:rPr>
        <w:t xml:space="preserve">2020 Submission: </w:t>
      </w:r>
    </w:p>
    <w:p w14:paraId="32F59698" w14:textId="77777777" w:rsidR="00E04CE5" w:rsidRDefault="00E04CE5" w:rsidP="00E04CE5">
      <w:pPr>
        <w:autoSpaceDE w:val="0"/>
        <w:autoSpaceDN w:val="0"/>
        <w:adjustRightInd w:val="0"/>
        <w:spacing w:after="0" w:line="240" w:lineRule="auto"/>
        <w:rPr>
          <w:rFonts w:cstheme="minorHAnsi"/>
          <w:bCs/>
        </w:rPr>
      </w:pPr>
    </w:p>
    <w:p w14:paraId="1A702A73" w14:textId="2207DB7A" w:rsidR="00D311EB" w:rsidRPr="00397C2D" w:rsidRDefault="00D311EB" w:rsidP="00D311EB">
      <w:pPr>
        <w:autoSpaceDE w:val="0"/>
        <w:autoSpaceDN w:val="0"/>
        <w:adjustRightInd w:val="0"/>
        <w:spacing w:after="0" w:line="240" w:lineRule="auto"/>
        <w:rPr>
          <w:rFonts w:cstheme="minorHAnsi"/>
          <w:b/>
          <w:bCs/>
          <w:color w:val="FF0000"/>
        </w:rPr>
      </w:pPr>
      <w:r w:rsidRPr="00397C2D">
        <w:rPr>
          <w:b/>
          <w:color w:val="FF0000"/>
        </w:rPr>
        <w:t>HEDIS MY 2018 Variation in Performance across Health Plans- Commercial</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551"/>
        <w:gridCol w:w="677"/>
        <w:gridCol w:w="630"/>
        <w:gridCol w:w="810"/>
        <w:gridCol w:w="810"/>
        <w:gridCol w:w="918"/>
        <w:gridCol w:w="809"/>
        <w:gridCol w:w="900"/>
        <w:gridCol w:w="810"/>
        <w:gridCol w:w="720"/>
        <w:gridCol w:w="1074"/>
      </w:tblGrid>
      <w:tr w:rsidR="00DE3EC7" w:rsidRPr="00F7625D" w14:paraId="7B54816D" w14:textId="77777777" w:rsidTr="000E3201">
        <w:trPr>
          <w:trHeight w:val="267"/>
        </w:trPr>
        <w:tc>
          <w:tcPr>
            <w:tcW w:w="1276" w:type="dxa"/>
            <w:shd w:val="clear" w:color="auto" w:fill="auto"/>
          </w:tcPr>
          <w:p w14:paraId="696D694C" w14:textId="77777777" w:rsidR="00DE3EC7" w:rsidRPr="00DE3EC7" w:rsidRDefault="00DE3EC7" w:rsidP="00050392">
            <w:pPr>
              <w:spacing w:after="0" w:line="240" w:lineRule="auto"/>
              <w:rPr>
                <w:rFonts w:ascii="Calibri" w:eastAsia="Times New Roman" w:hAnsi="Calibri" w:cs="Calibri"/>
                <w:b/>
                <w:bCs/>
                <w:color w:val="FF0000"/>
              </w:rPr>
            </w:pPr>
          </w:p>
        </w:tc>
        <w:tc>
          <w:tcPr>
            <w:tcW w:w="551" w:type="dxa"/>
            <w:tcBorders>
              <w:bottom w:val="single" w:sz="4" w:space="0" w:color="auto"/>
            </w:tcBorders>
            <w:shd w:val="clear" w:color="auto" w:fill="auto"/>
            <w:noWrap/>
            <w:vAlign w:val="bottom"/>
            <w:hideMark/>
          </w:tcPr>
          <w:p w14:paraId="256D6513" w14:textId="77777777" w:rsidR="00DE3EC7" w:rsidRPr="00DE3EC7" w:rsidRDefault="00DE3EC7" w:rsidP="00050392">
            <w:pPr>
              <w:spacing w:after="0" w:line="240" w:lineRule="auto"/>
              <w:rPr>
                <w:rFonts w:ascii="Calibri" w:eastAsia="Times New Roman" w:hAnsi="Calibri" w:cs="Calibri"/>
                <w:b/>
                <w:bCs/>
                <w:color w:val="FF0000"/>
              </w:rPr>
            </w:pPr>
            <w:r w:rsidRPr="00DE3EC7">
              <w:rPr>
                <w:rFonts w:ascii="Calibri" w:eastAsia="Times New Roman" w:hAnsi="Calibri" w:cs="Calibri"/>
                <w:b/>
                <w:bCs/>
                <w:color w:val="FF0000"/>
              </w:rPr>
              <w:t>N</w:t>
            </w:r>
          </w:p>
        </w:tc>
        <w:tc>
          <w:tcPr>
            <w:tcW w:w="677" w:type="dxa"/>
            <w:tcBorders>
              <w:bottom w:val="single" w:sz="4" w:space="0" w:color="auto"/>
            </w:tcBorders>
            <w:shd w:val="clear" w:color="auto" w:fill="auto"/>
            <w:noWrap/>
            <w:vAlign w:val="bottom"/>
            <w:hideMark/>
          </w:tcPr>
          <w:p w14:paraId="70CB42EC" w14:textId="77777777" w:rsidR="00DE3EC7" w:rsidRPr="00DE3EC7" w:rsidRDefault="00DE3EC7" w:rsidP="00050392">
            <w:pPr>
              <w:spacing w:after="0" w:line="240" w:lineRule="auto"/>
              <w:rPr>
                <w:rFonts w:ascii="Calibri" w:eastAsia="Times New Roman" w:hAnsi="Calibri" w:cs="Calibri"/>
                <w:b/>
                <w:bCs/>
                <w:color w:val="FF0000"/>
              </w:rPr>
            </w:pPr>
            <w:r w:rsidRPr="00DE3EC7">
              <w:rPr>
                <w:rFonts w:ascii="Calibri" w:eastAsia="Times New Roman" w:hAnsi="Calibri" w:cs="Calibri"/>
                <w:b/>
                <w:bCs/>
                <w:color w:val="FF0000"/>
              </w:rPr>
              <w:t>Min</w:t>
            </w:r>
          </w:p>
        </w:tc>
        <w:tc>
          <w:tcPr>
            <w:tcW w:w="630" w:type="dxa"/>
            <w:tcBorders>
              <w:bottom w:val="single" w:sz="4" w:space="0" w:color="auto"/>
            </w:tcBorders>
            <w:shd w:val="clear" w:color="auto" w:fill="auto"/>
            <w:noWrap/>
            <w:vAlign w:val="bottom"/>
            <w:hideMark/>
          </w:tcPr>
          <w:p w14:paraId="40D33A57" w14:textId="77777777" w:rsidR="00DE3EC7" w:rsidRPr="00DE3EC7" w:rsidRDefault="00DE3EC7" w:rsidP="00050392">
            <w:pPr>
              <w:spacing w:after="0" w:line="240" w:lineRule="auto"/>
              <w:rPr>
                <w:rFonts w:ascii="Calibri" w:eastAsia="Times New Roman" w:hAnsi="Calibri" w:cs="Calibri"/>
                <w:b/>
                <w:bCs/>
                <w:color w:val="FF0000"/>
              </w:rPr>
            </w:pPr>
            <w:r w:rsidRPr="00DE3EC7">
              <w:rPr>
                <w:rFonts w:ascii="Calibri" w:eastAsia="Times New Roman" w:hAnsi="Calibri" w:cs="Calibri"/>
                <w:b/>
                <w:bCs/>
                <w:color w:val="FF0000"/>
              </w:rPr>
              <w:t>P10</w:t>
            </w:r>
          </w:p>
        </w:tc>
        <w:tc>
          <w:tcPr>
            <w:tcW w:w="810" w:type="dxa"/>
            <w:tcBorders>
              <w:bottom w:val="single" w:sz="4" w:space="0" w:color="auto"/>
            </w:tcBorders>
            <w:shd w:val="clear" w:color="auto" w:fill="auto"/>
            <w:noWrap/>
            <w:vAlign w:val="bottom"/>
            <w:hideMark/>
          </w:tcPr>
          <w:p w14:paraId="0271F6F2" w14:textId="77777777" w:rsidR="00DE3EC7" w:rsidRPr="00DE3EC7" w:rsidRDefault="00DE3EC7" w:rsidP="00050392">
            <w:pPr>
              <w:spacing w:after="0" w:line="240" w:lineRule="auto"/>
              <w:rPr>
                <w:rFonts w:ascii="Calibri" w:eastAsia="Times New Roman" w:hAnsi="Calibri" w:cs="Calibri"/>
                <w:b/>
                <w:bCs/>
                <w:color w:val="FF0000"/>
              </w:rPr>
            </w:pPr>
            <w:r w:rsidRPr="00DE3EC7">
              <w:rPr>
                <w:rFonts w:ascii="Calibri" w:eastAsia="Times New Roman" w:hAnsi="Calibri" w:cs="Calibri"/>
                <w:b/>
                <w:bCs/>
                <w:color w:val="FF0000"/>
              </w:rPr>
              <w:t>P25</w:t>
            </w:r>
          </w:p>
        </w:tc>
        <w:tc>
          <w:tcPr>
            <w:tcW w:w="810" w:type="dxa"/>
            <w:tcBorders>
              <w:bottom w:val="single" w:sz="4" w:space="0" w:color="auto"/>
            </w:tcBorders>
            <w:shd w:val="clear" w:color="auto" w:fill="auto"/>
            <w:noWrap/>
            <w:vAlign w:val="bottom"/>
            <w:hideMark/>
          </w:tcPr>
          <w:p w14:paraId="691B657F" w14:textId="77777777" w:rsidR="00DE3EC7" w:rsidRPr="00DE3EC7" w:rsidRDefault="00DE3EC7" w:rsidP="00050392">
            <w:pPr>
              <w:spacing w:after="0" w:line="240" w:lineRule="auto"/>
              <w:rPr>
                <w:rFonts w:ascii="Calibri" w:eastAsia="Times New Roman" w:hAnsi="Calibri" w:cs="Calibri"/>
                <w:b/>
                <w:bCs/>
                <w:color w:val="FF0000"/>
              </w:rPr>
            </w:pPr>
            <w:r w:rsidRPr="00DE3EC7">
              <w:rPr>
                <w:rFonts w:ascii="Calibri" w:eastAsia="Times New Roman" w:hAnsi="Calibri" w:cs="Calibri"/>
                <w:b/>
                <w:bCs/>
                <w:color w:val="FF0000"/>
              </w:rPr>
              <w:t>Mean</w:t>
            </w:r>
          </w:p>
        </w:tc>
        <w:tc>
          <w:tcPr>
            <w:tcW w:w="918" w:type="dxa"/>
            <w:tcBorders>
              <w:bottom w:val="single" w:sz="4" w:space="0" w:color="auto"/>
            </w:tcBorders>
            <w:shd w:val="clear" w:color="auto" w:fill="auto"/>
            <w:noWrap/>
            <w:vAlign w:val="bottom"/>
            <w:hideMark/>
          </w:tcPr>
          <w:p w14:paraId="5B11B332" w14:textId="77777777" w:rsidR="00DE3EC7" w:rsidRPr="00DE3EC7" w:rsidRDefault="00DE3EC7" w:rsidP="00050392">
            <w:pPr>
              <w:spacing w:after="0" w:line="240" w:lineRule="auto"/>
              <w:rPr>
                <w:rFonts w:ascii="Calibri" w:eastAsia="Times New Roman" w:hAnsi="Calibri" w:cs="Calibri"/>
                <w:b/>
                <w:bCs/>
                <w:color w:val="FF0000"/>
              </w:rPr>
            </w:pPr>
            <w:r w:rsidRPr="00DE3EC7">
              <w:rPr>
                <w:rFonts w:ascii="Calibri" w:eastAsia="Times New Roman" w:hAnsi="Calibri" w:cs="Calibri"/>
                <w:b/>
                <w:bCs/>
                <w:color w:val="FF0000"/>
              </w:rPr>
              <w:t>Median</w:t>
            </w:r>
          </w:p>
        </w:tc>
        <w:tc>
          <w:tcPr>
            <w:tcW w:w="809" w:type="dxa"/>
            <w:tcBorders>
              <w:bottom w:val="single" w:sz="4" w:space="0" w:color="auto"/>
            </w:tcBorders>
            <w:shd w:val="clear" w:color="auto" w:fill="auto"/>
            <w:noWrap/>
            <w:vAlign w:val="bottom"/>
            <w:hideMark/>
          </w:tcPr>
          <w:p w14:paraId="511471E2" w14:textId="77777777" w:rsidR="00DE3EC7" w:rsidRPr="00DE3EC7" w:rsidRDefault="00DE3EC7" w:rsidP="00050392">
            <w:pPr>
              <w:spacing w:after="0" w:line="240" w:lineRule="auto"/>
              <w:rPr>
                <w:rFonts w:ascii="Calibri" w:eastAsia="Times New Roman" w:hAnsi="Calibri" w:cs="Calibri"/>
                <w:b/>
                <w:bCs/>
                <w:color w:val="FF0000"/>
              </w:rPr>
            </w:pPr>
            <w:r w:rsidRPr="00DE3EC7">
              <w:rPr>
                <w:rFonts w:ascii="Calibri" w:eastAsia="Times New Roman" w:hAnsi="Calibri" w:cs="Calibri"/>
                <w:b/>
                <w:bCs/>
                <w:color w:val="FF0000"/>
              </w:rPr>
              <w:t>P75</w:t>
            </w:r>
          </w:p>
        </w:tc>
        <w:tc>
          <w:tcPr>
            <w:tcW w:w="900" w:type="dxa"/>
            <w:tcBorders>
              <w:bottom w:val="single" w:sz="4" w:space="0" w:color="auto"/>
            </w:tcBorders>
            <w:shd w:val="clear" w:color="auto" w:fill="auto"/>
            <w:noWrap/>
            <w:vAlign w:val="bottom"/>
            <w:hideMark/>
          </w:tcPr>
          <w:p w14:paraId="1861DA73" w14:textId="77777777" w:rsidR="00DE3EC7" w:rsidRPr="00DE3EC7" w:rsidRDefault="00DE3EC7" w:rsidP="00050392">
            <w:pPr>
              <w:spacing w:after="0" w:line="240" w:lineRule="auto"/>
              <w:rPr>
                <w:rFonts w:ascii="Calibri" w:eastAsia="Times New Roman" w:hAnsi="Calibri" w:cs="Calibri"/>
                <w:b/>
                <w:bCs/>
                <w:color w:val="FF0000"/>
              </w:rPr>
            </w:pPr>
            <w:r w:rsidRPr="00DE3EC7">
              <w:rPr>
                <w:rFonts w:ascii="Calibri" w:eastAsia="Times New Roman" w:hAnsi="Calibri" w:cs="Calibri"/>
                <w:b/>
                <w:bCs/>
                <w:color w:val="FF0000"/>
              </w:rPr>
              <w:t>P90</w:t>
            </w:r>
          </w:p>
        </w:tc>
        <w:tc>
          <w:tcPr>
            <w:tcW w:w="810" w:type="dxa"/>
            <w:tcBorders>
              <w:bottom w:val="single" w:sz="4" w:space="0" w:color="auto"/>
            </w:tcBorders>
            <w:shd w:val="clear" w:color="auto" w:fill="auto"/>
            <w:noWrap/>
            <w:vAlign w:val="bottom"/>
            <w:hideMark/>
          </w:tcPr>
          <w:p w14:paraId="7D061E1A" w14:textId="77777777" w:rsidR="00DE3EC7" w:rsidRPr="00DE3EC7" w:rsidRDefault="00DE3EC7" w:rsidP="00050392">
            <w:pPr>
              <w:spacing w:after="0" w:line="240" w:lineRule="auto"/>
              <w:rPr>
                <w:rFonts w:ascii="Calibri" w:eastAsia="Times New Roman" w:hAnsi="Calibri" w:cs="Calibri"/>
                <w:b/>
                <w:bCs/>
                <w:color w:val="FF0000"/>
              </w:rPr>
            </w:pPr>
            <w:r w:rsidRPr="00DE3EC7">
              <w:rPr>
                <w:rFonts w:ascii="Calibri" w:eastAsia="Times New Roman" w:hAnsi="Calibri" w:cs="Calibri"/>
                <w:b/>
                <w:bCs/>
                <w:color w:val="FF0000"/>
              </w:rPr>
              <w:t>Max</w:t>
            </w:r>
          </w:p>
        </w:tc>
        <w:tc>
          <w:tcPr>
            <w:tcW w:w="720" w:type="dxa"/>
            <w:tcBorders>
              <w:bottom w:val="single" w:sz="4" w:space="0" w:color="auto"/>
            </w:tcBorders>
            <w:shd w:val="clear" w:color="auto" w:fill="auto"/>
            <w:noWrap/>
            <w:vAlign w:val="bottom"/>
            <w:hideMark/>
          </w:tcPr>
          <w:p w14:paraId="6EBDD1B7" w14:textId="77777777" w:rsidR="00DE3EC7" w:rsidRPr="00DE3EC7" w:rsidRDefault="00DE3EC7" w:rsidP="00050392">
            <w:pPr>
              <w:spacing w:after="0" w:line="240" w:lineRule="auto"/>
              <w:rPr>
                <w:rFonts w:ascii="Calibri" w:eastAsia="Times New Roman" w:hAnsi="Calibri" w:cs="Calibri"/>
                <w:b/>
                <w:bCs/>
                <w:color w:val="FF0000"/>
              </w:rPr>
            </w:pPr>
            <w:r w:rsidRPr="00DE3EC7">
              <w:rPr>
                <w:rFonts w:ascii="Calibri" w:eastAsia="Times New Roman" w:hAnsi="Calibri" w:cs="Calibri"/>
                <w:b/>
                <w:bCs/>
                <w:color w:val="FF0000"/>
              </w:rPr>
              <w:t>IQR</w:t>
            </w:r>
          </w:p>
        </w:tc>
        <w:tc>
          <w:tcPr>
            <w:tcW w:w="1074" w:type="dxa"/>
            <w:shd w:val="clear" w:color="auto" w:fill="auto"/>
          </w:tcPr>
          <w:p w14:paraId="03234681" w14:textId="77777777" w:rsidR="00DE3EC7" w:rsidRPr="00DE3EC7" w:rsidRDefault="00DE3EC7" w:rsidP="00050392">
            <w:pPr>
              <w:spacing w:after="0" w:line="240" w:lineRule="auto"/>
              <w:rPr>
                <w:rFonts w:ascii="Calibri" w:eastAsia="Times New Roman" w:hAnsi="Calibri" w:cs="Calibri"/>
                <w:b/>
                <w:bCs/>
                <w:color w:val="FF0000"/>
              </w:rPr>
            </w:pPr>
            <w:r w:rsidRPr="00DE3EC7">
              <w:rPr>
                <w:rFonts w:ascii="Calibri" w:eastAsia="Times New Roman" w:hAnsi="Calibri" w:cs="Calibri"/>
                <w:b/>
                <w:bCs/>
                <w:color w:val="FF0000"/>
              </w:rPr>
              <w:t>P value</w:t>
            </w:r>
          </w:p>
        </w:tc>
      </w:tr>
      <w:tr w:rsidR="0085168A" w:rsidRPr="00F7625D" w14:paraId="60A09168" w14:textId="77777777" w:rsidTr="000E3201">
        <w:trPr>
          <w:trHeight w:val="267"/>
        </w:trPr>
        <w:tc>
          <w:tcPr>
            <w:tcW w:w="1276" w:type="dxa"/>
          </w:tcPr>
          <w:p w14:paraId="511545D0" w14:textId="2EAC0F9C" w:rsidR="0085168A" w:rsidRPr="00DE3EC7" w:rsidRDefault="0085168A" w:rsidP="0085168A">
            <w:pPr>
              <w:spacing w:after="0" w:line="240" w:lineRule="auto"/>
              <w:rPr>
                <w:rFonts w:ascii="Calibri" w:eastAsia="Times New Roman" w:hAnsi="Calibri" w:cs="Calibri"/>
                <w:color w:val="FF0000"/>
              </w:rPr>
            </w:pPr>
            <w:r w:rsidRPr="00DE3EC7">
              <w:rPr>
                <w:rFonts w:ascii="Calibri" w:eastAsia="Times New Roman" w:hAnsi="Calibri" w:cs="Calibri"/>
                <w:color w:val="FF0000"/>
              </w:rPr>
              <w:t>7-day rate</w:t>
            </w:r>
          </w:p>
        </w:tc>
        <w:tc>
          <w:tcPr>
            <w:tcW w:w="551" w:type="dxa"/>
            <w:tcBorders>
              <w:top w:val="single" w:sz="4" w:space="0" w:color="auto"/>
              <w:left w:val="nil"/>
              <w:bottom w:val="single" w:sz="4" w:space="0" w:color="auto"/>
              <w:right w:val="single" w:sz="4" w:space="0" w:color="auto"/>
            </w:tcBorders>
            <w:shd w:val="clear" w:color="auto" w:fill="auto"/>
            <w:noWrap/>
            <w:vAlign w:val="bottom"/>
          </w:tcPr>
          <w:p w14:paraId="38241C8C" w14:textId="19DFAA71" w:rsidR="0085168A" w:rsidRPr="000E3201" w:rsidRDefault="0085168A" w:rsidP="0085168A">
            <w:pPr>
              <w:spacing w:after="0" w:line="240" w:lineRule="auto"/>
              <w:rPr>
                <w:rFonts w:ascii="Calibri" w:hAnsi="Calibri" w:cs="Calibri"/>
                <w:color w:val="FF0000"/>
              </w:rPr>
            </w:pPr>
            <w:r w:rsidRPr="000E3201">
              <w:rPr>
                <w:rFonts w:ascii="Calibri" w:hAnsi="Calibri" w:cs="Calibri"/>
                <w:color w:val="FF0000"/>
              </w:rPr>
              <w:t>361</w:t>
            </w:r>
          </w:p>
        </w:tc>
        <w:tc>
          <w:tcPr>
            <w:tcW w:w="67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67F47C" w14:textId="349A7191" w:rsidR="0085168A" w:rsidRPr="000E3201" w:rsidRDefault="0085168A" w:rsidP="0085168A">
            <w:pPr>
              <w:spacing w:after="0" w:line="240" w:lineRule="auto"/>
              <w:rPr>
                <w:rFonts w:ascii="Calibri" w:hAnsi="Calibri" w:cs="Calibri"/>
                <w:color w:val="FF0000"/>
              </w:rPr>
            </w:pPr>
            <w:r w:rsidRPr="000E3201">
              <w:rPr>
                <w:rFonts w:ascii="Calibri" w:hAnsi="Calibri" w:cs="Calibri"/>
                <w:color w:val="FF0000"/>
              </w:rPr>
              <w:t>0</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1B19C8" w14:textId="24038A37" w:rsidR="0085168A" w:rsidRPr="000E3201" w:rsidRDefault="0085168A" w:rsidP="0085168A">
            <w:pPr>
              <w:spacing w:after="0" w:line="240" w:lineRule="auto"/>
              <w:rPr>
                <w:rFonts w:ascii="Calibri" w:hAnsi="Calibri" w:cs="Calibri"/>
                <w:color w:val="FF0000"/>
              </w:rPr>
            </w:pPr>
            <w:r w:rsidRPr="000E3201">
              <w:rPr>
                <w:rFonts w:ascii="Calibri" w:hAnsi="Calibri" w:cs="Calibri"/>
                <w:color w:val="FF0000"/>
              </w:rPr>
              <w:t>0.3</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B8D43C" w14:textId="36DA1ED9" w:rsidR="0085168A" w:rsidRPr="000E3201" w:rsidRDefault="0085168A" w:rsidP="0085168A">
            <w:pPr>
              <w:spacing w:after="0" w:line="240" w:lineRule="auto"/>
              <w:rPr>
                <w:rFonts w:ascii="Calibri" w:hAnsi="Calibri" w:cs="Calibri"/>
                <w:color w:val="FF0000"/>
              </w:rPr>
            </w:pPr>
            <w:r w:rsidRPr="000E3201">
              <w:rPr>
                <w:rFonts w:ascii="Calibri" w:hAnsi="Calibri" w:cs="Calibri"/>
                <w:color w:val="FF0000"/>
              </w:rPr>
              <w:t>0.37</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B3060C" w14:textId="68DE2D84" w:rsidR="0085168A" w:rsidRPr="000E3201" w:rsidRDefault="0085168A" w:rsidP="0085168A">
            <w:pPr>
              <w:spacing w:after="0" w:line="240" w:lineRule="auto"/>
              <w:rPr>
                <w:rFonts w:ascii="Calibri" w:hAnsi="Calibri" w:cs="Calibri"/>
                <w:color w:val="FF0000"/>
              </w:rPr>
            </w:pPr>
            <w:r w:rsidRPr="000E3201">
              <w:rPr>
                <w:rFonts w:ascii="Calibri" w:hAnsi="Calibri" w:cs="Calibri"/>
                <w:color w:val="FF0000"/>
              </w:rPr>
              <w:t>0.44</w:t>
            </w:r>
          </w:p>
        </w:tc>
        <w:tc>
          <w:tcPr>
            <w:tcW w:w="9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FBC4C3" w14:textId="2E85141F" w:rsidR="0085168A" w:rsidRPr="000E3201" w:rsidRDefault="0085168A" w:rsidP="0085168A">
            <w:pPr>
              <w:spacing w:after="0" w:line="240" w:lineRule="auto"/>
              <w:rPr>
                <w:rFonts w:ascii="Calibri" w:hAnsi="Calibri" w:cs="Calibri"/>
                <w:color w:val="FF0000"/>
              </w:rPr>
            </w:pPr>
            <w:r w:rsidRPr="000E3201">
              <w:rPr>
                <w:rFonts w:ascii="Calibri" w:hAnsi="Calibri" w:cs="Calibri"/>
                <w:color w:val="FF0000"/>
              </w:rPr>
              <w:t>0.44</w:t>
            </w:r>
          </w:p>
        </w:tc>
        <w:tc>
          <w:tcPr>
            <w:tcW w:w="8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B854D8" w14:textId="4261A3B5" w:rsidR="0085168A" w:rsidRPr="000E3201" w:rsidRDefault="0085168A" w:rsidP="0085168A">
            <w:pPr>
              <w:spacing w:after="0" w:line="240" w:lineRule="auto"/>
              <w:rPr>
                <w:rFonts w:ascii="Calibri" w:hAnsi="Calibri" w:cs="Calibri"/>
                <w:color w:val="FF0000"/>
              </w:rPr>
            </w:pPr>
            <w:r w:rsidRPr="000E3201">
              <w:rPr>
                <w:rFonts w:ascii="Calibri" w:hAnsi="Calibri" w:cs="Calibri"/>
                <w:color w:val="FF0000"/>
              </w:rPr>
              <w:t>0.51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9B9A71" w14:textId="36D2244E" w:rsidR="0085168A" w:rsidRPr="000E3201" w:rsidRDefault="0085168A" w:rsidP="0085168A">
            <w:pPr>
              <w:spacing w:after="0" w:line="240" w:lineRule="auto"/>
              <w:rPr>
                <w:rFonts w:ascii="Calibri" w:hAnsi="Calibri" w:cs="Calibri"/>
                <w:color w:val="FF0000"/>
              </w:rPr>
            </w:pPr>
            <w:r w:rsidRPr="000E3201">
              <w:rPr>
                <w:rFonts w:ascii="Calibri" w:hAnsi="Calibri" w:cs="Calibri"/>
                <w:color w:val="FF0000"/>
              </w:rPr>
              <w:t>0.59</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80AED4" w14:textId="36C79E1A" w:rsidR="0085168A" w:rsidRPr="000E3201" w:rsidRDefault="0085168A" w:rsidP="0085168A">
            <w:pPr>
              <w:spacing w:after="0" w:line="240" w:lineRule="auto"/>
              <w:rPr>
                <w:rFonts w:ascii="Calibri" w:hAnsi="Calibri" w:cs="Calibri"/>
                <w:color w:val="FF0000"/>
              </w:rPr>
            </w:pPr>
            <w:r w:rsidRPr="000E3201">
              <w:rPr>
                <w:rFonts w:ascii="Calibri" w:hAnsi="Calibri" w:cs="Calibri"/>
                <w:color w:val="FF0000"/>
              </w:rPr>
              <w:t>0.79</w:t>
            </w:r>
          </w:p>
        </w:tc>
        <w:tc>
          <w:tcPr>
            <w:tcW w:w="720" w:type="dxa"/>
            <w:tcBorders>
              <w:top w:val="single" w:sz="4" w:space="0" w:color="auto"/>
              <w:left w:val="single" w:sz="4" w:space="0" w:color="auto"/>
              <w:bottom w:val="single" w:sz="4" w:space="0" w:color="auto"/>
              <w:right w:val="nil"/>
            </w:tcBorders>
            <w:shd w:val="clear" w:color="auto" w:fill="auto"/>
            <w:noWrap/>
            <w:vAlign w:val="bottom"/>
          </w:tcPr>
          <w:p w14:paraId="3ABFC352" w14:textId="23091627" w:rsidR="0085168A" w:rsidRPr="000E3201" w:rsidRDefault="0085168A" w:rsidP="0085168A">
            <w:pPr>
              <w:spacing w:after="0" w:line="240" w:lineRule="auto"/>
              <w:rPr>
                <w:rFonts w:ascii="Calibri" w:hAnsi="Calibri" w:cs="Calibri"/>
                <w:color w:val="FF0000"/>
              </w:rPr>
            </w:pPr>
            <w:r w:rsidRPr="000E3201">
              <w:rPr>
                <w:rFonts w:ascii="Calibri" w:hAnsi="Calibri" w:cs="Calibri"/>
                <w:color w:val="FF0000"/>
              </w:rPr>
              <w:t>0.14</w:t>
            </w:r>
          </w:p>
        </w:tc>
        <w:tc>
          <w:tcPr>
            <w:tcW w:w="1074" w:type="dxa"/>
          </w:tcPr>
          <w:p w14:paraId="69B5057E" w14:textId="2EA38D51" w:rsidR="0085168A" w:rsidRPr="003C6AB0" w:rsidRDefault="0085168A" w:rsidP="0085168A">
            <w:pPr>
              <w:spacing w:after="0" w:line="240" w:lineRule="auto"/>
              <w:rPr>
                <w:rFonts w:ascii="Calibri" w:eastAsia="Times New Roman" w:hAnsi="Calibri" w:cs="Calibri"/>
                <w:color w:val="FF0000"/>
              </w:rPr>
            </w:pPr>
            <w:r w:rsidRPr="003C6AB0">
              <w:rPr>
                <w:rFonts w:ascii="Calibri" w:eastAsia="Times New Roman" w:hAnsi="Calibri" w:cs="Calibri"/>
                <w:color w:val="FF0000"/>
              </w:rPr>
              <w:t>p &lt; 0.001</w:t>
            </w:r>
          </w:p>
        </w:tc>
      </w:tr>
      <w:tr w:rsidR="0085168A" w:rsidRPr="00F7625D" w14:paraId="2276C832" w14:textId="77777777" w:rsidTr="000E3201">
        <w:trPr>
          <w:trHeight w:val="267"/>
        </w:trPr>
        <w:tc>
          <w:tcPr>
            <w:tcW w:w="1276" w:type="dxa"/>
          </w:tcPr>
          <w:p w14:paraId="73F62623" w14:textId="50532543" w:rsidR="0085168A" w:rsidRPr="00DE3EC7" w:rsidRDefault="0085168A" w:rsidP="0085168A">
            <w:pPr>
              <w:spacing w:after="0" w:line="240" w:lineRule="auto"/>
              <w:rPr>
                <w:rFonts w:ascii="Calibri" w:eastAsia="Times New Roman" w:hAnsi="Calibri" w:cs="Calibri"/>
                <w:color w:val="FF0000"/>
              </w:rPr>
            </w:pPr>
            <w:r w:rsidRPr="00DE3EC7">
              <w:rPr>
                <w:rFonts w:ascii="Calibri" w:eastAsia="Times New Roman" w:hAnsi="Calibri" w:cs="Calibri"/>
                <w:color w:val="FF0000"/>
              </w:rPr>
              <w:t>30-day rate</w:t>
            </w:r>
          </w:p>
        </w:tc>
        <w:tc>
          <w:tcPr>
            <w:tcW w:w="551" w:type="dxa"/>
            <w:tcBorders>
              <w:top w:val="single" w:sz="4" w:space="0" w:color="auto"/>
              <w:left w:val="nil"/>
              <w:bottom w:val="single" w:sz="4" w:space="0" w:color="auto"/>
              <w:right w:val="single" w:sz="4" w:space="0" w:color="auto"/>
            </w:tcBorders>
            <w:shd w:val="clear" w:color="auto" w:fill="auto"/>
            <w:noWrap/>
            <w:vAlign w:val="bottom"/>
          </w:tcPr>
          <w:p w14:paraId="45220114" w14:textId="61581142" w:rsidR="0085168A" w:rsidRPr="000E3201" w:rsidRDefault="0085168A" w:rsidP="0085168A">
            <w:pPr>
              <w:spacing w:after="0" w:line="240" w:lineRule="auto"/>
              <w:rPr>
                <w:rFonts w:ascii="Calibri" w:eastAsia="Times New Roman" w:hAnsi="Calibri" w:cs="Calibri"/>
                <w:color w:val="FF0000"/>
              </w:rPr>
            </w:pPr>
            <w:r w:rsidRPr="000E3201">
              <w:rPr>
                <w:rFonts w:ascii="Calibri" w:hAnsi="Calibri" w:cs="Calibri"/>
                <w:color w:val="FF0000"/>
              </w:rPr>
              <w:t>358</w:t>
            </w:r>
          </w:p>
        </w:tc>
        <w:tc>
          <w:tcPr>
            <w:tcW w:w="67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90398D" w14:textId="0A9B0B43" w:rsidR="0085168A" w:rsidRPr="000E3201" w:rsidRDefault="0085168A" w:rsidP="0085168A">
            <w:pPr>
              <w:spacing w:after="0" w:line="240" w:lineRule="auto"/>
              <w:rPr>
                <w:rFonts w:ascii="Calibri" w:eastAsia="Times New Roman" w:hAnsi="Calibri" w:cs="Calibri"/>
                <w:color w:val="FF0000"/>
              </w:rPr>
            </w:pPr>
            <w:r w:rsidRPr="000E3201">
              <w:rPr>
                <w:rFonts w:ascii="Calibri" w:hAnsi="Calibri" w:cs="Calibri"/>
                <w:color w:val="FF0000"/>
              </w:rPr>
              <w:t>0</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FCB587" w14:textId="790BCD99" w:rsidR="0085168A" w:rsidRPr="000E3201" w:rsidRDefault="0085168A" w:rsidP="0085168A">
            <w:pPr>
              <w:spacing w:after="0" w:line="240" w:lineRule="auto"/>
              <w:rPr>
                <w:rFonts w:ascii="Calibri" w:eastAsia="Times New Roman" w:hAnsi="Calibri" w:cs="Calibri"/>
                <w:color w:val="FF0000"/>
              </w:rPr>
            </w:pPr>
            <w:r w:rsidRPr="000E3201">
              <w:rPr>
                <w:rFonts w:ascii="Calibri" w:hAnsi="Calibri" w:cs="Calibri"/>
                <w:color w:val="FF0000"/>
              </w:rPr>
              <w:t>0.52</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CCFE0B" w14:textId="54DB52A1" w:rsidR="0085168A" w:rsidRPr="000E3201" w:rsidRDefault="0085168A" w:rsidP="0085168A">
            <w:pPr>
              <w:spacing w:after="0" w:line="240" w:lineRule="auto"/>
              <w:rPr>
                <w:rFonts w:ascii="Calibri" w:eastAsia="Times New Roman" w:hAnsi="Calibri" w:cs="Calibri"/>
                <w:color w:val="FF0000"/>
              </w:rPr>
            </w:pPr>
            <w:r w:rsidRPr="000E3201">
              <w:rPr>
                <w:rFonts w:ascii="Calibri" w:hAnsi="Calibri" w:cs="Calibri"/>
                <w:color w:val="FF0000"/>
              </w:rPr>
              <w:t>0.6</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3ACB88" w14:textId="7CFDC1A0" w:rsidR="0085168A" w:rsidRPr="000E3201" w:rsidRDefault="0085168A" w:rsidP="0085168A">
            <w:pPr>
              <w:spacing w:after="0" w:line="240" w:lineRule="auto"/>
              <w:rPr>
                <w:rFonts w:ascii="Calibri" w:eastAsia="Times New Roman" w:hAnsi="Calibri" w:cs="Calibri"/>
                <w:color w:val="FF0000"/>
              </w:rPr>
            </w:pPr>
            <w:r w:rsidRPr="000E3201">
              <w:rPr>
                <w:rFonts w:ascii="Calibri" w:hAnsi="Calibri" w:cs="Calibri"/>
                <w:color w:val="FF0000"/>
              </w:rPr>
              <w:t>0.66</w:t>
            </w:r>
          </w:p>
        </w:tc>
        <w:tc>
          <w:tcPr>
            <w:tcW w:w="9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9EEA96" w14:textId="2DFA20D8" w:rsidR="0085168A" w:rsidRPr="000E3201" w:rsidRDefault="0085168A" w:rsidP="0085168A">
            <w:pPr>
              <w:spacing w:after="0" w:line="240" w:lineRule="auto"/>
              <w:rPr>
                <w:rFonts w:ascii="Calibri" w:eastAsia="Times New Roman" w:hAnsi="Calibri" w:cs="Calibri"/>
                <w:color w:val="FF0000"/>
              </w:rPr>
            </w:pPr>
            <w:r w:rsidRPr="000E3201">
              <w:rPr>
                <w:rFonts w:ascii="Calibri" w:hAnsi="Calibri" w:cs="Calibri"/>
                <w:color w:val="FF0000"/>
              </w:rPr>
              <w:t>0.67</w:t>
            </w:r>
          </w:p>
        </w:tc>
        <w:tc>
          <w:tcPr>
            <w:tcW w:w="8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9A4F96" w14:textId="6FCAD2E9" w:rsidR="0085168A" w:rsidRPr="000E3201" w:rsidRDefault="0085168A" w:rsidP="0085168A">
            <w:pPr>
              <w:spacing w:after="0" w:line="240" w:lineRule="auto"/>
              <w:rPr>
                <w:rFonts w:ascii="Calibri" w:eastAsia="Times New Roman" w:hAnsi="Calibri" w:cs="Calibri"/>
                <w:color w:val="FF0000"/>
              </w:rPr>
            </w:pPr>
            <w:r w:rsidRPr="000E3201">
              <w:rPr>
                <w:rFonts w:ascii="Calibri" w:hAnsi="Calibri" w:cs="Calibri"/>
                <w:color w:val="FF0000"/>
              </w:rPr>
              <w:t>0.73</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EC1831" w14:textId="530A29AF" w:rsidR="0085168A" w:rsidRPr="000E3201" w:rsidRDefault="0085168A" w:rsidP="0085168A">
            <w:pPr>
              <w:spacing w:after="0" w:line="240" w:lineRule="auto"/>
              <w:rPr>
                <w:rFonts w:ascii="Calibri" w:eastAsia="Times New Roman" w:hAnsi="Calibri" w:cs="Calibri"/>
                <w:color w:val="FF0000"/>
              </w:rPr>
            </w:pPr>
            <w:r w:rsidRPr="000E3201">
              <w:rPr>
                <w:rFonts w:ascii="Calibri" w:hAnsi="Calibri" w:cs="Calibri"/>
                <w:color w:val="FF0000"/>
              </w:rPr>
              <w:t>0.78</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68DC73" w14:textId="47EDEDEC" w:rsidR="0085168A" w:rsidRPr="000E3201" w:rsidRDefault="0085168A" w:rsidP="0085168A">
            <w:pPr>
              <w:spacing w:after="0" w:line="240" w:lineRule="auto"/>
              <w:rPr>
                <w:rFonts w:ascii="Calibri" w:eastAsia="Times New Roman" w:hAnsi="Calibri" w:cs="Calibri"/>
                <w:color w:val="FF0000"/>
              </w:rPr>
            </w:pPr>
            <w:r w:rsidRPr="000E3201">
              <w:rPr>
                <w:rFonts w:ascii="Calibri" w:hAnsi="Calibri" w:cs="Calibri"/>
                <w:color w:val="FF0000"/>
              </w:rPr>
              <w:t>0.92</w:t>
            </w:r>
          </w:p>
        </w:tc>
        <w:tc>
          <w:tcPr>
            <w:tcW w:w="720" w:type="dxa"/>
            <w:tcBorders>
              <w:top w:val="single" w:sz="4" w:space="0" w:color="auto"/>
              <w:left w:val="single" w:sz="4" w:space="0" w:color="auto"/>
              <w:bottom w:val="single" w:sz="4" w:space="0" w:color="auto"/>
              <w:right w:val="nil"/>
            </w:tcBorders>
            <w:shd w:val="clear" w:color="auto" w:fill="auto"/>
            <w:noWrap/>
            <w:vAlign w:val="bottom"/>
          </w:tcPr>
          <w:p w14:paraId="77DE2102" w14:textId="0DCD5E4A" w:rsidR="0085168A" w:rsidRPr="000E3201" w:rsidRDefault="0085168A" w:rsidP="0085168A">
            <w:pPr>
              <w:spacing w:after="0" w:line="240" w:lineRule="auto"/>
              <w:rPr>
                <w:rFonts w:ascii="Calibri" w:eastAsia="Times New Roman" w:hAnsi="Calibri" w:cs="Calibri"/>
                <w:color w:val="FF0000"/>
              </w:rPr>
            </w:pPr>
            <w:r w:rsidRPr="000E3201">
              <w:rPr>
                <w:rFonts w:ascii="Calibri" w:hAnsi="Calibri" w:cs="Calibri"/>
                <w:color w:val="FF0000"/>
              </w:rPr>
              <w:t>0.13</w:t>
            </w:r>
          </w:p>
        </w:tc>
        <w:tc>
          <w:tcPr>
            <w:tcW w:w="1074" w:type="dxa"/>
          </w:tcPr>
          <w:p w14:paraId="1FA545E3" w14:textId="42678770" w:rsidR="0085168A" w:rsidRPr="00DE3EC7" w:rsidRDefault="0085168A" w:rsidP="0085168A">
            <w:pPr>
              <w:spacing w:after="0" w:line="240" w:lineRule="auto"/>
              <w:rPr>
                <w:rFonts w:ascii="Calibri" w:eastAsia="Times New Roman" w:hAnsi="Calibri" w:cs="Calibri"/>
                <w:color w:val="FF0000"/>
              </w:rPr>
            </w:pPr>
            <w:r w:rsidRPr="003C6AB0">
              <w:rPr>
                <w:rFonts w:ascii="Calibri" w:eastAsia="Times New Roman" w:hAnsi="Calibri" w:cs="Calibri"/>
                <w:color w:val="FF0000"/>
              </w:rPr>
              <w:t>p &lt; 0.001</w:t>
            </w:r>
          </w:p>
        </w:tc>
      </w:tr>
    </w:tbl>
    <w:p w14:paraId="7D16F43E" w14:textId="77777777" w:rsidR="00E22AC5" w:rsidRPr="00397C2D" w:rsidRDefault="00E22AC5" w:rsidP="00E04CE5">
      <w:pPr>
        <w:autoSpaceDE w:val="0"/>
        <w:autoSpaceDN w:val="0"/>
        <w:adjustRightInd w:val="0"/>
        <w:spacing w:after="0" w:line="240" w:lineRule="auto"/>
        <w:rPr>
          <w:rFonts w:cstheme="minorHAnsi"/>
          <w:bCs/>
          <w:color w:val="FF0000"/>
        </w:rPr>
      </w:pPr>
    </w:p>
    <w:p w14:paraId="710054E6" w14:textId="511A129A" w:rsidR="00397C2D" w:rsidRPr="00397C2D" w:rsidRDefault="00397C2D" w:rsidP="00397C2D">
      <w:pPr>
        <w:autoSpaceDE w:val="0"/>
        <w:autoSpaceDN w:val="0"/>
        <w:adjustRightInd w:val="0"/>
        <w:spacing w:after="0" w:line="240" w:lineRule="auto"/>
        <w:rPr>
          <w:rFonts w:cstheme="minorHAnsi"/>
          <w:b/>
          <w:bCs/>
          <w:color w:val="FF0000"/>
        </w:rPr>
      </w:pPr>
      <w:r w:rsidRPr="00397C2D">
        <w:rPr>
          <w:b/>
          <w:color w:val="FF0000"/>
        </w:rPr>
        <w:t xml:space="preserve">HEDIS MY 2018 Variation in Performance across Health Plans- Medicare </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551"/>
        <w:gridCol w:w="677"/>
        <w:gridCol w:w="630"/>
        <w:gridCol w:w="810"/>
        <w:gridCol w:w="810"/>
        <w:gridCol w:w="918"/>
        <w:gridCol w:w="809"/>
        <w:gridCol w:w="900"/>
        <w:gridCol w:w="810"/>
        <w:gridCol w:w="720"/>
        <w:gridCol w:w="1074"/>
      </w:tblGrid>
      <w:tr w:rsidR="00A066CB" w:rsidRPr="00A066CB" w14:paraId="38E6DED8" w14:textId="77777777" w:rsidTr="00A066CB">
        <w:trPr>
          <w:trHeight w:val="267"/>
        </w:trPr>
        <w:tc>
          <w:tcPr>
            <w:tcW w:w="1276" w:type="dxa"/>
            <w:shd w:val="clear" w:color="auto" w:fill="auto"/>
          </w:tcPr>
          <w:p w14:paraId="4C2B3E4B" w14:textId="77777777" w:rsidR="003C6AB0" w:rsidRPr="00A066CB" w:rsidRDefault="003C6AB0" w:rsidP="00050392">
            <w:pPr>
              <w:spacing w:after="0" w:line="240" w:lineRule="auto"/>
              <w:rPr>
                <w:rFonts w:ascii="Calibri" w:eastAsia="Times New Roman" w:hAnsi="Calibri" w:cs="Calibri"/>
                <w:b/>
                <w:bCs/>
                <w:color w:val="FF0000"/>
              </w:rPr>
            </w:pPr>
          </w:p>
        </w:tc>
        <w:tc>
          <w:tcPr>
            <w:tcW w:w="551" w:type="dxa"/>
            <w:shd w:val="clear" w:color="auto" w:fill="auto"/>
            <w:noWrap/>
            <w:vAlign w:val="bottom"/>
            <w:hideMark/>
          </w:tcPr>
          <w:p w14:paraId="3201AE65" w14:textId="77777777" w:rsidR="003C6AB0" w:rsidRPr="00A066CB" w:rsidRDefault="003C6AB0" w:rsidP="00050392">
            <w:pPr>
              <w:spacing w:after="0" w:line="240" w:lineRule="auto"/>
              <w:rPr>
                <w:rFonts w:ascii="Calibri" w:eastAsia="Times New Roman" w:hAnsi="Calibri" w:cs="Calibri"/>
                <w:b/>
                <w:bCs/>
                <w:color w:val="FF0000"/>
              </w:rPr>
            </w:pPr>
            <w:r w:rsidRPr="00A066CB">
              <w:rPr>
                <w:rFonts w:ascii="Calibri" w:eastAsia="Times New Roman" w:hAnsi="Calibri" w:cs="Calibri"/>
                <w:b/>
                <w:bCs/>
                <w:color w:val="FF0000"/>
              </w:rPr>
              <w:t>N</w:t>
            </w:r>
          </w:p>
        </w:tc>
        <w:tc>
          <w:tcPr>
            <w:tcW w:w="677" w:type="dxa"/>
            <w:shd w:val="clear" w:color="auto" w:fill="auto"/>
            <w:noWrap/>
            <w:vAlign w:val="bottom"/>
            <w:hideMark/>
          </w:tcPr>
          <w:p w14:paraId="058C28CB" w14:textId="77777777" w:rsidR="003C6AB0" w:rsidRPr="00A066CB" w:rsidRDefault="003C6AB0" w:rsidP="00050392">
            <w:pPr>
              <w:spacing w:after="0" w:line="240" w:lineRule="auto"/>
              <w:rPr>
                <w:rFonts w:ascii="Calibri" w:eastAsia="Times New Roman" w:hAnsi="Calibri" w:cs="Calibri"/>
                <w:b/>
                <w:bCs/>
                <w:color w:val="FF0000"/>
              </w:rPr>
            </w:pPr>
            <w:r w:rsidRPr="00A066CB">
              <w:rPr>
                <w:rFonts w:ascii="Calibri" w:eastAsia="Times New Roman" w:hAnsi="Calibri" w:cs="Calibri"/>
                <w:b/>
                <w:bCs/>
                <w:color w:val="FF0000"/>
              </w:rPr>
              <w:t>Min</w:t>
            </w:r>
          </w:p>
        </w:tc>
        <w:tc>
          <w:tcPr>
            <w:tcW w:w="630" w:type="dxa"/>
            <w:shd w:val="clear" w:color="auto" w:fill="auto"/>
            <w:noWrap/>
            <w:vAlign w:val="bottom"/>
            <w:hideMark/>
          </w:tcPr>
          <w:p w14:paraId="6D05ADE3" w14:textId="77777777" w:rsidR="003C6AB0" w:rsidRPr="00A066CB" w:rsidRDefault="003C6AB0" w:rsidP="00050392">
            <w:pPr>
              <w:spacing w:after="0" w:line="240" w:lineRule="auto"/>
              <w:rPr>
                <w:rFonts w:ascii="Calibri" w:eastAsia="Times New Roman" w:hAnsi="Calibri" w:cs="Calibri"/>
                <w:b/>
                <w:bCs/>
                <w:color w:val="FF0000"/>
              </w:rPr>
            </w:pPr>
            <w:r w:rsidRPr="00A066CB">
              <w:rPr>
                <w:rFonts w:ascii="Calibri" w:eastAsia="Times New Roman" w:hAnsi="Calibri" w:cs="Calibri"/>
                <w:b/>
                <w:bCs/>
                <w:color w:val="FF0000"/>
              </w:rPr>
              <w:t>P10</w:t>
            </w:r>
          </w:p>
        </w:tc>
        <w:tc>
          <w:tcPr>
            <w:tcW w:w="810" w:type="dxa"/>
            <w:shd w:val="clear" w:color="auto" w:fill="auto"/>
            <w:noWrap/>
            <w:vAlign w:val="bottom"/>
            <w:hideMark/>
          </w:tcPr>
          <w:p w14:paraId="0DECDBDF" w14:textId="77777777" w:rsidR="003C6AB0" w:rsidRPr="00A066CB" w:rsidRDefault="003C6AB0" w:rsidP="00050392">
            <w:pPr>
              <w:spacing w:after="0" w:line="240" w:lineRule="auto"/>
              <w:rPr>
                <w:rFonts w:ascii="Calibri" w:eastAsia="Times New Roman" w:hAnsi="Calibri" w:cs="Calibri"/>
                <w:b/>
                <w:bCs/>
                <w:color w:val="FF0000"/>
              </w:rPr>
            </w:pPr>
            <w:r w:rsidRPr="00A066CB">
              <w:rPr>
                <w:rFonts w:ascii="Calibri" w:eastAsia="Times New Roman" w:hAnsi="Calibri" w:cs="Calibri"/>
                <w:b/>
                <w:bCs/>
                <w:color w:val="FF0000"/>
              </w:rPr>
              <w:t>P25</w:t>
            </w:r>
          </w:p>
        </w:tc>
        <w:tc>
          <w:tcPr>
            <w:tcW w:w="810" w:type="dxa"/>
            <w:shd w:val="clear" w:color="auto" w:fill="auto"/>
            <w:noWrap/>
            <w:vAlign w:val="bottom"/>
            <w:hideMark/>
          </w:tcPr>
          <w:p w14:paraId="52BBBDF9" w14:textId="77777777" w:rsidR="003C6AB0" w:rsidRPr="00A066CB" w:rsidRDefault="003C6AB0" w:rsidP="00050392">
            <w:pPr>
              <w:spacing w:after="0" w:line="240" w:lineRule="auto"/>
              <w:rPr>
                <w:rFonts w:ascii="Calibri" w:eastAsia="Times New Roman" w:hAnsi="Calibri" w:cs="Calibri"/>
                <w:b/>
                <w:bCs/>
                <w:color w:val="FF0000"/>
              </w:rPr>
            </w:pPr>
            <w:r w:rsidRPr="00A066CB">
              <w:rPr>
                <w:rFonts w:ascii="Calibri" w:eastAsia="Times New Roman" w:hAnsi="Calibri" w:cs="Calibri"/>
                <w:b/>
                <w:bCs/>
                <w:color w:val="FF0000"/>
              </w:rPr>
              <w:t>Mean</w:t>
            </w:r>
          </w:p>
        </w:tc>
        <w:tc>
          <w:tcPr>
            <w:tcW w:w="918" w:type="dxa"/>
            <w:shd w:val="clear" w:color="auto" w:fill="auto"/>
            <w:noWrap/>
            <w:vAlign w:val="bottom"/>
            <w:hideMark/>
          </w:tcPr>
          <w:p w14:paraId="0773C9A2" w14:textId="77777777" w:rsidR="003C6AB0" w:rsidRPr="00A066CB" w:rsidRDefault="003C6AB0" w:rsidP="00050392">
            <w:pPr>
              <w:spacing w:after="0" w:line="240" w:lineRule="auto"/>
              <w:rPr>
                <w:rFonts w:ascii="Calibri" w:eastAsia="Times New Roman" w:hAnsi="Calibri" w:cs="Calibri"/>
                <w:b/>
                <w:bCs/>
                <w:color w:val="FF0000"/>
              </w:rPr>
            </w:pPr>
            <w:r w:rsidRPr="00A066CB">
              <w:rPr>
                <w:rFonts w:ascii="Calibri" w:eastAsia="Times New Roman" w:hAnsi="Calibri" w:cs="Calibri"/>
                <w:b/>
                <w:bCs/>
                <w:color w:val="FF0000"/>
              </w:rPr>
              <w:t>Median</w:t>
            </w:r>
          </w:p>
        </w:tc>
        <w:tc>
          <w:tcPr>
            <w:tcW w:w="809" w:type="dxa"/>
            <w:shd w:val="clear" w:color="auto" w:fill="auto"/>
            <w:noWrap/>
            <w:vAlign w:val="bottom"/>
            <w:hideMark/>
          </w:tcPr>
          <w:p w14:paraId="000B0CF8" w14:textId="77777777" w:rsidR="003C6AB0" w:rsidRPr="00A066CB" w:rsidRDefault="003C6AB0" w:rsidP="00050392">
            <w:pPr>
              <w:spacing w:after="0" w:line="240" w:lineRule="auto"/>
              <w:rPr>
                <w:rFonts w:ascii="Calibri" w:eastAsia="Times New Roman" w:hAnsi="Calibri" w:cs="Calibri"/>
                <w:b/>
                <w:bCs/>
                <w:color w:val="FF0000"/>
              </w:rPr>
            </w:pPr>
            <w:r w:rsidRPr="00A066CB">
              <w:rPr>
                <w:rFonts w:ascii="Calibri" w:eastAsia="Times New Roman" w:hAnsi="Calibri" w:cs="Calibri"/>
                <w:b/>
                <w:bCs/>
                <w:color w:val="FF0000"/>
              </w:rPr>
              <w:t>P75</w:t>
            </w:r>
          </w:p>
        </w:tc>
        <w:tc>
          <w:tcPr>
            <w:tcW w:w="900" w:type="dxa"/>
            <w:shd w:val="clear" w:color="auto" w:fill="auto"/>
            <w:noWrap/>
            <w:vAlign w:val="bottom"/>
            <w:hideMark/>
          </w:tcPr>
          <w:p w14:paraId="42FD33A6" w14:textId="77777777" w:rsidR="003C6AB0" w:rsidRPr="00A066CB" w:rsidRDefault="003C6AB0" w:rsidP="00050392">
            <w:pPr>
              <w:spacing w:after="0" w:line="240" w:lineRule="auto"/>
              <w:rPr>
                <w:rFonts w:ascii="Calibri" w:eastAsia="Times New Roman" w:hAnsi="Calibri" w:cs="Calibri"/>
                <w:b/>
                <w:bCs/>
                <w:color w:val="FF0000"/>
              </w:rPr>
            </w:pPr>
            <w:r w:rsidRPr="00A066CB">
              <w:rPr>
                <w:rFonts w:ascii="Calibri" w:eastAsia="Times New Roman" w:hAnsi="Calibri" w:cs="Calibri"/>
                <w:b/>
                <w:bCs/>
                <w:color w:val="FF0000"/>
              </w:rPr>
              <w:t>P90</w:t>
            </w:r>
          </w:p>
        </w:tc>
        <w:tc>
          <w:tcPr>
            <w:tcW w:w="810" w:type="dxa"/>
            <w:shd w:val="clear" w:color="auto" w:fill="auto"/>
            <w:noWrap/>
            <w:vAlign w:val="bottom"/>
            <w:hideMark/>
          </w:tcPr>
          <w:p w14:paraId="06B351EF" w14:textId="77777777" w:rsidR="003C6AB0" w:rsidRPr="00A066CB" w:rsidRDefault="003C6AB0" w:rsidP="00050392">
            <w:pPr>
              <w:spacing w:after="0" w:line="240" w:lineRule="auto"/>
              <w:rPr>
                <w:rFonts w:ascii="Calibri" w:eastAsia="Times New Roman" w:hAnsi="Calibri" w:cs="Calibri"/>
                <w:b/>
                <w:bCs/>
                <w:color w:val="FF0000"/>
              </w:rPr>
            </w:pPr>
            <w:r w:rsidRPr="00A066CB">
              <w:rPr>
                <w:rFonts w:ascii="Calibri" w:eastAsia="Times New Roman" w:hAnsi="Calibri" w:cs="Calibri"/>
                <w:b/>
                <w:bCs/>
                <w:color w:val="FF0000"/>
              </w:rPr>
              <w:t>Max</w:t>
            </w:r>
          </w:p>
        </w:tc>
        <w:tc>
          <w:tcPr>
            <w:tcW w:w="720" w:type="dxa"/>
            <w:shd w:val="clear" w:color="auto" w:fill="auto"/>
            <w:noWrap/>
            <w:vAlign w:val="bottom"/>
            <w:hideMark/>
          </w:tcPr>
          <w:p w14:paraId="285AEAC8" w14:textId="77777777" w:rsidR="003C6AB0" w:rsidRPr="00A066CB" w:rsidRDefault="003C6AB0" w:rsidP="00050392">
            <w:pPr>
              <w:spacing w:after="0" w:line="240" w:lineRule="auto"/>
              <w:rPr>
                <w:rFonts w:ascii="Calibri" w:eastAsia="Times New Roman" w:hAnsi="Calibri" w:cs="Calibri"/>
                <w:b/>
                <w:bCs/>
                <w:color w:val="FF0000"/>
              </w:rPr>
            </w:pPr>
            <w:r w:rsidRPr="00A066CB">
              <w:rPr>
                <w:rFonts w:ascii="Calibri" w:eastAsia="Times New Roman" w:hAnsi="Calibri" w:cs="Calibri"/>
                <w:b/>
                <w:bCs/>
                <w:color w:val="FF0000"/>
              </w:rPr>
              <w:t>IQR</w:t>
            </w:r>
          </w:p>
        </w:tc>
        <w:tc>
          <w:tcPr>
            <w:tcW w:w="1074" w:type="dxa"/>
            <w:shd w:val="clear" w:color="auto" w:fill="auto"/>
          </w:tcPr>
          <w:p w14:paraId="42EDD3E5" w14:textId="77777777" w:rsidR="003C6AB0" w:rsidRPr="00A066CB" w:rsidRDefault="003C6AB0" w:rsidP="00050392">
            <w:pPr>
              <w:spacing w:after="0" w:line="240" w:lineRule="auto"/>
              <w:rPr>
                <w:rFonts w:ascii="Calibri" w:eastAsia="Times New Roman" w:hAnsi="Calibri" w:cs="Calibri"/>
                <w:b/>
                <w:bCs/>
                <w:color w:val="FF0000"/>
              </w:rPr>
            </w:pPr>
            <w:r w:rsidRPr="00A066CB">
              <w:rPr>
                <w:rFonts w:ascii="Calibri" w:eastAsia="Times New Roman" w:hAnsi="Calibri" w:cs="Calibri"/>
                <w:b/>
                <w:bCs/>
                <w:color w:val="FF0000"/>
              </w:rPr>
              <w:t>P value</w:t>
            </w:r>
          </w:p>
        </w:tc>
      </w:tr>
      <w:tr w:rsidR="0085168A" w:rsidRPr="00A066CB" w14:paraId="05A3BCFB" w14:textId="77777777" w:rsidTr="00A066CB">
        <w:trPr>
          <w:trHeight w:val="267"/>
        </w:trPr>
        <w:tc>
          <w:tcPr>
            <w:tcW w:w="1276" w:type="dxa"/>
          </w:tcPr>
          <w:p w14:paraId="1E7F7068" w14:textId="35EF123C" w:rsidR="0085168A" w:rsidRPr="00A066CB" w:rsidRDefault="0085168A" w:rsidP="0085168A">
            <w:pPr>
              <w:spacing w:after="0" w:line="240" w:lineRule="auto"/>
              <w:rPr>
                <w:rFonts w:ascii="Calibri" w:eastAsia="Times New Roman" w:hAnsi="Calibri" w:cs="Calibri"/>
                <w:color w:val="FF0000"/>
              </w:rPr>
            </w:pPr>
            <w:r w:rsidRPr="00A066CB">
              <w:rPr>
                <w:rFonts w:ascii="Calibri" w:eastAsia="Times New Roman" w:hAnsi="Calibri" w:cs="Calibri"/>
                <w:color w:val="FF0000"/>
              </w:rPr>
              <w:t>7-day rate</w:t>
            </w:r>
          </w:p>
        </w:tc>
        <w:tc>
          <w:tcPr>
            <w:tcW w:w="551" w:type="dxa"/>
            <w:shd w:val="clear" w:color="auto" w:fill="auto"/>
            <w:noWrap/>
            <w:vAlign w:val="bottom"/>
          </w:tcPr>
          <w:p w14:paraId="1A080745" w14:textId="2F9B49F6" w:rsidR="0085168A" w:rsidRPr="00A066CB" w:rsidRDefault="0085168A" w:rsidP="0085168A">
            <w:pPr>
              <w:spacing w:after="0" w:line="240" w:lineRule="auto"/>
              <w:rPr>
                <w:rFonts w:ascii="Calibri" w:hAnsi="Calibri" w:cs="Calibri"/>
                <w:color w:val="FF0000"/>
              </w:rPr>
            </w:pPr>
            <w:r w:rsidRPr="00A066CB">
              <w:rPr>
                <w:rFonts w:ascii="Calibri" w:hAnsi="Calibri" w:cs="Calibri"/>
                <w:color w:val="FF0000"/>
              </w:rPr>
              <w:t>308</w:t>
            </w:r>
          </w:p>
        </w:tc>
        <w:tc>
          <w:tcPr>
            <w:tcW w:w="677" w:type="dxa"/>
            <w:shd w:val="clear" w:color="auto" w:fill="auto"/>
            <w:noWrap/>
            <w:vAlign w:val="bottom"/>
          </w:tcPr>
          <w:p w14:paraId="410BB277" w14:textId="737124C0" w:rsidR="0085168A" w:rsidRPr="00A066CB" w:rsidRDefault="0085168A" w:rsidP="0085168A">
            <w:pPr>
              <w:spacing w:after="0" w:line="240" w:lineRule="auto"/>
              <w:rPr>
                <w:rFonts w:ascii="Calibri" w:hAnsi="Calibri" w:cs="Calibri"/>
                <w:color w:val="FF0000"/>
              </w:rPr>
            </w:pPr>
            <w:r w:rsidRPr="00A066CB">
              <w:rPr>
                <w:rFonts w:ascii="Calibri" w:hAnsi="Calibri" w:cs="Calibri"/>
                <w:color w:val="FF0000"/>
              </w:rPr>
              <w:t>0</w:t>
            </w:r>
          </w:p>
        </w:tc>
        <w:tc>
          <w:tcPr>
            <w:tcW w:w="630" w:type="dxa"/>
            <w:shd w:val="clear" w:color="auto" w:fill="auto"/>
            <w:noWrap/>
            <w:vAlign w:val="bottom"/>
          </w:tcPr>
          <w:p w14:paraId="78CA553F" w14:textId="569BD767" w:rsidR="0085168A" w:rsidRPr="00A066CB" w:rsidRDefault="0085168A" w:rsidP="0085168A">
            <w:pPr>
              <w:spacing w:after="0" w:line="240" w:lineRule="auto"/>
              <w:rPr>
                <w:rFonts w:ascii="Calibri" w:hAnsi="Calibri" w:cs="Calibri"/>
                <w:color w:val="FF0000"/>
              </w:rPr>
            </w:pPr>
            <w:r w:rsidRPr="00A066CB">
              <w:rPr>
                <w:rFonts w:ascii="Calibri" w:hAnsi="Calibri" w:cs="Calibri"/>
                <w:color w:val="FF0000"/>
              </w:rPr>
              <w:t>0.13</w:t>
            </w:r>
          </w:p>
        </w:tc>
        <w:tc>
          <w:tcPr>
            <w:tcW w:w="810" w:type="dxa"/>
            <w:shd w:val="clear" w:color="auto" w:fill="auto"/>
            <w:noWrap/>
            <w:vAlign w:val="bottom"/>
          </w:tcPr>
          <w:p w14:paraId="05353FCF" w14:textId="33A37BC9" w:rsidR="0085168A" w:rsidRPr="00A066CB" w:rsidRDefault="0085168A" w:rsidP="0085168A">
            <w:pPr>
              <w:spacing w:after="0" w:line="240" w:lineRule="auto"/>
              <w:rPr>
                <w:rFonts w:ascii="Calibri" w:hAnsi="Calibri" w:cs="Calibri"/>
                <w:color w:val="FF0000"/>
              </w:rPr>
            </w:pPr>
            <w:r w:rsidRPr="00A066CB">
              <w:rPr>
                <w:rFonts w:ascii="Calibri" w:hAnsi="Calibri" w:cs="Calibri"/>
                <w:color w:val="FF0000"/>
              </w:rPr>
              <w:t>0.18</w:t>
            </w:r>
          </w:p>
        </w:tc>
        <w:tc>
          <w:tcPr>
            <w:tcW w:w="810" w:type="dxa"/>
            <w:shd w:val="clear" w:color="auto" w:fill="auto"/>
            <w:noWrap/>
            <w:vAlign w:val="bottom"/>
          </w:tcPr>
          <w:p w14:paraId="66DDADA8" w14:textId="21D0A10B" w:rsidR="0085168A" w:rsidRPr="00A066CB" w:rsidRDefault="0085168A" w:rsidP="0085168A">
            <w:pPr>
              <w:spacing w:after="0" w:line="240" w:lineRule="auto"/>
              <w:rPr>
                <w:rFonts w:ascii="Calibri" w:hAnsi="Calibri" w:cs="Calibri"/>
                <w:color w:val="FF0000"/>
              </w:rPr>
            </w:pPr>
            <w:r w:rsidRPr="00A066CB">
              <w:rPr>
                <w:rFonts w:ascii="Calibri" w:hAnsi="Calibri" w:cs="Calibri"/>
                <w:color w:val="FF0000"/>
              </w:rPr>
              <w:t>0.28</w:t>
            </w:r>
          </w:p>
        </w:tc>
        <w:tc>
          <w:tcPr>
            <w:tcW w:w="918" w:type="dxa"/>
            <w:shd w:val="clear" w:color="auto" w:fill="auto"/>
            <w:noWrap/>
            <w:vAlign w:val="bottom"/>
          </w:tcPr>
          <w:p w14:paraId="615BEE7B" w14:textId="5BBEE05C" w:rsidR="0085168A" w:rsidRPr="00A066CB" w:rsidRDefault="0085168A" w:rsidP="0085168A">
            <w:pPr>
              <w:spacing w:after="0" w:line="240" w:lineRule="auto"/>
              <w:rPr>
                <w:rFonts w:ascii="Calibri" w:hAnsi="Calibri" w:cs="Calibri"/>
                <w:color w:val="FF0000"/>
              </w:rPr>
            </w:pPr>
            <w:r w:rsidRPr="00A066CB">
              <w:rPr>
                <w:rFonts w:ascii="Calibri" w:hAnsi="Calibri" w:cs="Calibri"/>
                <w:color w:val="FF0000"/>
              </w:rPr>
              <w:t>0.25</w:t>
            </w:r>
          </w:p>
        </w:tc>
        <w:tc>
          <w:tcPr>
            <w:tcW w:w="809" w:type="dxa"/>
            <w:shd w:val="clear" w:color="auto" w:fill="auto"/>
            <w:noWrap/>
            <w:vAlign w:val="bottom"/>
          </w:tcPr>
          <w:p w14:paraId="1ED8C678" w14:textId="44B2208F" w:rsidR="0085168A" w:rsidRPr="00A066CB" w:rsidRDefault="0085168A" w:rsidP="0085168A">
            <w:pPr>
              <w:spacing w:after="0" w:line="240" w:lineRule="auto"/>
              <w:rPr>
                <w:rFonts w:ascii="Calibri" w:hAnsi="Calibri" w:cs="Calibri"/>
                <w:color w:val="FF0000"/>
              </w:rPr>
            </w:pPr>
            <w:r w:rsidRPr="00A066CB">
              <w:rPr>
                <w:rFonts w:ascii="Calibri" w:hAnsi="Calibri" w:cs="Calibri"/>
                <w:color w:val="FF0000"/>
              </w:rPr>
              <w:t>0.34</w:t>
            </w:r>
          </w:p>
        </w:tc>
        <w:tc>
          <w:tcPr>
            <w:tcW w:w="900" w:type="dxa"/>
            <w:shd w:val="clear" w:color="auto" w:fill="auto"/>
            <w:noWrap/>
            <w:vAlign w:val="bottom"/>
          </w:tcPr>
          <w:p w14:paraId="7D429EA4" w14:textId="0097E073" w:rsidR="0085168A" w:rsidRPr="00A066CB" w:rsidRDefault="0085168A" w:rsidP="0085168A">
            <w:pPr>
              <w:spacing w:after="0" w:line="240" w:lineRule="auto"/>
              <w:rPr>
                <w:rFonts w:ascii="Calibri" w:hAnsi="Calibri" w:cs="Calibri"/>
                <w:color w:val="FF0000"/>
              </w:rPr>
            </w:pPr>
            <w:r w:rsidRPr="00A066CB">
              <w:rPr>
                <w:rFonts w:ascii="Calibri" w:hAnsi="Calibri" w:cs="Calibri"/>
                <w:color w:val="FF0000"/>
              </w:rPr>
              <w:t>0.46</w:t>
            </w:r>
          </w:p>
        </w:tc>
        <w:tc>
          <w:tcPr>
            <w:tcW w:w="810" w:type="dxa"/>
            <w:shd w:val="clear" w:color="auto" w:fill="auto"/>
            <w:noWrap/>
            <w:vAlign w:val="bottom"/>
          </w:tcPr>
          <w:p w14:paraId="7FCCEA7E" w14:textId="5D8A4EBA" w:rsidR="0085168A" w:rsidRPr="00A066CB" w:rsidRDefault="0085168A" w:rsidP="0085168A">
            <w:pPr>
              <w:spacing w:after="0" w:line="240" w:lineRule="auto"/>
              <w:rPr>
                <w:rFonts w:ascii="Calibri" w:hAnsi="Calibri" w:cs="Calibri"/>
                <w:color w:val="FF0000"/>
              </w:rPr>
            </w:pPr>
            <w:r w:rsidRPr="00A066CB">
              <w:rPr>
                <w:rFonts w:ascii="Calibri" w:hAnsi="Calibri" w:cs="Calibri"/>
                <w:color w:val="FF0000"/>
              </w:rPr>
              <w:t>0.68</w:t>
            </w:r>
          </w:p>
        </w:tc>
        <w:tc>
          <w:tcPr>
            <w:tcW w:w="720" w:type="dxa"/>
            <w:shd w:val="clear" w:color="auto" w:fill="auto"/>
            <w:noWrap/>
            <w:vAlign w:val="bottom"/>
          </w:tcPr>
          <w:p w14:paraId="734CD9C8" w14:textId="1DFB2332" w:rsidR="0085168A" w:rsidRPr="00A066CB" w:rsidRDefault="0085168A" w:rsidP="0085168A">
            <w:pPr>
              <w:spacing w:after="0" w:line="240" w:lineRule="auto"/>
              <w:rPr>
                <w:rFonts w:ascii="Calibri" w:hAnsi="Calibri" w:cs="Calibri"/>
                <w:color w:val="FF0000"/>
              </w:rPr>
            </w:pPr>
            <w:r w:rsidRPr="00A066CB">
              <w:rPr>
                <w:rFonts w:ascii="Calibri" w:hAnsi="Calibri" w:cs="Calibri"/>
                <w:color w:val="FF0000"/>
              </w:rPr>
              <w:t>0.16</w:t>
            </w:r>
          </w:p>
        </w:tc>
        <w:tc>
          <w:tcPr>
            <w:tcW w:w="1074" w:type="dxa"/>
          </w:tcPr>
          <w:p w14:paraId="664BD127" w14:textId="4681EA23" w:rsidR="0085168A" w:rsidRPr="00A066CB" w:rsidRDefault="0085168A" w:rsidP="0085168A">
            <w:pPr>
              <w:spacing w:after="0" w:line="240" w:lineRule="auto"/>
              <w:rPr>
                <w:rFonts w:ascii="Calibri" w:eastAsia="Times New Roman" w:hAnsi="Calibri" w:cs="Calibri"/>
                <w:color w:val="FF0000"/>
              </w:rPr>
            </w:pPr>
            <w:r w:rsidRPr="00A066CB">
              <w:rPr>
                <w:rFonts w:ascii="Calibri" w:eastAsia="Times New Roman" w:hAnsi="Calibri" w:cs="Calibri"/>
                <w:color w:val="FF0000"/>
              </w:rPr>
              <w:t>p &lt; 0.001</w:t>
            </w:r>
          </w:p>
        </w:tc>
      </w:tr>
      <w:tr w:rsidR="0085168A" w:rsidRPr="00A066CB" w14:paraId="0F8CB05D" w14:textId="77777777" w:rsidTr="00A066CB">
        <w:trPr>
          <w:trHeight w:val="267"/>
        </w:trPr>
        <w:tc>
          <w:tcPr>
            <w:tcW w:w="1276" w:type="dxa"/>
          </w:tcPr>
          <w:p w14:paraId="0BFFD878" w14:textId="77777777" w:rsidR="0085168A" w:rsidRPr="00A066CB" w:rsidRDefault="0085168A" w:rsidP="0085168A">
            <w:pPr>
              <w:spacing w:after="0" w:line="240" w:lineRule="auto"/>
              <w:rPr>
                <w:rFonts w:ascii="Calibri" w:eastAsia="Times New Roman" w:hAnsi="Calibri" w:cs="Calibri"/>
                <w:color w:val="FF0000"/>
              </w:rPr>
            </w:pPr>
            <w:r w:rsidRPr="00A066CB">
              <w:rPr>
                <w:rFonts w:ascii="Calibri" w:eastAsia="Times New Roman" w:hAnsi="Calibri" w:cs="Calibri"/>
                <w:color w:val="FF0000"/>
              </w:rPr>
              <w:t>30-day rate</w:t>
            </w:r>
          </w:p>
        </w:tc>
        <w:tc>
          <w:tcPr>
            <w:tcW w:w="551" w:type="dxa"/>
            <w:shd w:val="clear" w:color="auto" w:fill="auto"/>
            <w:noWrap/>
            <w:vAlign w:val="bottom"/>
          </w:tcPr>
          <w:p w14:paraId="71201875" w14:textId="291A4113" w:rsidR="0085168A" w:rsidRPr="00A066CB" w:rsidRDefault="0085168A" w:rsidP="0085168A">
            <w:pPr>
              <w:spacing w:after="0" w:line="240" w:lineRule="auto"/>
              <w:rPr>
                <w:rFonts w:ascii="Calibri" w:eastAsia="Times New Roman" w:hAnsi="Calibri" w:cs="Calibri"/>
                <w:color w:val="FF0000"/>
              </w:rPr>
            </w:pPr>
            <w:r w:rsidRPr="00A066CB">
              <w:rPr>
                <w:rFonts w:ascii="Calibri" w:hAnsi="Calibri" w:cs="Calibri"/>
                <w:color w:val="FF0000"/>
              </w:rPr>
              <w:t>308</w:t>
            </w:r>
          </w:p>
        </w:tc>
        <w:tc>
          <w:tcPr>
            <w:tcW w:w="677" w:type="dxa"/>
            <w:shd w:val="clear" w:color="auto" w:fill="auto"/>
            <w:noWrap/>
            <w:vAlign w:val="bottom"/>
          </w:tcPr>
          <w:p w14:paraId="7757286D" w14:textId="6F3F3BE2" w:rsidR="0085168A" w:rsidRPr="00A066CB" w:rsidRDefault="0085168A" w:rsidP="0085168A">
            <w:pPr>
              <w:spacing w:after="0" w:line="240" w:lineRule="auto"/>
              <w:rPr>
                <w:rFonts w:ascii="Calibri" w:eastAsia="Times New Roman" w:hAnsi="Calibri" w:cs="Calibri"/>
                <w:color w:val="FF0000"/>
              </w:rPr>
            </w:pPr>
            <w:r w:rsidRPr="00A066CB">
              <w:rPr>
                <w:rFonts w:ascii="Calibri" w:hAnsi="Calibri" w:cs="Calibri"/>
                <w:color w:val="FF0000"/>
              </w:rPr>
              <w:t>0.07</w:t>
            </w:r>
          </w:p>
        </w:tc>
        <w:tc>
          <w:tcPr>
            <w:tcW w:w="630" w:type="dxa"/>
            <w:shd w:val="clear" w:color="auto" w:fill="auto"/>
            <w:noWrap/>
            <w:vAlign w:val="bottom"/>
          </w:tcPr>
          <w:p w14:paraId="65B6DB66" w14:textId="67E93FF7" w:rsidR="0085168A" w:rsidRPr="00A066CB" w:rsidRDefault="0085168A" w:rsidP="0085168A">
            <w:pPr>
              <w:spacing w:after="0" w:line="240" w:lineRule="auto"/>
              <w:rPr>
                <w:rFonts w:ascii="Calibri" w:eastAsia="Times New Roman" w:hAnsi="Calibri" w:cs="Calibri"/>
                <w:color w:val="FF0000"/>
              </w:rPr>
            </w:pPr>
            <w:r w:rsidRPr="00A066CB">
              <w:rPr>
                <w:rFonts w:ascii="Calibri" w:hAnsi="Calibri" w:cs="Calibri"/>
                <w:color w:val="FF0000"/>
              </w:rPr>
              <w:t>0.3</w:t>
            </w:r>
          </w:p>
        </w:tc>
        <w:tc>
          <w:tcPr>
            <w:tcW w:w="810" w:type="dxa"/>
            <w:shd w:val="clear" w:color="auto" w:fill="auto"/>
            <w:noWrap/>
            <w:vAlign w:val="bottom"/>
          </w:tcPr>
          <w:p w14:paraId="330BD75C" w14:textId="7A47D219" w:rsidR="0085168A" w:rsidRPr="00A066CB" w:rsidRDefault="0085168A" w:rsidP="0085168A">
            <w:pPr>
              <w:spacing w:after="0" w:line="240" w:lineRule="auto"/>
              <w:rPr>
                <w:rFonts w:ascii="Calibri" w:eastAsia="Times New Roman" w:hAnsi="Calibri" w:cs="Calibri"/>
                <w:color w:val="FF0000"/>
              </w:rPr>
            </w:pPr>
            <w:r w:rsidRPr="00A066CB">
              <w:rPr>
                <w:rFonts w:ascii="Calibri" w:hAnsi="Calibri" w:cs="Calibri"/>
                <w:color w:val="FF0000"/>
              </w:rPr>
              <w:t>0.37</w:t>
            </w:r>
          </w:p>
        </w:tc>
        <w:tc>
          <w:tcPr>
            <w:tcW w:w="810" w:type="dxa"/>
            <w:shd w:val="clear" w:color="auto" w:fill="auto"/>
            <w:noWrap/>
            <w:vAlign w:val="bottom"/>
          </w:tcPr>
          <w:p w14:paraId="6851AF33" w14:textId="30541473" w:rsidR="0085168A" w:rsidRPr="00A066CB" w:rsidRDefault="0085168A" w:rsidP="0085168A">
            <w:pPr>
              <w:spacing w:after="0" w:line="240" w:lineRule="auto"/>
              <w:rPr>
                <w:rFonts w:ascii="Calibri" w:eastAsia="Times New Roman" w:hAnsi="Calibri" w:cs="Calibri"/>
                <w:color w:val="FF0000"/>
              </w:rPr>
            </w:pPr>
            <w:r w:rsidRPr="00A066CB">
              <w:rPr>
                <w:rFonts w:ascii="Calibri" w:hAnsi="Calibri" w:cs="Calibri"/>
                <w:color w:val="FF0000"/>
              </w:rPr>
              <w:t>0.48</w:t>
            </w:r>
          </w:p>
        </w:tc>
        <w:tc>
          <w:tcPr>
            <w:tcW w:w="918" w:type="dxa"/>
            <w:shd w:val="clear" w:color="auto" w:fill="auto"/>
            <w:noWrap/>
            <w:vAlign w:val="bottom"/>
          </w:tcPr>
          <w:p w14:paraId="20BB1C02" w14:textId="24A153EC" w:rsidR="0085168A" w:rsidRPr="00A066CB" w:rsidRDefault="0085168A" w:rsidP="0085168A">
            <w:pPr>
              <w:spacing w:after="0" w:line="240" w:lineRule="auto"/>
              <w:rPr>
                <w:rFonts w:ascii="Calibri" w:eastAsia="Times New Roman" w:hAnsi="Calibri" w:cs="Calibri"/>
                <w:color w:val="FF0000"/>
              </w:rPr>
            </w:pPr>
            <w:r w:rsidRPr="00A066CB">
              <w:rPr>
                <w:rFonts w:ascii="Calibri" w:hAnsi="Calibri" w:cs="Calibri"/>
                <w:color w:val="FF0000"/>
              </w:rPr>
              <w:t>0.47</w:t>
            </w:r>
          </w:p>
        </w:tc>
        <w:tc>
          <w:tcPr>
            <w:tcW w:w="809" w:type="dxa"/>
            <w:shd w:val="clear" w:color="auto" w:fill="auto"/>
            <w:noWrap/>
            <w:vAlign w:val="bottom"/>
          </w:tcPr>
          <w:p w14:paraId="452E4275" w14:textId="5C1D5DE6" w:rsidR="0085168A" w:rsidRPr="00A066CB" w:rsidRDefault="0085168A" w:rsidP="0085168A">
            <w:pPr>
              <w:spacing w:after="0" w:line="240" w:lineRule="auto"/>
              <w:rPr>
                <w:rFonts w:ascii="Calibri" w:eastAsia="Times New Roman" w:hAnsi="Calibri" w:cs="Calibri"/>
                <w:color w:val="FF0000"/>
              </w:rPr>
            </w:pPr>
            <w:r w:rsidRPr="00A066CB">
              <w:rPr>
                <w:rFonts w:ascii="Calibri" w:hAnsi="Calibri" w:cs="Calibri"/>
                <w:color w:val="FF0000"/>
              </w:rPr>
              <w:t>0.6</w:t>
            </w:r>
          </w:p>
        </w:tc>
        <w:tc>
          <w:tcPr>
            <w:tcW w:w="900" w:type="dxa"/>
            <w:shd w:val="clear" w:color="auto" w:fill="auto"/>
            <w:noWrap/>
            <w:vAlign w:val="bottom"/>
          </w:tcPr>
          <w:p w14:paraId="1AB85228" w14:textId="6DA8203C" w:rsidR="0085168A" w:rsidRPr="00A066CB" w:rsidRDefault="0085168A" w:rsidP="0085168A">
            <w:pPr>
              <w:spacing w:after="0" w:line="240" w:lineRule="auto"/>
              <w:rPr>
                <w:rFonts w:ascii="Calibri" w:eastAsia="Times New Roman" w:hAnsi="Calibri" w:cs="Calibri"/>
                <w:color w:val="FF0000"/>
              </w:rPr>
            </w:pPr>
            <w:r w:rsidRPr="00A066CB">
              <w:rPr>
                <w:rFonts w:ascii="Calibri" w:hAnsi="Calibri" w:cs="Calibri"/>
                <w:color w:val="FF0000"/>
              </w:rPr>
              <w:t>0.7</w:t>
            </w:r>
          </w:p>
        </w:tc>
        <w:tc>
          <w:tcPr>
            <w:tcW w:w="810" w:type="dxa"/>
            <w:shd w:val="clear" w:color="auto" w:fill="auto"/>
            <w:noWrap/>
            <w:vAlign w:val="bottom"/>
          </w:tcPr>
          <w:p w14:paraId="2C347F3B" w14:textId="65E99C46" w:rsidR="0085168A" w:rsidRPr="00A066CB" w:rsidRDefault="0085168A" w:rsidP="0085168A">
            <w:pPr>
              <w:spacing w:after="0" w:line="240" w:lineRule="auto"/>
              <w:rPr>
                <w:rFonts w:ascii="Calibri" w:eastAsia="Times New Roman" w:hAnsi="Calibri" w:cs="Calibri"/>
                <w:color w:val="FF0000"/>
              </w:rPr>
            </w:pPr>
            <w:r w:rsidRPr="00A066CB">
              <w:rPr>
                <w:rFonts w:ascii="Calibri" w:hAnsi="Calibri" w:cs="Calibri"/>
                <w:color w:val="FF0000"/>
              </w:rPr>
              <w:t>0.84</w:t>
            </w:r>
          </w:p>
        </w:tc>
        <w:tc>
          <w:tcPr>
            <w:tcW w:w="720" w:type="dxa"/>
            <w:shd w:val="clear" w:color="auto" w:fill="auto"/>
            <w:noWrap/>
            <w:vAlign w:val="bottom"/>
          </w:tcPr>
          <w:p w14:paraId="7501C4D6" w14:textId="4E1D1AA5" w:rsidR="0085168A" w:rsidRPr="00A066CB" w:rsidRDefault="0085168A" w:rsidP="0085168A">
            <w:pPr>
              <w:spacing w:after="0" w:line="240" w:lineRule="auto"/>
              <w:rPr>
                <w:rFonts w:ascii="Calibri" w:eastAsia="Times New Roman" w:hAnsi="Calibri" w:cs="Calibri"/>
                <w:color w:val="FF0000"/>
              </w:rPr>
            </w:pPr>
            <w:r w:rsidRPr="00A066CB">
              <w:rPr>
                <w:rFonts w:ascii="Calibri" w:hAnsi="Calibri" w:cs="Calibri"/>
                <w:color w:val="FF0000"/>
              </w:rPr>
              <w:t>0.23</w:t>
            </w:r>
          </w:p>
        </w:tc>
        <w:tc>
          <w:tcPr>
            <w:tcW w:w="1074" w:type="dxa"/>
          </w:tcPr>
          <w:p w14:paraId="5FE92DBE" w14:textId="77777777" w:rsidR="0085168A" w:rsidRPr="00A066CB" w:rsidRDefault="0085168A" w:rsidP="0085168A">
            <w:pPr>
              <w:spacing w:after="0" w:line="240" w:lineRule="auto"/>
              <w:rPr>
                <w:rFonts w:ascii="Calibri" w:eastAsia="Times New Roman" w:hAnsi="Calibri" w:cs="Calibri"/>
                <w:color w:val="FF0000"/>
              </w:rPr>
            </w:pPr>
            <w:r w:rsidRPr="00A066CB">
              <w:rPr>
                <w:rFonts w:ascii="Calibri" w:eastAsia="Times New Roman" w:hAnsi="Calibri" w:cs="Calibri"/>
                <w:color w:val="FF0000"/>
              </w:rPr>
              <w:t>p &lt; 0.001</w:t>
            </w:r>
          </w:p>
        </w:tc>
      </w:tr>
    </w:tbl>
    <w:p w14:paraId="269E31E7" w14:textId="77777777" w:rsidR="00397C2D" w:rsidRPr="00397C2D" w:rsidRDefault="00397C2D" w:rsidP="00E04CE5">
      <w:pPr>
        <w:autoSpaceDE w:val="0"/>
        <w:autoSpaceDN w:val="0"/>
        <w:adjustRightInd w:val="0"/>
        <w:spacing w:after="0" w:line="240" w:lineRule="auto"/>
        <w:rPr>
          <w:rFonts w:cstheme="minorHAnsi"/>
          <w:bCs/>
          <w:color w:val="FF0000"/>
        </w:rPr>
      </w:pPr>
    </w:p>
    <w:p w14:paraId="1DED2417" w14:textId="7FEF8D5A" w:rsidR="00397C2D" w:rsidRPr="00397C2D" w:rsidRDefault="00397C2D" w:rsidP="00397C2D">
      <w:pPr>
        <w:autoSpaceDE w:val="0"/>
        <w:autoSpaceDN w:val="0"/>
        <w:adjustRightInd w:val="0"/>
        <w:spacing w:after="0" w:line="240" w:lineRule="auto"/>
        <w:rPr>
          <w:rFonts w:cstheme="minorHAnsi"/>
          <w:b/>
          <w:bCs/>
          <w:color w:val="FF0000"/>
        </w:rPr>
      </w:pPr>
      <w:r w:rsidRPr="00397C2D">
        <w:rPr>
          <w:b/>
          <w:color w:val="FF0000"/>
        </w:rPr>
        <w:t xml:space="preserve">HEDIS MY 2018 Variation in Performance across Health Plans- Medicaid </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551"/>
        <w:gridCol w:w="677"/>
        <w:gridCol w:w="630"/>
        <w:gridCol w:w="810"/>
        <w:gridCol w:w="810"/>
        <w:gridCol w:w="918"/>
        <w:gridCol w:w="809"/>
        <w:gridCol w:w="900"/>
        <w:gridCol w:w="810"/>
        <w:gridCol w:w="720"/>
        <w:gridCol w:w="1074"/>
      </w:tblGrid>
      <w:tr w:rsidR="00A91C46" w:rsidRPr="00A91C46" w14:paraId="6E7ABA46" w14:textId="77777777" w:rsidTr="00A91C46">
        <w:trPr>
          <w:trHeight w:val="267"/>
        </w:trPr>
        <w:tc>
          <w:tcPr>
            <w:tcW w:w="1276" w:type="dxa"/>
            <w:shd w:val="clear" w:color="auto" w:fill="auto"/>
          </w:tcPr>
          <w:p w14:paraId="01C7E944" w14:textId="77777777" w:rsidR="003C6AB0" w:rsidRPr="00A91C46" w:rsidRDefault="003C6AB0" w:rsidP="00050392">
            <w:pPr>
              <w:spacing w:after="0" w:line="240" w:lineRule="auto"/>
              <w:rPr>
                <w:rFonts w:ascii="Calibri" w:eastAsia="Times New Roman" w:hAnsi="Calibri" w:cs="Calibri"/>
                <w:b/>
                <w:bCs/>
                <w:color w:val="FF0000"/>
              </w:rPr>
            </w:pPr>
          </w:p>
        </w:tc>
        <w:tc>
          <w:tcPr>
            <w:tcW w:w="551" w:type="dxa"/>
            <w:shd w:val="clear" w:color="auto" w:fill="auto"/>
            <w:noWrap/>
            <w:vAlign w:val="bottom"/>
            <w:hideMark/>
          </w:tcPr>
          <w:p w14:paraId="6D4C8CFF" w14:textId="77777777" w:rsidR="003C6AB0" w:rsidRPr="00A91C46" w:rsidRDefault="003C6AB0" w:rsidP="00050392">
            <w:pPr>
              <w:spacing w:after="0" w:line="240" w:lineRule="auto"/>
              <w:rPr>
                <w:rFonts w:ascii="Calibri" w:eastAsia="Times New Roman" w:hAnsi="Calibri" w:cs="Calibri"/>
                <w:b/>
                <w:bCs/>
                <w:color w:val="FF0000"/>
              </w:rPr>
            </w:pPr>
            <w:r w:rsidRPr="00A91C46">
              <w:rPr>
                <w:rFonts w:ascii="Calibri" w:eastAsia="Times New Roman" w:hAnsi="Calibri" w:cs="Calibri"/>
                <w:b/>
                <w:bCs/>
                <w:color w:val="FF0000"/>
              </w:rPr>
              <w:t>N</w:t>
            </w:r>
          </w:p>
        </w:tc>
        <w:tc>
          <w:tcPr>
            <w:tcW w:w="677" w:type="dxa"/>
            <w:shd w:val="clear" w:color="auto" w:fill="auto"/>
            <w:noWrap/>
            <w:vAlign w:val="bottom"/>
            <w:hideMark/>
          </w:tcPr>
          <w:p w14:paraId="2CCA14CA" w14:textId="77777777" w:rsidR="003C6AB0" w:rsidRPr="00A91C46" w:rsidRDefault="003C6AB0" w:rsidP="00050392">
            <w:pPr>
              <w:spacing w:after="0" w:line="240" w:lineRule="auto"/>
              <w:rPr>
                <w:rFonts w:ascii="Calibri" w:eastAsia="Times New Roman" w:hAnsi="Calibri" w:cs="Calibri"/>
                <w:b/>
                <w:bCs/>
                <w:color w:val="FF0000"/>
              </w:rPr>
            </w:pPr>
            <w:r w:rsidRPr="00A91C46">
              <w:rPr>
                <w:rFonts w:ascii="Calibri" w:eastAsia="Times New Roman" w:hAnsi="Calibri" w:cs="Calibri"/>
                <w:b/>
                <w:bCs/>
                <w:color w:val="FF0000"/>
              </w:rPr>
              <w:t>Min</w:t>
            </w:r>
          </w:p>
        </w:tc>
        <w:tc>
          <w:tcPr>
            <w:tcW w:w="630" w:type="dxa"/>
            <w:shd w:val="clear" w:color="auto" w:fill="auto"/>
            <w:noWrap/>
            <w:vAlign w:val="bottom"/>
            <w:hideMark/>
          </w:tcPr>
          <w:p w14:paraId="5F8C676B" w14:textId="77777777" w:rsidR="003C6AB0" w:rsidRPr="00A91C46" w:rsidRDefault="003C6AB0" w:rsidP="00050392">
            <w:pPr>
              <w:spacing w:after="0" w:line="240" w:lineRule="auto"/>
              <w:rPr>
                <w:rFonts w:ascii="Calibri" w:eastAsia="Times New Roman" w:hAnsi="Calibri" w:cs="Calibri"/>
                <w:b/>
                <w:bCs/>
                <w:color w:val="FF0000"/>
              </w:rPr>
            </w:pPr>
            <w:r w:rsidRPr="00A91C46">
              <w:rPr>
                <w:rFonts w:ascii="Calibri" w:eastAsia="Times New Roman" w:hAnsi="Calibri" w:cs="Calibri"/>
                <w:b/>
                <w:bCs/>
                <w:color w:val="FF0000"/>
              </w:rPr>
              <w:t>P10</w:t>
            </w:r>
          </w:p>
        </w:tc>
        <w:tc>
          <w:tcPr>
            <w:tcW w:w="810" w:type="dxa"/>
            <w:shd w:val="clear" w:color="auto" w:fill="auto"/>
            <w:noWrap/>
            <w:vAlign w:val="bottom"/>
            <w:hideMark/>
          </w:tcPr>
          <w:p w14:paraId="28684C23" w14:textId="77777777" w:rsidR="003C6AB0" w:rsidRPr="00A91C46" w:rsidRDefault="003C6AB0" w:rsidP="00050392">
            <w:pPr>
              <w:spacing w:after="0" w:line="240" w:lineRule="auto"/>
              <w:rPr>
                <w:rFonts w:ascii="Calibri" w:eastAsia="Times New Roman" w:hAnsi="Calibri" w:cs="Calibri"/>
                <w:b/>
                <w:bCs/>
                <w:color w:val="FF0000"/>
              </w:rPr>
            </w:pPr>
            <w:r w:rsidRPr="00A91C46">
              <w:rPr>
                <w:rFonts w:ascii="Calibri" w:eastAsia="Times New Roman" w:hAnsi="Calibri" w:cs="Calibri"/>
                <w:b/>
                <w:bCs/>
                <w:color w:val="FF0000"/>
              </w:rPr>
              <w:t>P25</w:t>
            </w:r>
          </w:p>
        </w:tc>
        <w:tc>
          <w:tcPr>
            <w:tcW w:w="810" w:type="dxa"/>
            <w:shd w:val="clear" w:color="auto" w:fill="auto"/>
            <w:noWrap/>
            <w:vAlign w:val="bottom"/>
            <w:hideMark/>
          </w:tcPr>
          <w:p w14:paraId="443DB381" w14:textId="77777777" w:rsidR="003C6AB0" w:rsidRPr="00A91C46" w:rsidRDefault="003C6AB0" w:rsidP="00050392">
            <w:pPr>
              <w:spacing w:after="0" w:line="240" w:lineRule="auto"/>
              <w:rPr>
                <w:rFonts w:ascii="Calibri" w:eastAsia="Times New Roman" w:hAnsi="Calibri" w:cs="Calibri"/>
                <w:b/>
                <w:bCs/>
                <w:color w:val="FF0000"/>
              </w:rPr>
            </w:pPr>
            <w:r w:rsidRPr="00A91C46">
              <w:rPr>
                <w:rFonts w:ascii="Calibri" w:eastAsia="Times New Roman" w:hAnsi="Calibri" w:cs="Calibri"/>
                <w:b/>
                <w:bCs/>
                <w:color w:val="FF0000"/>
              </w:rPr>
              <w:t>Mean</w:t>
            </w:r>
          </w:p>
        </w:tc>
        <w:tc>
          <w:tcPr>
            <w:tcW w:w="918" w:type="dxa"/>
            <w:shd w:val="clear" w:color="auto" w:fill="auto"/>
            <w:noWrap/>
            <w:vAlign w:val="bottom"/>
            <w:hideMark/>
          </w:tcPr>
          <w:p w14:paraId="0E1C3F12" w14:textId="77777777" w:rsidR="003C6AB0" w:rsidRPr="00A91C46" w:rsidRDefault="003C6AB0" w:rsidP="00050392">
            <w:pPr>
              <w:spacing w:after="0" w:line="240" w:lineRule="auto"/>
              <w:rPr>
                <w:rFonts w:ascii="Calibri" w:eastAsia="Times New Roman" w:hAnsi="Calibri" w:cs="Calibri"/>
                <w:b/>
                <w:bCs/>
                <w:color w:val="FF0000"/>
              </w:rPr>
            </w:pPr>
            <w:r w:rsidRPr="00A91C46">
              <w:rPr>
                <w:rFonts w:ascii="Calibri" w:eastAsia="Times New Roman" w:hAnsi="Calibri" w:cs="Calibri"/>
                <w:b/>
                <w:bCs/>
                <w:color w:val="FF0000"/>
              </w:rPr>
              <w:t>Median</w:t>
            </w:r>
          </w:p>
        </w:tc>
        <w:tc>
          <w:tcPr>
            <w:tcW w:w="809" w:type="dxa"/>
            <w:shd w:val="clear" w:color="auto" w:fill="auto"/>
            <w:noWrap/>
            <w:vAlign w:val="bottom"/>
            <w:hideMark/>
          </w:tcPr>
          <w:p w14:paraId="6CAC5BE5" w14:textId="77777777" w:rsidR="003C6AB0" w:rsidRPr="00A91C46" w:rsidRDefault="003C6AB0" w:rsidP="00050392">
            <w:pPr>
              <w:spacing w:after="0" w:line="240" w:lineRule="auto"/>
              <w:rPr>
                <w:rFonts w:ascii="Calibri" w:eastAsia="Times New Roman" w:hAnsi="Calibri" w:cs="Calibri"/>
                <w:b/>
                <w:bCs/>
                <w:color w:val="FF0000"/>
              </w:rPr>
            </w:pPr>
            <w:r w:rsidRPr="00A91C46">
              <w:rPr>
                <w:rFonts w:ascii="Calibri" w:eastAsia="Times New Roman" w:hAnsi="Calibri" w:cs="Calibri"/>
                <w:b/>
                <w:bCs/>
                <w:color w:val="FF0000"/>
              </w:rPr>
              <w:t>P75</w:t>
            </w:r>
          </w:p>
        </w:tc>
        <w:tc>
          <w:tcPr>
            <w:tcW w:w="900" w:type="dxa"/>
            <w:shd w:val="clear" w:color="auto" w:fill="auto"/>
            <w:noWrap/>
            <w:vAlign w:val="bottom"/>
            <w:hideMark/>
          </w:tcPr>
          <w:p w14:paraId="2B4E4F89" w14:textId="77777777" w:rsidR="003C6AB0" w:rsidRPr="00A91C46" w:rsidRDefault="003C6AB0" w:rsidP="00050392">
            <w:pPr>
              <w:spacing w:after="0" w:line="240" w:lineRule="auto"/>
              <w:rPr>
                <w:rFonts w:ascii="Calibri" w:eastAsia="Times New Roman" w:hAnsi="Calibri" w:cs="Calibri"/>
                <w:b/>
                <w:bCs/>
                <w:color w:val="FF0000"/>
              </w:rPr>
            </w:pPr>
            <w:r w:rsidRPr="00A91C46">
              <w:rPr>
                <w:rFonts w:ascii="Calibri" w:eastAsia="Times New Roman" w:hAnsi="Calibri" w:cs="Calibri"/>
                <w:b/>
                <w:bCs/>
                <w:color w:val="FF0000"/>
              </w:rPr>
              <w:t>P90</w:t>
            </w:r>
          </w:p>
        </w:tc>
        <w:tc>
          <w:tcPr>
            <w:tcW w:w="810" w:type="dxa"/>
            <w:shd w:val="clear" w:color="auto" w:fill="auto"/>
            <w:noWrap/>
            <w:vAlign w:val="bottom"/>
            <w:hideMark/>
          </w:tcPr>
          <w:p w14:paraId="764E119C" w14:textId="77777777" w:rsidR="003C6AB0" w:rsidRPr="00A91C46" w:rsidRDefault="003C6AB0" w:rsidP="00050392">
            <w:pPr>
              <w:spacing w:after="0" w:line="240" w:lineRule="auto"/>
              <w:rPr>
                <w:rFonts w:ascii="Calibri" w:eastAsia="Times New Roman" w:hAnsi="Calibri" w:cs="Calibri"/>
                <w:b/>
                <w:bCs/>
                <w:color w:val="FF0000"/>
              </w:rPr>
            </w:pPr>
            <w:r w:rsidRPr="00A91C46">
              <w:rPr>
                <w:rFonts w:ascii="Calibri" w:eastAsia="Times New Roman" w:hAnsi="Calibri" w:cs="Calibri"/>
                <w:b/>
                <w:bCs/>
                <w:color w:val="FF0000"/>
              </w:rPr>
              <w:t>Max</w:t>
            </w:r>
          </w:p>
        </w:tc>
        <w:tc>
          <w:tcPr>
            <w:tcW w:w="720" w:type="dxa"/>
            <w:shd w:val="clear" w:color="auto" w:fill="auto"/>
            <w:noWrap/>
            <w:vAlign w:val="bottom"/>
            <w:hideMark/>
          </w:tcPr>
          <w:p w14:paraId="2C067B85" w14:textId="77777777" w:rsidR="003C6AB0" w:rsidRPr="00A91C46" w:rsidRDefault="003C6AB0" w:rsidP="00050392">
            <w:pPr>
              <w:spacing w:after="0" w:line="240" w:lineRule="auto"/>
              <w:rPr>
                <w:rFonts w:ascii="Calibri" w:eastAsia="Times New Roman" w:hAnsi="Calibri" w:cs="Calibri"/>
                <w:b/>
                <w:bCs/>
                <w:color w:val="FF0000"/>
              </w:rPr>
            </w:pPr>
            <w:r w:rsidRPr="00A91C46">
              <w:rPr>
                <w:rFonts w:ascii="Calibri" w:eastAsia="Times New Roman" w:hAnsi="Calibri" w:cs="Calibri"/>
                <w:b/>
                <w:bCs/>
                <w:color w:val="FF0000"/>
              </w:rPr>
              <w:t>IQR</w:t>
            </w:r>
          </w:p>
        </w:tc>
        <w:tc>
          <w:tcPr>
            <w:tcW w:w="1074" w:type="dxa"/>
            <w:shd w:val="clear" w:color="auto" w:fill="auto"/>
          </w:tcPr>
          <w:p w14:paraId="0FBD5BE3" w14:textId="77777777" w:rsidR="003C6AB0" w:rsidRPr="00A91C46" w:rsidRDefault="003C6AB0" w:rsidP="00050392">
            <w:pPr>
              <w:spacing w:after="0" w:line="240" w:lineRule="auto"/>
              <w:rPr>
                <w:rFonts w:ascii="Calibri" w:eastAsia="Times New Roman" w:hAnsi="Calibri" w:cs="Calibri"/>
                <w:b/>
                <w:bCs/>
                <w:color w:val="FF0000"/>
              </w:rPr>
            </w:pPr>
            <w:r w:rsidRPr="00A91C46">
              <w:rPr>
                <w:rFonts w:ascii="Calibri" w:eastAsia="Times New Roman" w:hAnsi="Calibri" w:cs="Calibri"/>
                <w:b/>
                <w:bCs/>
                <w:color w:val="FF0000"/>
              </w:rPr>
              <w:t>P value</w:t>
            </w:r>
          </w:p>
        </w:tc>
      </w:tr>
      <w:tr w:rsidR="0085168A" w:rsidRPr="00A91C46" w14:paraId="6761F942" w14:textId="77777777" w:rsidTr="00A91C46">
        <w:trPr>
          <w:trHeight w:val="267"/>
        </w:trPr>
        <w:tc>
          <w:tcPr>
            <w:tcW w:w="1276" w:type="dxa"/>
            <w:shd w:val="clear" w:color="auto" w:fill="auto"/>
          </w:tcPr>
          <w:p w14:paraId="6D4CE117" w14:textId="350968FD" w:rsidR="0085168A" w:rsidRPr="00A91C46" w:rsidRDefault="0085168A" w:rsidP="0085168A">
            <w:pPr>
              <w:spacing w:after="0" w:line="240" w:lineRule="auto"/>
              <w:rPr>
                <w:rFonts w:ascii="Calibri" w:eastAsia="Times New Roman" w:hAnsi="Calibri" w:cs="Calibri"/>
                <w:b/>
                <w:bCs/>
                <w:color w:val="FF0000"/>
              </w:rPr>
            </w:pPr>
            <w:r w:rsidRPr="00A91C46">
              <w:rPr>
                <w:rFonts w:ascii="Calibri" w:eastAsia="Times New Roman" w:hAnsi="Calibri" w:cs="Calibri"/>
                <w:color w:val="FF0000"/>
              </w:rPr>
              <w:t>7-day rate</w:t>
            </w:r>
          </w:p>
        </w:tc>
        <w:tc>
          <w:tcPr>
            <w:tcW w:w="551" w:type="dxa"/>
            <w:shd w:val="clear" w:color="auto" w:fill="auto"/>
            <w:noWrap/>
            <w:vAlign w:val="bottom"/>
          </w:tcPr>
          <w:p w14:paraId="3964207F" w14:textId="450D792B" w:rsidR="0085168A" w:rsidRPr="00A91C46" w:rsidRDefault="0085168A" w:rsidP="0085168A">
            <w:pPr>
              <w:spacing w:after="0" w:line="240" w:lineRule="auto"/>
              <w:rPr>
                <w:rFonts w:ascii="Calibri" w:eastAsia="Times New Roman" w:hAnsi="Calibri" w:cs="Calibri"/>
                <w:b/>
                <w:bCs/>
                <w:color w:val="FF0000"/>
              </w:rPr>
            </w:pPr>
            <w:r w:rsidRPr="00A91C46">
              <w:rPr>
                <w:rFonts w:ascii="Calibri" w:hAnsi="Calibri" w:cs="Calibri"/>
                <w:color w:val="FF0000"/>
              </w:rPr>
              <w:t>173</w:t>
            </w:r>
          </w:p>
        </w:tc>
        <w:tc>
          <w:tcPr>
            <w:tcW w:w="677" w:type="dxa"/>
            <w:shd w:val="clear" w:color="auto" w:fill="auto"/>
            <w:noWrap/>
            <w:vAlign w:val="bottom"/>
          </w:tcPr>
          <w:p w14:paraId="513F8CC4" w14:textId="30EE367F" w:rsidR="0085168A" w:rsidRPr="00A91C46" w:rsidRDefault="0085168A" w:rsidP="0085168A">
            <w:pPr>
              <w:spacing w:after="0" w:line="240" w:lineRule="auto"/>
              <w:rPr>
                <w:rFonts w:ascii="Calibri" w:eastAsia="Times New Roman" w:hAnsi="Calibri" w:cs="Calibri"/>
                <w:b/>
                <w:bCs/>
                <w:color w:val="FF0000"/>
              </w:rPr>
            </w:pPr>
            <w:r w:rsidRPr="00A91C46">
              <w:rPr>
                <w:rFonts w:ascii="Calibri" w:hAnsi="Calibri" w:cs="Calibri"/>
                <w:color w:val="FF0000"/>
              </w:rPr>
              <w:t>0.05</w:t>
            </w:r>
          </w:p>
        </w:tc>
        <w:tc>
          <w:tcPr>
            <w:tcW w:w="630" w:type="dxa"/>
            <w:shd w:val="clear" w:color="auto" w:fill="auto"/>
            <w:noWrap/>
            <w:vAlign w:val="bottom"/>
          </w:tcPr>
          <w:p w14:paraId="0E0812DF" w14:textId="3DAD71BD" w:rsidR="0085168A" w:rsidRPr="00A91C46" w:rsidRDefault="0085168A" w:rsidP="0085168A">
            <w:pPr>
              <w:spacing w:after="0" w:line="240" w:lineRule="auto"/>
              <w:rPr>
                <w:rFonts w:ascii="Calibri" w:eastAsia="Times New Roman" w:hAnsi="Calibri" w:cs="Calibri"/>
                <w:b/>
                <w:bCs/>
                <w:color w:val="FF0000"/>
              </w:rPr>
            </w:pPr>
            <w:r w:rsidRPr="00A91C46">
              <w:rPr>
                <w:rFonts w:ascii="Calibri" w:hAnsi="Calibri" w:cs="Calibri"/>
                <w:color w:val="FF0000"/>
              </w:rPr>
              <w:t>0.21</w:t>
            </w:r>
          </w:p>
        </w:tc>
        <w:tc>
          <w:tcPr>
            <w:tcW w:w="810" w:type="dxa"/>
            <w:shd w:val="clear" w:color="auto" w:fill="auto"/>
            <w:noWrap/>
            <w:vAlign w:val="bottom"/>
          </w:tcPr>
          <w:p w14:paraId="66C8BC6B" w14:textId="41F14410" w:rsidR="0085168A" w:rsidRPr="00A91C46" w:rsidRDefault="0085168A" w:rsidP="0085168A">
            <w:pPr>
              <w:spacing w:after="0" w:line="240" w:lineRule="auto"/>
              <w:rPr>
                <w:rFonts w:ascii="Calibri" w:eastAsia="Times New Roman" w:hAnsi="Calibri" w:cs="Calibri"/>
                <w:b/>
                <w:bCs/>
                <w:color w:val="FF0000"/>
              </w:rPr>
            </w:pPr>
            <w:r w:rsidRPr="00A91C46">
              <w:rPr>
                <w:rFonts w:ascii="Calibri" w:hAnsi="Calibri" w:cs="Calibri"/>
                <w:color w:val="FF0000"/>
              </w:rPr>
              <w:t>0.29</w:t>
            </w:r>
          </w:p>
        </w:tc>
        <w:tc>
          <w:tcPr>
            <w:tcW w:w="810" w:type="dxa"/>
            <w:shd w:val="clear" w:color="auto" w:fill="auto"/>
            <w:noWrap/>
            <w:vAlign w:val="bottom"/>
          </w:tcPr>
          <w:p w14:paraId="3DF132AF" w14:textId="5FCD02EF" w:rsidR="0085168A" w:rsidRPr="00A91C46" w:rsidRDefault="0085168A" w:rsidP="0085168A">
            <w:pPr>
              <w:spacing w:after="0" w:line="240" w:lineRule="auto"/>
              <w:rPr>
                <w:rFonts w:ascii="Calibri" w:eastAsia="Times New Roman" w:hAnsi="Calibri" w:cs="Calibri"/>
                <w:b/>
                <w:bCs/>
                <w:color w:val="FF0000"/>
              </w:rPr>
            </w:pPr>
            <w:r w:rsidRPr="00A91C46">
              <w:rPr>
                <w:rFonts w:ascii="Calibri" w:hAnsi="Calibri" w:cs="Calibri"/>
                <w:color w:val="FF0000"/>
              </w:rPr>
              <w:t>0.36</w:t>
            </w:r>
          </w:p>
        </w:tc>
        <w:tc>
          <w:tcPr>
            <w:tcW w:w="918" w:type="dxa"/>
            <w:shd w:val="clear" w:color="auto" w:fill="auto"/>
            <w:noWrap/>
            <w:vAlign w:val="bottom"/>
          </w:tcPr>
          <w:p w14:paraId="693226EF" w14:textId="56F684F5" w:rsidR="0085168A" w:rsidRPr="00A91C46" w:rsidRDefault="0085168A" w:rsidP="0085168A">
            <w:pPr>
              <w:spacing w:after="0" w:line="240" w:lineRule="auto"/>
              <w:rPr>
                <w:rFonts w:ascii="Calibri" w:eastAsia="Times New Roman" w:hAnsi="Calibri" w:cs="Calibri"/>
                <w:b/>
                <w:bCs/>
                <w:color w:val="FF0000"/>
              </w:rPr>
            </w:pPr>
            <w:r w:rsidRPr="00A91C46">
              <w:rPr>
                <w:rFonts w:ascii="Calibri" w:hAnsi="Calibri" w:cs="Calibri"/>
                <w:color w:val="FF0000"/>
              </w:rPr>
              <w:t>0.35</w:t>
            </w:r>
          </w:p>
        </w:tc>
        <w:tc>
          <w:tcPr>
            <w:tcW w:w="809" w:type="dxa"/>
            <w:shd w:val="clear" w:color="auto" w:fill="auto"/>
            <w:noWrap/>
            <w:vAlign w:val="bottom"/>
          </w:tcPr>
          <w:p w14:paraId="440C83FA" w14:textId="4A5787B1" w:rsidR="0085168A" w:rsidRPr="00A91C46" w:rsidRDefault="0085168A" w:rsidP="0085168A">
            <w:pPr>
              <w:spacing w:after="0" w:line="240" w:lineRule="auto"/>
              <w:rPr>
                <w:rFonts w:ascii="Calibri" w:eastAsia="Times New Roman" w:hAnsi="Calibri" w:cs="Calibri"/>
                <w:b/>
                <w:bCs/>
                <w:color w:val="FF0000"/>
              </w:rPr>
            </w:pPr>
            <w:r w:rsidRPr="00A91C46">
              <w:rPr>
                <w:rFonts w:ascii="Calibri" w:hAnsi="Calibri" w:cs="Calibri"/>
                <w:color w:val="FF0000"/>
              </w:rPr>
              <w:t>0.43</w:t>
            </w:r>
          </w:p>
        </w:tc>
        <w:tc>
          <w:tcPr>
            <w:tcW w:w="900" w:type="dxa"/>
            <w:shd w:val="clear" w:color="auto" w:fill="auto"/>
            <w:noWrap/>
            <w:vAlign w:val="bottom"/>
          </w:tcPr>
          <w:p w14:paraId="2F2FEFE7" w14:textId="1AFD5F3B" w:rsidR="0085168A" w:rsidRPr="00A91C46" w:rsidRDefault="0085168A" w:rsidP="0085168A">
            <w:pPr>
              <w:spacing w:after="0" w:line="240" w:lineRule="auto"/>
              <w:rPr>
                <w:rFonts w:ascii="Calibri" w:eastAsia="Times New Roman" w:hAnsi="Calibri" w:cs="Calibri"/>
                <w:b/>
                <w:bCs/>
                <w:color w:val="FF0000"/>
              </w:rPr>
            </w:pPr>
            <w:r w:rsidRPr="00A91C46">
              <w:rPr>
                <w:rFonts w:ascii="Calibri" w:hAnsi="Calibri" w:cs="Calibri"/>
                <w:color w:val="FF0000"/>
              </w:rPr>
              <w:t>0.52</w:t>
            </w:r>
          </w:p>
        </w:tc>
        <w:tc>
          <w:tcPr>
            <w:tcW w:w="810" w:type="dxa"/>
            <w:shd w:val="clear" w:color="auto" w:fill="auto"/>
            <w:noWrap/>
            <w:vAlign w:val="bottom"/>
          </w:tcPr>
          <w:p w14:paraId="5D1341D7" w14:textId="053B0A51" w:rsidR="0085168A" w:rsidRPr="00A91C46" w:rsidRDefault="0085168A" w:rsidP="0085168A">
            <w:pPr>
              <w:spacing w:after="0" w:line="240" w:lineRule="auto"/>
              <w:rPr>
                <w:rFonts w:ascii="Calibri" w:eastAsia="Times New Roman" w:hAnsi="Calibri" w:cs="Calibri"/>
                <w:b/>
                <w:bCs/>
                <w:color w:val="FF0000"/>
              </w:rPr>
            </w:pPr>
            <w:r w:rsidRPr="00A91C46">
              <w:rPr>
                <w:rFonts w:ascii="Calibri" w:hAnsi="Calibri" w:cs="Calibri"/>
                <w:color w:val="FF0000"/>
              </w:rPr>
              <w:t>0.7</w:t>
            </w:r>
          </w:p>
        </w:tc>
        <w:tc>
          <w:tcPr>
            <w:tcW w:w="720" w:type="dxa"/>
            <w:shd w:val="clear" w:color="auto" w:fill="auto"/>
            <w:noWrap/>
            <w:vAlign w:val="bottom"/>
          </w:tcPr>
          <w:p w14:paraId="46D1B58A" w14:textId="45077B86" w:rsidR="0085168A" w:rsidRPr="00A91C46" w:rsidRDefault="0085168A" w:rsidP="0085168A">
            <w:pPr>
              <w:spacing w:after="0" w:line="240" w:lineRule="auto"/>
              <w:rPr>
                <w:rFonts w:ascii="Calibri" w:eastAsia="Times New Roman" w:hAnsi="Calibri" w:cs="Calibri"/>
                <w:b/>
                <w:bCs/>
                <w:color w:val="FF0000"/>
              </w:rPr>
            </w:pPr>
            <w:r w:rsidRPr="00A91C46">
              <w:rPr>
                <w:rFonts w:ascii="Calibri" w:hAnsi="Calibri" w:cs="Calibri"/>
                <w:color w:val="FF0000"/>
              </w:rPr>
              <w:t>0.14</w:t>
            </w:r>
          </w:p>
        </w:tc>
        <w:tc>
          <w:tcPr>
            <w:tcW w:w="1074" w:type="dxa"/>
            <w:shd w:val="clear" w:color="auto" w:fill="auto"/>
          </w:tcPr>
          <w:p w14:paraId="762E4034" w14:textId="4B1AA310" w:rsidR="0085168A" w:rsidRPr="00A91C46" w:rsidRDefault="0085168A" w:rsidP="0085168A">
            <w:pPr>
              <w:spacing w:after="0" w:line="240" w:lineRule="auto"/>
              <w:rPr>
                <w:rFonts w:ascii="Calibri" w:eastAsia="Times New Roman" w:hAnsi="Calibri" w:cs="Calibri"/>
                <w:b/>
                <w:bCs/>
                <w:color w:val="FF0000"/>
              </w:rPr>
            </w:pPr>
            <w:r w:rsidRPr="00A91C46">
              <w:rPr>
                <w:rFonts w:ascii="Calibri" w:eastAsia="Times New Roman" w:hAnsi="Calibri" w:cs="Calibri"/>
                <w:color w:val="FF0000"/>
              </w:rPr>
              <w:t>p &lt; 0.001</w:t>
            </w:r>
          </w:p>
        </w:tc>
      </w:tr>
      <w:tr w:rsidR="0085168A" w:rsidRPr="00A91C46" w14:paraId="5BF9125B" w14:textId="77777777" w:rsidTr="00A91C46">
        <w:trPr>
          <w:trHeight w:val="267"/>
        </w:trPr>
        <w:tc>
          <w:tcPr>
            <w:tcW w:w="1276" w:type="dxa"/>
          </w:tcPr>
          <w:p w14:paraId="75491313" w14:textId="77777777" w:rsidR="0085168A" w:rsidRPr="00A91C46" w:rsidRDefault="0085168A" w:rsidP="0085168A">
            <w:pPr>
              <w:spacing w:after="0" w:line="240" w:lineRule="auto"/>
              <w:rPr>
                <w:rFonts w:ascii="Calibri" w:eastAsia="Times New Roman" w:hAnsi="Calibri" w:cs="Calibri"/>
                <w:color w:val="FF0000"/>
              </w:rPr>
            </w:pPr>
            <w:r w:rsidRPr="00A91C46">
              <w:rPr>
                <w:rFonts w:ascii="Calibri" w:eastAsia="Times New Roman" w:hAnsi="Calibri" w:cs="Calibri"/>
                <w:color w:val="FF0000"/>
              </w:rPr>
              <w:t>30-day rate</w:t>
            </w:r>
          </w:p>
        </w:tc>
        <w:tc>
          <w:tcPr>
            <w:tcW w:w="551" w:type="dxa"/>
            <w:shd w:val="clear" w:color="auto" w:fill="auto"/>
            <w:noWrap/>
            <w:vAlign w:val="bottom"/>
          </w:tcPr>
          <w:p w14:paraId="0F6DC5A7" w14:textId="60311320" w:rsidR="0085168A" w:rsidRPr="00A91C46" w:rsidRDefault="0085168A" w:rsidP="0085168A">
            <w:pPr>
              <w:spacing w:after="0" w:line="240" w:lineRule="auto"/>
              <w:rPr>
                <w:rFonts w:ascii="Calibri" w:eastAsia="Times New Roman" w:hAnsi="Calibri" w:cs="Calibri"/>
                <w:color w:val="FF0000"/>
              </w:rPr>
            </w:pPr>
            <w:r w:rsidRPr="00A91C46">
              <w:rPr>
                <w:rFonts w:ascii="Calibri" w:hAnsi="Calibri" w:cs="Calibri"/>
                <w:color w:val="FF0000"/>
              </w:rPr>
              <w:t>172</w:t>
            </w:r>
          </w:p>
        </w:tc>
        <w:tc>
          <w:tcPr>
            <w:tcW w:w="677" w:type="dxa"/>
            <w:shd w:val="clear" w:color="auto" w:fill="auto"/>
            <w:noWrap/>
            <w:vAlign w:val="bottom"/>
          </w:tcPr>
          <w:p w14:paraId="014453FD" w14:textId="55B78DA9" w:rsidR="0085168A" w:rsidRPr="00A91C46" w:rsidRDefault="0085168A" w:rsidP="0085168A">
            <w:pPr>
              <w:spacing w:after="0" w:line="240" w:lineRule="auto"/>
              <w:rPr>
                <w:rFonts w:ascii="Calibri" w:eastAsia="Times New Roman" w:hAnsi="Calibri" w:cs="Calibri"/>
                <w:color w:val="FF0000"/>
              </w:rPr>
            </w:pPr>
            <w:r w:rsidRPr="00A91C46">
              <w:rPr>
                <w:rFonts w:ascii="Calibri" w:hAnsi="Calibri" w:cs="Calibri"/>
                <w:color w:val="FF0000"/>
              </w:rPr>
              <w:t>0.12</w:t>
            </w:r>
          </w:p>
        </w:tc>
        <w:tc>
          <w:tcPr>
            <w:tcW w:w="630" w:type="dxa"/>
            <w:shd w:val="clear" w:color="auto" w:fill="auto"/>
            <w:noWrap/>
            <w:vAlign w:val="bottom"/>
          </w:tcPr>
          <w:p w14:paraId="3556CCDB" w14:textId="7DC280D4" w:rsidR="0085168A" w:rsidRPr="00A91C46" w:rsidRDefault="0085168A" w:rsidP="0085168A">
            <w:pPr>
              <w:spacing w:after="0" w:line="240" w:lineRule="auto"/>
              <w:rPr>
                <w:rFonts w:ascii="Calibri" w:eastAsia="Times New Roman" w:hAnsi="Calibri" w:cs="Calibri"/>
                <w:color w:val="FF0000"/>
              </w:rPr>
            </w:pPr>
            <w:r w:rsidRPr="00A91C46">
              <w:rPr>
                <w:rFonts w:ascii="Calibri" w:hAnsi="Calibri" w:cs="Calibri"/>
                <w:color w:val="FF0000"/>
              </w:rPr>
              <w:t>0.38</w:t>
            </w:r>
          </w:p>
        </w:tc>
        <w:tc>
          <w:tcPr>
            <w:tcW w:w="810" w:type="dxa"/>
            <w:shd w:val="clear" w:color="auto" w:fill="auto"/>
            <w:noWrap/>
            <w:vAlign w:val="bottom"/>
          </w:tcPr>
          <w:p w14:paraId="5DFDAD06" w14:textId="29D54F8F" w:rsidR="0085168A" w:rsidRPr="00A91C46" w:rsidRDefault="0085168A" w:rsidP="0085168A">
            <w:pPr>
              <w:spacing w:after="0" w:line="240" w:lineRule="auto"/>
              <w:rPr>
                <w:rFonts w:ascii="Calibri" w:eastAsia="Times New Roman" w:hAnsi="Calibri" w:cs="Calibri"/>
                <w:color w:val="FF0000"/>
              </w:rPr>
            </w:pPr>
            <w:r w:rsidRPr="00A91C46">
              <w:rPr>
                <w:rFonts w:ascii="Calibri" w:hAnsi="Calibri" w:cs="Calibri"/>
                <w:color w:val="FF0000"/>
              </w:rPr>
              <w:t>0.5</w:t>
            </w:r>
          </w:p>
        </w:tc>
        <w:tc>
          <w:tcPr>
            <w:tcW w:w="810" w:type="dxa"/>
            <w:shd w:val="clear" w:color="auto" w:fill="auto"/>
            <w:noWrap/>
            <w:vAlign w:val="bottom"/>
          </w:tcPr>
          <w:p w14:paraId="67E39EC0" w14:textId="7759F53E" w:rsidR="0085168A" w:rsidRPr="00A91C46" w:rsidRDefault="0085168A" w:rsidP="0085168A">
            <w:pPr>
              <w:spacing w:after="0" w:line="240" w:lineRule="auto"/>
              <w:rPr>
                <w:rFonts w:ascii="Calibri" w:eastAsia="Times New Roman" w:hAnsi="Calibri" w:cs="Calibri"/>
                <w:color w:val="FF0000"/>
              </w:rPr>
            </w:pPr>
            <w:r w:rsidRPr="00A91C46">
              <w:rPr>
                <w:rFonts w:ascii="Calibri" w:hAnsi="Calibri" w:cs="Calibri"/>
                <w:color w:val="FF0000"/>
              </w:rPr>
              <w:t>0.57</w:t>
            </w:r>
          </w:p>
        </w:tc>
        <w:tc>
          <w:tcPr>
            <w:tcW w:w="918" w:type="dxa"/>
            <w:shd w:val="clear" w:color="auto" w:fill="auto"/>
            <w:noWrap/>
            <w:vAlign w:val="bottom"/>
          </w:tcPr>
          <w:p w14:paraId="224E0C8F" w14:textId="512232A0" w:rsidR="0085168A" w:rsidRPr="00A91C46" w:rsidRDefault="0085168A" w:rsidP="0085168A">
            <w:pPr>
              <w:spacing w:after="0" w:line="240" w:lineRule="auto"/>
              <w:rPr>
                <w:rFonts w:ascii="Calibri" w:eastAsia="Times New Roman" w:hAnsi="Calibri" w:cs="Calibri"/>
                <w:color w:val="FF0000"/>
              </w:rPr>
            </w:pPr>
            <w:r w:rsidRPr="00A91C46">
              <w:rPr>
                <w:rFonts w:ascii="Calibri" w:hAnsi="Calibri" w:cs="Calibri"/>
                <w:color w:val="FF0000"/>
              </w:rPr>
              <w:t>0.58</w:t>
            </w:r>
          </w:p>
        </w:tc>
        <w:tc>
          <w:tcPr>
            <w:tcW w:w="809" w:type="dxa"/>
            <w:shd w:val="clear" w:color="auto" w:fill="auto"/>
            <w:noWrap/>
            <w:vAlign w:val="bottom"/>
          </w:tcPr>
          <w:p w14:paraId="27449780" w14:textId="27FCFB91" w:rsidR="0085168A" w:rsidRPr="00A91C46" w:rsidRDefault="0085168A" w:rsidP="0085168A">
            <w:pPr>
              <w:spacing w:after="0" w:line="240" w:lineRule="auto"/>
              <w:rPr>
                <w:rFonts w:ascii="Calibri" w:eastAsia="Times New Roman" w:hAnsi="Calibri" w:cs="Calibri"/>
                <w:color w:val="FF0000"/>
              </w:rPr>
            </w:pPr>
            <w:r w:rsidRPr="00A91C46">
              <w:rPr>
                <w:rFonts w:ascii="Calibri" w:hAnsi="Calibri" w:cs="Calibri"/>
                <w:color w:val="FF0000"/>
              </w:rPr>
              <w:t>0.66</w:t>
            </w:r>
          </w:p>
        </w:tc>
        <w:tc>
          <w:tcPr>
            <w:tcW w:w="900" w:type="dxa"/>
            <w:shd w:val="clear" w:color="auto" w:fill="auto"/>
            <w:noWrap/>
            <w:vAlign w:val="bottom"/>
          </w:tcPr>
          <w:p w14:paraId="0D74E344" w14:textId="2F4BC28B" w:rsidR="0085168A" w:rsidRPr="00A91C46" w:rsidRDefault="0085168A" w:rsidP="0085168A">
            <w:pPr>
              <w:spacing w:after="0" w:line="240" w:lineRule="auto"/>
              <w:rPr>
                <w:rFonts w:ascii="Calibri" w:eastAsia="Times New Roman" w:hAnsi="Calibri" w:cs="Calibri"/>
                <w:color w:val="FF0000"/>
              </w:rPr>
            </w:pPr>
            <w:r w:rsidRPr="00A91C46">
              <w:rPr>
                <w:rFonts w:ascii="Calibri" w:hAnsi="Calibri" w:cs="Calibri"/>
                <w:color w:val="FF0000"/>
              </w:rPr>
              <w:t>0.72</w:t>
            </w:r>
          </w:p>
        </w:tc>
        <w:tc>
          <w:tcPr>
            <w:tcW w:w="810" w:type="dxa"/>
            <w:shd w:val="clear" w:color="auto" w:fill="auto"/>
            <w:noWrap/>
            <w:vAlign w:val="bottom"/>
          </w:tcPr>
          <w:p w14:paraId="583F7268" w14:textId="0873124F" w:rsidR="0085168A" w:rsidRPr="00A91C46" w:rsidRDefault="0085168A" w:rsidP="0085168A">
            <w:pPr>
              <w:spacing w:after="0" w:line="240" w:lineRule="auto"/>
              <w:rPr>
                <w:rFonts w:ascii="Calibri" w:eastAsia="Times New Roman" w:hAnsi="Calibri" w:cs="Calibri"/>
                <w:color w:val="FF0000"/>
              </w:rPr>
            </w:pPr>
            <w:r w:rsidRPr="00A91C46">
              <w:rPr>
                <w:rFonts w:ascii="Calibri" w:hAnsi="Calibri" w:cs="Calibri"/>
                <w:color w:val="FF0000"/>
              </w:rPr>
              <w:t>0.83</w:t>
            </w:r>
          </w:p>
        </w:tc>
        <w:tc>
          <w:tcPr>
            <w:tcW w:w="720" w:type="dxa"/>
            <w:shd w:val="clear" w:color="auto" w:fill="auto"/>
            <w:noWrap/>
            <w:vAlign w:val="bottom"/>
          </w:tcPr>
          <w:p w14:paraId="1514DD4B" w14:textId="419222F0" w:rsidR="0085168A" w:rsidRPr="00A91C46" w:rsidRDefault="0085168A" w:rsidP="0085168A">
            <w:pPr>
              <w:spacing w:after="0" w:line="240" w:lineRule="auto"/>
              <w:rPr>
                <w:rFonts w:ascii="Calibri" w:eastAsia="Times New Roman" w:hAnsi="Calibri" w:cs="Calibri"/>
                <w:color w:val="FF0000"/>
              </w:rPr>
            </w:pPr>
            <w:r w:rsidRPr="00A91C46">
              <w:rPr>
                <w:rFonts w:ascii="Calibri" w:hAnsi="Calibri" w:cs="Calibri"/>
                <w:color w:val="FF0000"/>
              </w:rPr>
              <w:t>0.16</w:t>
            </w:r>
          </w:p>
        </w:tc>
        <w:tc>
          <w:tcPr>
            <w:tcW w:w="1074" w:type="dxa"/>
          </w:tcPr>
          <w:p w14:paraId="5C7A5418" w14:textId="77777777" w:rsidR="0085168A" w:rsidRPr="00A91C46" w:rsidRDefault="0085168A" w:rsidP="0085168A">
            <w:pPr>
              <w:spacing w:after="0" w:line="240" w:lineRule="auto"/>
              <w:rPr>
                <w:rFonts w:ascii="Calibri" w:eastAsia="Times New Roman" w:hAnsi="Calibri" w:cs="Calibri"/>
                <w:color w:val="FF0000"/>
              </w:rPr>
            </w:pPr>
            <w:r w:rsidRPr="00A91C46">
              <w:rPr>
                <w:rFonts w:ascii="Calibri" w:eastAsia="Times New Roman" w:hAnsi="Calibri" w:cs="Calibri"/>
                <w:color w:val="FF0000"/>
              </w:rPr>
              <w:t>p &lt; 0.001</w:t>
            </w:r>
          </w:p>
        </w:tc>
      </w:tr>
    </w:tbl>
    <w:p w14:paraId="4B66DCD1" w14:textId="77777777" w:rsidR="002A39A5" w:rsidRDefault="002A39A5" w:rsidP="00E04CE5">
      <w:pPr>
        <w:autoSpaceDE w:val="0"/>
        <w:autoSpaceDN w:val="0"/>
        <w:adjustRightInd w:val="0"/>
        <w:spacing w:after="0" w:line="240" w:lineRule="auto"/>
        <w:rPr>
          <w:rFonts w:cstheme="minorHAnsi"/>
          <w:bCs/>
        </w:rPr>
      </w:pPr>
    </w:p>
    <w:p w14:paraId="5279444D" w14:textId="77777777" w:rsidR="002A39A5" w:rsidRPr="002A39A5" w:rsidRDefault="002A39A5" w:rsidP="002A39A5">
      <w:pPr>
        <w:autoSpaceDE w:val="0"/>
        <w:autoSpaceDN w:val="0"/>
        <w:adjustRightInd w:val="0"/>
        <w:spacing w:after="0" w:line="240" w:lineRule="auto"/>
        <w:rPr>
          <w:rFonts w:cstheme="minorHAnsi"/>
          <w:bCs/>
          <w:color w:val="FF0000"/>
        </w:rPr>
      </w:pPr>
      <w:r w:rsidRPr="002A39A5">
        <w:rPr>
          <w:rFonts w:cstheme="minorHAnsi"/>
          <w:bCs/>
          <w:color w:val="FF0000"/>
        </w:rPr>
        <w:t>N = Number of plans reporting</w:t>
      </w:r>
    </w:p>
    <w:p w14:paraId="113E2DF5" w14:textId="77777777" w:rsidR="002A39A5" w:rsidRPr="002A39A5" w:rsidRDefault="002A39A5" w:rsidP="002A39A5">
      <w:pPr>
        <w:autoSpaceDE w:val="0"/>
        <w:autoSpaceDN w:val="0"/>
        <w:adjustRightInd w:val="0"/>
        <w:spacing w:after="0" w:line="240" w:lineRule="auto"/>
        <w:rPr>
          <w:rFonts w:cstheme="minorHAnsi"/>
          <w:bCs/>
          <w:color w:val="FF0000"/>
        </w:rPr>
      </w:pPr>
      <w:r w:rsidRPr="002A39A5">
        <w:rPr>
          <w:rFonts w:cstheme="minorHAnsi"/>
          <w:bCs/>
          <w:color w:val="FF0000"/>
        </w:rPr>
        <w:t>IQR = Interquartile range</w:t>
      </w:r>
    </w:p>
    <w:p w14:paraId="1975C20F" w14:textId="77777777" w:rsidR="002A39A5" w:rsidRPr="002A39A5" w:rsidRDefault="002A39A5" w:rsidP="002A39A5">
      <w:pPr>
        <w:autoSpaceDE w:val="0"/>
        <w:autoSpaceDN w:val="0"/>
        <w:adjustRightInd w:val="0"/>
        <w:spacing w:after="0" w:line="240" w:lineRule="auto"/>
        <w:rPr>
          <w:rFonts w:cstheme="minorHAnsi"/>
          <w:bCs/>
          <w:color w:val="FF0000"/>
        </w:rPr>
      </w:pPr>
      <w:r w:rsidRPr="002A39A5">
        <w:rPr>
          <w:rFonts w:cstheme="minorHAnsi"/>
          <w:bCs/>
          <w:color w:val="FF0000"/>
        </w:rPr>
        <w:t>p-value = p-value of independent samples t-test comparing plans at the 25</w:t>
      </w:r>
      <w:r w:rsidRPr="002A39A5">
        <w:rPr>
          <w:rFonts w:cstheme="minorHAnsi"/>
          <w:bCs/>
          <w:color w:val="FF0000"/>
          <w:vertAlign w:val="superscript"/>
        </w:rPr>
        <w:t>th</w:t>
      </w:r>
      <w:r w:rsidRPr="002A39A5">
        <w:rPr>
          <w:rFonts w:cstheme="minorHAnsi"/>
          <w:bCs/>
          <w:color w:val="FF0000"/>
        </w:rPr>
        <w:t xml:space="preserve"> percentile to plans at the 75</w:t>
      </w:r>
      <w:r w:rsidRPr="002A39A5">
        <w:rPr>
          <w:rFonts w:cstheme="minorHAnsi"/>
          <w:bCs/>
          <w:color w:val="FF0000"/>
          <w:vertAlign w:val="superscript"/>
        </w:rPr>
        <w:t>th</w:t>
      </w:r>
      <w:r w:rsidRPr="002A39A5">
        <w:rPr>
          <w:rFonts w:cstheme="minorHAnsi"/>
          <w:bCs/>
          <w:color w:val="FF0000"/>
        </w:rPr>
        <w:t xml:space="preserve"> percentile.</w:t>
      </w:r>
    </w:p>
    <w:p w14:paraId="515EE505" w14:textId="77777777" w:rsidR="002A39A5" w:rsidRDefault="002A39A5" w:rsidP="00E04CE5">
      <w:pPr>
        <w:autoSpaceDE w:val="0"/>
        <w:autoSpaceDN w:val="0"/>
        <w:adjustRightInd w:val="0"/>
        <w:spacing w:after="0" w:line="240" w:lineRule="auto"/>
        <w:rPr>
          <w:rFonts w:cstheme="minorHAnsi"/>
          <w:bCs/>
        </w:rPr>
      </w:pPr>
    </w:p>
    <w:p w14:paraId="129F036A" w14:textId="7048742F" w:rsidR="00E04CE5" w:rsidRPr="00F44DFA" w:rsidRDefault="00E04CE5" w:rsidP="00E04CE5">
      <w:pPr>
        <w:autoSpaceDE w:val="0"/>
        <w:autoSpaceDN w:val="0"/>
        <w:adjustRightInd w:val="0"/>
        <w:spacing w:after="0" w:line="240" w:lineRule="auto"/>
        <w:rPr>
          <w:rFonts w:cstheme="minorHAnsi"/>
          <w:bCs/>
          <w:color w:val="244061" w:themeColor="accent1" w:themeShade="80"/>
        </w:rPr>
      </w:pPr>
      <w:r w:rsidRPr="00753C06">
        <w:rPr>
          <w:rFonts w:cstheme="minorHAnsi"/>
          <w:bCs/>
        </w:rPr>
        <w:br/>
      </w:r>
      <w:r w:rsidRPr="00F44DFA">
        <w:rPr>
          <w:rFonts w:cstheme="minorHAnsi"/>
          <w:b/>
          <w:bCs/>
          <w:color w:val="244061" w:themeColor="accent1" w:themeShade="80"/>
          <w:u w:val="single"/>
        </w:rPr>
        <w:t>2016 Update</w:t>
      </w:r>
    </w:p>
    <w:p w14:paraId="7952A3D7" w14:textId="77777777" w:rsidR="00E04CE5" w:rsidRPr="00F44DFA" w:rsidRDefault="00E04CE5" w:rsidP="00E04CE5">
      <w:pPr>
        <w:autoSpaceDE w:val="0"/>
        <w:autoSpaceDN w:val="0"/>
        <w:adjustRightInd w:val="0"/>
        <w:spacing w:after="0" w:line="240" w:lineRule="auto"/>
        <w:rPr>
          <w:rFonts w:cstheme="minorHAnsi"/>
          <w:b/>
          <w:bCs/>
          <w:color w:val="244061" w:themeColor="accent1" w:themeShade="80"/>
        </w:rPr>
      </w:pPr>
      <w:r w:rsidRPr="00F44DFA">
        <w:rPr>
          <w:b/>
          <w:color w:val="244061" w:themeColor="accent1" w:themeShade="80"/>
        </w:rPr>
        <w:t>HEDIS 2016 Variation in Performance across Health Plans- Commercial</w:t>
      </w:r>
    </w:p>
    <w:tbl>
      <w:tblPr>
        <w:tblStyle w:val="TableGrid"/>
        <w:tblW w:w="10761" w:type="dxa"/>
        <w:jc w:val="center"/>
        <w:tblLayout w:type="fixed"/>
        <w:tblLook w:val="04A0" w:firstRow="1" w:lastRow="0" w:firstColumn="1" w:lastColumn="0" w:noHBand="0" w:noVBand="1"/>
      </w:tblPr>
      <w:tblGrid>
        <w:gridCol w:w="951"/>
        <w:gridCol w:w="720"/>
        <w:gridCol w:w="810"/>
        <w:gridCol w:w="810"/>
        <w:gridCol w:w="810"/>
        <w:gridCol w:w="810"/>
        <w:gridCol w:w="810"/>
        <w:gridCol w:w="810"/>
        <w:gridCol w:w="810"/>
        <w:gridCol w:w="810"/>
        <w:gridCol w:w="810"/>
        <w:gridCol w:w="810"/>
        <w:gridCol w:w="990"/>
      </w:tblGrid>
      <w:tr w:rsidR="00E04CE5" w:rsidRPr="00F44DFA" w14:paraId="7EABDFB3" w14:textId="77777777" w:rsidTr="00050392">
        <w:trPr>
          <w:trHeight w:val="570"/>
          <w:jc w:val="center"/>
        </w:trPr>
        <w:tc>
          <w:tcPr>
            <w:tcW w:w="951" w:type="dxa"/>
            <w:shd w:val="clear" w:color="auto" w:fill="F2F2F2" w:themeFill="background1" w:themeFillShade="F2"/>
            <w:hideMark/>
          </w:tcPr>
          <w:p w14:paraId="726460FE" w14:textId="77777777" w:rsidR="00E04CE5" w:rsidRPr="00F44DFA" w:rsidRDefault="00E04CE5" w:rsidP="00050392">
            <w:pPr>
              <w:autoSpaceDE w:val="0"/>
              <w:autoSpaceDN w:val="0"/>
              <w:adjustRightInd w:val="0"/>
              <w:jc w:val="center"/>
              <w:rPr>
                <w:rFonts w:cstheme="minorHAnsi"/>
                <w:bCs/>
                <w:color w:val="244061" w:themeColor="accent1" w:themeShade="80"/>
              </w:rPr>
            </w:pPr>
            <w:r w:rsidRPr="00F44DFA">
              <w:rPr>
                <w:rFonts w:cstheme="minorHAnsi"/>
                <w:bCs/>
                <w:color w:val="244061" w:themeColor="accent1" w:themeShade="80"/>
              </w:rPr>
              <w:t>Rate</w:t>
            </w:r>
          </w:p>
        </w:tc>
        <w:tc>
          <w:tcPr>
            <w:tcW w:w="720" w:type="dxa"/>
            <w:shd w:val="clear" w:color="auto" w:fill="F2F2F2" w:themeFill="background1" w:themeFillShade="F2"/>
            <w:hideMark/>
          </w:tcPr>
          <w:p w14:paraId="0FE9F413" w14:textId="77777777" w:rsidR="00E04CE5" w:rsidRPr="00F44DFA" w:rsidRDefault="00E04CE5" w:rsidP="00050392">
            <w:pPr>
              <w:autoSpaceDE w:val="0"/>
              <w:autoSpaceDN w:val="0"/>
              <w:adjustRightInd w:val="0"/>
              <w:jc w:val="center"/>
              <w:rPr>
                <w:rFonts w:cstheme="minorHAnsi"/>
                <w:bCs/>
                <w:color w:val="244061" w:themeColor="accent1" w:themeShade="80"/>
              </w:rPr>
            </w:pPr>
            <w:r w:rsidRPr="00F44DFA">
              <w:rPr>
                <w:rFonts w:cstheme="minorHAnsi"/>
                <w:bCs/>
                <w:color w:val="244061" w:themeColor="accent1" w:themeShade="80"/>
              </w:rPr>
              <w:t># of Plans</w:t>
            </w:r>
          </w:p>
        </w:tc>
        <w:tc>
          <w:tcPr>
            <w:tcW w:w="810" w:type="dxa"/>
            <w:shd w:val="clear" w:color="auto" w:fill="F2F2F2" w:themeFill="background1" w:themeFillShade="F2"/>
          </w:tcPr>
          <w:p w14:paraId="1D4543DD" w14:textId="77777777" w:rsidR="00E04CE5" w:rsidRPr="00F44DFA" w:rsidRDefault="00E04CE5" w:rsidP="00050392">
            <w:pPr>
              <w:autoSpaceDE w:val="0"/>
              <w:autoSpaceDN w:val="0"/>
              <w:adjustRightInd w:val="0"/>
              <w:jc w:val="center"/>
              <w:rPr>
                <w:rFonts w:cstheme="minorHAnsi"/>
                <w:bCs/>
                <w:color w:val="244061" w:themeColor="accent1" w:themeShade="80"/>
              </w:rPr>
            </w:pPr>
            <w:r w:rsidRPr="00F44DFA">
              <w:rPr>
                <w:rFonts w:cstheme="minorHAnsi"/>
                <w:bCs/>
                <w:color w:val="244061" w:themeColor="accent1" w:themeShade="80"/>
              </w:rPr>
              <w:t>Avg EP</w:t>
            </w:r>
          </w:p>
        </w:tc>
        <w:tc>
          <w:tcPr>
            <w:tcW w:w="810" w:type="dxa"/>
            <w:shd w:val="clear" w:color="auto" w:fill="F2F2F2" w:themeFill="background1" w:themeFillShade="F2"/>
            <w:hideMark/>
          </w:tcPr>
          <w:p w14:paraId="0549294A" w14:textId="77777777" w:rsidR="00E04CE5" w:rsidRPr="00F44DFA" w:rsidRDefault="00E04CE5" w:rsidP="00050392">
            <w:pPr>
              <w:autoSpaceDE w:val="0"/>
              <w:autoSpaceDN w:val="0"/>
              <w:adjustRightInd w:val="0"/>
              <w:jc w:val="center"/>
              <w:rPr>
                <w:rFonts w:cstheme="minorHAnsi"/>
                <w:bCs/>
                <w:color w:val="244061" w:themeColor="accent1" w:themeShade="80"/>
              </w:rPr>
            </w:pPr>
            <w:r w:rsidRPr="00F44DFA">
              <w:rPr>
                <w:rFonts w:cstheme="minorHAnsi"/>
                <w:bCs/>
                <w:color w:val="244061" w:themeColor="accent1" w:themeShade="80"/>
              </w:rPr>
              <w:t>Avg.</w:t>
            </w:r>
          </w:p>
        </w:tc>
        <w:tc>
          <w:tcPr>
            <w:tcW w:w="810" w:type="dxa"/>
            <w:shd w:val="clear" w:color="auto" w:fill="F2F2F2" w:themeFill="background1" w:themeFillShade="F2"/>
            <w:hideMark/>
          </w:tcPr>
          <w:p w14:paraId="62C1B19B" w14:textId="77777777" w:rsidR="00E04CE5" w:rsidRPr="00F44DFA" w:rsidRDefault="00E04CE5" w:rsidP="00050392">
            <w:pPr>
              <w:autoSpaceDE w:val="0"/>
              <w:autoSpaceDN w:val="0"/>
              <w:adjustRightInd w:val="0"/>
              <w:jc w:val="center"/>
              <w:rPr>
                <w:rFonts w:cstheme="minorHAnsi"/>
                <w:bCs/>
                <w:color w:val="244061" w:themeColor="accent1" w:themeShade="80"/>
              </w:rPr>
            </w:pPr>
            <w:r w:rsidRPr="00F44DFA">
              <w:rPr>
                <w:rFonts w:cstheme="minorHAnsi"/>
                <w:bCs/>
                <w:color w:val="244061" w:themeColor="accent1" w:themeShade="80"/>
              </w:rPr>
              <w:t>SD</w:t>
            </w:r>
          </w:p>
        </w:tc>
        <w:tc>
          <w:tcPr>
            <w:tcW w:w="810" w:type="dxa"/>
            <w:shd w:val="clear" w:color="auto" w:fill="F2F2F2" w:themeFill="background1" w:themeFillShade="F2"/>
            <w:hideMark/>
          </w:tcPr>
          <w:p w14:paraId="3BC76A37" w14:textId="77777777" w:rsidR="00E04CE5" w:rsidRPr="00F44DFA" w:rsidRDefault="00E04CE5" w:rsidP="00050392">
            <w:pPr>
              <w:autoSpaceDE w:val="0"/>
              <w:autoSpaceDN w:val="0"/>
              <w:adjustRightInd w:val="0"/>
              <w:jc w:val="center"/>
              <w:rPr>
                <w:rFonts w:cstheme="minorHAnsi"/>
                <w:bCs/>
                <w:color w:val="244061" w:themeColor="accent1" w:themeShade="80"/>
              </w:rPr>
            </w:pPr>
            <w:r w:rsidRPr="00F44DFA">
              <w:rPr>
                <w:rFonts w:cstheme="minorHAnsi"/>
                <w:bCs/>
                <w:color w:val="244061" w:themeColor="accent1" w:themeShade="80"/>
              </w:rPr>
              <w:t>Min.</w:t>
            </w:r>
          </w:p>
        </w:tc>
        <w:tc>
          <w:tcPr>
            <w:tcW w:w="810" w:type="dxa"/>
            <w:shd w:val="clear" w:color="auto" w:fill="F2F2F2" w:themeFill="background1" w:themeFillShade="F2"/>
            <w:hideMark/>
          </w:tcPr>
          <w:p w14:paraId="6C4290D3" w14:textId="77777777" w:rsidR="00E04CE5" w:rsidRPr="00F44DFA" w:rsidRDefault="00E04CE5" w:rsidP="00050392">
            <w:pPr>
              <w:autoSpaceDE w:val="0"/>
              <w:autoSpaceDN w:val="0"/>
              <w:adjustRightInd w:val="0"/>
              <w:jc w:val="center"/>
              <w:rPr>
                <w:rFonts w:cstheme="minorHAnsi"/>
                <w:bCs/>
                <w:color w:val="244061" w:themeColor="accent1" w:themeShade="80"/>
              </w:rPr>
            </w:pPr>
            <w:r w:rsidRPr="00F44DFA">
              <w:rPr>
                <w:rFonts w:cstheme="minorHAnsi"/>
                <w:bCs/>
                <w:color w:val="244061" w:themeColor="accent1" w:themeShade="80"/>
              </w:rPr>
              <w:t>10</w:t>
            </w:r>
            <w:r w:rsidRPr="00F44DFA">
              <w:rPr>
                <w:rFonts w:cstheme="minorHAnsi"/>
                <w:bCs/>
                <w:color w:val="244061" w:themeColor="accent1" w:themeShade="80"/>
                <w:vertAlign w:val="superscript"/>
              </w:rPr>
              <w:t>th</w:t>
            </w:r>
          </w:p>
          <w:p w14:paraId="50BAEE7B" w14:textId="77777777" w:rsidR="00E04CE5" w:rsidRPr="00F44DFA" w:rsidRDefault="00E04CE5" w:rsidP="00050392">
            <w:pPr>
              <w:autoSpaceDE w:val="0"/>
              <w:autoSpaceDN w:val="0"/>
              <w:adjustRightInd w:val="0"/>
              <w:jc w:val="center"/>
              <w:rPr>
                <w:rFonts w:cstheme="minorHAnsi"/>
                <w:bCs/>
                <w:color w:val="244061" w:themeColor="accent1" w:themeShade="80"/>
              </w:rPr>
            </w:pPr>
          </w:p>
        </w:tc>
        <w:tc>
          <w:tcPr>
            <w:tcW w:w="810" w:type="dxa"/>
            <w:shd w:val="clear" w:color="auto" w:fill="F2F2F2" w:themeFill="background1" w:themeFillShade="F2"/>
            <w:hideMark/>
          </w:tcPr>
          <w:p w14:paraId="2E5BBA07" w14:textId="77777777" w:rsidR="00E04CE5" w:rsidRPr="00F44DFA" w:rsidRDefault="00E04CE5" w:rsidP="00050392">
            <w:pPr>
              <w:autoSpaceDE w:val="0"/>
              <w:autoSpaceDN w:val="0"/>
              <w:adjustRightInd w:val="0"/>
              <w:jc w:val="center"/>
              <w:rPr>
                <w:rFonts w:cstheme="minorHAnsi"/>
                <w:bCs/>
                <w:color w:val="244061" w:themeColor="accent1" w:themeShade="80"/>
              </w:rPr>
            </w:pPr>
            <w:r w:rsidRPr="00F44DFA">
              <w:rPr>
                <w:rFonts w:cstheme="minorHAnsi"/>
                <w:bCs/>
                <w:color w:val="244061" w:themeColor="accent1" w:themeShade="80"/>
              </w:rPr>
              <w:t>25</w:t>
            </w:r>
            <w:r w:rsidRPr="00F44DFA">
              <w:rPr>
                <w:rFonts w:cstheme="minorHAnsi"/>
                <w:bCs/>
                <w:color w:val="244061" w:themeColor="accent1" w:themeShade="80"/>
                <w:vertAlign w:val="superscript"/>
              </w:rPr>
              <w:t>th</w:t>
            </w:r>
          </w:p>
          <w:p w14:paraId="0FFC741D" w14:textId="77777777" w:rsidR="00E04CE5" w:rsidRPr="00F44DFA" w:rsidRDefault="00E04CE5" w:rsidP="00050392">
            <w:pPr>
              <w:autoSpaceDE w:val="0"/>
              <w:autoSpaceDN w:val="0"/>
              <w:adjustRightInd w:val="0"/>
              <w:jc w:val="center"/>
              <w:rPr>
                <w:rFonts w:cstheme="minorHAnsi"/>
                <w:bCs/>
                <w:color w:val="244061" w:themeColor="accent1" w:themeShade="80"/>
              </w:rPr>
            </w:pPr>
          </w:p>
        </w:tc>
        <w:tc>
          <w:tcPr>
            <w:tcW w:w="810" w:type="dxa"/>
            <w:shd w:val="clear" w:color="auto" w:fill="F2F2F2" w:themeFill="background1" w:themeFillShade="F2"/>
            <w:hideMark/>
          </w:tcPr>
          <w:p w14:paraId="62FF40A5" w14:textId="77777777" w:rsidR="00E04CE5" w:rsidRPr="00F44DFA" w:rsidRDefault="00E04CE5" w:rsidP="00050392">
            <w:pPr>
              <w:autoSpaceDE w:val="0"/>
              <w:autoSpaceDN w:val="0"/>
              <w:adjustRightInd w:val="0"/>
              <w:jc w:val="center"/>
              <w:rPr>
                <w:rFonts w:cstheme="minorHAnsi"/>
                <w:bCs/>
                <w:color w:val="244061" w:themeColor="accent1" w:themeShade="80"/>
              </w:rPr>
            </w:pPr>
            <w:r w:rsidRPr="00F44DFA">
              <w:rPr>
                <w:rFonts w:cstheme="minorHAnsi"/>
                <w:bCs/>
                <w:color w:val="244061" w:themeColor="accent1" w:themeShade="80"/>
              </w:rPr>
              <w:t>50</w:t>
            </w:r>
            <w:r w:rsidRPr="00F44DFA">
              <w:rPr>
                <w:rFonts w:cstheme="minorHAnsi"/>
                <w:bCs/>
                <w:color w:val="244061" w:themeColor="accent1" w:themeShade="80"/>
                <w:vertAlign w:val="superscript"/>
              </w:rPr>
              <w:t>th</w:t>
            </w:r>
          </w:p>
          <w:p w14:paraId="755FD80C" w14:textId="77777777" w:rsidR="00E04CE5" w:rsidRPr="00F44DFA" w:rsidRDefault="00E04CE5" w:rsidP="00050392">
            <w:pPr>
              <w:autoSpaceDE w:val="0"/>
              <w:autoSpaceDN w:val="0"/>
              <w:adjustRightInd w:val="0"/>
              <w:jc w:val="center"/>
              <w:rPr>
                <w:rFonts w:cstheme="minorHAnsi"/>
                <w:bCs/>
                <w:color w:val="244061" w:themeColor="accent1" w:themeShade="80"/>
              </w:rPr>
            </w:pPr>
          </w:p>
        </w:tc>
        <w:tc>
          <w:tcPr>
            <w:tcW w:w="810" w:type="dxa"/>
            <w:shd w:val="clear" w:color="auto" w:fill="F2F2F2" w:themeFill="background1" w:themeFillShade="F2"/>
            <w:hideMark/>
          </w:tcPr>
          <w:p w14:paraId="78F049F4" w14:textId="77777777" w:rsidR="00E04CE5" w:rsidRPr="00F44DFA" w:rsidRDefault="00E04CE5" w:rsidP="00050392">
            <w:pPr>
              <w:autoSpaceDE w:val="0"/>
              <w:autoSpaceDN w:val="0"/>
              <w:adjustRightInd w:val="0"/>
              <w:jc w:val="center"/>
              <w:rPr>
                <w:rFonts w:cstheme="minorHAnsi"/>
                <w:bCs/>
                <w:color w:val="244061" w:themeColor="accent1" w:themeShade="80"/>
              </w:rPr>
            </w:pPr>
            <w:r w:rsidRPr="00F44DFA">
              <w:rPr>
                <w:rFonts w:cstheme="minorHAnsi"/>
                <w:bCs/>
                <w:color w:val="244061" w:themeColor="accent1" w:themeShade="80"/>
              </w:rPr>
              <w:t>75</w:t>
            </w:r>
            <w:r w:rsidRPr="00F44DFA">
              <w:rPr>
                <w:rFonts w:cstheme="minorHAnsi"/>
                <w:bCs/>
                <w:color w:val="244061" w:themeColor="accent1" w:themeShade="80"/>
                <w:vertAlign w:val="superscript"/>
              </w:rPr>
              <w:t>th</w:t>
            </w:r>
          </w:p>
          <w:p w14:paraId="355210C0" w14:textId="77777777" w:rsidR="00E04CE5" w:rsidRPr="00F44DFA" w:rsidRDefault="00E04CE5" w:rsidP="00050392">
            <w:pPr>
              <w:autoSpaceDE w:val="0"/>
              <w:autoSpaceDN w:val="0"/>
              <w:adjustRightInd w:val="0"/>
              <w:jc w:val="center"/>
              <w:rPr>
                <w:rFonts w:cstheme="minorHAnsi"/>
                <w:bCs/>
                <w:color w:val="244061" w:themeColor="accent1" w:themeShade="80"/>
              </w:rPr>
            </w:pPr>
          </w:p>
        </w:tc>
        <w:tc>
          <w:tcPr>
            <w:tcW w:w="810" w:type="dxa"/>
            <w:shd w:val="clear" w:color="auto" w:fill="F2F2F2" w:themeFill="background1" w:themeFillShade="F2"/>
            <w:hideMark/>
          </w:tcPr>
          <w:p w14:paraId="28595A03" w14:textId="77777777" w:rsidR="00E04CE5" w:rsidRPr="00F44DFA" w:rsidRDefault="00E04CE5" w:rsidP="00050392">
            <w:pPr>
              <w:autoSpaceDE w:val="0"/>
              <w:autoSpaceDN w:val="0"/>
              <w:adjustRightInd w:val="0"/>
              <w:jc w:val="center"/>
              <w:rPr>
                <w:rFonts w:cstheme="minorHAnsi"/>
                <w:bCs/>
                <w:color w:val="244061" w:themeColor="accent1" w:themeShade="80"/>
              </w:rPr>
            </w:pPr>
            <w:r w:rsidRPr="00F44DFA">
              <w:rPr>
                <w:rFonts w:cstheme="minorHAnsi"/>
                <w:bCs/>
                <w:color w:val="244061" w:themeColor="accent1" w:themeShade="80"/>
              </w:rPr>
              <w:t>90</w:t>
            </w:r>
            <w:r w:rsidRPr="00F44DFA">
              <w:rPr>
                <w:rFonts w:cstheme="minorHAnsi"/>
                <w:bCs/>
                <w:color w:val="244061" w:themeColor="accent1" w:themeShade="80"/>
                <w:vertAlign w:val="superscript"/>
              </w:rPr>
              <w:t>th</w:t>
            </w:r>
          </w:p>
          <w:p w14:paraId="06DEEAC7" w14:textId="77777777" w:rsidR="00E04CE5" w:rsidRPr="00F44DFA" w:rsidRDefault="00E04CE5" w:rsidP="00050392">
            <w:pPr>
              <w:autoSpaceDE w:val="0"/>
              <w:autoSpaceDN w:val="0"/>
              <w:adjustRightInd w:val="0"/>
              <w:jc w:val="center"/>
              <w:rPr>
                <w:rFonts w:cstheme="minorHAnsi"/>
                <w:bCs/>
                <w:color w:val="244061" w:themeColor="accent1" w:themeShade="80"/>
              </w:rPr>
            </w:pPr>
          </w:p>
        </w:tc>
        <w:tc>
          <w:tcPr>
            <w:tcW w:w="810" w:type="dxa"/>
            <w:shd w:val="clear" w:color="auto" w:fill="F2F2F2" w:themeFill="background1" w:themeFillShade="F2"/>
          </w:tcPr>
          <w:p w14:paraId="30E184EC" w14:textId="77777777" w:rsidR="00E04CE5" w:rsidRPr="00F44DFA" w:rsidRDefault="00E04CE5" w:rsidP="00050392">
            <w:pPr>
              <w:autoSpaceDE w:val="0"/>
              <w:autoSpaceDN w:val="0"/>
              <w:adjustRightInd w:val="0"/>
              <w:jc w:val="center"/>
              <w:rPr>
                <w:rFonts w:cstheme="minorHAnsi"/>
                <w:bCs/>
                <w:color w:val="244061" w:themeColor="accent1" w:themeShade="80"/>
              </w:rPr>
            </w:pPr>
            <w:r w:rsidRPr="00F44DFA">
              <w:rPr>
                <w:rFonts w:cstheme="minorHAnsi"/>
                <w:bCs/>
                <w:color w:val="244061" w:themeColor="accent1" w:themeShade="80"/>
              </w:rPr>
              <w:t>IQR</w:t>
            </w:r>
          </w:p>
        </w:tc>
        <w:tc>
          <w:tcPr>
            <w:tcW w:w="990" w:type="dxa"/>
            <w:shd w:val="clear" w:color="auto" w:fill="F2F2F2" w:themeFill="background1" w:themeFillShade="F2"/>
          </w:tcPr>
          <w:p w14:paraId="56B52727" w14:textId="77777777" w:rsidR="00E04CE5" w:rsidRPr="00F44DFA" w:rsidRDefault="00E04CE5" w:rsidP="00050392">
            <w:pPr>
              <w:autoSpaceDE w:val="0"/>
              <w:autoSpaceDN w:val="0"/>
              <w:adjustRightInd w:val="0"/>
              <w:jc w:val="center"/>
              <w:rPr>
                <w:rFonts w:cstheme="minorHAnsi"/>
                <w:bCs/>
                <w:color w:val="244061" w:themeColor="accent1" w:themeShade="80"/>
              </w:rPr>
            </w:pPr>
            <w:r w:rsidRPr="00F44DFA">
              <w:rPr>
                <w:rFonts w:cstheme="minorHAnsi"/>
                <w:bCs/>
                <w:color w:val="244061" w:themeColor="accent1" w:themeShade="80"/>
              </w:rPr>
              <w:t>P-Value</w:t>
            </w:r>
          </w:p>
        </w:tc>
      </w:tr>
      <w:tr w:rsidR="00E04CE5" w:rsidRPr="00F44DFA" w14:paraId="63AC95FB" w14:textId="77777777" w:rsidTr="00050392">
        <w:trPr>
          <w:trHeight w:val="300"/>
          <w:jc w:val="center"/>
        </w:trPr>
        <w:tc>
          <w:tcPr>
            <w:tcW w:w="951" w:type="dxa"/>
            <w:hideMark/>
          </w:tcPr>
          <w:p w14:paraId="22B1E2BF"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7 days</w:t>
            </w:r>
          </w:p>
        </w:tc>
        <w:tc>
          <w:tcPr>
            <w:tcW w:w="720" w:type="dxa"/>
            <w:hideMark/>
          </w:tcPr>
          <w:p w14:paraId="1D5471A9"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368</w:t>
            </w:r>
          </w:p>
        </w:tc>
        <w:tc>
          <w:tcPr>
            <w:tcW w:w="810" w:type="dxa"/>
          </w:tcPr>
          <w:p w14:paraId="4B9923AE" w14:textId="77777777" w:rsidR="00E04CE5" w:rsidRPr="00F44DFA" w:rsidRDefault="00E04CE5" w:rsidP="00050392">
            <w:pPr>
              <w:autoSpaceDE w:val="0"/>
              <w:autoSpaceDN w:val="0"/>
              <w:adjustRightInd w:val="0"/>
              <w:rPr>
                <w:rFonts w:cstheme="minorHAnsi"/>
                <w:bCs/>
                <w:color w:val="244061" w:themeColor="accent1" w:themeShade="80"/>
              </w:rPr>
            </w:pPr>
            <w:r w:rsidRPr="00F44DFA">
              <w:rPr>
                <w:color w:val="244061" w:themeColor="accent1" w:themeShade="80"/>
              </w:rPr>
              <w:t>568</w:t>
            </w:r>
          </w:p>
        </w:tc>
        <w:tc>
          <w:tcPr>
            <w:tcW w:w="810" w:type="dxa"/>
            <w:hideMark/>
          </w:tcPr>
          <w:p w14:paraId="4CFAA865"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50.3%</w:t>
            </w:r>
          </w:p>
        </w:tc>
        <w:tc>
          <w:tcPr>
            <w:tcW w:w="810" w:type="dxa"/>
            <w:hideMark/>
          </w:tcPr>
          <w:p w14:paraId="471B10E5"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13.1%</w:t>
            </w:r>
          </w:p>
        </w:tc>
        <w:tc>
          <w:tcPr>
            <w:tcW w:w="810" w:type="dxa"/>
            <w:hideMark/>
          </w:tcPr>
          <w:p w14:paraId="7463F1BD"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2.6%</w:t>
            </w:r>
          </w:p>
        </w:tc>
        <w:tc>
          <w:tcPr>
            <w:tcW w:w="810" w:type="dxa"/>
            <w:hideMark/>
          </w:tcPr>
          <w:p w14:paraId="393DC39E"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34.7%</w:t>
            </w:r>
          </w:p>
        </w:tc>
        <w:tc>
          <w:tcPr>
            <w:tcW w:w="810" w:type="dxa"/>
            <w:hideMark/>
          </w:tcPr>
          <w:p w14:paraId="118643DE"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42.2%</w:t>
            </w:r>
          </w:p>
        </w:tc>
        <w:tc>
          <w:tcPr>
            <w:tcW w:w="810" w:type="dxa"/>
            <w:hideMark/>
          </w:tcPr>
          <w:p w14:paraId="66E6495A"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49.8%</w:t>
            </w:r>
          </w:p>
        </w:tc>
        <w:tc>
          <w:tcPr>
            <w:tcW w:w="810" w:type="dxa"/>
            <w:hideMark/>
          </w:tcPr>
          <w:p w14:paraId="2B98FA42"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58.7%</w:t>
            </w:r>
          </w:p>
        </w:tc>
        <w:tc>
          <w:tcPr>
            <w:tcW w:w="810" w:type="dxa"/>
            <w:hideMark/>
          </w:tcPr>
          <w:p w14:paraId="26C5736B"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65.8%</w:t>
            </w:r>
          </w:p>
        </w:tc>
        <w:tc>
          <w:tcPr>
            <w:tcW w:w="810" w:type="dxa"/>
          </w:tcPr>
          <w:p w14:paraId="7FE9A79C"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16.5%</w:t>
            </w:r>
          </w:p>
        </w:tc>
        <w:tc>
          <w:tcPr>
            <w:tcW w:w="990" w:type="dxa"/>
          </w:tcPr>
          <w:p w14:paraId="41D00069" w14:textId="77777777" w:rsidR="00E04CE5" w:rsidRPr="00F44DFA" w:rsidRDefault="00E04CE5" w:rsidP="00050392">
            <w:pPr>
              <w:autoSpaceDE w:val="0"/>
              <w:autoSpaceDN w:val="0"/>
              <w:adjustRightInd w:val="0"/>
              <w:rPr>
                <w:rFonts w:cstheme="minorHAnsi"/>
                <w:bCs/>
                <w:color w:val="244061" w:themeColor="accent1" w:themeShade="80"/>
              </w:rPr>
            </w:pPr>
            <w:r w:rsidRPr="00F44DFA">
              <w:rPr>
                <w:color w:val="244061" w:themeColor="accent1" w:themeShade="80"/>
              </w:rPr>
              <w:t>&lt;0.001</w:t>
            </w:r>
          </w:p>
        </w:tc>
      </w:tr>
      <w:tr w:rsidR="00E04CE5" w:rsidRPr="00F44DFA" w14:paraId="598ADFA0" w14:textId="77777777" w:rsidTr="00050392">
        <w:trPr>
          <w:trHeight w:val="300"/>
          <w:jc w:val="center"/>
        </w:trPr>
        <w:tc>
          <w:tcPr>
            <w:tcW w:w="951" w:type="dxa"/>
          </w:tcPr>
          <w:p w14:paraId="6F02B637"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30 days</w:t>
            </w:r>
          </w:p>
        </w:tc>
        <w:tc>
          <w:tcPr>
            <w:tcW w:w="720" w:type="dxa"/>
          </w:tcPr>
          <w:p w14:paraId="56155BBB"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368</w:t>
            </w:r>
          </w:p>
        </w:tc>
        <w:tc>
          <w:tcPr>
            <w:tcW w:w="810" w:type="dxa"/>
          </w:tcPr>
          <w:p w14:paraId="0C6D099A" w14:textId="77777777" w:rsidR="00E04CE5" w:rsidRPr="00F44DFA" w:rsidRDefault="00E04CE5" w:rsidP="00050392">
            <w:pPr>
              <w:autoSpaceDE w:val="0"/>
              <w:autoSpaceDN w:val="0"/>
              <w:adjustRightInd w:val="0"/>
              <w:rPr>
                <w:rFonts w:cstheme="minorHAnsi"/>
                <w:bCs/>
                <w:color w:val="244061" w:themeColor="accent1" w:themeShade="80"/>
              </w:rPr>
            </w:pPr>
            <w:r w:rsidRPr="00F44DFA">
              <w:rPr>
                <w:color w:val="244061" w:themeColor="accent1" w:themeShade="80"/>
              </w:rPr>
              <w:t>568</w:t>
            </w:r>
          </w:p>
        </w:tc>
        <w:tc>
          <w:tcPr>
            <w:tcW w:w="810" w:type="dxa"/>
          </w:tcPr>
          <w:p w14:paraId="4E16054D"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69.7%</w:t>
            </w:r>
          </w:p>
        </w:tc>
        <w:tc>
          <w:tcPr>
            <w:tcW w:w="810" w:type="dxa"/>
          </w:tcPr>
          <w:p w14:paraId="3DD64931"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11.1%</w:t>
            </w:r>
          </w:p>
        </w:tc>
        <w:tc>
          <w:tcPr>
            <w:tcW w:w="810" w:type="dxa"/>
          </w:tcPr>
          <w:p w14:paraId="60C2BE0E"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7.7%</w:t>
            </w:r>
          </w:p>
        </w:tc>
        <w:tc>
          <w:tcPr>
            <w:tcW w:w="810" w:type="dxa"/>
          </w:tcPr>
          <w:p w14:paraId="2A021673"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55.4%</w:t>
            </w:r>
          </w:p>
        </w:tc>
        <w:tc>
          <w:tcPr>
            <w:tcW w:w="810" w:type="dxa"/>
          </w:tcPr>
          <w:p w14:paraId="2D23FAD1"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64.6%</w:t>
            </w:r>
          </w:p>
        </w:tc>
        <w:tc>
          <w:tcPr>
            <w:tcW w:w="810" w:type="dxa"/>
          </w:tcPr>
          <w:p w14:paraId="5859F0E0"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70.6%</w:t>
            </w:r>
          </w:p>
        </w:tc>
        <w:tc>
          <w:tcPr>
            <w:tcW w:w="810" w:type="dxa"/>
          </w:tcPr>
          <w:p w14:paraId="0D7AB01F"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76.8%</w:t>
            </w:r>
          </w:p>
        </w:tc>
        <w:tc>
          <w:tcPr>
            <w:tcW w:w="810" w:type="dxa"/>
          </w:tcPr>
          <w:p w14:paraId="36C35A92"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82.5%</w:t>
            </w:r>
          </w:p>
        </w:tc>
        <w:tc>
          <w:tcPr>
            <w:tcW w:w="810" w:type="dxa"/>
          </w:tcPr>
          <w:p w14:paraId="7F766D8D"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12.2%</w:t>
            </w:r>
          </w:p>
        </w:tc>
        <w:tc>
          <w:tcPr>
            <w:tcW w:w="990" w:type="dxa"/>
          </w:tcPr>
          <w:p w14:paraId="7D55A43E" w14:textId="77777777" w:rsidR="00E04CE5" w:rsidRPr="00F44DFA" w:rsidRDefault="00E04CE5" w:rsidP="00050392">
            <w:pPr>
              <w:autoSpaceDE w:val="0"/>
              <w:autoSpaceDN w:val="0"/>
              <w:adjustRightInd w:val="0"/>
              <w:rPr>
                <w:rFonts w:cstheme="minorHAnsi"/>
                <w:bCs/>
                <w:color w:val="244061" w:themeColor="accent1" w:themeShade="80"/>
              </w:rPr>
            </w:pPr>
            <w:r w:rsidRPr="00F44DFA">
              <w:rPr>
                <w:color w:val="244061" w:themeColor="accent1" w:themeShade="80"/>
              </w:rPr>
              <w:t>&lt;0.001</w:t>
            </w:r>
          </w:p>
        </w:tc>
      </w:tr>
    </w:tbl>
    <w:p w14:paraId="3FB1D5C4" w14:textId="77777777" w:rsidR="00E04CE5" w:rsidRPr="00F44DFA" w:rsidRDefault="00E04CE5" w:rsidP="00E04CE5">
      <w:pPr>
        <w:pStyle w:val="Style5"/>
        <w:rPr>
          <w:rFonts w:asciiTheme="minorHAnsi" w:hAnsiTheme="minorHAnsi"/>
          <w:i w:val="0"/>
          <w:color w:val="244061" w:themeColor="accent1" w:themeShade="80"/>
          <w:sz w:val="22"/>
          <w:szCs w:val="22"/>
        </w:rPr>
      </w:pPr>
      <w:r w:rsidRPr="00F44DFA">
        <w:rPr>
          <w:rFonts w:asciiTheme="minorHAnsi" w:hAnsiTheme="minorHAnsi"/>
          <w:i w:val="0"/>
          <w:color w:val="244061" w:themeColor="accent1" w:themeShade="80"/>
          <w:sz w:val="22"/>
          <w:szCs w:val="22"/>
        </w:rPr>
        <w:t>EP: Eligible Population, the average denominator size across plans submitting to HEDIS</w:t>
      </w:r>
    </w:p>
    <w:p w14:paraId="24629579" w14:textId="77777777" w:rsidR="00E04CE5" w:rsidRPr="00F44DFA" w:rsidRDefault="00E04CE5" w:rsidP="00E04CE5">
      <w:pPr>
        <w:pStyle w:val="Style5"/>
        <w:rPr>
          <w:rFonts w:asciiTheme="minorHAnsi" w:hAnsiTheme="minorHAnsi"/>
          <w:i w:val="0"/>
          <w:color w:val="244061" w:themeColor="accent1" w:themeShade="80"/>
          <w:sz w:val="22"/>
          <w:szCs w:val="22"/>
        </w:rPr>
      </w:pPr>
      <w:r w:rsidRPr="00F44DFA">
        <w:rPr>
          <w:rFonts w:asciiTheme="minorHAnsi" w:hAnsiTheme="minorHAnsi"/>
          <w:i w:val="0"/>
          <w:color w:val="244061" w:themeColor="accent1" w:themeShade="80"/>
          <w:sz w:val="22"/>
          <w:szCs w:val="22"/>
        </w:rPr>
        <w:t>IQR: Interquartile range</w:t>
      </w:r>
    </w:p>
    <w:p w14:paraId="750D118E" w14:textId="77777777" w:rsidR="00E04CE5" w:rsidRPr="00F44DFA" w:rsidRDefault="00E04CE5" w:rsidP="00E04CE5">
      <w:pPr>
        <w:autoSpaceDE w:val="0"/>
        <w:autoSpaceDN w:val="0"/>
        <w:adjustRightInd w:val="0"/>
        <w:spacing w:after="0" w:line="240" w:lineRule="auto"/>
        <w:rPr>
          <w:color w:val="244061" w:themeColor="accent1" w:themeShade="80"/>
        </w:rPr>
      </w:pPr>
      <w:r w:rsidRPr="00F44DFA">
        <w:rPr>
          <w:color w:val="244061" w:themeColor="accent1" w:themeShade="80"/>
        </w:rPr>
        <w:t>p-value: P-value of independent samples t-test comparing plans at the 25</w:t>
      </w:r>
      <w:r w:rsidRPr="00F44DFA">
        <w:rPr>
          <w:color w:val="244061" w:themeColor="accent1" w:themeShade="80"/>
          <w:vertAlign w:val="superscript"/>
        </w:rPr>
        <w:t>th</w:t>
      </w:r>
      <w:r w:rsidRPr="00F44DFA">
        <w:rPr>
          <w:color w:val="244061" w:themeColor="accent1" w:themeShade="80"/>
        </w:rPr>
        <w:t xml:space="preserve"> percentile to plans at the 75</w:t>
      </w:r>
      <w:r w:rsidRPr="00F44DFA">
        <w:rPr>
          <w:color w:val="244061" w:themeColor="accent1" w:themeShade="80"/>
          <w:vertAlign w:val="superscript"/>
        </w:rPr>
        <w:t>th</w:t>
      </w:r>
      <w:r w:rsidRPr="00F44DFA">
        <w:rPr>
          <w:color w:val="244061" w:themeColor="accent1" w:themeShade="80"/>
        </w:rPr>
        <w:t xml:space="preserve"> percentile</w:t>
      </w:r>
    </w:p>
    <w:p w14:paraId="1167632F" w14:textId="77777777" w:rsidR="00E04CE5" w:rsidRPr="00F44DFA" w:rsidRDefault="00E04CE5" w:rsidP="00E04CE5">
      <w:pPr>
        <w:autoSpaceDE w:val="0"/>
        <w:autoSpaceDN w:val="0"/>
        <w:adjustRightInd w:val="0"/>
        <w:spacing w:after="0" w:line="240" w:lineRule="auto"/>
        <w:rPr>
          <w:rFonts w:cstheme="minorHAnsi"/>
          <w:bCs/>
          <w:color w:val="244061" w:themeColor="accent1" w:themeShade="80"/>
        </w:rPr>
      </w:pPr>
    </w:p>
    <w:p w14:paraId="4654B972" w14:textId="77777777" w:rsidR="00E04CE5" w:rsidRPr="00F44DFA" w:rsidRDefault="00E04CE5" w:rsidP="00E04CE5">
      <w:pPr>
        <w:autoSpaceDE w:val="0"/>
        <w:autoSpaceDN w:val="0"/>
        <w:adjustRightInd w:val="0"/>
        <w:spacing w:after="0" w:line="240" w:lineRule="auto"/>
        <w:rPr>
          <w:rFonts w:cstheme="minorHAnsi"/>
          <w:b/>
          <w:bCs/>
          <w:color w:val="244061" w:themeColor="accent1" w:themeShade="80"/>
        </w:rPr>
      </w:pPr>
      <w:r w:rsidRPr="00F44DFA">
        <w:rPr>
          <w:rFonts w:cstheme="minorHAnsi"/>
          <w:b/>
          <w:bCs/>
          <w:color w:val="244061" w:themeColor="accent1" w:themeShade="80"/>
        </w:rPr>
        <w:t>HEDIS 2016 Variation in Performance Across Health Plans- Medicare</w:t>
      </w:r>
    </w:p>
    <w:tbl>
      <w:tblPr>
        <w:tblStyle w:val="TableGrid"/>
        <w:tblW w:w="10620" w:type="dxa"/>
        <w:jc w:val="center"/>
        <w:tblLayout w:type="fixed"/>
        <w:tblLook w:val="04A0" w:firstRow="1" w:lastRow="0" w:firstColumn="1" w:lastColumn="0" w:noHBand="0" w:noVBand="1"/>
      </w:tblPr>
      <w:tblGrid>
        <w:gridCol w:w="900"/>
        <w:gridCol w:w="715"/>
        <w:gridCol w:w="725"/>
        <w:gridCol w:w="810"/>
        <w:gridCol w:w="900"/>
        <w:gridCol w:w="810"/>
        <w:gridCol w:w="810"/>
        <w:gridCol w:w="810"/>
        <w:gridCol w:w="810"/>
        <w:gridCol w:w="810"/>
        <w:gridCol w:w="810"/>
        <w:gridCol w:w="810"/>
        <w:gridCol w:w="900"/>
      </w:tblGrid>
      <w:tr w:rsidR="00E04CE5" w:rsidRPr="00F44DFA" w14:paraId="6B76D461" w14:textId="77777777" w:rsidTr="00050392">
        <w:trPr>
          <w:trHeight w:val="300"/>
          <w:jc w:val="center"/>
        </w:trPr>
        <w:tc>
          <w:tcPr>
            <w:tcW w:w="900" w:type="dxa"/>
            <w:shd w:val="clear" w:color="auto" w:fill="F2F2F2" w:themeFill="background1" w:themeFillShade="F2"/>
          </w:tcPr>
          <w:p w14:paraId="3B5B2D2C" w14:textId="77777777" w:rsidR="00E04CE5" w:rsidRPr="00F44DFA" w:rsidRDefault="00E04CE5" w:rsidP="00050392">
            <w:pPr>
              <w:autoSpaceDE w:val="0"/>
              <w:autoSpaceDN w:val="0"/>
              <w:adjustRightInd w:val="0"/>
              <w:jc w:val="center"/>
              <w:rPr>
                <w:rFonts w:cstheme="minorHAnsi"/>
                <w:bCs/>
                <w:color w:val="244061" w:themeColor="accent1" w:themeShade="80"/>
              </w:rPr>
            </w:pPr>
            <w:r w:rsidRPr="00F44DFA">
              <w:rPr>
                <w:rFonts w:cstheme="minorHAnsi"/>
                <w:bCs/>
                <w:color w:val="244061" w:themeColor="accent1" w:themeShade="80"/>
              </w:rPr>
              <w:t>Rate</w:t>
            </w:r>
          </w:p>
        </w:tc>
        <w:tc>
          <w:tcPr>
            <w:tcW w:w="715" w:type="dxa"/>
            <w:shd w:val="clear" w:color="auto" w:fill="F2F2F2" w:themeFill="background1" w:themeFillShade="F2"/>
          </w:tcPr>
          <w:p w14:paraId="33E0B3E5" w14:textId="77777777" w:rsidR="00E04CE5" w:rsidRPr="00F44DFA" w:rsidRDefault="00E04CE5" w:rsidP="00050392">
            <w:pPr>
              <w:autoSpaceDE w:val="0"/>
              <w:autoSpaceDN w:val="0"/>
              <w:adjustRightInd w:val="0"/>
              <w:jc w:val="center"/>
              <w:rPr>
                <w:rFonts w:cstheme="minorHAnsi"/>
                <w:bCs/>
                <w:color w:val="244061" w:themeColor="accent1" w:themeShade="80"/>
              </w:rPr>
            </w:pPr>
            <w:r w:rsidRPr="00F44DFA">
              <w:rPr>
                <w:rFonts w:cstheme="minorHAnsi"/>
                <w:bCs/>
                <w:color w:val="244061" w:themeColor="accent1" w:themeShade="80"/>
              </w:rPr>
              <w:t># of Plans</w:t>
            </w:r>
          </w:p>
        </w:tc>
        <w:tc>
          <w:tcPr>
            <w:tcW w:w="725" w:type="dxa"/>
            <w:shd w:val="clear" w:color="auto" w:fill="F2F2F2" w:themeFill="background1" w:themeFillShade="F2"/>
          </w:tcPr>
          <w:p w14:paraId="4E6239E6" w14:textId="77777777" w:rsidR="00E04CE5" w:rsidRPr="00F44DFA" w:rsidRDefault="00E04CE5" w:rsidP="00050392">
            <w:pPr>
              <w:autoSpaceDE w:val="0"/>
              <w:autoSpaceDN w:val="0"/>
              <w:adjustRightInd w:val="0"/>
              <w:jc w:val="center"/>
              <w:rPr>
                <w:rFonts w:cstheme="minorHAnsi"/>
                <w:bCs/>
                <w:color w:val="244061" w:themeColor="accent1" w:themeShade="80"/>
              </w:rPr>
            </w:pPr>
            <w:r w:rsidRPr="00F44DFA">
              <w:rPr>
                <w:rFonts w:cstheme="minorHAnsi"/>
                <w:bCs/>
                <w:color w:val="244061" w:themeColor="accent1" w:themeShade="80"/>
              </w:rPr>
              <w:t>Avg. EP</w:t>
            </w:r>
          </w:p>
        </w:tc>
        <w:tc>
          <w:tcPr>
            <w:tcW w:w="810" w:type="dxa"/>
            <w:shd w:val="clear" w:color="auto" w:fill="F2F2F2" w:themeFill="background1" w:themeFillShade="F2"/>
          </w:tcPr>
          <w:p w14:paraId="29540100" w14:textId="77777777" w:rsidR="00E04CE5" w:rsidRPr="00F44DFA" w:rsidRDefault="00E04CE5" w:rsidP="00050392">
            <w:pPr>
              <w:autoSpaceDE w:val="0"/>
              <w:autoSpaceDN w:val="0"/>
              <w:adjustRightInd w:val="0"/>
              <w:jc w:val="center"/>
              <w:rPr>
                <w:rFonts w:cstheme="minorHAnsi"/>
                <w:bCs/>
                <w:color w:val="244061" w:themeColor="accent1" w:themeShade="80"/>
              </w:rPr>
            </w:pPr>
            <w:r w:rsidRPr="00F44DFA">
              <w:rPr>
                <w:rFonts w:cstheme="minorHAnsi"/>
                <w:bCs/>
                <w:color w:val="244061" w:themeColor="accent1" w:themeShade="80"/>
              </w:rPr>
              <w:t>Avg.</w:t>
            </w:r>
          </w:p>
        </w:tc>
        <w:tc>
          <w:tcPr>
            <w:tcW w:w="900" w:type="dxa"/>
            <w:shd w:val="clear" w:color="auto" w:fill="F2F2F2" w:themeFill="background1" w:themeFillShade="F2"/>
          </w:tcPr>
          <w:p w14:paraId="16B72BAD" w14:textId="77777777" w:rsidR="00E04CE5" w:rsidRPr="00F44DFA" w:rsidRDefault="00E04CE5" w:rsidP="00050392">
            <w:pPr>
              <w:autoSpaceDE w:val="0"/>
              <w:autoSpaceDN w:val="0"/>
              <w:adjustRightInd w:val="0"/>
              <w:jc w:val="center"/>
              <w:rPr>
                <w:rFonts w:cstheme="minorHAnsi"/>
                <w:bCs/>
                <w:color w:val="244061" w:themeColor="accent1" w:themeShade="80"/>
              </w:rPr>
            </w:pPr>
            <w:r w:rsidRPr="00F44DFA">
              <w:rPr>
                <w:rFonts w:cstheme="minorHAnsi"/>
                <w:bCs/>
                <w:color w:val="244061" w:themeColor="accent1" w:themeShade="80"/>
              </w:rPr>
              <w:t>SD</w:t>
            </w:r>
          </w:p>
        </w:tc>
        <w:tc>
          <w:tcPr>
            <w:tcW w:w="810" w:type="dxa"/>
            <w:shd w:val="clear" w:color="auto" w:fill="F2F2F2" w:themeFill="background1" w:themeFillShade="F2"/>
          </w:tcPr>
          <w:p w14:paraId="0C135B0D" w14:textId="77777777" w:rsidR="00E04CE5" w:rsidRPr="00F44DFA" w:rsidRDefault="00E04CE5" w:rsidP="00050392">
            <w:pPr>
              <w:autoSpaceDE w:val="0"/>
              <w:autoSpaceDN w:val="0"/>
              <w:adjustRightInd w:val="0"/>
              <w:jc w:val="center"/>
              <w:rPr>
                <w:rFonts w:cstheme="minorHAnsi"/>
                <w:bCs/>
                <w:color w:val="244061" w:themeColor="accent1" w:themeShade="80"/>
              </w:rPr>
            </w:pPr>
            <w:r w:rsidRPr="00F44DFA">
              <w:rPr>
                <w:rFonts w:cstheme="minorHAnsi"/>
                <w:bCs/>
                <w:color w:val="244061" w:themeColor="accent1" w:themeShade="80"/>
              </w:rPr>
              <w:t>Min.</w:t>
            </w:r>
          </w:p>
        </w:tc>
        <w:tc>
          <w:tcPr>
            <w:tcW w:w="810" w:type="dxa"/>
            <w:shd w:val="clear" w:color="auto" w:fill="F2F2F2" w:themeFill="background1" w:themeFillShade="F2"/>
          </w:tcPr>
          <w:p w14:paraId="5D98B4F9" w14:textId="77777777" w:rsidR="00E04CE5" w:rsidRPr="00F44DFA" w:rsidRDefault="00E04CE5" w:rsidP="00050392">
            <w:pPr>
              <w:autoSpaceDE w:val="0"/>
              <w:autoSpaceDN w:val="0"/>
              <w:adjustRightInd w:val="0"/>
              <w:jc w:val="center"/>
              <w:rPr>
                <w:rFonts w:cstheme="minorHAnsi"/>
                <w:bCs/>
                <w:color w:val="244061" w:themeColor="accent1" w:themeShade="80"/>
              </w:rPr>
            </w:pPr>
            <w:r w:rsidRPr="00F44DFA">
              <w:rPr>
                <w:rFonts w:cstheme="minorHAnsi"/>
                <w:bCs/>
                <w:color w:val="244061" w:themeColor="accent1" w:themeShade="80"/>
              </w:rPr>
              <w:t>10</w:t>
            </w:r>
            <w:r w:rsidRPr="00F44DFA">
              <w:rPr>
                <w:rFonts w:cstheme="minorHAnsi"/>
                <w:bCs/>
                <w:color w:val="244061" w:themeColor="accent1" w:themeShade="80"/>
                <w:vertAlign w:val="superscript"/>
              </w:rPr>
              <w:t>th</w:t>
            </w:r>
          </w:p>
          <w:p w14:paraId="46639796" w14:textId="77777777" w:rsidR="00E04CE5" w:rsidRPr="00F44DFA" w:rsidRDefault="00E04CE5" w:rsidP="00050392">
            <w:pPr>
              <w:autoSpaceDE w:val="0"/>
              <w:autoSpaceDN w:val="0"/>
              <w:adjustRightInd w:val="0"/>
              <w:jc w:val="center"/>
              <w:rPr>
                <w:rFonts w:cstheme="minorHAnsi"/>
                <w:bCs/>
                <w:color w:val="244061" w:themeColor="accent1" w:themeShade="80"/>
              </w:rPr>
            </w:pPr>
          </w:p>
        </w:tc>
        <w:tc>
          <w:tcPr>
            <w:tcW w:w="810" w:type="dxa"/>
            <w:shd w:val="clear" w:color="auto" w:fill="F2F2F2" w:themeFill="background1" w:themeFillShade="F2"/>
          </w:tcPr>
          <w:p w14:paraId="75BB3B3E" w14:textId="77777777" w:rsidR="00E04CE5" w:rsidRPr="00F44DFA" w:rsidRDefault="00E04CE5" w:rsidP="00050392">
            <w:pPr>
              <w:autoSpaceDE w:val="0"/>
              <w:autoSpaceDN w:val="0"/>
              <w:adjustRightInd w:val="0"/>
              <w:jc w:val="center"/>
              <w:rPr>
                <w:rFonts w:cstheme="minorHAnsi"/>
                <w:bCs/>
                <w:color w:val="244061" w:themeColor="accent1" w:themeShade="80"/>
              </w:rPr>
            </w:pPr>
            <w:r w:rsidRPr="00F44DFA">
              <w:rPr>
                <w:rFonts w:cstheme="minorHAnsi"/>
                <w:bCs/>
                <w:color w:val="244061" w:themeColor="accent1" w:themeShade="80"/>
              </w:rPr>
              <w:t>25</w:t>
            </w:r>
            <w:r w:rsidRPr="00F44DFA">
              <w:rPr>
                <w:rFonts w:cstheme="minorHAnsi"/>
                <w:bCs/>
                <w:color w:val="244061" w:themeColor="accent1" w:themeShade="80"/>
                <w:vertAlign w:val="superscript"/>
              </w:rPr>
              <w:t>th</w:t>
            </w:r>
          </w:p>
          <w:p w14:paraId="2ADCACFD" w14:textId="77777777" w:rsidR="00E04CE5" w:rsidRPr="00F44DFA" w:rsidRDefault="00E04CE5" w:rsidP="00050392">
            <w:pPr>
              <w:autoSpaceDE w:val="0"/>
              <w:autoSpaceDN w:val="0"/>
              <w:adjustRightInd w:val="0"/>
              <w:jc w:val="center"/>
              <w:rPr>
                <w:rFonts w:cstheme="minorHAnsi"/>
                <w:bCs/>
                <w:color w:val="244061" w:themeColor="accent1" w:themeShade="80"/>
              </w:rPr>
            </w:pPr>
          </w:p>
        </w:tc>
        <w:tc>
          <w:tcPr>
            <w:tcW w:w="810" w:type="dxa"/>
            <w:shd w:val="clear" w:color="auto" w:fill="F2F2F2" w:themeFill="background1" w:themeFillShade="F2"/>
          </w:tcPr>
          <w:p w14:paraId="6EE53C4D" w14:textId="77777777" w:rsidR="00E04CE5" w:rsidRPr="00F44DFA" w:rsidRDefault="00E04CE5" w:rsidP="00050392">
            <w:pPr>
              <w:autoSpaceDE w:val="0"/>
              <w:autoSpaceDN w:val="0"/>
              <w:adjustRightInd w:val="0"/>
              <w:jc w:val="center"/>
              <w:rPr>
                <w:rFonts w:cstheme="minorHAnsi"/>
                <w:bCs/>
                <w:color w:val="244061" w:themeColor="accent1" w:themeShade="80"/>
              </w:rPr>
            </w:pPr>
            <w:r w:rsidRPr="00F44DFA">
              <w:rPr>
                <w:rFonts w:cstheme="minorHAnsi"/>
                <w:bCs/>
                <w:color w:val="244061" w:themeColor="accent1" w:themeShade="80"/>
              </w:rPr>
              <w:t>50</w:t>
            </w:r>
            <w:r w:rsidRPr="00F44DFA">
              <w:rPr>
                <w:rFonts w:cstheme="minorHAnsi"/>
                <w:bCs/>
                <w:color w:val="244061" w:themeColor="accent1" w:themeShade="80"/>
                <w:vertAlign w:val="superscript"/>
              </w:rPr>
              <w:t>th</w:t>
            </w:r>
          </w:p>
          <w:p w14:paraId="6B47405E" w14:textId="77777777" w:rsidR="00E04CE5" w:rsidRPr="00F44DFA" w:rsidRDefault="00E04CE5" w:rsidP="00050392">
            <w:pPr>
              <w:autoSpaceDE w:val="0"/>
              <w:autoSpaceDN w:val="0"/>
              <w:adjustRightInd w:val="0"/>
              <w:jc w:val="center"/>
              <w:rPr>
                <w:rFonts w:cstheme="minorHAnsi"/>
                <w:bCs/>
                <w:color w:val="244061" w:themeColor="accent1" w:themeShade="80"/>
              </w:rPr>
            </w:pPr>
          </w:p>
        </w:tc>
        <w:tc>
          <w:tcPr>
            <w:tcW w:w="810" w:type="dxa"/>
            <w:shd w:val="clear" w:color="auto" w:fill="F2F2F2" w:themeFill="background1" w:themeFillShade="F2"/>
          </w:tcPr>
          <w:p w14:paraId="277D53A8" w14:textId="77777777" w:rsidR="00E04CE5" w:rsidRPr="00F44DFA" w:rsidRDefault="00E04CE5" w:rsidP="00050392">
            <w:pPr>
              <w:autoSpaceDE w:val="0"/>
              <w:autoSpaceDN w:val="0"/>
              <w:adjustRightInd w:val="0"/>
              <w:jc w:val="center"/>
              <w:rPr>
                <w:rFonts w:cstheme="minorHAnsi"/>
                <w:bCs/>
                <w:color w:val="244061" w:themeColor="accent1" w:themeShade="80"/>
              </w:rPr>
            </w:pPr>
            <w:r w:rsidRPr="00F44DFA">
              <w:rPr>
                <w:rFonts w:cstheme="minorHAnsi"/>
                <w:bCs/>
                <w:color w:val="244061" w:themeColor="accent1" w:themeShade="80"/>
              </w:rPr>
              <w:t>75</w:t>
            </w:r>
            <w:r w:rsidRPr="00F44DFA">
              <w:rPr>
                <w:rFonts w:cstheme="minorHAnsi"/>
                <w:bCs/>
                <w:color w:val="244061" w:themeColor="accent1" w:themeShade="80"/>
                <w:vertAlign w:val="superscript"/>
              </w:rPr>
              <w:t>th</w:t>
            </w:r>
          </w:p>
          <w:p w14:paraId="0DFF111A" w14:textId="77777777" w:rsidR="00E04CE5" w:rsidRPr="00F44DFA" w:rsidRDefault="00E04CE5" w:rsidP="00050392">
            <w:pPr>
              <w:autoSpaceDE w:val="0"/>
              <w:autoSpaceDN w:val="0"/>
              <w:adjustRightInd w:val="0"/>
              <w:jc w:val="center"/>
              <w:rPr>
                <w:rFonts w:cstheme="minorHAnsi"/>
                <w:bCs/>
                <w:color w:val="244061" w:themeColor="accent1" w:themeShade="80"/>
              </w:rPr>
            </w:pPr>
          </w:p>
        </w:tc>
        <w:tc>
          <w:tcPr>
            <w:tcW w:w="810" w:type="dxa"/>
            <w:shd w:val="clear" w:color="auto" w:fill="F2F2F2" w:themeFill="background1" w:themeFillShade="F2"/>
          </w:tcPr>
          <w:p w14:paraId="0D3FC759" w14:textId="77777777" w:rsidR="00E04CE5" w:rsidRPr="00F44DFA" w:rsidRDefault="00E04CE5" w:rsidP="00050392">
            <w:pPr>
              <w:autoSpaceDE w:val="0"/>
              <w:autoSpaceDN w:val="0"/>
              <w:adjustRightInd w:val="0"/>
              <w:jc w:val="center"/>
              <w:rPr>
                <w:rFonts w:cstheme="minorHAnsi"/>
                <w:bCs/>
                <w:color w:val="244061" w:themeColor="accent1" w:themeShade="80"/>
              </w:rPr>
            </w:pPr>
            <w:r w:rsidRPr="00F44DFA">
              <w:rPr>
                <w:rFonts w:cstheme="minorHAnsi"/>
                <w:bCs/>
                <w:color w:val="244061" w:themeColor="accent1" w:themeShade="80"/>
              </w:rPr>
              <w:t>90</w:t>
            </w:r>
            <w:r w:rsidRPr="00F44DFA">
              <w:rPr>
                <w:rFonts w:cstheme="minorHAnsi"/>
                <w:bCs/>
                <w:color w:val="244061" w:themeColor="accent1" w:themeShade="80"/>
                <w:vertAlign w:val="superscript"/>
              </w:rPr>
              <w:t>th</w:t>
            </w:r>
          </w:p>
          <w:p w14:paraId="62CF5DF2" w14:textId="77777777" w:rsidR="00E04CE5" w:rsidRPr="00F44DFA" w:rsidRDefault="00E04CE5" w:rsidP="00050392">
            <w:pPr>
              <w:autoSpaceDE w:val="0"/>
              <w:autoSpaceDN w:val="0"/>
              <w:adjustRightInd w:val="0"/>
              <w:jc w:val="center"/>
              <w:rPr>
                <w:rFonts w:cstheme="minorHAnsi"/>
                <w:bCs/>
                <w:color w:val="244061" w:themeColor="accent1" w:themeShade="80"/>
              </w:rPr>
            </w:pPr>
          </w:p>
        </w:tc>
        <w:tc>
          <w:tcPr>
            <w:tcW w:w="810" w:type="dxa"/>
            <w:shd w:val="clear" w:color="auto" w:fill="F2F2F2" w:themeFill="background1" w:themeFillShade="F2"/>
          </w:tcPr>
          <w:p w14:paraId="48540B18" w14:textId="77777777" w:rsidR="00E04CE5" w:rsidRPr="00F44DFA" w:rsidRDefault="00E04CE5" w:rsidP="00050392">
            <w:pPr>
              <w:autoSpaceDE w:val="0"/>
              <w:autoSpaceDN w:val="0"/>
              <w:adjustRightInd w:val="0"/>
              <w:jc w:val="center"/>
              <w:rPr>
                <w:rFonts w:cstheme="minorHAnsi"/>
                <w:bCs/>
                <w:color w:val="244061" w:themeColor="accent1" w:themeShade="80"/>
              </w:rPr>
            </w:pPr>
            <w:r w:rsidRPr="00F44DFA">
              <w:rPr>
                <w:rFonts w:cstheme="minorHAnsi"/>
                <w:bCs/>
                <w:color w:val="244061" w:themeColor="accent1" w:themeShade="80"/>
              </w:rPr>
              <w:t>IQR</w:t>
            </w:r>
          </w:p>
        </w:tc>
        <w:tc>
          <w:tcPr>
            <w:tcW w:w="900" w:type="dxa"/>
            <w:shd w:val="clear" w:color="auto" w:fill="F2F2F2" w:themeFill="background1" w:themeFillShade="F2"/>
          </w:tcPr>
          <w:p w14:paraId="5B3A6D10" w14:textId="77777777" w:rsidR="00E04CE5" w:rsidRPr="00F44DFA" w:rsidRDefault="00E04CE5" w:rsidP="00050392">
            <w:pPr>
              <w:autoSpaceDE w:val="0"/>
              <w:autoSpaceDN w:val="0"/>
              <w:adjustRightInd w:val="0"/>
              <w:jc w:val="center"/>
              <w:rPr>
                <w:rFonts w:cstheme="minorHAnsi"/>
                <w:bCs/>
                <w:color w:val="244061" w:themeColor="accent1" w:themeShade="80"/>
              </w:rPr>
            </w:pPr>
            <w:r w:rsidRPr="00F44DFA">
              <w:rPr>
                <w:rFonts w:cstheme="minorHAnsi"/>
                <w:bCs/>
                <w:color w:val="244061" w:themeColor="accent1" w:themeShade="80"/>
              </w:rPr>
              <w:t>P-Value</w:t>
            </w:r>
          </w:p>
        </w:tc>
      </w:tr>
      <w:tr w:rsidR="00E04CE5" w:rsidRPr="00F44DFA" w14:paraId="2326D565" w14:textId="77777777" w:rsidTr="00050392">
        <w:trPr>
          <w:trHeight w:val="300"/>
          <w:jc w:val="center"/>
        </w:trPr>
        <w:tc>
          <w:tcPr>
            <w:tcW w:w="900" w:type="dxa"/>
            <w:hideMark/>
          </w:tcPr>
          <w:p w14:paraId="48BE77B6"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7 days</w:t>
            </w:r>
          </w:p>
        </w:tc>
        <w:tc>
          <w:tcPr>
            <w:tcW w:w="715" w:type="dxa"/>
            <w:hideMark/>
          </w:tcPr>
          <w:p w14:paraId="4E035F4D"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301</w:t>
            </w:r>
          </w:p>
        </w:tc>
        <w:tc>
          <w:tcPr>
            <w:tcW w:w="725" w:type="dxa"/>
          </w:tcPr>
          <w:p w14:paraId="726BF32C" w14:textId="77777777" w:rsidR="00E04CE5" w:rsidRPr="00F44DFA" w:rsidRDefault="00E04CE5" w:rsidP="00050392">
            <w:pPr>
              <w:autoSpaceDE w:val="0"/>
              <w:autoSpaceDN w:val="0"/>
              <w:adjustRightInd w:val="0"/>
              <w:rPr>
                <w:rFonts w:cstheme="minorHAnsi"/>
                <w:bCs/>
                <w:color w:val="244061" w:themeColor="accent1" w:themeShade="80"/>
              </w:rPr>
            </w:pPr>
            <w:r w:rsidRPr="00F44DFA">
              <w:rPr>
                <w:color w:val="244061" w:themeColor="accent1" w:themeShade="80"/>
              </w:rPr>
              <w:t>279</w:t>
            </w:r>
          </w:p>
        </w:tc>
        <w:tc>
          <w:tcPr>
            <w:tcW w:w="810" w:type="dxa"/>
            <w:hideMark/>
          </w:tcPr>
          <w:p w14:paraId="325CD5E6"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33.8%</w:t>
            </w:r>
          </w:p>
        </w:tc>
        <w:tc>
          <w:tcPr>
            <w:tcW w:w="900" w:type="dxa"/>
            <w:hideMark/>
          </w:tcPr>
          <w:p w14:paraId="2E869639"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14.9%</w:t>
            </w:r>
          </w:p>
        </w:tc>
        <w:tc>
          <w:tcPr>
            <w:tcW w:w="810" w:type="dxa"/>
            <w:hideMark/>
          </w:tcPr>
          <w:p w14:paraId="7C3DCEFD"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3.3%</w:t>
            </w:r>
          </w:p>
        </w:tc>
        <w:tc>
          <w:tcPr>
            <w:tcW w:w="810" w:type="dxa"/>
            <w:hideMark/>
          </w:tcPr>
          <w:p w14:paraId="6A3AA848"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15.7%</w:t>
            </w:r>
          </w:p>
        </w:tc>
        <w:tc>
          <w:tcPr>
            <w:tcW w:w="810" w:type="dxa"/>
            <w:hideMark/>
          </w:tcPr>
          <w:p w14:paraId="6756D368"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22.4%</w:t>
            </w:r>
          </w:p>
        </w:tc>
        <w:tc>
          <w:tcPr>
            <w:tcW w:w="810" w:type="dxa"/>
            <w:hideMark/>
          </w:tcPr>
          <w:p w14:paraId="08F92349"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32.0%</w:t>
            </w:r>
          </w:p>
        </w:tc>
        <w:tc>
          <w:tcPr>
            <w:tcW w:w="810" w:type="dxa"/>
            <w:hideMark/>
          </w:tcPr>
          <w:p w14:paraId="58CB6D94"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43.0%</w:t>
            </w:r>
          </w:p>
        </w:tc>
        <w:tc>
          <w:tcPr>
            <w:tcW w:w="810" w:type="dxa"/>
            <w:hideMark/>
          </w:tcPr>
          <w:p w14:paraId="0F379A3D"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55.1%</w:t>
            </w:r>
          </w:p>
        </w:tc>
        <w:tc>
          <w:tcPr>
            <w:tcW w:w="810" w:type="dxa"/>
          </w:tcPr>
          <w:p w14:paraId="6324D6F9"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20.6%</w:t>
            </w:r>
          </w:p>
        </w:tc>
        <w:tc>
          <w:tcPr>
            <w:tcW w:w="900" w:type="dxa"/>
          </w:tcPr>
          <w:p w14:paraId="1757ECDF" w14:textId="77777777" w:rsidR="00E04CE5" w:rsidRPr="00F44DFA" w:rsidRDefault="00E04CE5" w:rsidP="00050392">
            <w:pPr>
              <w:autoSpaceDE w:val="0"/>
              <w:autoSpaceDN w:val="0"/>
              <w:adjustRightInd w:val="0"/>
              <w:rPr>
                <w:rFonts w:cstheme="minorHAnsi"/>
                <w:bCs/>
                <w:color w:val="244061" w:themeColor="accent1" w:themeShade="80"/>
              </w:rPr>
            </w:pPr>
            <w:r w:rsidRPr="00F44DFA">
              <w:rPr>
                <w:color w:val="244061" w:themeColor="accent1" w:themeShade="80"/>
              </w:rPr>
              <w:t>&lt;0.001</w:t>
            </w:r>
          </w:p>
        </w:tc>
      </w:tr>
      <w:tr w:rsidR="00E04CE5" w:rsidRPr="00F44DFA" w14:paraId="35394C70" w14:textId="77777777" w:rsidTr="00050392">
        <w:trPr>
          <w:trHeight w:val="300"/>
          <w:jc w:val="center"/>
        </w:trPr>
        <w:tc>
          <w:tcPr>
            <w:tcW w:w="900" w:type="dxa"/>
            <w:hideMark/>
          </w:tcPr>
          <w:p w14:paraId="23D547E1"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30 days</w:t>
            </w:r>
          </w:p>
        </w:tc>
        <w:tc>
          <w:tcPr>
            <w:tcW w:w="715" w:type="dxa"/>
            <w:hideMark/>
          </w:tcPr>
          <w:p w14:paraId="48334174"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301</w:t>
            </w:r>
          </w:p>
        </w:tc>
        <w:tc>
          <w:tcPr>
            <w:tcW w:w="725" w:type="dxa"/>
          </w:tcPr>
          <w:p w14:paraId="7162DA40" w14:textId="77777777" w:rsidR="00E04CE5" w:rsidRPr="00F44DFA" w:rsidRDefault="00E04CE5" w:rsidP="00050392">
            <w:pPr>
              <w:autoSpaceDE w:val="0"/>
              <w:autoSpaceDN w:val="0"/>
              <w:adjustRightInd w:val="0"/>
              <w:rPr>
                <w:rFonts w:cstheme="minorHAnsi"/>
                <w:bCs/>
                <w:color w:val="244061" w:themeColor="accent1" w:themeShade="80"/>
              </w:rPr>
            </w:pPr>
            <w:r w:rsidRPr="00F44DFA">
              <w:rPr>
                <w:color w:val="244061" w:themeColor="accent1" w:themeShade="80"/>
              </w:rPr>
              <w:t>279</w:t>
            </w:r>
          </w:p>
        </w:tc>
        <w:tc>
          <w:tcPr>
            <w:tcW w:w="810" w:type="dxa"/>
            <w:hideMark/>
          </w:tcPr>
          <w:p w14:paraId="785BC4A7"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52.4%</w:t>
            </w:r>
          </w:p>
        </w:tc>
        <w:tc>
          <w:tcPr>
            <w:tcW w:w="900" w:type="dxa"/>
            <w:hideMark/>
          </w:tcPr>
          <w:p w14:paraId="73944129"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17.0%</w:t>
            </w:r>
          </w:p>
        </w:tc>
        <w:tc>
          <w:tcPr>
            <w:tcW w:w="810" w:type="dxa"/>
            <w:hideMark/>
          </w:tcPr>
          <w:p w14:paraId="1994C3E6"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11.1%</w:t>
            </w:r>
          </w:p>
        </w:tc>
        <w:tc>
          <w:tcPr>
            <w:tcW w:w="810" w:type="dxa"/>
            <w:hideMark/>
          </w:tcPr>
          <w:p w14:paraId="7B2C07B9"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30.6%</w:t>
            </w:r>
          </w:p>
        </w:tc>
        <w:tc>
          <w:tcPr>
            <w:tcW w:w="810" w:type="dxa"/>
            <w:hideMark/>
          </w:tcPr>
          <w:p w14:paraId="633134BF"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39.8%</w:t>
            </w:r>
          </w:p>
        </w:tc>
        <w:tc>
          <w:tcPr>
            <w:tcW w:w="810" w:type="dxa"/>
            <w:hideMark/>
          </w:tcPr>
          <w:p w14:paraId="71C17CFE"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53.5%</w:t>
            </w:r>
          </w:p>
        </w:tc>
        <w:tc>
          <w:tcPr>
            <w:tcW w:w="810" w:type="dxa"/>
            <w:hideMark/>
          </w:tcPr>
          <w:p w14:paraId="26E514E9"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65.2%</w:t>
            </w:r>
          </w:p>
        </w:tc>
        <w:tc>
          <w:tcPr>
            <w:tcW w:w="810" w:type="dxa"/>
            <w:hideMark/>
          </w:tcPr>
          <w:p w14:paraId="3D5FF334"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76.2%</w:t>
            </w:r>
          </w:p>
        </w:tc>
        <w:tc>
          <w:tcPr>
            <w:tcW w:w="810" w:type="dxa"/>
          </w:tcPr>
          <w:p w14:paraId="2501F373"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25.4%</w:t>
            </w:r>
          </w:p>
        </w:tc>
        <w:tc>
          <w:tcPr>
            <w:tcW w:w="900" w:type="dxa"/>
          </w:tcPr>
          <w:p w14:paraId="56E54949" w14:textId="77777777" w:rsidR="00E04CE5" w:rsidRPr="00F44DFA" w:rsidRDefault="00E04CE5" w:rsidP="00050392">
            <w:pPr>
              <w:autoSpaceDE w:val="0"/>
              <w:autoSpaceDN w:val="0"/>
              <w:adjustRightInd w:val="0"/>
              <w:rPr>
                <w:rFonts w:cstheme="minorHAnsi"/>
                <w:bCs/>
                <w:color w:val="244061" w:themeColor="accent1" w:themeShade="80"/>
              </w:rPr>
            </w:pPr>
            <w:r w:rsidRPr="00F44DFA">
              <w:rPr>
                <w:color w:val="244061" w:themeColor="accent1" w:themeShade="80"/>
              </w:rPr>
              <w:t>&lt;0.001</w:t>
            </w:r>
          </w:p>
        </w:tc>
      </w:tr>
    </w:tbl>
    <w:p w14:paraId="72363322" w14:textId="77777777" w:rsidR="00E04CE5" w:rsidRPr="00F44DFA" w:rsidRDefault="00E04CE5" w:rsidP="00E04CE5">
      <w:pPr>
        <w:autoSpaceDE w:val="0"/>
        <w:autoSpaceDN w:val="0"/>
        <w:adjustRightInd w:val="0"/>
        <w:spacing w:after="0" w:line="240" w:lineRule="auto"/>
        <w:rPr>
          <w:rFonts w:cstheme="minorHAnsi"/>
          <w:bCs/>
          <w:color w:val="244061" w:themeColor="accent1" w:themeShade="80"/>
        </w:rPr>
      </w:pPr>
    </w:p>
    <w:p w14:paraId="2454A660" w14:textId="77777777" w:rsidR="00E04CE5" w:rsidRPr="00F44DFA" w:rsidRDefault="00E04CE5" w:rsidP="00E04CE5">
      <w:pPr>
        <w:autoSpaceDE w:val="0"/>
        <w:autoSpaceDN w:val="0"/>
        <w:adjustRightInd w:val="0"/>
        <w:spacing w:after="0" w:line="240" w:lineRule="auto"/>
        <w:rPr>
          <w:rFonts w:cstheme="minorHAnsi"/>
          <w:b/>
          <w:bCs/>
          <w:color w:val="244061" w:themeColor="accent1" w:themeShade="80"/>
        </w:rPr>
      </w:pPr>
      <w:r w:rsidRPr="00F44DFA">
        <w:rPr>
          <w:rFonts w:cstheme="minorHAnsi"/>
          <w:b/>
          <w:bCs/>
          <w:color w:val="244061" w:themeColor="accent1" w:themeShade="80"/>
        </w:rPr>
        <w:t xml:space="preserve">HEDIS 2016 Variation in </w:t>
      </w:r>
      <w:proofErr w:type="spellStart"/>
      <w:r w:rsidRPr="00F44DFA">
        <w:rPr>
          <w:rFonts w:cstheme="minorHAnsi"/>
          <w:b/>
          <w:bCs/>
          <w:color w:val="244061" w:themeColor="accent1" w:themeShade="80"/>
        </w:rPr>
        <w:t>Performan</w:t>
      </w:r>
      <w:proofErr w:type="spellEnd"/>
      <w:r w:rsidRPr="00F44DFA">
        <w:rPr>
          <w:rFonts w:cstheme="minorHAnsi"/>
          <w:b/>
          <w:bCs/>
          <w:color w:val="244061" w:themeColor="accent1" w:themeShade="80"/>
        </w:rPr>
        <w:t xml:space="preserve"> Across Health Plans- Medicaid</w:t>
      </w:r>
    </w:p>
    <w:tbl>
      <w:tblPr>
        <w:tblStyle w:val="TableGrid"/>
        <w:tblW w:w="10744" w:type="dxa"/>
        <w:jc w:val="center"/>
        <w:tblLayout w:type="fixed"/>
        <w:tblLook w:val="04A0" w:firstRow="1" w:lastRow="0" w:firstColumn="1" w:lastColumn="0" w:noHBand="0" w:noVBand="1"/>
      </w:tblPr>
      <w:tblGrid>
        <w:gridCol w:w="934"/>
        <w:gridCol w:w="720"/>
        <w:gridCol w:w="810"/>
        <w:gridCol w:w="810"/>
        <w:gridCol w:w="802"/>
        <w:gridCol w:w="728"/>
        <w:gridCol w:w="810"/>
        <w:gridCol w:w="810"/>
        <w:gridCol w:w="810"/>
        <w:gridCol w:w="810"/>
        <w:gridCol w:w="900"/>
        <w:gridCol w:w="900"/>
        <w:gridCol w:w="900"/>
      </w:tblGrid>
      <w:tr w:rsidR="00E04CE5" w:rsidRPr="00F44DFA" w14:paraId="40B693C2" w14:textId="77777777" w:rsidTr="00050392">
        <w:trPr>
          <w:jc w:val="center"/>
        </w:trPr>
        <w:tc>
          <w:tcPr>
            <w:tcW w:w="934" w:type="dxa"/>
            <w:shd w:val="clear" w:color="auto" w:fill="F2F2F2" w:themeFill="background1" w:themeFillShade="F2"/>
          </w:tcPr>
          <w:p w14:paraId="5E7F70A3"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Rate</w:t>
            </w:r>
          </w:p>
        </w:tc>
        <w:tc>
          <w:tcPr>
            <w:tcW w:w="720" w:type="dxa"/>
            <w:shd w:val="clear" w:color="auto" w:fill="F2F2F2" w:themeFill="background1" w:themeFillShade="F2"/>
          </w:tcPr>
          <w:p w14:paraId="5A110D28"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 of Plans</w:t>
            </w:r>
          </w:p>
        </w:tc>
        <w:tc>
          <w:tcPr>
            <w:tcW w:w="810" w:type="dxa"/>
            <w:shd w:val="clear" w:color="auto" w:fill="F2F2F2" w:themeFill="background1" w:themeFillShade="F2"/>
          </w:tcPr>
          <w:p w14:paraId="5B329F9B"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Avg. EP</w:t>
            </w:r>
          </w:p>
        </w:tc>
        <w:tc>
          <w:tcPr>
            <w:tcW w:w="810" w:type="dxa"/>
            <w:shd w:val="clear" w:color="auto" w:fill="F2F2F2" w:themeFill="background1" w:themeFillShade="F2"/>
          </w:tcPr>
          <w:p w14:paraId="4021E29D"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Avg.</w:t>
            </w:r>
          </w:p>
        </w:tc>
        <w:tc>
          <w:tcPr>
            <w:tcW w:w="802" w:type="dxa"/>
            <w:shd w:val="clear" w:color="auto" w:fill="F2F2F2" w:themeFill="background1" w:themeFillShade="F2"/>
          </w:tcPr>
          <w:p w14:paraId="6EFF6AB0"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SD</w:t>
            </w:r>
          </w:p>
        </w:tc>
        <w:tc>
          <w:tcPr>
            <w:tcW w:w="728" w:type="dxa"/>
            <w:shd w:val="clear" w:color="auto" w:fill="F2F2F2" w:themeFill="background1" w:themeFillShade="F2"/>
          </w:tcPr>
          <w:p w14:paraId="57ACD0FB"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Min.</w:t>
            </w:r>
          </w:p>
        </w:tc>
        <w:tc>
          <w:tcPr>
            <w:tcW w:w="810" w:type="dxa"/>
            <w:shd w:val="clear" w:color="auto" w:fill="F2F2F2" w:themeFill="background1" w:themeFillShade="F2"/>
          </w:tcPr>
          <w:p w14:paraId="1BDA0E85" w14:textId="77777777" w:rsidR="00E04CE5" w:rsidRPr="00F44DFA" w:rsidRDefault="00E04CE5" w:rsidP="00050392">
            <w:pPr>
              <w:autoSpaceDE w:val="0"/>
              <w:autoSpaceDN w:val="0"/>
              <w:adjustRightInd w:val="0"/>
              <w:jc w:val="center"/>
              <w:rPr>
                <w:rFonts w:cstheme="minorHAnsi"/>
                <w:bCs/>
                <w:color w:val="244061" w:themeColor="accent1" w:themeShade="80"/>
              </w:rPr>
            </w:pPr>
            <w:r w:rsidRPr="00F44DFA">
              <w:rPr>
                <w:rFonts w:cstheme="minorHAnsi"/>
                <w:bCs/>
                <w:color w:val="244061" w:themeColor="accent1" w:themeShade="80"/>
              </w:rPr>
              <w:t>10</w:t>
            </w:r>
            <w:r w:rsidRPr="00F44DFA">
              <w:rPr>
                <w:rFonts w:cstheme="minorHAnsi"/>
                <w:bCs/>
                <w:color w:val="244061" w:themeColor="accent1" w:themeShade="80"/>
                <w:vertAlign w:val="superscript"/>
              </w:rPr>
              <w:t>th</w:t>
            </w:r>
          </w:p>
          <w:p w14:paraId="176BB5EC" w14:textId="77777777" w:rsidR="00E04CE5" w:rsidRPr="00F44DFA" w:rsidRDefault="00E04CE5" w:rsidP="00050392">
            <w:pPr>
              <w:autoSpaceDE w:val="0"/>
              <w:autoSpaceDN w:val="0"/>
              <w:adjustRightInd w:val="0"/>
              <w:rPr>
                <w:rFonts w:cstheme="minorHAnsi"/>
                <w:bCs/>
                <w:color w:val="244061" w:themeColor="accent1" w:themeShade="80"/>
              </w:rPr>
            </w:pPr>
          </w:p>
        </w:tc>
        <w:tc>
          <w:tcPr>
            <w:tcW w:w="810" w:type="dxa"/>
            <w:shd w:val="clear" w:color="auto" w:fill="F2F2F2" w:themeFill="background1" w:themeFillShade="F2"/>
          </w:tcPr>
          <w:p w14:paraId="1A2EDBA7" w14:textId="77777777" w:rsidR="00E04CE5" w:rsidRPr="00F44DFA" w:rsidRDefault="00E04CE5" w:rsidP="00050392">
            <w:pPr>
              <w:autoSpaceDE w:val="0"/>
              <w:autoSpaceDN w:val="0"/>
              <w:adjustRightInd w:val="0"/>
              <w:jc w:val="center"/>
              <w:rPr>
                <w:rFonts w:cstheme="minorHAnsi"/>
                <w:bCs/>
                <w:color w:val="244061" w:themeColor="accent1" w:themeShade="80"/>
              </w:rPr>
            </w:pPr>
            <w:r w:rsidRPr="00F44DFA">
              <w:rPr>
                <w:rFonts w:cstheme="minorHAnsi"/>
                <w:bCs/>
                <w:color w:val="244061" w:themeColor="accent1" w:themeShade="80"/>
              </w:rPr>
              <w:t>25</w:t>
            </w:r>
            <w:r w:rsidRPr="00F44DFA">
              <w:rPr>
                <w:rFonts w:cstheme="minorHAnsi"/>
                <w:bCs/>
                <w:color w:val="244061" w:themeColor="accent1" w:themeShade="80"/>
                <w:vertAlign w:val="superscript"/>
              </w:rPr>
              <w:t>th</w:t>
            </w:r>
          </w:p>
          <w:p w14:paraId="12AD62FF" w14:textId="77777777" w:rsidR="00E04CE5" w:rsidRPr="00F44DFA" w:rsidRDefault="00E04CE5" w:rsidP="00050392">
            <w:pPr>
              <w:autoSpaceDE w:val="0"/>
              <w:autoSpaceDN w:val="0"/>
              <w:adjustRightInd w:val="0"/>
              <w:rPr>
                <w:rFonts w:cstheme="minorHAnsi"/>
                <w:bCs/>
                <w:color w:val="244061" w:themeColor="accent1" w:themeShade="80"/>
              </w:rPr>
            </w:pPr>
          </w:p>
        </w:tc>
        <w:tc>
          <w:tcPr>
            <w:tcW w:w="810" w:type="dxa"/>
            <w:shd w:val="clear" w:color="auto" w:fill="F2F2F2" w:themeFill="background1" w:themeFillShade="F2"/>
          </w:tcPr>
          <w:p w14:paraId="20BB9580" w14:textId="77777777" w:rsidR="00E04CE5" w:rsidRPr="00F44DFA" w:rsidRDefault="00E04CE5" w:rsidP="00050392">
            <w:pPr>
              <w:autoSpaceDE w:val="0"/>
              <w:autoSpaceDN w:val="0"/>
              <w:adjustRightInd w:val="0"/>
              <w:jc w:val="center"/>
              <w:rPr>
                <w:rFonts w:cstheme="minorHAnsi"/>
                <w:bCs/>
                <w:color w:val="244061" w:themeColor="accent1" w:themeShade="80"/>
              </w:rPr>
            </w:pPr>
            <w:r w:rsidRPr="00F44DFA">
              <w:rPr>
                <w:rFonts w:cstheme="minorHAnsi"/>
                <w:bCs/>
                <w:color w:val="244061" w:themeColor="accent1" w:themeShade="80"/>
              </w:rPr>
              <w:t>50</w:t>
            </w:r>
            <w:r w:rsidRPr="00F44DFA">
              <w:rPr>
                <w:rFonts w:cstheme="minorHAnsi"/>
                <w:bCs/>
                <w:color w:val="244061" w:themeColor="accent1" w:themeShade="80"/>
                <w:vertAlign w:val="superscript"/>
              </w:rPr>
              <w:t>th</w:t>
            </w:r>
          </w:p>
          <w:p w14:paraId="57630034" w14:textId="77777777" w:rsidR="00E04CE5" w:rsidRPr="00F44DFA" w:rsidRDefault="00E04CE5" w:rsidP="00050392">
            <w:pPr>
              <w:autoSpaceDE w:val="0"/>
              <w:autoSpaceDN w:val="0"/>
              <w:adjustRightInd w:val="0"/>
              <w:rPr>
                <w:rFonts w:cstheme="minorHAnsi"/>
                <w:bCs/>
                <w:color w:val="244061" w:themeColor="accent1" w:themeShade="80"/>
              </w:rPr>
            </w:pPr>
          </w:p>
        </w:tc>
        <w:tc>
          <w:tcPr>
            <w:tcW w:w="810" w:type="dxa"/>
            <w:shd w:val="clear" w:color="auto" w:fill="F2F2F2" w:themeFill="background1" w:themeFillShade="F2"/>
          </w:tcPr>
          <w:p w14:paraId="0C0BA748" w14:textId="77777777" w:rsidR="00E04CE5" w:rsidRPr="00F44DFA" w:rsidRDefault="00E04CE5" w:rsidP="00050392">
            <w:pPr>
              <w:autoSpaceDE w:val="0"/>
              <w:autoSpaceDN w:val="0"/>
              <w:adjustRightInd w:val="0"/>
              <w:jc w:val="center"/>
              <w:rPr>
                <w:rFonts w:cstheme="minorHAnsi"/>
                <w:bCs/>
                <w:color w:val="244061" w:themeColor="accent1" w:themeShade="80"/>
              </w:rPr>
            </w:pPr>
            <w:r w:rsidRPr="00F44DFA">
              <w:rPr>
                <w:rFonts w:cstheme="minorHAnsi"/>
                <w:bCs/>
                <w:color w:val="244061" w:themeColor="accent1" w:themeShade="80"/>
              </w:rPr>
              <w:t>75</w:t>
            </w:r>
            <w:r w:rsidRPr="00F44DFA">
              <w:rPr>
                <w:rFonts w:cstheme="minorHAnsi"/>
                <w:bCs/>
                <w:color w:val="244061" w:themeColor="accent1" w:themeShade="80"/>
                <w:vertAlign w:val="superscript"/>
              </w:rPr>
              <w:t>th</w:t>
            </w:r>
          </w:p>
          <w:p w14:paraId="361D2736" w14:textId="77777777" w:rsidR="00E04CE5" w:rsidRPr="00F44DFA" w:rsidRDefault="00E04CE5" w:rsidP="00050392">
            <w:pPr>
              <w:autoSpaceDE w:val="0"/>
              <w:autoSpaceDN w:val="0"/>
              <w:adjustRightInd w:val="0"/>
              <w:rPr>
                <w:rFonts w:cstheme="minorHAnsi"/>
                <w:bCs/>
                <w:color w:val="244061" w:themeColor="accent1" w:themeShade="80"/>
              </w:rPr>
            </w:pPr>
          </w:p>
        </w:tc>
        <w:tc>
          <w:tcPr>
            <w:tcW w:w="900" w:type="dxa"/>
            <w:shd w:val="clear" w:color="auto" w:fill="F2F2F2" w:themeFill="background1" w:themeFillShade="F2"/>
          </w:tcPr>
          <w:p w14:paraId="177602FC" w14:textId="77777777" w:rsidR="00E04CE5" w:rsidRPr="00F44DFA" w:rsidRDefault="00E04CE5" w:rsidP="00050392">
            <w:pPr>
              <w:autoSpaceDE w:val="0"/>
              <w:autoSpaceDN w:val="0"/>
              <w:adjustRightInd w:val="0"/>
              <w:jc w:val="center"/>
              <w:rPr>
                <w:rFonts w:cstheme="minorHAnsi"/>
                <w:bCs/>
                <w:color w:val="244061" w:themeColor="accent1" w:themeShade="80"/>
              </w:rPr>
            </w:pPr>
            <w:r w:rsidRPr="00F44DFA">
              <w:rPr>
                <w:rFonts w:cstheme="minorHAnsi"/>
                <w:bCs/>
                <w:color w:val="244061" w:themeColor="accent1" w:themeShade="80"/>
              </w:rPr>
              <w:t>90</w:t>
            </w:r>
            <w:r w:rsidRPr="00F44DFA">
              <w:rPr>
                <w:rFonts w:cstheme="minorHAnsi"/>
                <w:bCs/>
                <w:color w:val="244061" w:themeColor="accent1" w:themeShade="80"/>
                <w:vertAlign w:val="superscript"/>
              </w:rPr>
              <w:t>th</w:t>
            </w:r>
          </w:p>
          <w:p w14:paraId="255D3226" w14:textId="77777777" w:rsidR="00E04CE5" w:rsidRPr="00F44DFA" w:rsidRDefault="00E04CE5" w:rsidP="00050392">
            <w:pPr>
              <w:autoSpaceDE w:val="0"/>
              <w:autoSpaceDN w:val="0"/>
              <w:adjustRightInd w:val="0"/>
              <w:rPr>
                <w:rFonts w:cstheme="minorHAnsi"/>
                <w:bCs/>
                <w:color w:val="244061" w:themeColor="accent1" w:themeShade="80"/>
              </w:rPr>
            </w:pPr>
          </w:p>
        </w:tc>
        <w:tc>
          <w:tcPr>
            <w:tcW w:w="900" w:type="dxa"/>
            <w:shd w:val="clear" w:color="auto" w:fill="F2F2F2" w:themeFill="background1" w:themeFillShade="F2"/>
          </w:tcPr>
          <w:p w14:paraId="0359A2EA"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IQR</w:t>
            </w:r>
          </w:p>
        </w:tc>
        <w:tc>
          <w:tcPr>
            <w:tcW w:w="900" w:type="dxa"/>
            <w:shd w:val="clear" w:color="auto" w:fill="F2F2F2" w:themeFill="background1" w:themeFillShade="F2"/>
          </w:tcPr>
          <w:p w14:paraId="20CBACF2"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P-Value</w:t>
            </w:r>
          </w:p>
        </w:tc>
      </w:tr>
      <w:tr w:rsidR="00E04CE5" w:rsidRPr="00F44DFA" w14:paraId="2DE7F5F0" w14:textId="77777777" w:rsidTr="00050392">
        <w:trPr>
          <w:jc w:val="center"/>
        </w:trPr>
        <w:tc>
          <w:tcPr>
            <w:tcW w:w="934" w:type="dxa"/>
          </w:tcPr>
          <w:p w14:paraId="374F5D22"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7 days</w:t>
            </w:r>
          </w:p>
        </w:tc>
        <w:tc>
          <w:tcPr>
            <w:tcW w:w="720" w:type="dxa"/>
          </w:tcPr>
          <w:p w14:paraId="7AB4AB27"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166</w:t>
            </w:r>
          </w:p>
        </w:tc>
        <w:tc>
          <w:tcPr>
            <w:tcW w:w="810" w:type="dxa"/>
          </w:tcPr>
          <w:p w14:paraId="0016F427" w14:textId="77777777" w:rsidR="00E04CE5" w:rsidRPr="00F44DFA" w:rsidRDefault="00E04CE5" w:rsidP="00050392">
            <w:pPr>
              <w:autoSpaceDE w:val="0"/>
              <w:autoSpaceDN w:val="0"/>
              <w:adjustRightInd w:val="0"/>
              <w:rPr>
                <w:rFonts w:cstheme="minorHAnsi"/>
                <w:bCs/>
                <w:color w:val="244061" w:themeColor="accent1" w:themeShade="80"/>
              </w:rPr>
            </w:pPr>
            <w:r w:rsidRPr="00F44DFA">
              <w:rPr>
                <w:color w:val="244061" w:themeColor="accent1" w:themeShade="80"/>
              </w:rPr>
              <w:t>1,182</w:t>
            </w:r>
          </w:p>
        </w:tc>
        <w:tc>
          <w:tcPr>
            <w:tcW w:w="810" w:type="dxa"/>
          </w:tcPr>
          <w:p w14:paraId="0BA12EC0"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43.6%</w:t>
            </w:r>
          </w:p>
        </w:tc>
        <w:tc>
          <w:tcPr>
            <w:tcW w:w="802" w:type="dxa"/>
          </w:tcPr>
          <w:p w14:paraId="418B202B"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15.7%</w:t>
            </w:r>
          </w:p>
        </w:tc>
        <w:tc>
          <w:tcPr>
            <w:tcW w:w="728" w:type="dxa"/>
          </w:tcPr>
          <w:p w14:paraId="115DDD65"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0.0%</w:t>
            </w:r>
          </w:p>
        </w:tc>
        <w:tc>
          <w:tcPr>
            <w:tcW w:w="810" w:type="dxa"/>
          </w:tcPr>
          <w:p w14:paraId="59032FCD"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24.7%</w:t>
            </w:r>
          </w:p>
        </w:tc>
        <w:tc>
          <w:tcPr>
            <w:tcW w:w="810" w:type="dxa"/>
          </w:tcPr>
          <w:p w14:paraId="6A4DA995"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34.2%</w:t>
            </w:r>
          </w:p>
        </w:tc>
        <w:tc>
          <w:tcPr>
            <w:tcW w:w="810" w:type="dxa"/>
          </w:tcPr>
          <w:p w14:paraId="406F985D"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43.6%</w:t>
            </w:r>
          </w:p>
        </w:tc>
        <w:tc>
          <w:tcPr>
            <w:tcW w:w="810" w:type="dxa"/>
          </w:tcPr>
          <w:p w14:paraId="1434FC75"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55.2%</w:t>
            </w:r>
          </w:p>
        </w:tc>
        <w:tc>
          <w:tcPr>
            <w:tcW w:w="900" w:type="dxa"/>
          </w:tcPr>
          <w:p w14:paraId="4FC5D1B8"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64.2%</w:t>
            </w:r>
          </w:p>
        </w:tc>
        <w:tc>
          <w:tcPr>
            <w:tcW w:w="900" w:type="dxa"/>
          </w:tcPr>
          <w:p w14:paraId="730B690A"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21.0%</w:t>
            </w:r>
          </w:p>
        </w:tc>
        <w:tc>
          <w:tcPr>
            <w:tcW w:w="900" w:type="dxa"/>
          </w:tcPr>
          <w:p w14:paraId="17C9A5BD" w14:textId="77777777" w:rsidR="00E04CE5" w:rsidRPr="00F44DFA" w:rsidRDefault="00E04CE5" w:rsidP="00050392">
            <w:pPr>
              <w:autoSpaceDE w:val="0"/>
              <w:autoSpaceDN w:val="0"/>
              <w:adjustRightInd w:val="0"/>
              <w:rPr>
                <w:rFonts w:cstheme="minorHAnsi"/>
                <w:bCs/>
                <w:color w:val="244061" w:themeColor="accent1" w:themeShade="80"/>
              </w:rPr>
            </w:pPr>
            <w:r w:rsidRPr="00F44DFA">
              <w:rPr>
                <w:color w:val="244061" w:themeColor="accent1" w:themeShade="80"/>
              </w:rPr>
              <w:t>&lt;0.001</w:t>
            </w:r>
          </w:p>
        </w:tc>
      </w:tr>
      <w:tr w:rsidR="00E04CE5" w:rsidRPr="00F44DFA" w14:paraId="6FC060C8" w14:textId="77777777" w:rsidTr="00050392">
        <w:trPr>
          <w:jc w:val="center"/>
        </w:trPr>
        <w:tc>
          <w:tcPr>
            <w:tcW w:w="934" w:type="dxa"/>
          </w:tcPr>
          <w:p w14:paraId="36D2CD75"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30 days</w:t>
            </w:r>
          </w:p>
        </w:tc>
        <w:tc>
          <w:tcPr>
            <w:tcW w:w="720" w:type="dxa"/>
          </w:tcPr>
          <w:p w14:paraId="5020D01A"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168</w:t>
            </w:r>
          </w:p>
        </w:tc>
        <w:tc>
          <w:tcPr>
            <w:tcW w:w="810" w:type="dxa"/>
          </w:tcPr>
          <w:p w14:paraId="15DC640B" w14:textId="77777777" w:rsidR="00E04CE5" w:rsidRPr="00F44DFA" w:rsidRDefault="00E04CE5" w:rsidP="00050392">
            <w:pPr>
              <w:autoSpaceDE w:val="0"/>
              <w:autoSpaceDN w:val="0"/>
              <w:adjustRightInd w:val="0"/>
              <w:rPr>
                <w:rFonts w:cstheme="minorHAnsi"/>
                <w:bCs/>
                <w:color w:val="244061" w:themeColor="accent1" w:themeShade="80"/>
              </w:rPr>
            </w:pPr>
            <w:r w:rsidRPr="00F44DFA">
              <w:rPr>
                <w:color w:val="244061" w:themeColor="accent1" w:themeShade="80"/>
              </w:rPr>
              <w:t>1,169</w:t>
            </w:r>
          </w:p>
        </w:tc>
        <w:tc>
          <w:tcPr>
            <w:tcW w:w="810" w:type="dxa"/>
          </w:tcPr>
          <w:p w14:paraId="42F6B15E"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61.2%</w:t>
            </w:r>
          </w:p>
        </w:tc>
        <w:tc>
          <w:tcPr>
            <w:tcW w:w="802" w:type="dxa"/>
          </w:tcPr>
          <w:p w14:paraId="0CFF45E8"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16.0%</w:t>
            </w:r>
          </w:p>
        </w:tc>
        <w:tc>
          <w:tcPr>
            <w:tcW w:w="728" w:type="dxa"/>
          </w:tcPr>
          <w:p w14:paraId="38299831"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8.1%</w:t>
            </w:r>
          </w:p>
        </w:tc>
        <w:tc>
          <w:tcPr>
            <w:tcW w:w="810" w:type="dxa"/>
          </w:tcPr>
          <w:p w14:paraId="2EC07182"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41.3%</w:t>
            </w:r>
          </w:p>
        </w:tc>
        <w:tc>
          <w:tcPr>
            <w:tcW w:w="810" w:type="dxa"/>
          </w:tcPr>
          <w:p w14:paraId="27CF5CAC"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54.1%</w:t>
            </w:r>
          </w:p>
        </w:tc>
        <w:tc>
          <w:tcPr>
            <w:tcW w:w="810" w:type="dxa"/>
          </w:tcPr>
          <w:p w14:paraId="59230128"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63.7%</w:t>
            </w:r>
          </w:p>
        </w:tc>
        <w:tc>
          <w:tcPr>
            <w:tcW w:w="810" w:type="dxa"/>
          </w:tcPr>
          <w:p w14:paraId="2EF05118"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72.6%</w:t>
            </w:r>
          </w:p>
        </w:tc>
        <w:tc>
          <w:tcPr>
            <w:tcW w:w="900" w:type="dxa"/>
          </w:tcPr>
          <w:p w14:paraId="5463DF55"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78.5%</w:t>
            </w:r>
          </w:p>
        </w:tc>
        <w:tc>
          <w:tcPr>
            <w:tcW w:w="900" w:type="dxa"/>
          </w:tcPr>
          <w:p w14:paraId="167BA303" w14:textId="77777777" w:rsidR="00E04CE5" w:rsidRPr="00F44DFA" w:rsidRDefault="00E04CE5" w:rsidP="00050392">
            <w:pPr>
              <w:autoSpaceDE w:val="0"/>
              <w:autoSpaceDN w:val="0"/>
              <w:adjustRightInd w:val="0"/>
              <w:rPr>
                <w:rFonts w:cstheme="minorHAnsi"/>
                <w:bCs/>
                <w:color w:val="244061" w:themeColor="accent1" w:themeShade="80"/>
              </w:rPr>
            </w:pPr>
            <w:r w:rsidRPr="00F44DFA">
              <w:rPr>
                <w:rFonts w:cstheme="minorHAnsi"/>
                <w:bCs/>
                <w:color w:val="244061" w:themeColor="accent1" w:themeShade="80"/>
              </w:rPr>
              <w:t>18.5%</w:t>
            </w:r>
          </w:p>
        </w:tc>
        <w:tc>
          <w:tcPr>
            <w:tcW w:w="900" w:type="dxa"/>
          </w:tcPr>
          <w:p w14:paraId="2029697B" w14:textId="77777777" w:rsidR="00E04CE5" w:rsidRPr="00F44DFA" w:rsidRDefault="00E04CE5" w:rsidP="00050392">
            <w:pPr>
              <w:autoSpaceDE w:val="0"/>
              <w:autoSpaceDN w:val="0"/>
              <w:adjustRightInd w:val="0"/>
              <w:rPr>
                <w:rFonts w:cstheme="minorHAnsi"/>
                <w:bCs/>
                <w:color w:val="244061" w:themeColor="accent1" w:themeShade="80"/>
              </w:rPr>
            </w:pPr>
            <w:r w:rsidRPr="00F44DFA">
              <w:rPr>
                <w:color w:val="244061" w:themeColor="accent1" w:themeShade="80"/>
              </w:rPr>
              <w:t>&lt;0.001</w:t>
            </w:r>
          </w:p>
        </w:tc>
      </w:tr>
    </w:tbl>
    <w:p w14:paraId="424DD556" w14:textId="77777777" w:rsidR="00E04CE5" w:rsidRPr="00F44DFA" w:rsidRDefault="00E04CE5" w:rsidP="00E04CE5">
      <w:pPr>
        <w:autoSpaceDE w:val="0"/>
        <w:autoSpaceDN w:val="0"/>
        <w:adjustRightInd w:val="0"/>
        <w:spacing w:after="0" w:line="240" w:lineRule="auto"/>
        <w:rPr>
          <w:color w:val="244061" w:themeColor="accent1" w:themeShade="80"/>
        </w:rPr>
      </w:pPr>
    </w:p>
    <w:p w14:paraId="3EFE27AC" w14:textId="77777777" w:rsidR="00E04CE5" w:rsidRPr="00F44DFA" w:rsidRDefault="00E04CE5" w:rsidP="00E04CE5">
      <w:pPr>
        <w:autoSpaceDE w:val="0"/>
        <w:autoSpaceDN w:val="0"/>
        <w:adjustRightInd w:val="0"/>
        <w:spacing w:after="0" w:line="240" w:lineRule="auto"/>
        <w:rPr>
          <w:color w:val="244061" w:themeColor="accent1" w:themeShade="80"/>
        </w:rPr>
      </w:pPr>
    </w:p>
    <w:p w14:paraId="3744CCBF" w14:textId="77777777" w:rsidR="00E04CE5" w:rsidRPr="00F44DFA" w:rsidRDefault="00E04CE5" w:rsidP="00E04CE5">
      <w:pPr>
        <w:autoSpaceDE w:val="0"/>
        <w:autoSpaceDN w:val="0"/>
        <w:adjustRightInd w:val="0"/>
        <w:spacing w:after="0" w:line="240" w:lineRule="auto"/>
        <w:rPr>
          <w:color w:val="244061" w:themeColor="accent1" w:themeShade="80"/>
        </w:rPr>
      </w:pPr>
    </w:p>
    <w:p w14:paraId="656F9E5D" w14:textId="77777777" w:rsidR="00E04CE5" w:rsidRPr="00F44DFA" w:rsidRDefault="00E04CE5" w:rsidP="00E04CE5">
      <w:pPr>
        <w:autoSpaceDE w:val="0"/>
        <w:autoSpaceDN w:val="0"/>
        <w:adjustRightInd w:val="0"/>
        <w:spacing w:after="0" w:line="240" w:lineRule="auto"/>
        <w:rPr>
          <w:color w:val="244061" w:themeColor="accent1" w:themeShade="80"/>
        </w:rPr>
      </w:pPr>
    </w:p>
    <w:p w14:paraId="061B53F8" w14:textId="77777777" w:rsidR="00E04CE5" w:rsidRPr="00F44DFA" w:rsidRDefault="00E04CE5" w:rsidP="00E04CE5">
      <w:pPr>
        <w:autoSpaceDE w:val="0"/>
        <w:autoSpaceDN w:val="0"/>
        <w:adjustRightInd w:val="0"/>
        <w:spacing w:after="0" w:line="240" w:lineRule="auto"/>
        <w:rPr>
          <w:color w:val="244061" w:themeColor="accent1" w:themeShade="80"/>
        </w:rPr>
      </w:pPr>
    </w:p>
    <w:p w14:paraId="61710012" w14:textId="77777777" w:rsidR="00E04CE5" w:rsidRPr="00F44DFA" w:rsidRDefault="00E04CE5" w:rsidP="00E04CE5">
      <w:pPr>
        <w:autoSpaceDE w:val="0"/>
        <w:autoSpaceDN w:val="0"/>
        <w:adjustRightInd w:val="0"/>
        <w:spacing w:after="0" w:line="240" w:lineRule="auto"/>
        <w:rPr>
          <w:color w:val="244061" w:themeColor="accent1" w:themeShade="80"/>
        </w:rPr>
      </w:pPr>
    </w:p>
    <w:p w14:paraId="471CAE78" w14:textId="77777777" w:rsidR="00E04CE5" w:rsidRPr="00F44DFA" w:rsidRDefault="00E04CE5" w:rsidP="00E04CE5">
      <w:pPr>
        <w:autoSpaceDE w:val="0"/>
        <w:autoSpaceDN w:val="0"/>
        <w:adjustRightInd w:val="0"/>
        <w:spacing w:after="0" w:line="240" w:lineRule="auto"/>
        <w:rPr>
          <w:color w:val="244061" w:themeColor="accent1" w:themeShade="80"/>
        </w:rPr>
      </w:pPr>
    </w:p>
    <w:p w14:paraId="325E1C11" w14:textId="77777777" w:rsidR="00E04CE5" w:rsidRPr="00F44DFA" w:rsidRDefault="00E04CE5" w:rsidP="00E04CE5">
      <w:pPr>
        <w:autoSpaceDE w:val="0"/>
        <w:autoSpaceDN w:val="0"/>
        <w:adjustRightInd w:val="0"/>
        <w:spacing w:after="0" w:line="240" w:lineRule="auto"/>
        <w:rPr>
          <w:color w:val="244061" w:themeColor="accent1" w:themeShade="80"/>
        </w:rPr>
      </w:pPr>
    </w:p>
    <w:p w14:paraId="5F679649" w14:textId="77777777" w:rsidR="00E04CE5" w:rsidRPr="00F44DFA" w:rsidRDefault="00E04CE5" w:rsidP="00E04CE5">
      <w:pPr>
        <w:autoSpaceDE w:val="0"/>
        <w:autoSpaceDN w:val="0"/>
        <w:adjustRightInd w:val="0"/>
        <w:spacing w:after="0" w:line="240" w:lineRule="auto"/>
        <w:rPr>
          <w:color w:val="244061" w:themeColor="accent1" w:themeShade="80"/>
        </w:rPr>
      </w:pPr>
    </w:p>
    <w:p w14:paraId="23FD4DC1" w14:textId="77777777" w:rsidR="00E04CE5" w:rsidRPr="00F44DFA" w:rsidRDefault="00E04CE5" w:rsidP="00E04CE5">
      <w:pPr>
        <w:autoSpaceDE w:val="0"/>
        <w:autoSpaceDN w:val="0"/>
        <w:adjustRightInd w:val="0"/>
        <w:spacing w:after="0" w:line="240" w:lineRule="auto"/>
        <w:rPr>
          <w:color w:val="244061" w:themeColor="accent1" w:themeShade="80"/>
        </w:rPr>
      </w:pPr>
    </w:p>
    <w:p w14:paraId="479CB9C8" w14:textId="77777777" w:rsidR="00E04CE5" w:rsidRPr="00F44DFA" w:rsidRDefault="00E04CE5" w:rsidP="00E04CE5">
      <w:pPr>
        <w:autoSpaceDE w:val="0"/>
        <w:autoSpaceDN w:val="0"/>
        <w:adjustRightInd w:val="0"/>
        <w:spacing w:after="0" w:line="240" w:lineRule="auto"/>
        <w:rPr>
          <w:color w:val="244061" w:themeColor="accent1" w:themeShade="80"/>
        </w:rPr>
      </w:pPr>
    </w:p>
    <w:p w14:paraId="6290113C" w14:textId="77777777" w:rsidR="00E04CE5" w:rsidRPr="00F44DFA" w:rsidRDefault="00E04CE5" w:rsidP="00E04CE5">
      <w:pPr>
        <w:autoSpaceDE w:val="0"/>
        <w:autoSpaceDN w:val="0"/>
        <w:adjustRightInd w:val="0"/>
        <w:spacing w:after="0" w:line="240" w:lineRule="auto"/>
        <w:rPr>
          <w:b/>
          <w:color w:val="244061" w:themeColor="accent1" w:themeShade="80"/>
        </w:rPr>
      </w:pPr>
    </w:p>
    <w:p w14:paraId="4BF213FF" w14:textId="77777777" w:rsidR="00E04CE5" w:rsidRPr="00F44DFA" w:rsidRDefault="00E04CE5" w:rsidP="00E04CE5">
      <w:pPr>
        <w:autoSpaceDE w:val="0"/>
        <w:autoSpaceDN w:val="0"/>
        <w:adjustRightInd w:val="0"/>
        <w:spacing w:after="0" w:line="240" w:lineRule="auto"/>
        <w:rPr>
          <w:b/>
          <w:color w:val="244061" w:themeColor="accent1" w:themeShade="80"/>
        </w:rPr>
      </w:pPr>
    </w:p>
    <w:p w14:paraId="20F5F861" w14:textId="77777777" w:rsidR="00E04CE5" w:rsidRPr="00F44DFA" w:rsidRDefault="00E04CE5" w:rsidP="00E04CE5">
      <w:pPr>
        <w:autoSpaceDE w:val="0"/>
        <w:autoSpaceDN w:val="0"/>
        <w:adjustRightInd w:val="0"/>
        <w:spacing w:after="0" w:line="240" w:lineRule="auto"/>
        <w:rPr>
          <w:b/>
          <w:color w:val="244061" w:themeColor="accent1" w:themeShade="80"/>
        </w:rPr>
      </w:pPr>
    </w:p>
    <w:p w14:paraId="17465371" w14:textId="77777777" w:rsidR="00E04CE5" w:rsidRPr="00F44DFA" w:rsidRDefault="00E04CE5" w:rsidP="00E04CE5">
      <w:pPr>
        <w:autoSpaceDE w:val="0"/>
        <w:autoSpaceDN w:val="0"/>
        <w:adjustRightInd w:val="0"/>
        <w:spacing w:after="0" w:line="240" w:lineRule="auto"/>
        <w:rPr>
          <w:b/>
          <w:color w:val="244061" w:themeColor="accent1" w:themeShade="80"/>
        </w:rPr>
      </w:pPr>
    </w:p>
    <w:p w14:paraId="7FFBE459" w14:textId="77777777" w:rsidR="00E04CE5" w:rsidRPr="00F44DFA" w:rsidRDefault="00E04CE5" w:rsidP="00E04CE5">
      <w:pPr>
        <w:autoSpaceDE w:val="0"/>
        <w:autoSpaceDN w:val="0"/>
        <w:adjustRightInd w:val="0"/>
        <w:spacing w:after="0" w:line="240" w:lineRule="auto"/>
        <w:rPr>
          <w:b/>
          <w:color w:val="244061" w:themeColor="accent1" w:themeShade="80"/>
        </w:rPr>
      </w:pPr>
      <w:r w:rsidRPr="00F44DFA">
        <w:rPr>
          <w:b/>
          <w:color w:val="244061" w:themeColor="accent1" w:themeShade="80"/>
        </w:rPr>
        <w:t xml:space="preserve">Figure 1a. </w:t>
      </w:r>
      <w:r w:rsidRPr="00F44DFA">
        <w:rPr>
          <w:b/>
          <w:i/>
          <w:color w:val="244061" w:themeColor="accent1" w:themeShade="80"/>
        </w:rPr>
        <w:t>Follow-Up After Hospitalization for Mental Illness -7-Day Rate</w:t>
      </w:r>
      <w:r w:rsidRPr="00F44DFA">
        <w:rPr>
          <w:b/>
          <w:color w:val="244061" w:themeColor="accent1" w:themeShade="80"/>
        </w:rPr>
        <w:t>: Commercial Plans 2014-2016</w:t>
      </w:r>
    </w:p>
    <w:p w14:paraId="7D74236A" w14:textId="77777777" w:rsidR="00E04CE5" w:rsidRPr="00F44DFA" w:rsidRDefault="00E04CE5" w:rsidP="00E04CE5">
      <w:pPr>
        <w:autoSpaceDE w:val="0"/>
        <w:autoSpaceDN w:val="0"/>
        <w:adjustRightInd w:val="0"/>
        <w:spacing w:after="0" w:line="240" w:lineRule="auto"/>
        <w:rPr>
          <w:b/>
          <w:color w:val="244061" w:themeColor="accent1" w:themeShade="80"/>
        </w:rPr>
      </w:pPr>
      <w:r>
        <w:rPr>
          <w:noProof/>
        </w:rPr>
        <w:drawing>
          <wp:inline distT="0" distB="0" distL="0" distR="0" wp14:anchorId="2C3C95AC" wp14:editId="43D0F385">
            <wp:extent cx="5079464" cy="3705308"/>
            <wp:effectExtent l="0" t="0" r="6985" b="9525"/>
            <wp:docPr id="1755088014" name="Picture 9" descr="\\ncqa.org\files\Data\QMRG\Analysis Outputs\FYA REEVAL 2016\Winter 2016\FUH\Boxplots\Comm\boxplot comm fuh7day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15">
                      <a:extLst>
                        <a:ext uri="{28A0092B-C50C-407E-A947-70E740481C1C}">
                          <a14:useLocalDpi xmlns:a14="http://schemas.microsoft.com/office/drawing/2010/main" val="0"/>
                        </a:ext>
                      </a:extLst>
                    </a:blip>
                    <a:stretch>
                      <a:fillRect/>
                    </a:stretch>
                  </pic:blipFill>
                  <pic:spPr>
                    <a:xfrm>
                      <a:off x="0" y="0"/>
                      <a:ext cx="5079464" cy="3705308"/>
                    </a:xfrm>
                    <a:prstGeom prst="rect">
                      <a:avLst/>
                    </a:prstGeom>
                  </pic:spPr>
                </pic:pic>
              </a:graphicData>
            </a:graphic>
          </wp:inline>
        </w:drawing>
      </w:r>
    </w:p>
    <w:p w14:paraId="6B7F87BA" w14:textId="77777777" w:rsidR="00E04CE5" w:rsidRPr="00F44DFA" w:rsidRDefault="00E04CE5" w:rsidP="00E04CE5">
      <w:pPr>
        <w:autoSpaceDE w:val="0"/>
        <w:autoSpaceDN w:val="0"/>
        <w:adjustRightInd w:val="0"/>
        <w:spacing w:after="0" w:line="240" w:lineRule="auto"/>
        <w:rPr>
          <w:b/>
          <w:color w:val="244061" w:themeColor="accent1" w:themeShade="80"/>
        </w:rPr>
      </w:pPr>
      <w:r w:rsidRPr="00F44DFA">
        <w:rPr>
          <w:b/>
          <w:color w:val="244061" w:themeColor="accent1" w:themeShade="80"/>
        </w:rPr>
        <w:t xml:space="preserve">Figure 1b. </w:t>
      </w:r>
      <w:r w:rsidRPr="00F44DFA">
        <w:rPr>
          <w:b/>
          <w:i/>
          <w:color w:val="244061" w:themeColor="accent1" w:themeShade="80"/>
        </w:rPr>
        <w:t>Follow-Up After Hospitalization for Mental Illness -30-Day Rate</w:t>
      </w:r>
      <w:r w:rsidRPr="00F44DFA">
        <w:rPr>
          <w:b/>
          <w:color w:val="244061" w:themeColor="accent1" w:themeShade="80"/>
        </w:rPr>
        <w:t>: Commercial Plans 2014-2016</w:t>
      </w:r>
    </w:p>
    <w:p w14:paraId="1686CBE8" w14:textId="77777777" w:rsidR="00E04CE5" w:rsidRPr="00F44DFA" w:rsidRDefault="00E04CE5" w:rsidP="00E04CE5">
      <w:pPr>
        <w:tabs>
          <w:tab w:val="left" w:pos="7920"/>
          <w:tab w:val="left" w:pos="8010"/>
        </w:tabs>
        <w:autoSpaceDE w:val="0"/>
        <w:autoSpaceDN w:val="0"/>
        <w:adjustRightInd w:val="0"/>
        <w:spacing w:after="0" w:line="240" w:lineRule="auto"/>
        <w:rPr>
          <w:b/>
          <w:color w:val="244061" w:themeColor="accent1" w:themeShade="80"/>
        </w:rPr>
      </w:pPr>
      <w:r>
        <w:rPr>
          <w:noProof/>
        </w:rPr>
        <w:drawing>
          <wp:inline distT="0" distB="0" distL="0" distR="0" wp14:anchorId="50E427D2" wp14:editId="3B21A7B2">
            <wp:extent cx="5096788" cy="3822590"/>
            <wp:effectExtent l="0" t="0" r="8890" b="6985"/>
            <wp:docPr id="583493293" name="Picture 10" descr="\\ncqa.org\files\Data\QMRG\Analysis Outputs\FYA REEVAL 2016\Winter 2016\FUH\Boxplots\Comm\boxplot comm fuh30day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pic:nvPicPr>
                  <pic:blipFill>
                    <a:blip r:embed="rId16">
                      <a:extLst>
                        <a:ext uri="{28A0092B-C50C-407E-A947-70E740481C1C}">
                          <a14:useLocalDpi xmlns:a14="http://schemas.microsoft.com/office/drawing/2010/main" val="0"/>
                        </a:ext>
                      </a:extLst>
                    </a:blip>
                    <a:stretch>
                      <a:fillRect/>
                    </a:stretch>
                  </pic:blipFill>
                  <pic:spPr>
                    <a:xfrm>
                      <a:off x="0" y="0"/>
                      <a:ext cx="5096788" cy="3822590"/>
                    </a:xfrm>
                    <a:prstGeom prst="rect">
                      <a:avLst/>
                    </a:prstGeom>
                  </pic:spPr>
                </pic:pic>
              </a:graphicData>
            </a:graphic>
          </wp:inline>
        </w:drawing>
      </w:r>
    </w:p>
    <w:p w14:paraId="4C4934F5" w14:textId="77777777" w:rsidR="00E04CE5" w:rsidRPr="00F44DFA" w:rsidRDefault="00E04CE5" w:rsidP="00E04CE5">
      <w:pPr>
        <w:autoSpaceDE w:val="0"/>
        <w:autoSpaceDN w:val="0"/>
        <w:adjustRightInd w:val="0"/>
        <w:spacing w:after="0" w:line="240" w:lineRule="auto"/>
        <w:rPr>
          <w:b/>
          <w:color w:val="244061" w:themeColor="accent1" w:themeShade="80"/>
        </w:rPr>
      </w:pPr>
    </w:p>
    <w:p w14:paraId="2F818541" w14:textId="77777777" w:rsidR="00E04CE5" w:rsidRPr="00F44DFA" w:rsidRDefault="00E04CE5" w:rsidP="00E04CE5">
      <w:pPr>
        <w:autoSpaceDE w:val="0"/>
        <w:autoSpaceDN w:val="0"/>
        <w:adjustRightInd w:val="0"/>
        <w:spacing w:after="0" w:line="240" w:lineRule="auto"/>
        <w:rPr>
          <w:b/>
          <w:color w:val="244061" w:themeColor="accent1" w:themeShade="80"/>
        </w:rPr>
      </w:pPr>
      <w:r w:rsidRPr="00F44DFA">
        <w:rPr>
          <w:b/>
          <w:color w:val="244061" w:themeColor="accent1" w:themeShade="80"/>
        </w:rPr>
        <w:t xml:space="preserve">Figure 3a. </w:t>
      </w:r>
      <w:r w:rsidRPr="00F44DFA">
        <w:rPr>
          <w:b/>
          <w:i/>
          <w:color w:val="244061" w:themeColor="accent1" w:themeShade="80"/>
        </w:rPr>
        <w:t>Follow-Up After Hospitalization for Mental Illness -7-Day Rate</w:t>
      </w:r>
      <w:r w:rsidRPr="00F44DFA">
        <w:rPr>
          <w:b/>
          <w:color w:val="244061" w:themeColor="accent1" w:themeShade="80"/>
        </w:rPr>
        <w:t>: Medicare Plans 2014-2016</w:t>
      </w:r>
    </w:p>
    <w:p w14:paraId="16E1D7D2" w14:textId="77777777" w:rsidR="00E04CE5" w:rsidRPr="00F44DFA" w:rsidRDefault="00E04CE5" w:rsidP="00E04CE5">
      <w:pPr>
        <w:autoSpaceDE w:val="0"/>
        <w:autoSpaceDN w:val="0"/>
        <w:adjustRightInd w:val="0"/>
        <w:spacing w:after="0" w:line="240" w:lineRule="auto"/>
        <w:rPr>
          <w:b/>
          <w:color w:val="244061" w:themeColor="accent1" w:themeShade="80"/>
        </w:rPr>
      </w:pPr>
      <w:r>
        <w:rPr>
          <w:noProof/>
        </w:rPr>
        <w:drawing>
          <wp:inline distT="0" distB="0" distL="0" distR="0" wp14:anchorId="1B8189F2" wp14:editId="23C3A720">
            <wp:extent cx="5237262" cy="3927945"/>
            <wp:effectExtent l="0" t="0" r="1905" b="0"/>
            <wp:docPr id="259581223" name="Picture 7" descr="\\ncqa.org\files\Data\QMRG\Analysis Outputs\FYA REEVAL 2016\Winter 2016\FUH\Boxplots\Care\boxplot care fuh7day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7">
                      <a:extLst>
                        <a:ext uri="{28A0092B-C50C-407E-A947-70E740481C1C}">
                          <a14:useLocalDpi xmlns:a14="http://schemas.microsoft.com/office/drawing/2010/main" val="0"/>
                        </a:ext>
                      </a:extLst>
                    </a:blip>
                    <a:stretch>
                      <a:fillRect/>
                    </a:stretch>
                  </pic:blipFill>
                  <pic:spPr>
                    <a:xfrm>
                      <a:off x="0" y="0"/>
                      <a:ext cx="5237262" cy="3927945"/>
                    </a:xfrm>
                    <a:prstGeom prst="rect">
                      <a:avLst/>
                    </a:prstGeom>
                  </pic:spPr>
                </pic:pic>
              </a:graphicData>
            </a:graphic>
          </wp:inline>
        </w:drawing>
      </w:r>
    </w:p>
    <w:p w14:paraId="71215885" w14:textId="77777777" w:rsidR="00E04CE5" w:rsidRPr="00F44DFA" w:rsidRDefault="00E04CE5" w:rsidP="00E04CE5">
      <w:pPr>
        <w:autoSpaceDE w:val="0"/>
        <w:autoSpaceDN w:val="0"/>
        <w:adjustRightInd w:val="0"/>
        <w:spacing w:after="0" w:line="240" w:lineRule="auto"/>
        <w:rPr>
          <w:b/>
          <w:color w:val="244061" w:themeColor="accent1" w:themeShade="80"/>
        </w:rPr>
      </w:pPr>
      <w:r w:rsidRPr="00F44DFA">
        <w:rPr>
          <w:b/>
          <w:color w:val="244061" w:themeColor="accent1" w:themeShade="80"/>
        </w:rPr>
        <w:t xml:space="preserve">Figure 3b. </w:t>
      </w:r>
      <w:r w:rsidRPr="00F44DFA">
        <w:rPr>
          <w:b/>
          <w:i/>
          <w:color w:val="244061" w:themeColor="accent1" w:themeShade="80"/>
        </w:rPr>
        <w:t>Follow-Up After Hospitalization for Mental Illness -30-Day Rate</w:t>
      </w:r>
      <w:r w:rsidRPr="00F44DFA">
        <w:rPr>
          <w:b/>
          <w:color w:val="244061" w:themeColor="accent1" w:themeShade="80"/>
        </w:rPr>
        <w:t>: Medicare Plans 2014-2016</w:t>
      </w:r>
    </w:p>
    <w:p w14:paraId="274DE03A" w14:textId="77777777" w:rsidR="00E04CE5" w:rsidRPr="00F44DFA" w:rsidRDefault="00E04CE5" w:rsidP="00E04CE5">
      <w:pPr>
        <w:autoSpaceDE w:val="0"/>
        <w:autoSpaceDN w:val="0"/>
        <w:adjustRightInd w:val="0"/>
        <w:spacing w:after="0" w:line="240" w:lineRule="auto"/>
        <w:rPr>
          <w:rFonts w:cstheme="minorHAnsi"/>
          <w:bCs/>
          <w:color w:val="244061" w:themeColor="accent1" w:themeShade="80"/>
        </w:rPr>
      </w:pPr>
      <w:r>
        <w:rPr>
          <w:noProof/>
        </w:rPr>
        <w:drawing>
          <wp:inline distT="0" distB="0" distL="0" distR="0" wp14:anchorId="369F0981" wp14:editId="5A8A0E98">
            <wp:extent cx="5331761" cy="3912042"/>
            <wp:effectExtent l="0" t="0" r="2540" b="0"/>
            <wp:docPr id="1335409883" name="Picture 8" descr="\\ncqa.org\files\Data\QMRG\Analysis Outputs\FYA REEVAL 2016\Winter 2016\FUH\Boxplots\Care\boxplot care fuh30day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8">
                      <a:extLst>
                        <a:ext uri="{28A0092B-C50C-407E-A947-70E740481C1C}">
                          <a14:useLocalDpi xmlns:a14="http://schemas.microsoft.com/office/drawing/2010/main" val="0"/>
                        </a:ext>
                      </a:extLst>
                    </a:blip>
                    <a:stretch>
                      <a:fillRect/>
                    </a:stretch>
                  </pic:blipFill>
                  <pic:spPr>
                    <a:xfrm>
                      <a:off x="0" y="0"/>
                      <a:ext cx="5331761" cy="3912042"/>
                    </a:xfrm>
                    <a:prstGeom prst="rect">
                      <a:avLst/>
                    </a:prstGeom>
                  </pic:spPr>
                </pic:pic>
              </a:graphicData>
            </a:graphic>
          </wp:inline>
        </w:drawing>
      </w:r>
    </w:p>
    <w:p w14:paraId="719FD8ED" w14:textId="77777777" w:rsidR="00E04CE5" w:rsidRPr="00F44DFA" w:rsidRDefault="00E04CE5" w:rsidP="00E04CE5">
      <w:pPr>
        <w:autoSpaceDE w:val="0"/>
        <w:autoSpaceDN w:val="0"/>
        <w:adjustRightInd w:val="0"/>
        <w:spacing w:after="0" w:line="240" w:lineRule="auto"/>
        <w:rPr>
          <w:b/>
          <w:color w:val="244061" w:themeColor="accent1" w:themeShade="80"/>
        </w:rPr>
      </w:pPr>
    </w:p>
    <w:p w14:paraId="1C51DD5B" w14:textId="77777777" w:rsidR="00E04CE5" w:rsidRPr="00F44DFA" w:rsidRDefault="00E04CE5" w:rsidP="00E04CE5">
      <w:pPr>
        <w:autoSpaceDE w:val="0"/>
        <w:autoSpaceDN w:val="0"/>
        <w:adjustRightInd w:val="0"/>
        <w:spacing w:after="0" w:line="240" w:lineRule="auto"/>
        <w:rPr>
          <w:b/>
          <w:color w:val="244061" w:themeColor="accent1" w:themeShade="80"/>
        </w:rPr>
      </w:pPr>
    </w:p>
    <w:p w14:paraId="0BA5BD36" w14:textId="77777777" w:rsidR="00E04CE5" w:rsidRPr="00F44DFA" w:rsidRDefault="00E04CE5" w:rsidP="00E04CE5">
      <w:pPr>
        <w:autoSpaceDE w:val="0"/>
        <w:autoSpaceDN w:val="0"/>
        <w:adjustRightInd w:val="0"/>
        <w:spacing w:after="0" w:line="240" w:lineRule="auto"/>
        <w:rPr>
          <w:b/>
          <w:color w:val="244061" w:themeColor="accent1" w:themeShade="80"/>
        </w:rPr>
      </w:pPr>
      <w:r w:rsidRPr="00F44DFA">
        <w:rPr>
          <w:b/>
          <w:color w:val="244061" w:themeColor="accent1" w:themeShade="80"/>
        </w:rPr>
        <w:t xml:space="preserve">Figure 2a. </w:t>
      </w:r>
      <w:r w:rsidRPr="00F44DFA">
        <w:rPr>
          <w:b/>
          <w:i/>
          <w:color w:val="244061" w:themeColor="accent1" w:themeShade="80"/>
        </w:rPr>
        <w:t>Follow-Up After Hospitalization for Mental Illness -7-Day Rate</w:t>
      </w:r>
      <w:r w:rsidRPr="00F44DFA">
        <w:rPr>
          <w:b/>
          <w:color w:val="244061" w:themeColor="accent1" w:themeShade="80"/>
        </w:rPr>
        <w:t>: Medicaid Plans 2014-2016</w:t>
      </w:r>
    </w:p>
    <w:p w14:paraId="7058693A" w14:textId="77777777" w:rsidR="00E04CE5" w:rsidRPr="00F44DFA" w:rsidRDefault="00E04CE5" w:rsidP="00E04CE5">
      <w:pPr>
        <w:autoSpaceDE w:val="0"/>
        <w:autoSpaceDN w:val="0"/>
        <w:adjustRightInd w:val="0"/>
        <w:spacing w:after="0" w:line="240" w:lineRule="auto"/>
        <w:rPr>
          <w:b/>
          <w:color w:val="244061" w:themeColor="accent1" w:themeShade="80"/>
        </w:rPr>
      </w:pPr>
      <w:r>
        <w:rPr>
          <w:noProof/>
        </w:rPr>
        <w:drawing>
          <wp:inline distT="0" distB="0" distL="0" distR="0" wp14:anchorId="3E7D8597" wp14:editId="4892BC47">
            <wp:extent cx="4926033" cy="3776870"/>
            <wp:effectExtent l="0" t="0" r="8255" b="0"/>
            <wp:docPr id="907289759" name="Picture 3" descr="\\ncqa.org\files\Data\QMRG\Analysis Outputs\FYA REEVAL 2016\Winter 2016\FUH\Boxplots\Caid\boxplot caid fuh7day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9">
                      <a:extLst>
                        <a:ext uri="{28A0092B-C50C-407E-A947-70E740481C1C}">
                          <a14:useLocalDpi xmlns:a14="http://schemas.microsoft.com/office/drawing/2010/main" val="0"/>
                        </a:ext>
                      </a:extLst>
                    </a:blip>
                    <a:stretch>
                      <a:fillRect/>
                    </a:stretch>
                  </pic:blipFill>
                  <pic:spPr>
                    <a:xfrm>
                      <a:off x="0" y="0"/>
                      <a:ext cx="4926033" cy="3776870"/>
                    </a:xfrm>
                    <a:prstGeom prst="rect">
                      <a:avLst/>
                    </a:prstGeom>
                  </pic:spPr>
                </pic:pic>
              </a:graphicData>
            </a:graphic>
          </wp:inline>
        </w:drawing>
      </w:r>
    </w:p>
    <w:p w14:paraId="0AC9C125" w14:textId="77777777" w:rsidR="00E04CE5" w:rsidRPr="00F44DFA" w:rsidRDefault="00E04CE5" w:rsidP="00E04CE5">
      <w:pPr>
        <w:autoSpaceDE w:val="0"/>
        <w:autoSpaceDN w:val="0"/>
        <w:adjustRightInd w:val="0"/>
        <w:spacing w:after="0" w:line="240" w:lineRule="auto"/>
        <w:rPr>
          <w:b/>
          <w:color w:val="244061" w:themeColor="accent1" w:themeShade="80"/>
        </w:rPr>
      </w:pPr>
      <w:r w:rsidRPr="00F44DFA">
        <w:rPr>
          <w:b/>
          <w:color w:val="244061" w:themeColor="accent1" w:themeShade="80"/>
        </w:rPr>
        <w:t xml:space="preserve">Figure 2b. </w:t>
      </w:r>
      <w:r w:rsidRPr="00F44DFA">
        <w:rPr>
          <w:b/>
          <w:i/>
          <w:color w:val="244061" w:themeColor="accent1" w:themeShade="80"/>
        </w:rPr>
        <w:t>Follow-Up After Hospitalization for Mental Illness -30-Day Rate</w:t>
      </w:r>
      <w:r w:rsidRPr="00F44DFA">
        <w:rPr>
          <w:b/>
          <w:color w:val="244061" w:themeColor="accent1" w:themeShade="80"/>
        </w:rPr>
        <w:t>: Medicaid Plans 2014-2016</w:t>
      </w:r>
    </w:p>
    <w:p w14:paraId="790371A5" w14:textId="77777777" w:rsidR="00E04CE5" w:rsidRPr="00F44DFA" w:rsidRDefault="00E04CE5" w:rsidP="00E04CE5">
      <w:pPr>
        <w:tabs>
          <w:tab w:val="left" w:pos="7920"/>
        </w:tabs>
        <w:autoSpaceDE w:val="0"/>
        <w:autoSpaceDN w:val="0"/>
        <w:adjustRightInd w:val="0"/>
        <w:spacing w:after="0" w:line="240" w:lineRule="auto"/>
        <w:rPr>
          <w:b/>
          <w:color w:val="244061" w:themeColor="accent1" w:themeShade="80"/>
        </w:rPr>
      </w:pPr>
      <w:r>
        <w:rPr>
          <w:noProof/>
        </w:rPr>
        <w:drawing>
          <wp:inline distT="0" distB="0" distL="0" distR="0" wp14:anchorId="3318CF80" wp14:editId="44F8E792">
            <wp:extent cx="4977518" cy="3729820"/>
            <wp:effectExtent l="0" t="0" r="0" b="4445"/>
            <wp:docPr id="958439425" name="Picture 4" descr="\\ncqa.org\files\Data\QMRG\Analysis Outputs\FYA REEVAL 2016\Winter 2016\FUH\Boxplots\Caid\boxplot caid fuh30day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20">
                      <a:extLst>
                        <a:ext uri="{28A0092B-C50C-407E-A947-70E740481C1C}">
                          <a14:useLocalDpi xmlns:a14="http://schemas.microsoft.com/office/drawing/2010/main" val="0"/>
                        </a:ext>
                      </a:extLst>
                    </a:blip>
                    <a:stretch>
                      <a:fillRect/>
                    </a:stretch>
                  </pic:blipFill>
                  <pic:spPr>
                    <a:xfrm>
                      <a:off x="0" y="0"/>
                      <a:ext cx="4977518" cy="3729820"/>
                    </a:xfrm>
                    <a:prstGeom prst="rect">
                      <a:avLst/>
                    </a:prstGeom>
                  </pic:spPr>
                </pic:pic>
              </a:graphicData>
            </a:graphic>
          </wp:inline>
        </w:drawing>
      </w:r>
    </w:p>
    <w:p w14:paraId="142BB28B" w14:textId="77777777" w:rsidR="00E04CE5" w:rsidRPr="00F44DFA" w:rsidRDefault="00E04CE5" w:rsidP="00E04CE5">
      <w:pPr>
        <w:spacing w:after="0" w:line="240" w:lineRule="auto"/>
        <w:rPr>
          <w:rFonts w:eastAsia="Times New Roman" w:cs="Arial"/>
          <w:b/>
          <w:color w:val="244061" w:themeColor="accent1" w:themeShade="80"/>
          <w:u w:val="single"/>
        </w:rPr>
      </w:pPr>
      <w:r w:rsidRPr="00F44DFA">
        <w:rPr>
          <w:rFonts w:eastAsia="Times New Roman" w:cs="Arial"/>
          <w:b/>
          <w:color w:val="244061" w:themeColor="accent1" w:themeShade="80"/>
          <w:u w:val="single"/>
        </w:rPr>
        <w:t>2012 Submission</w:t>
      </w:r>
    </w:p>
    <w:p w14:paraId="6B6D2BAD"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7-Day Rate</w:t>
      </w:r>
    </w:p>
    <w:p w14:paraId="563179FE"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Commercial</w:t>
      </w:r>
    </w:p>
    <w:p w14:paraId="4321DFB6"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Measurement Year: 2009; 2010; 2011</w:t>
      </w:r>
    </w:p>
    <w:p w14:paraId="05902C2D"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N:      397</w:t>
      </w:r>
      <w:r w:rsidRPr="00F44DFA">
        <w:rPr>
          <w:rFonts w:eastAsia="Times New Roman" w:cs="Arial"/>
          <w:color w:val="244061" w:themeColor="accent1" w:themeShade="80"/>
        </w:rPr>
        <w:tab/>
        <w:t>391</w:t>
      </w:r>
      <w:r w:rsidRPr="00F44DFA">
        <w:rPr>
          <w:rFonts w:eastAsia="Times New Roman" w:cs="Arial"/>
          <w:color w:val="244061" w:themeColor="accent1" w:themeShade="80"/>
        </w:rPr>
        <w:tab/>
        <w:t>363</w:t>
      </w:r>
    </w:p>
    <w:p w14:paraId="06FB72C6"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Min:      5.8</w:t>
      </w:r>
      <w:r w:rsidRPr="00F44DFA">
        <w:rPr>
          <w:rFonts w:eastAsia="Times New Roman" w:cs="Arial"/>
          <w:color w:val="244061" w:themeColor="accent1" w:themeShade="80"/>
        </w:rPr>
        <w:tab/>
        <w:t>3.75</w:t>
      </w:r>
      <w:r w:rsidRPr="00F44DFA">
        <w:rPr>
          <w:rFonts w:eastAsia="Times New Roman" w:cs="Arial"/>
          <w:color w:val="244061" w:themeColor="accent1" w:themeShade="80"/>
        </w:rPr>
        <w:tab/>
        <w:t>3.13</w:t>
      </w:r>
    </w:p>
    <w:p w14:paraId="776EC0C9"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Max:   97.62</w:t>
      </w:r>
      <w:r w:rsidRPr="00F44DFA">
        <w:rPr>
          <w:rFonts w:eastAsia="Times New Roman" w:cs="Arial"/>
          <w:color w:val="244061" w:themeColor="accent1" w:themeShade="80"/>
        </w:rPr>
        <w:tab/>
        <w:t>90.18</w:t>
      </w:r>
      <w:r w:rsidRPr="00F44DFA">
        <w:rPr>
          <w:rFonts w:eastAsia="Times New Roman" w:cs="Arial"/>
          <w:color w:val="244061" w:themeColor="accent1" w:themeShade="80"/>
        </w:rPr>
        <w:tab/>
        <w:t>93.33</w:t>
      </w:r>
    </w:p>
    <w:p w14:paraId="6EE6DB53"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Mean: 54.01</w:t>
      </w:r>
      <w:r w:rsidRPr="00F44DFA">
        <w:rPr>
          <w:rFonts w:eastAsia="Times New Roman" w:cs="Arial"/>
          <w:color w:val="244061" w:themeColor="accent1" w:themeShade="80"/>
        </w:rPr>
        <w:tab/>
        <w:t>55.96</w:t>
      </w:r>
      <w:r w:rsidRPr="00F44DFA">
        <w:rPr>
          <w:rFonts w:eastAsia="Times New Roman" w:cs="Arial"/>
          <w:color w:val="244061" w:themeColor="accent1" w:themeShade="80"/>
        </w:rPr>
        <w:tab/>
        <w:t>57.22</w:t>
      </w:r>
    </w:p>
    <w:p w14:paraId="2978E62E"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SD:     13.1</w:t>
      </w:r>
      <w:r w:rsidRPr="00F44DFA">
        <w:rPr>
          <w:rFonts w:eastAsia="Times New Roman" w:cs="Arial"/>
          <w:color w:val="244061" w:themeColor="accent1" w:themeShade="80"/>
        </w:rPr>
        <w:tab/>
        <w:t>13.75</w:t>
      </w:r>
      <w:r w:rsidRPr="00F44DFA">
        <w:rPr>
          <w:rFonts w:eastAsia="Times New Roman" w:cs="Arial"/>
          <w:color w:val="244061" w:themeColor="accent1" w:themeShade="80"/>
        </w:rPr>
        <w:tab/>
        <w:t>12.88</w:t>
      </w:r>
    </w:p>
    <w:p w14:paraId="1E234343"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P10:   37.93</w:t>
      </w:r>
      <w:r w:rsidRPr="00F44DFA">
        <w:rPr>
          <w:rFonts w:eastAsia="Times New Roman" w:cs="Arial"/>
          <w:color w:val="244061" w:themeColor="accent1" w:themeShade="80"/>
        </w:rPr>
        <w:tab/>
        <w:t>39.22</w:t>
      </w:r>
      <w:r w:rsidRPr="00F44DFA">
        <w:rPr>
          <w:rFonts w:eastAsia="Times New Roman" w:cs="Arial"/>
          <w:color w:val="244061" w:themeColor="accent1" w:themeShade="80"/>
        </w:rPr>
        <w:tab/>
        <w:t>42.05</w:t>
      </w:r>
    </w:p>
    <w:p w14:paraId="49D81EEE"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P25:   45.26</w:t>
      </w:r>
      <w:r w:rsidRPr="00F44DFA">
        <w:rPr>
          <w:rFonts w:eastAsia="Times New Roman" w:cs="Arial"/>
          <w:color w:val="244061" w:themeColor="accent1" w:themeShade="80"/>
        </w:rPr>
        <w:tab/>
        <w:t>46.54</w:t>
      </w:r>
      <w:r w:rsidRPr="00F44DFA">
        <w:rPr>
          <w:rFonts w:eastAsia="Times New Roman" w:cs="Arial"/>
          <w:color w:val="244061" w:themeColor="accent1" w:themeShade="80"/>
        </w:rPr>
        <w:tab/>
        <w:t>48.74</w:t>
      </w:r>
    </w:p>
    <w:p w14:paraId="03277625"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P50:   53.85</w:t>
      </w:r>
      <w:r w:rsidRPr="00F44DFA">
        <w:rPr>
          <w:rFonts w:eastAsia="Times New Roman" w:cs="Arial"/>
          <w:color w:val="244061" w:themeColor="accent1" w:themeShade="80"/>
        </w:rPr>
        <w:tab/>
        <w:t>56.01</w:t>
      </w:r>
      <w:r w:rsidRPr="00F44DFA">
        <w:rPr>
          <w:rFonts w:eastAsia="Times New Roman" w:cs="Arial"/>
          <w:color w:val="244061" w:themeColor="accent1" w:themeShade="80"/>
        </w:rPr>
        <w:tab/>
        <w:t>57.04</w:t>
      </w:r>
    </w:p>
    <w:p w14:paraId="1BEC0937"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P75:   62.96</w:t>
      </w:r>
      <w:r w:rsidRPr="00F44DFA">
        <w:rPr>
          <w:rFonts w:eastAsia="Times New Roman" w:cs="Arial"/>
          <w:color w:val="244061" w:themeColor="accent1" w:themeShade="80"/>
        </w:rPr>
        <w:tab/>
        <w:t>65.19</w:t>
      </w:r>
      <w:r w:rsidRPr="00F44DFA">
        <w:rPr>
          <w:rFonts w:eastAsia="Times New Roman" w:cs="Arial"/>
          <w:color w:val="244061" w:themeColor="accent1" w:themeShade="80"/>
        </w:rPr>
        <w:tab/>
        <w:t>66.13</w:t>
      </w:r>
    </w:p>
    <w:p w14:paraId="492A370F"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P90:   71.23</w:t>
      </w:r>
      <w:r w:rsidRPr="00F44DFA">
        <w:rPr>
          <w:rFonts w:eastAsia="Times New Roman" w:cs="Arial"/>
          <w:color w:val="244061" w:themeColor="accent1" w:themeShade="80"/>
        </w:rPr>
        <w:tab/>
        <w:t>72.76</w:t>
      </w:r>
      <w:r w:rsidRPr="00F44DFA">
        <w:rPr>
          <w:rFonts w:eastAsia="Times New Roman" w:cs="Arial"/>
          <w:color w:val="244061" w:themeColor="accent1" w:themeShade="80"/>
        </w:rPr>
        <w:tab/>
        <w:t>72.07</w:t>
      </w:r>
    </w:p>
    <w:p w14:paraId="738F0E24" w14:textId="77777777" w:rsidR="00E04CE5" w:rsidRPr="00F44DFA" w:rsidRDefault="00E04CE5" w:rsidP="00E04CE5">
      <w:pPr>
        <w:spacing w:after="0" w:line="240" w:lineRule="auto"/>
        <w:rPr>
          <w:rFonts w:eastAsia="Times New Roman" w:cs="Arial"/>
          <w:color w:val="244061" w:themeColor="accent1" w:themeShade="80"/>
        </w:rPr>
      </w:pPr>
    </w:p>
    <w:p w14:paraId="521E7729"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Medicaid</w:t>
      </w:r>
    </w:p>
    <w:p w14:paraId="75CE31F0"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Measurement Year: 2009; 2010; 2011</w:t>
      </w:r>
    </w:p>
    <w:p w14:paraId="025EC06C"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N:         62</w:t>
      </w:r>
      <w:r w:rsidRPr="00F44DFA">
        <w:rPr>
          <w:rFonts w:eastAsia="Times New Roman" w:cs="Arial"/>
          <w:color w:val="244061" w:themeColor="accent1" w:themeShade="80"/>
        </w:rPr>
        <w:tab/>
        <w:t>71</w:t>
      </w:r>
      <w:r w:rsidRPr="00F44DFA">
        <w:rPr>
          <w:rFonts w:eastAsia="Times New Roman" w:cs="Arial"/>
          <w:color w:val="244061" w:themeColor="accent1" w:themeShade="80"/>
        </w:rPr>
        <w:tab/>
        <w:t>85</w:t>
      </w:r>
    </w:p>
    <w:p w14:paraId="0808A902"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Min:      2.6</w:t>
      </w:r>
      <w:r w:rsidRPr="00F44DFA">
        <w:rPr>
          <w:rFonts w:eastAsia="Times New Roman" w:cs="Arial"/>
          <w:color w:val="244061" w:themeColor="accent1" w:themeShade="80"/>
        </w:rPr>
        <w:tab/>
        <w:t>8.2</w:t>
      </w:r>
      <w:r w:rsidRPr="00F44DFA">
        <w:rPr>
          <w:rFonts w:eastAsia="Times New Roman" w:cs="Arial"/>
          <w:color w:val="244061" w:themeColor="accent1" w:themeShade="80"/>
        </w:rPr>
        <w:tab/>
        <w:t>10.87</w:t>
      </w:r>
    </w:p>
    <w:p w14:paraId="4F4866ED"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Max:   78.57</w:t>
      </w:r>
      <w:r w:rsidRPr="00F44DFA">
        <w:rPr>
          <w:rFonts w:eastAsia="Times New Roman" w:cs="Arial"/>
          <w:color w:val="244061" w:themeColor="accent1" w:themeShade="80"/>
        </w:rPr>
        <w:tab/>
        <w:t>87.9</w:t>
      </w:r>
      <w:r w:rsidRPr="00F44DFA">
        <w:rPr>
          <w:rFonts w:eastAsia="Times New Roman" w:cs="Arial"/>
          <w:color w:val="244061" w:themeColor="accent1" w:themeShade="80"/>
        </w:rPr>
        <w:tab/>
        <w:t>86.85</w:t>
      </w:r>
    </w:p>
    <w:p w14:paraId="27A18195"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Mean: 42.62</w:t>
      </w:r>
      <w:r w:rsidRPr="00F44DFA">
        <w:rPr>
          <w:rFonts w:eastAsia="Times New Roman" w:cs="Arial"/>
          <w:color w:val="244061" w:themeColor="accent1" w:themeShade="80"/>
        </w:rPr>
        <w:tab/>
        <w:t>42.89</w:t>
      </w:r>
      <w:r w:rsidRPr="00F44DFA">
        <w:rPr>
          <w:rFonts w:eastAsia="Times New Roman" w:cs="Arial"/>
          <w:color w:val="244061" w:themeColor="accent1" w:themeShade="80"/>
        </w:rPr>
        <w:tab/>
        <w:t>44.56</w:t>
      </w:r>
    </w:p>
    <w:p w14:paraId="79F50678"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SD:     18.29</w:t>
      </w:r>
      <w:r w:rsidRPr="00F44DFA">
        <w:rPr>
          <w:rFonts w:eastAsia="Times New Roman" w:cs="Arial"/>
          <w:color w:val="244061" w:themeColor="accent1" w:themeShade="80"/>
        </w:rPr>
        <w:tab/>
        <w:t>18.6</w:t>
      </w:r>
      <w:r w:rsidRPr="00F44DFA">
        <w:rPr>
          <w:rFonts w:eastAsia="Times New Roman" w:cs="Arial"/>
          <w:color w:val="244061" w:themeColor="accent1" w:themeShade="80"/>
        </w:rPr>
        <w:tab/>
        <w:t>16.45</w:t>
      </w:r>
    </w:p>
    <w:p w14:paraId="48062586"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P10:   15.52</w:t>
      </w:r>
      <w:r w:rsidRPr="00F44DFA">
        <w:rPr>
          <w:rFonts w:eastAsia="Times New Roman" w:cs="Arial"/>
          <w:color w:val="244061" w:themeColor="accent1" w:themeShade="80"/>
        </w:rPr>
        <w:tab/>
        <w:t>18.22</w:t>
      </w:r>
      <w:r w:rsidRPr="00F44DFA">
        <w:rPr>
          <w:rFonts w:eastAsia="Times New Roman" w:cs="Arial"/>
          <w:color w:val="244061" w:themeColor="accent1" w:themeShade="80"/>
        </w:rPr>
        <w:tab/>
        <w:t>23.02</w:t>
      </w:r>
    </w:p>
    <w:p w14:paraId="2EDA704E"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P25:   31.65</w:t>
      </w:r>
      <w:r w:rsidRPr="00F44DFA">
        <w:rPr>
          <w:rFonts w:eastAsia="Times New Roman" w:cs="Arial"/>
          <w:color w:val="244061" w:themeColor="accent1" w:themeShade="80"/>
        </w:rPr>
        <w:tab/>
        <w:t>29.59</w:t>
      </w:r>
      <w:r w:rsidRPr="00F44DFA">
        <w:rPr>
          <w:rFonts w:eastAsia="Times New Roman" w:cs="Arial"/>
          <w:color w:val="244061" w:themeColor="accent1" w:themeShade="80"/>
        </w:rPr>
        <w:tab/>
        <w:t>33.1</w:t>
      </w:r>
    </w:p>
    <w:p w14:paraId="0D132606"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P50:   44.53</w:t>
      </w:r>
      <w:r w:rsidRPr="00F44DFA">
        <w:rPr>
          <w:rFonts w:eastAsia="Times New Roman" w:cs="Arial"/>
          <w:color w:val="244061" w:themeColor="accent1" w:themeShade="80"/>
        </w:rPr>
        <w:tab/>
        <w:t>43.52</w:t>
      </w:r>
      <w:r w:rsidRPr="00F44DFA">
        <w:rPr>
          <w:rFonts w:eastAsia="Times New Roman" w:cs="Arial"/>
          <w:color w:val="244061" w:themeColor="accent1" w:themeShade="80"/>
        </w:rPr>
        <w:tab/>
        <w:t>45.11</w:t>
      </w:r>
    </w:p>
    <w:p w14:paraId="32A664CF"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P75:   56.63</w:t>
      </w:r>
      <w:r w:rsidRPr="00F44DFA">
        <w:rPr>
          <w:rFonts w:eastAsia="Times New Roman" w:cs="Arial"/>
          <w:color w:val="244061" w:themeColor="accent1" w:themeShade="80"/>
        </w:rPr>
        <w:tab/>
        <w:t>59.1</w:t>
      </w:r>
      <w:r w:rsidRPr="00F44DFA">
        <w:rPr>
          <w:rFonts w:eastAsia="Times New Roman" w:cs="Arial"/>
          <w:color w:val="244061" w:themeColor="accent1" w:themeShade="80"/>
        </w:rPr>
        <w:tab/>
        <w:t>53.91</w:t>
      </w:r>
    </w:p>
    <w:p w14:paraId="34762E9E"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P90:   64.15</w:t>
      </w:r>
      <w:r w:rsidRPr="00F44DFA">
        <w:rPr>
          <w:rFonts w:eastAsia="Times New Roman" w:cs="Arial"/>
          <w:color w:val="244061" w:themeColor="accent1" w:themeShade="80"/>
        </w:rPr>
        <w:tab/>
        <w:t>64.25</w:t>
      </w:r>
      <w:r w:rsidRPr="00F44DFA">
        <w:rPr>
          <w:rFonts w:eastAsia="Times New Roman" w:cs="Arial"/>
          <w:color w:val="244061" w:themeColor="accent1" w:themeShade="80"/>
        </w:rPr>
        <w:tab/>
        <w:t>68.31</w:t>
      </w:r>
    </w:p>
    <w:p w14:paraId="34E73FF0" w14:textId="77777777" w:rsidR="00E04CE5" w:rsidRPr="00F44DFA" w:rsidRDefault="00E04CE5" w:rsidP="00E04CE5">
      <w:pPr>
        <w:spacing w:after="0" w:line="240" w:lineRule="auto"/>
        <w:rPr>
          <w:rFonts w:eastAsia="Times New Roman" w:cs="Arial"/>
          <w:color w:val="244061" w:themeColor="accent1" w:themeShade="80"/>
        </w:rPr>
      </w:pPr>
    </w:p>
    <w:p w14:paraId="268C9A2E"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Medicare</w:t>
      </w:r>
    </w:p>
    <w:p w14:paraId="7B038ED4"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Measurement Year: 2009; 2010; 2011</w:t>
      </w:r>
    </w:p>
    <w:p w14:paraId="528B5D17"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N:        193</w:t>
      </w:r>
      <w:r w:rsidRPr="00F44DFA">
        <w:rPr>
          <w:rFonts w:eastAsia="Times New Roman" w:cs="Arial"/>
          <w:color w:val="244061" w:themeColor="accent1" w:themeShade="80"/>
        </w:rPr>
        <w:tab/>
        <w:t>231</w:t>
      </w:r>
      <w:r w:rsidRPr="00F44DFA">
        <w:rPr>
          <w:rFonts w:eastAsia="Times New Roman" w:cs="Arial"/>
          <w:color w:val="244061" w:themeColor="accent1" w:themeShade="80"/>
        </w:rPr>
        <w:tab/>
        <w:t>257</w:t>
      </w:r>
    </w:p>
    <w:p w14:paraId="477F21C8"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Min:     4.23</w:t>
      </w:r>
      <w:r w:rsidRPr="00F44DFA">
        <w:rPr>
          <w:rFonts w:eastAsia="Times New Roman" w:cs="Arial"/>
          <w:color w:val="244061" w:themeColor="accent1" w:themeShade="80"/>
        </w:rPr>
        <w:tab/>
        <w:t>2.13</w:t>
      </w:r>
      <w:r w:rsidRPr="00F44DFA">
        <w:rPr>
          <w:rFonts w:eastAsia="Times New Roman" w:cs="Arial"/>
          <w:color w:val="244061" w:themeColor="accent1" w:themeShade="80"/>
        </w:rPr>
        <w:tab/>
        <w:t>1.67</w:t>
      </w:r>
    </w:p>
    <w:p w14:paraId="733FDB1B"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Max:  86.67</w:t>
      </w:r>
      <w:r w:rsidRPr="00F44DFA">
        <w:rPr>
          <w:rFonts w:eastAsia="Times New Roman" w:cs="Arial"/>
          <w:color w:val="244061" w:themeColor="accent1" w:themeShade="80"/>
        </w:rPr>
        <w:tab/>
        <w:t>84.21</w:t>
      </w:r>
      <w:r w:rsidRPr="00F44DFA">
        <w:rPr>
          <w:rFonts w:eastAsia="Times New Roman" w:cs="Arial"/>
          <w:color w:val="244061" w:themeColor="accent1" w:themeShade="80"/>
        </w:rPr>
        <w:tab/>
        <w:t>84</w:t>
      </w:r>
    </w:p>
    <w:p w14:paraId="73C598C3"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Mean:37.97</w:t>
      </w:r>
      <w:r w:rsidRPr="00F44DFA">
        <w:rPr>
          <w:rFonts w:eastAsia="Times New Roman" w:cs="Arial"/>
          <w:color w:val="244061" w:themeColor="accent1" w:themeShade="80"/>
        </w:rPr>
        <w:tab/>
        <w:t>38</w:t>
      </w:r>
      <w:r w:rsidRPr="00F44DFA">
        <w:rPr>
          <w:rFonts w:eastAsia="Times New Roman" w:cs="Arial"/>
          <w:color w:val="244061" w:themeColor="accent1" w:themeShade="80"/>
        </w:rPr>
        <w:tab/>
        <w:t>37.8</w:t>
      </w:r>
    </w:p>
    <w:p w14:paraId="7E8257B7"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SD:    17.55</w:t>
      </w:r>
      <w:r w:rsidRPr="00F44DFA">
        <w:rPr>
          <w:rFonts w:eastAsia="Times New Roman" w:cs="Arial"/>
          <w:color w:val="244061" w:themeColor="accent1" w:themeShade="80"/>
        </w:rPr>
        <w:tab/>
        <w:t>18.33</w:t>
      </w:r>
      <w:r w:rsidRPr="00F44DFA">
        <w:rPr>
          <w:rFonts w:eastAsia="Times New Roman" w:cs="Arial"/>
          <w:color w:val="244061" w:themeColor="accent1" w:themeShade="80"/>
        </w:rPr>
        <w:tab/>
        <w:t>18.02</w:t>
      </w:r>
    </w:p>
    <w:p w14:paraId="696BF074"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P10:  15.57</w:t>
      </w:r>
      <w:r w:rsidRPr="00F44DFA">
        <w:rPr>
          <w:rFonts w:eastAsia="Times New Roman" w:cs="Arial"/>
          <w:color w:val="244061" w:themeColor="accent1" w:themeShade="80"/>
        </w:rPr>
        <w:tab/>
        <w:t>13.7</w:t>
      </w:r>
      <w:r w:rsidRPr="00F44DFA">
        <w:rPr>
          <w:rFonts w:eastAsia="Times New Roman" w:cs="Arial"/>
          <w:color w:val="244061" w:themeColor="accent1" w:themeShade="80"/>
        </w:rPr>
        <w:tab/>
        <w:t>15.38</w:t>
      </w:r>
    </w:p>
    <w:p w14:paraId="6CF47E69"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P25:  23.26</w:t>
      </w:r>
      <w:r w:rsidRPr="00F44DFA">
        <w:rPr>
          <w:rFonts w:eastAsia="Times New Roman" w:cs="Arial"/>
          <w:color w:val="244061" w:themeColor="accent1" w:themeShade="80"/>
        </w:rPr>
        <w:tab/>
        <w:t>23.86</w:t>
      </w:r>
      <w:r w:rsidRPr="00F44DFA">
        <w:rPr>
          <w:rFonts w:eastAsia="Times New Roman" w:cs="Arial"/>
          <w:color w:val="244061" w:themeColor="accent1" w:themeShade="80"/>
        </w:rPr>
        <w:tab/>
        <w:t>24.24</w:t>
      </w:r>
    </w:p>
    <w:p w14:paraId="7AA26E0A"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P50:  36.88</w:t>
      </w:r>
      <w:r w:rsidRPr="00F44DFA">
        <w:rPr>
          <w:rFonts w:eastAsia="Times New Roman" w:cs="Arial"/>
          <w:color w:val="244061" w:themeColor="accent1" w:themeShade="80"/>
        </w:rPr>
        <w:tab/>
        <w:t>36.84</w:t>
      </w:r>
      <w:r w:rsidRPr="00F44DFA">
        <w:rPr>
          <w:rFonts w:eastAsia="Times New Roman" w:cs="Arial"/>
          <w:color w:val="244061" w:themeColor="accent1" w:themeShade="80"/>
        </w:rPr>
        <w:tab/>
        <w:t>37.44</w:t>
      </w:r>
    </w:p>
    <w:p w14:paraId="4464650D"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P75:  51.39</w:t>
      </w:r>
      <w:r w:rsidRPr="00F44DFA">
        <w:rPr>
          <w:rFonts w:eastAsia="Times New Roman" w:cs="Arial"/>
          <w:color w:val="244061" w:themeColor="accent1" w:themeShade="80"/>
        </w:rPr>
        <w:tab/>
        <w:t>50</w:t>
      </w:r>
      <w:r w:rsidRPr="00F44DFA">
        <w:rPr>
          <w:rFonts w:eastAsia="Times New Roman" w:cs="Arial"/>
          <w:color w:val="244061" w:themeColor="accent1" w:themeShade="80"/>
        </w:rPr>
        <w:tab/>
        <w:t>48.45</w:t>
      </w:r>
    </w:p>
    <w:p w14:paraId="5A858175"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P90:  60.32</w:t>
      </w:r>
      <w:r w:rsidRPr="00F44DFA">
        <w:rPr>
          <w:rFonts w:eastAsia="Times New Roman" w:cs="Arial"/>
          <w:color w:val="244061" w:themeColor="accent1" w:themeShade="80"/>
        </w:rPr>
        <w:tab/>
        <w:t>63.49</w:t>
      </w:r>
      <w:r w:rsidRPr="00F44DFA">
        <w:rPr>
          <w:rFonts w:eastAsia="Times New Roman" w:cs="Arial"/>
          <w:color w:val="244061" w:themeColor="accent1" w:themeShade="80"/>
        </w:rPr>
        <w:tab/>
        <w:t>63.93</w:t>
      </w:r>
    </w:p>
    <w:p w14:paraId="4EC44842" w14:textId="77777777" w:rsidR="00E04CE5" w:rsidRPr="00F44DFA" w:rsidRDefault="00E04CE5" w:rsidP="00E04CE5">
      <w:pPr>
        <w:spacing w:after="0" w:line="240" w:lineRule="auto"/>
        <w:rPr>
          <w:rFonts w:eastAsia="Times New Roman" w:cs="Arial"/>
          <w:color w:val="244061" w:themeColor="accent1" w:themeShade="80"/>
        </w:rPr>
      </w:pPr>
    </w:p>
    <w:p w14:paraId="5B14F540"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30-Day Rate</w:t>
      </w:r>
    </w:p>
    <w:p w14:paraId="4E1179F5"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Commercial</w:t>
      </w:r>
    </w:p>
    <w:p w14:paraId="0F808074"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Measurement Year: 2009; 2010; 2011</w:t>
      </w:r>
    </w:p>
    <w:p w14:paraId="4FCC8A74"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N:        397</w:t>
      </w:r>
      <w:r w:rsidRPr="00F44DFA">
        <w:rPr>
          <w:rFonts w:eastAsia="Times New Roman" w:cs="Arial"/>
          <w:color w:val="244061" w:themeColor="accent1" w:themeShade="80"/>
        </w:rPr>
        <w:tab/>
        <w:t>391</w:t>
      </w:r>
      <w:r w:rsidRPr="00F44DFA">
        <w:rPr>
          <w:rFonts w:eastAsia="Times New Roman" w:cs="Arial"/>
          <w:color w:val="244061" w:themeColor="accent1" w:themeShade="80"/>
        </w:rPr>
        <w:tab/>
        <w:t>364</w:t>
      </w:r>
    </w:p>
    <w:p w14:paraId="74E85356"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Min:    21.74</w:t>
      </w:r>
      <w:r w:rsidRPr="00F44DFA">
        <w:rPr>
          <w:rFonts w:eastAsia="Times New Roman" w:cs="Arial"/>
          <w:color w:val="244061" w:themeColor="accent1" w:themeShade="80"/>
        </w:rPr>
        <w:tab/>
        <w:t>21.21</w:t>
      </w:r>
      <w:r w:rsidRPr="00F44DFA">
        <w:rPr>
          <w:rFonts w:eastAsia="Times New Roman" w:cs="Arial"/>
          <w:color w:val="244061" w:themeColor="accent1" w:themeShade="80"/>
        </w:rPr>
        <w:tab/>
        <w:t>13.58</w:t>
      </w:r>
    </w:p>
    <w:p w14:paraId="0FD20A39"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Max:   98.61</w:t>
      </w:r>
      <w:r w:rsidRPr="00F44DFA">
        <w:rPr>
          <w:rFonts w:eastAsia="Times New Roman" w:cs="Arial"/>
          <w:color w:val="244061" w:themeColor="accent1" w:themeShade="80"/>
        </w:rPr>
        <w:tab/>
        <w:t>97.32</w:t>
      </w:r>
      <w:r w:rsidRPr="00F44DFA">
        <w:rPr>
          <w:rFonts w:eastAsia="Times New Roman" w:cs="Arial"/>
          <w:color w:val="244061" w:themeColor="accent1" w:themeShade="80"/>
        </w:rPr>
        <w:tab/>
        <w:t>100</w:t>
      </w:r>
    </w:p>
    <w:p w14:paraId="07DEE97A"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Mean: 74.1</w:t>
      </w:r>
      <w:r w:rsidRPr="00F44DFA">
        <w:rPr>
          <w:rFonts w:eastAsia="Times New Roman" w:cs="Arial"/>
          <w:color w:val="244061" w:themeColor="accent1" w:themeShade="80"/>
        </w:rPr>
        <w:tab/>
        <w:t>74.68</w:t>
      </w:r>
      <w:r w:rsidRPr="00F44DFA">
        <w:rPr>
          <w:rFonts w:eastAsia="Times New Roman" w:cs="Arial"/>
          <w:color w:val="244061" w:themeColor="accent1" w:themeShade="80"/>
        </w:rPr>
        <w:tab/>
        <w:t>75.93</w:t>
      </w:r>
    </w:p>
    <w:p w14:paraId="0DAFACB7"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SD:     10.31</w:t>
      </w:r>
      <w:r w:rsidRPr="00F44DFA">
        <w:rPr>
          <w:rFonts w:eastAsia="Times New Roman" w:cs="Arial"/>
          <w:color w:val="244061" w:themeColor="accent1" w:themeShade="80"/>
        </w:rPr>
        <w:tab/>
        <w:t>10.8</w:t>
      </w:r>
      <w:r w:rsidRPr="00F44DFA">
        <w:rPr>
          <w:rFonts w:eastAsia="Times New Roman" w:cs="Arial"/>
          <w:color w:val="244061" w:themeColor="accent1" w:themeShade="80"/>
        </w:rPr>
        <w:tab/>
        <w:t>10.49</w:t>
      </w:r>
    </w:p>
    <w:p w14:paraId="27818F38"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P10:    60</w:t>
      </w:r>
      <w:r w:rsidRPr="00F44DFA">
        <w:rPr>
          <w:rFonts w:eastAsia="Times New Roman" w:cs="Arial"/>
          <w:color w:val="244061" w:themeColor="accent1" w:themeShade="80"/>
        </w:rPr>
        <w:tab/>
        <w:t>61.57</w:t>
      </w:r>
      <w:r w:rsidRPr="00F44DFA">
        <w:rPr>
          <w:rFonts w:eastAsia="Times New Roman" w:cs="Arial"/>
          <w:color w:val="244061" w:themeColor="accent1" w:themeShade="80"/>
        </w:rPr>
        <w:tab/>
        <w:t>64.89</w:t>
      </w:r>
    </w:p>
    <w:p w14:paraId="30602DAA"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P25:   67.94</w:t>
      </w:r>
      <w:r w:rsidRPr="00F44DFA">
        <w:rPr>
          <w:rFonts w:eastAsia="Times New Roman" w:cs="Arial"/>
          <w:color w:val="244061" w:themeColor="accent1" w:themeShade="80"/>
        </w:rPr>
        <w:tab/>
        <w:t>68.82</w:t>
      </w:r>
      <w:r w:rsidRPr="00F44DFA">
        <w:rPr>
          <w:rFonts w:eastAsia="Times New Roman" w:cs="Arial"/>
          <w:color w:val="244061" w:themeColor="accent1" w:themeShade="80"/>
        </w:rPr>
        <w:tab/>
        <w:t>71.02</w:t>
      </w:r>
    </w:p>
    <w:p w14:paraId="74C48FD2"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P50:   74.74</w:t>
      </w:r>
      <w:r w:rsidRPr="00F44DFA">
        <w:rPr>
          <w:rFonts w:eastAsia="Times New Roman" w:cs="Arial"/>
          <w:color w:val="244061" w:themeColor="accent1" w:themeShade="80"/>
        </w:rPr>
        <w:tab/>
        <w:t>76</w:t>
      </w:r>
      <w:r w:rsidRPr="00F44DFA">
        <w:rPr>
          <w:rFonts w:eastAsia="Times New Roman" w:cs="Arial"/>
          <w:color w:val="244061" w:themeColor="accent1" w:themeShade="80"/>
        </w:rPr>
        <w:tab/>
        <w:t>76.38</w:t>
      </w:r>
    </w:p>
    <w:p w14:paraId="33CE6CEB"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P75:   81.82</w:t>
      </w:r>
      <w:r w:rsidRPr="00F44DFA">
        <w:rPr>
          <w:rFonts w:eastAsia="Times New Roman" w:cs="Arial"/>
          <w:color w:val="244061" w:themeColor="accent1" w:themeShade="80"/>
        </w:rPr>
        <w:tab/>
        <w:t>82.21</w:t>
      </w:r>
      <w:r w:rsidRPr="00F44DFA">
        <w:rPr>
          <w:rFonts w:eastAsia="Times New Roman" w:cs="Arial"/>
          <w:color w:val="244061" w:themeColor="accent1" w:themeShade="80"/>
        </w:rPr>
        <w:tab/>
        <w:t>82.43</w:t>
      </w:r>
    </w:p>
    <w:p w14:paraId="11353024"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P90:   85.96</w:t>
      </w:r>
      <w:r w:rsidRPr="00F44DFA">
        <w:rPr>
          <w:rFonts w:eastAsia="Times New Roman" w:cs="Arial"/>
          <w:color w:val="244061" w:themeColor="accent1" w:themeShade="80"/>
        </w:rPr>
        <w:tab/>
        <w:t>86.29</w:t>
      </w:r>
      <w:r w:rsidRPr="00F44DFA">
        <w:rPr>
          <w:rFonts w:eastAsia="Times New Roman" w:cs="Arial"/>
          <w:color w:val="244061" w:themeColor="accent1" w:themeShade="80"/>
        </w:rPr>
        <w:tab/>
        <w:t>87.2</w:t>
      </w:r>
    </w:p>
    <w:p w14:paraId="40849478" w14:textId="77777777" w:rsidR="00E04CE5" w:rsidRPr="00F44DFA" w:rsidRDefault="00E04CE5" w:rsidP="00E04CE5">
      <w:pPr>
        <w:spacing w:after="0" w:line="240" w:lineRule="auto"/>
        <w:rPr>
          <w:rFonts w:eastAsia="Times New Roman" w:cs="Arial"/>
          <w:color w:val="244061" w:themeColor="accent1" w:themeShade="80"/>
        </w:rPr>
      </w:pPr>
    </w:p>
    <w:p w14:paraId="39408CB2"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Medicaid</w:t>
      </w:r>
    </w:p>
    <w:p w14:paraId="7C625EFA"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Measurement Year: 2009; 2010; 2011</w:t>
      </w:r>
    </w:p>
    <w:p w14:paraId="64E2A69D"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N:         61</w:t>
      </w:r>
      <w:r w:rsidRPr="00F44DFA">
        <w:rPr>
          <w:rFonts w:eastAsia="Times New Roman" w:cs="Arial"/>
          <w:color w:val="244061" w:themeColor="accent1" w:themeShade="80"/>
        </w:rPr>
        <w:tab/>
        <w:t>70</w:t>
      </w:r>
      <w:r w:rsidRPr="00F44DFA">
        <w:rPr>
          <w:rFonts w:eastAsia="Times New Roman" w:cs="Arial"/>
          <w:color w:val="244061" w:themeColor="accent1" w:themeShade="80"/>
        </w:rPr>
        <w:tab/>
        <w:t>82</w:t>
      </w:r>
    </w:p>
    <w:p w14:paraId="661EB05F"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Min:     18.07</w:t>
      </w:r>
      <w:r w:rsidRPr="00F44DFA">
        <w:rPr>
          <w:rFonts w:eastAsia="Times New Roman" w:cs="Arial"/>
          <w:color w:val="244061" w:themeColor="accent1" w:themeShade="80"/>
        </w:rPr>
        <w:tab/>
        <w:t>15.63</w:t>
      </w:r>
      <w:r w:rsidRPr="00F44DFA">
        <w:rPr>
          <w:rFonts w:eastAsia="Times New Roman" w:cs="Arial"/>
          <w:color w:val="244061" w:themeColor="accent1" w:themeShade="80"/>
        </w:rPr>
        <w:tab/>
        <w:t>22.7</w:t>
      </w:r>
    </w:p>
    <w:p w14:paraId="42611676"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Max:    87.5</w:t>
      </w:r>
      <w:r w:rsidRPr="00F44DFA">
        <w:rPr>
          <w:rFonts w:eastAsia="Times New Roman" w:cs="Arial"/>
          <w:color w:val="244061" w:themeColor="accent1" w:themeShade="80"/>
        </w:rPr>
        <w:tab/>
        <w:t>91.67</w:t>
      </w:r>
      <w:r w:rsidRPr="00F44DFA">
        <w:rPr>
          <w:rFonts w:eastAsia="Times New Roman" w:cs="Arial"/>
          <w:color w:val="244061" w:themeColor="accent1" w:themeShade="80"/>
        </w:rPr>
        <w:tab/>
        <w:t>87.79</w:t>
      </w:r>
    </w:p>
    <w:p w14:paraId="21A78090"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Mean:  61.67</w:t>
      </w:r>
      <w:r w:rsidRPr="00F44DFA">
        <w:rPr>
          <w:rFonts w:eastAsia="Times New Roman" w:cs="Arial"/>
          <w:color w:val="244061" w:themeColor="accent1" w:themeShade="80"/>
        </w:rPr>
        <w:tab/>
        <w:t>60.22</w:t>
      </w:r>
      <w:r w:rsidRPr="00F44DFA">
        <w:rPr>
          <w:rFonts w:eastAsia="Times New Roman" w:cs="Arial"/>
          <w:color w:val="244061" w:themeColor="accent1" w:themeShade="80"/>
        </w:rPr>
        <w:tab/>
        <w:t>63.83</w:t>
      </w:r>
    </w:p>
    <w:p w14:paraId="31FBEA08"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SD:      18.25</w:t>
      </w:r>
      <w:r w:rsidRPr="00F44DFA">
        <w:rPr>
          <w:rFonts w:eastAsia="Times New Roman" w:cs="Arial"/>
          <w:color w:val="244061" w:themeColor="accent1" w:themeShade="80"/>
        </w:rPr>
        <w:tab/>
        <w:t>19.14</w:t>
      </w:r>
      <w:r w:rsidRPr="00F44DFA">
        <w:rPr>
          <w:rFonts w:eastAsia="Times New Roman" w:cs="Arial"/>
          <w:color w:val="244061" w:themeColor="accent1" w:themeShade="80"/>
        </w:rPr>
        <w:tab/>
        <w:t>16.19</w:t>
      </w:r>
    </w:p>
    <w:p w14:paraId="284E06F4"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P10:     37.27</w:t>
      </w:r>
      <w:r w:rsidRPr="00F44DFA">
        <w:rPr>
          <w:rFonts w:eastAsia="Times New Roman" w:cs="Arial"/>
          <w:color w:val="244061" w:themeColor="accent1" w:themeShade="80"/>
        </w:rPr>
        <w:tab/>
        <w:t>31.79</w:t>
      </w:r>
      <w:r w:rsidRPr="00F44DFA">
        <w:rPr>
          <w:rFonts w:eastAsia="Times New Roman" w:cs="Arial"/>
          <w:color w:val="244061" w:themeColor="accent1" w:themeShade="80"/>
        </w:rPr>
        <w:tab/>
        <w:t>36</w:t>
      </w:r>
    </w:p>
    <w:p w14:paraId="546D9482"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P25:     49.6</w:t>
      </w:r>
      <w:r w:rsidRPr="00F44DFA">
        <w:rPr>
          <w:rFonts w:eastAsia="Times New Roman" w:cs="Arial"/>
          <w:color w:val="244061" w:themeColor="accent1" w:themeShade="80"/>
        </w:rPr>
        <w:tab/>
        <w:t>49.02</w:t>
      </w:r>
      <w:r w:rsidRPr="00F44DFA">
        <w:rPr>
          <w:rFonts w:eastAsia="Times New Roman" w:cs="Arial"/>
          <w:color w:val="244061" w:themeColor="accent1" w:themeShade="80"/>
        </w:rPr>
        <w:tab/>
        <w:t>57.14</w:t>
      </w:r>
    </w:p>
    <w:p w14:paraId="0AE71F37"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P50:     64.29</w:t>
      </w:r>
      <w:r w:rsidRPr="00F44DFA">
        <w:rPr>
          <w:rFonts w:eastAsia="Times New Roman" w:cs="Arial"/>
          <w:color w:val="244061" w:themeColor="accent1" w:themeShade="80"/>
        </w:rPr>
        <w:tab/>
        <w:t>62.63</w:t>
      </w:r>
      <w:r w:rsidRPr="00F44DFA">
        <w:rPr>
          <w:rFonts w:eastAsia="Times New Roman" w:cs="Arial"/>
          <w:color w:val="244061" w:themeColor="accent1" w:themeShade="80"/>
        </w:rPr>
        <w:tab/>
        <w:t>66.6</w:t>
      </w:r>
    </w:p>
    <w:p w14:paraId="5FA5283E"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P75:     75.65</w:t>
      </w:r>
      <w:r w:rsidRPr="00F44DFA">
        <w:rPr>
          <w:rFonts w:eastAsia="Times New Roman" w:cs="Arial"/>
          <w:color w:val="244061" w:themeColor="accent1" w:themeShade="80"/>
        </w:rPr>
        <w:tab/>
        <w:t>74.28</w:t>
      </w:r>
      <w:r w:rsidRPr="00F44DFA">
        <w:rPr>
          <w:rFonts w:eastAsia="Times New Roman" w:cs="Arial"/>
          <w:color w:val="244061" w:themeColor="accent1" w:themeShade="80"/>
        </w:rPr>
        <w:tab/>
        <w:t>74.62</w:t>
      </w:r>
    </w:p>
    <w:p w14:paraId="5E05B341"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P90:     81.23</w:t>
      </w:r>
      <w:r w:rsidRPr="00F44DFA">
        <w:rPr>
          <w:rFonts w:eastAsia="Times New Roman" w:cs="Arial"/>
          <w:color w:val="244061" w:themeColor="accent1" w:themeShade="80"/>
        </w:rPr>
        <w:tab/>
        <w:t>83.57</w:t>
      </w:r>
      <w:r w:rsidRPr="00F44DFA">
        <w:rPr>
          <w:rFonts w:eastAsia="Times New Roman" w:cs="Arial"/>
          <w:color w:val="244061" w:themeColor="accent1" w:themeShade="80"/>
        </w:rPr>
        <w:tab/>
        <w:t>82.56</w:t>
      </w:r>
    </w:p>
    <w:p w14:paraId="1BBAB190" w14:textId="77777777" w:rsidR="00E04CE5" w:rsidRPr="00F44DFA" w:rsidRDefault="00E04CE5" w:rsidP="00E04CE5">
      <w:pPr>
        <w:spacing w:after="0" w:line="240" w:lineRule="auto"/>
        <w:rPr>
          <w:rFonts w:eastAsia="Times New Roman" w:cs="Arial"/>
          <w:color w:val="244061" w:themeColor="accent1" w:themeShade="80"/>
        </w:rPr>
      </w:pPr>
    </w:p>
    <w:p w14:paraId="643A98D5"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Medicare</w:t>
      </w:r>
    </w:p>
    <w:p w14:paraId="37061412"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Measurement Year: 2009; 2010; 2011</w:t>
      </w:r>
    </w:p>
    <w:p w14:paraId="7F3CD791"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N:        193</w:t>
      </w:r>
      <w:r w:rsidRPr="00F44DFA">
        <w:rPr>
          <w:rFonts w:eastAsia="Times New Roman" w:cs="Arial"/>
          <w:color w:val="244061" w:themeColor="accent1" w:themeShade="80"/>
        </w:rPr>
        <w:tab/>
        <w:t>230</w:t>
      </w:r>
      <w:r w:rsidRPr="00F44DFA">
        <w:rPr>
          <w:rFonts w:eastAsia="Times New Roman" w:cs="Arial"/>
          <w:color w:val="244061" w:themeColor="accent1" w:themeShade="80"/>
        </w:rPr>
        <w:tab/>
        <w:t>254</w:t>
      </w:r>
    </w:p>
    <w:p w14:paraId="5C26DE7E"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Min:      9.86</w:t>
      </w:r>
      <w:r w:rsidRPr="00F44DFA">
        <w:rPr>
          <w:rFonts w:eastAsia="Times New Roman" w:cs="Arial"/>
          <w:color w:val="244061" w:themeColor="accent1" w:themeShade="80"/>
        </w:rPr>
        <w:tab/>
        <w:t>5.77</w:t>
      </w:r>
      <w:r w:rsidRPr="00F44DFA">
        <w:rPr>
          <w:rFonts w:eastAsia="Times New Roman" w:cs="Arial"/>
          <w:color w:val="244061" w:themeColor="accent1" w:themeShade="80"/>
        </w:rPr>
        <w:tab/>
        <w:t>5.95</w:t>
      </w:r>
    </w:p>
    <w:p w14:paraId="5A327BB0"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Max:  100</w:t>
      </w:r>
      <w:r w:rsidRPr="00F44DFA">
        <w:rPr>
          <w:rFonts w:eastAsia="Times New Roman" w:cs="Arial"/>
          <w:color w:val="244061" w:themeColor="accent1" w:themeShade="80"/>
        </w:rPr>
        <w:tab/>
        <w:t>96.15</w:t>
      </w:r>
      <w:r w:rsidRPr="00F44DFA">
        <w:rPr>
          <w:rFonts w:eastAsia="Times New Roman" w:cs="Arial"/>
          <w:color w:val="244061" w:themeColor="accent1" w:themeShade="80"/>
        </w:rPr>
        <w:tab/>
        <w:t>93.33</w:t>
      </w:r>
    </w:p>
    <w:p w14:paraId="5DBFE8B3"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Mean: 56.32</w:t>
      </w:r>
      <w:r w:rsidRPr="00F44DFA">
        <w:rPr>
          <w:rFonts w:eastAsia="Times New Roman" w:cs="Arial"/>
          <w:color w:val="244061" w:themeColor="accent1" w:themeShade="80"/>
        </w:rPr>
        <w:tab/>
        <w:t>55.99</w:t>
      </w:r>
      <w:r w:rsidRPr="00F44DFA">
        <w:rPr>
          <w:rFonts w:eastAsia="Times New Roman" w:cs="Arial"/>
          <w:color w:val="244061" w:themeColor="accent1" w:themeShade="80"/>
        </w:rPr>
        <w:tab/>
        <w:t>56.69</w:t>
      </w:r>
    </w:p>
    <w:p w14:paraId="264F0C19"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SD:     18.38</w:t>
      </w:r>
      <w:r w:rsidRPr="00F44DFA">
        <w:rPr>
          <w:rFonts w:eastAsia="Times New Roman" w:cs="Arial"/>
          <w:color w:val="244061" w:themeColor="accent1" w:themeShade="80"/>
        </w:rPr>
        <w:tab/>
        <w:t>19.17</w:t>
      </w:r>
      <w:r w:rsidRPr="00F44DFA">
        <w:rPr>
          <w:rFonts w:eastAsia="Times New Roman" w:cs="Arial"/>
          <w:color w:val="244061" w:themeColor="accent1" w:themeShade="80"/>
        </w:rPr>
        <w:tab/>
        <w:t>18.73</w:t>
      </w:r>
    </w:p>
    <w:p w14:paraId="418FD23B"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P10:    30</w:t>
      </w:r>
      <w:r w:rsidRPr="00F44DFA">
        <w:rPr>
          <w:rFonts w:eastAsia="Times New Roman" w:cs="Arial"/>
          <w:color w:val="244061" w:themeColor="accent1" w:themeShade="80"/>
        </w:rPr>
        <w:tab/>
        <w:t>27.3</w:t>
      </w:r>
      <w:r w:rsidRPr="00F44DFA">
        <w:rPr>
          <w:rFonts w:eastAsia="Times New Roman" w:cs="Arial"/>
          <w:color w:val="244061" w:themeColor="accent1" w:themeShade="80"/>
        </w:rPr>
        <w:tab/>
        <w:t>29.79</w:t>
      </w:r>
    </w:p>
    <w:p w14:paraId="4580EF49"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P25:    43.82</w:t>
      </w:r>
      <w:r w:rsidRPr="00F44DFA">
        <w:rPr>
          <w:rFonts w:eastAsia="Times New Roman" w:cs="Arial"/>
          <w:color w:val="244061" w:themeColor="accent1" w:themeShade="80"/>
        </w:rPr>
        <w:tab/>
        <w:t>42.11</w:t>
      </w:r>
      <w:r w:rsidRPr="00F44DFA">
        <w:rPr>
          <w:rFonts w:eastAsia="Times New Roman" w:cs="Arial"/>
          <w:color w:val="244061" w:themeColor="accent1" w:themeShade="80"/>
        </w:rPr>
        <w:tab/>
        <w:t>44.87</w:t>
      </w:r>
    </w:p>
    <w:p w14:paraId="7E6892CA"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P50:    58.1</w:t>
      </w:r>
      <w:r w:rsidRPr="00F44DFA">
        <w:rPr>
          <w:rFonts w:eastAsia="Times New Roman" w:cs="Arial"/>
          <w:color w:val="244061" w:themeColor="accent1" w:themeShade="80"/>
        </w:rPr>
        <w:tab/>
        <w:t>58.23</w:t>
      </w:r>
      <w:r w:rsidRPr="00F44DFA">
        <w:rPr>
          <w:rFonts w:eastAsia="Times New Roman" w:cs="Arial"/>
          <w:color w:val="244061" w:themeColor="accent1" w:themeShade="80"/>
        </w:rPr>
        <w:tab/>
        <w:t>57.95</w:t>
      </w:r>
    </w:p>
    <w:p w14:paraId="0CD45655" w14:textId="77777777" w:rsidR="00E04CE5" w:rsidRPr="00F44DFA" w:rsidRDefault="00E04CE5" w:rsidP="00E04CE5">
      <w:pPr>
        <w:spacing w:after="0" w:line="240" w:lineRule="auto"/>
        <w:rPr>
          <w:rFonts w:eastAsia="Times New Roman" w:cs="Arial"/>
          <w:color w:val="244061" w:themeColor="accent1" w:themeShade="80"/>
        </w:rPr>
      </w:pPr>
      <w:r w:rsidRPr="00F44DFA">
        <w:rPr>
          <w:rFonts w:eastAsia="Times New Roman" w:cs="Arial"/>
          <w:color w:val="244061" w:themeColor="accent1" w:themeShade="80"/>
        </w:rPr>
        <w:t>P75:    71.43</w:t>
      </w:r>
      <w:r w:rsidRPr="00F44DFA">
        <w:rPr>
          <w:rFonts w:eastAsia="Times New Roman" w:cs="Arial"/>
          <w:color w:val="244061" w:themeColor="accent1" w:themeShade="80"/>
        </w:rPr>
        <w:tab/>
        <w:t>71.88</w:t>
      </w:r>
      <w:r w:rsidRPr="00F44DFA">
        <w:rPr>
          <w:rFonts w:eastAsia="Times New Roman" w:cs="Arial"/>
          <w:color w:val="244061" w:themeColor="accent1" w:themeShade="80"/>
        </w:rPr>
        <w:tab/>
        <w:t>70</w:t>
      </w:r>
    </w:p>
    <w:p w14:paraId="4900B399" w14:textId="77777777" w:rsidR="00E04CE5" w:rsidRPr="00F44DFA" w:rsidRDefault="00E04CE5" w:rsidP="00E04CE5">
      <w:pPr>
        <w:autoSpaceDE w:val="0"/>
        <w:autoSpaceDN w:val="0"/>
        <w:adjustRightInd w:val="0"/>
        <w:spacing w:after="0" w:line="240" w:lineRule="auto"/>
        <w:rPr>
          <w:rFonts w:eastAsia="Times New Roman" w:cs="Arial"/>
          <w:color w:val="244061" w:themeColor="accent1" w:themeShade="80"/>
        </w:rPr>
      </w:pPr>
      <w:r w:rsidRPr="00F44DFA">
        <w:rPr>
          <w:rFonts w:eastAsia="Times New Roman" w:cs="Arial"/>
          <w:color w:val="244061" w:themeColor="accent1" w:themeShade="80"/>
        </w:rPr>
        <w:t>P90:    78.18</w:t>
      </w:r>
      <w:r w:rsidRPr="00F44DFA">
        <w:rPr>
          <w:rFonts w:eastAsia="Times New Roman" w:cs="Arial"/>
          <w:color w:val="244061" w:themeColor="accent1" w:themeShade="80"/>
        </w:rPr>
        <w:tab/>
        <w:t>79.72</w:t>
      </w:r>
      <w:r w:rsidRPr="00F44DFA">
        <w:rPr>
          <w:rFonts w:eastAsia="Times New Roman" w:cs="Arial"/>
          <w:color w:val="244061" w:themeColor="accent1" w:themeShade="80"/>
        </w:rPr>
        <w:tab/>
        <w:t>80</w:t>
      </w:r>
    </w:p>
    <w:p w14:paraId="0CABD00A" w14:textId="3AF6E1AE" w:rsidR="00D61410" w:rsidRDefault="00D61410" w:rsidP="00D61410">
      <w:pPr>
        <w:autoSpaceDE w:val="0"/>
        <w:autoSpaceDN w:val="0"/>
        <w:adjustRightInd w:val="0"/>
        <w:spacing w:after="0" w:line="240" w:lineRule="auto"/>
        <w:rPr>
          <w:rFonts w:cstheme="minorHAnsi"/>
          <w:bCs/>
        </w:rPr>
      </w:pPr>
    </w:p>
    <w:p w14:paraId="0CABD00B" w14:textId="77777777" w:rsidR="00D61410" w:rsidRPr="00927027" w:rsidRDefault="00D61410" w:rsidP="00D61410">
      <w:pPr>
        <w:autoSpaceDE w:val="0"/>
        <w:autoSpaceDN w:val="0"/>
        <w:adjustRightInd w:val="0"/>
        <w:spacing w:after="0" w:line="240" w:lineRule="auto"/>
        <w:rPr>
          <w:rFonts w:cstheme="minorHAnsi"/>
          <w:bCs/>
        </w:rPr>
      </w:pPr>
    </w:p>
    <w:p w14:paraId="0CABD00C" w14:textId="6F180132" w:rsidR="00D61410"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r w:rsidR="00D61410" w:rsidRPr="00A25024">
        <w:rPr>
          <w:rFonts w:cstheme="minorHAnsi"/>
          <w:bCs/>
        </w:rPr>
        <w:br/>
      </w:r>
    </w:p>
    <w:p w14:paraId="1F138705" w14:textId="77777777" w:rsidR="006F1B04" w:rsidRPr="00F83B87" w:rsidRDefault="006F1B04" w:rsidP="006F1B04">
      <w:pPr>
        <w:pStyle w:val="paragraph"/>
        <w:spacing w:before="0" w:beforeAutospacing="0" w:after="0" w:afterAutospacing="0"/>
        <w:textAlignment w:val="baseline"/>
        <w:rPr>
          <w:rFonts w:ascii="Segoe UI" w:hAnsi="Segoe UI" w:cs="Segoe UI"/>
          <w:color w:val="FF0000"/>
          <w:sz w:val="18"/>
          <w:szCs w:val="18"/>
        </w:rPr>
      </w:pPr>
      <w:r w:rsidRPr="00F83B87">
        <w:rPr>
          <w:rStyle w:val="normaltextrun"/>
          <w:rFonts w:ascii="Calibri" w:hAnsi="Calibri" w:cs="Calibri"/>
          <w:b/>
          <w:bCs/>
          <w:color w:val="FF0000"/>
          <w:sz w:val="22"/>
          <w:szCs w:val="22"/>
          <w:u w:val="single"/>
        </w:rPr>
        <w:t>2020 Submission</w:t>
      </w:r>
      <w:r w:rsidRPr="00F83B87">
        <w:rPr>
          <w:rStyle w:val="eop"/>
          <w:rFonts w:ascii="Calibri" w:hAnsi="Calibri" w:cs="Calibri"/>
          <w:color w:val="FF0000"/>
          <w:sz w:val="22"/>
          <w:szCs w:val="22"/>
        </w:rPr>
        <w:t> </w:t>
      </w:r>
    </w:p>
    <w:p w14:paraId="7B0F3241" w14:textId="6B30F03F" w:rsidR="006F1B04" w:rsidRDefault="006F1B04" w:rsidP="006F1B04">
      <w:pPr>
        <w:autoSpaceDE w:val="0"/>
        <w:autoSpaceDN w:val="0"/>
        <w:adjustRightInd w:val="0"/>
        <w:spacing w:after="0" w:line="240" w:lineRule="auto"/>
        <w:rPr>
          <w:rFonts w:cstheme="minorHAnsi"/>
          <w:bCs/>
          <w:color w:val="FF0000"/>
        </w:rPr>
      </w:pPr>
      <w:r w:rsidRPr="009D3C6A">
        <w:rPr>
          <w:rFonts w:cstheme="minorHAnsi"/>
          <w:bCs/>
          <w:color w:val="FF0000"/>
        </w:rPr>
        <w:t xml:space="preserve">For </w:t>
      </w:r>
      <w:r w:rsidR="00670CB3">
        <w:rPr>
          <w:rFonts w:cstheme="minorHAnsi"/>
          <w:bCs/>
          <w:color w:val="FF0000"/>
        </w:rPr>
        <w:t>the 7-day rate</w:t>
      </w:r>
      <w:r>
        <w:rPr>
          <w:rFonts w:cstheme="minorHAnsi"/>
          <w:bCs/>
          <w:color w:val="FF0000"/>
        </w:rPr>
        <w:t xml:space="preserve">, </w:t>
      </w:r>
      <w:r w:rsidRPr="00DB1357">
        <w:rPr>
          <w:rFonts w:cstheme="minorHAnsi"/>
          <w:bCs/>
          <w:color w:val="FF0000"/>
        </w:rPr>
        <w:t xml:space="preserve">there is </w:t>
      </w:r>
      <w:r w:rsidRPr="00E05678">
        <w:rPr>
          <w:rFonts w:cstheme="minorHAnsi"/>
          <w:bCs/>
          <w:color w:val="FF0000"/>
        </w:rPr>
        <w:t xml:space="preserve">a </w:t>
      </w:r>
      <w:r w:rsidR="005567DF" w:rsidRPr="00E05678">
        <w:rPr>
          <w:rFonts w:cstheme="minorHAnsi"/>
          <w:bCs/>
          <w:color w:val="FF0000"/>
        </w:rPr>
        <w:t>14</w:t>
      </w:r>
      <w:r w:rsidR="008967DB">
        <w:rPr>
          <w:rFonts w:cstheme="minorHAnsi"/>
          <w:bCs/>
          <w:color w:val="FF0000"/>
        </w:rPr>
        <w:t xml:space="preserve"> percentage point</w:t>
      </w:r>
      <w:r w:rsidR="008967DB" w:rsidRPr="00DB1357">
        <w:rPr>
          <w:rFonts w:cstheme="minorHAnsi"/>
          <w:bCs/>
          <w:color w:val="FF0000"/>
        </w:rPr>
        <w:t xml:space="preserve"> </w:t>
      </w:r>
      <w:r w:rsidRPr="00DB1357">
        <w:rPr>
          <w:rFonts w:cstheme="minorHAnsi"/>
          <w:bCs/>
          <w:color w:val="FF0000"/>
        </w:rPr>
        <w:t xml:space="preserve">gap in performance between </w:t>
      </w:r>
      <w:r w:rsidR="004C1100">
        <w:rPr>
          <w:rFonts w:cstheme="minorHAnsi"/>
          <w:bCs/>
          <w:color w:val="FF0000"/>
        </w:rPr>
        <w:t>Commercial</w:t>
      </w:r>
      <w:r w:rsidRPr="00670CB3">
        <w:rPr>
          <w:rFonts w:cstheme="minorHAnsi"/>
          <w:bCs/>
          <w:color w:val="FF0000"/>
        </w:rPr>
        <w:t xml:space="preserve"> plans</w:t>
      </w:r>
      <w:r w:rsidRPr="00DB1357">
        <w:rPr>
          <w:rFonts w:cstheme="minorHAnsi"/>
          <w:bCs/>
          <w:color w:val="FF0000"/>
        </w:rPr>
        <w:t xml:space="preserve"> at the 25</w:t>
      </w:r>
      <w:r w:rsidRPr="00DB1357">
        <w:rPr>
          <w:rFonts w:cstheme="minorHAnsi"/>
          <w:bCs/>
          <w:color w:val="FF0000"/>
          <w:vertAlign w:val="superscript"/>
        </w:rPr>
        <w:t>th</w:t>
      </w:r>
      <w:r w:rsidRPr="00DB1357">
        <w:rPr>
          <w:rFonts w:cstheme="minorHAnsi"/>
          <w:bCs/>
          <w:color w:val="FF0000"/>
        </w:rPr>
        <w:t xml:space="preserve"> and 75</w:t>
      </w:r>
      <w:r w:rsidRPr="00DB1357">
        <w:rPr>
          <w:rFonts w:cstheme="minorHAnsi"/>
          <w:bCs/>
          <w:color w:val="FF0000"/>
          <w:vertAlign w:val="superscript"/>
        </w:rPr>
        <w:t>th</w:t>
      </w:r>
      <w:r w:rsidRPr="00DB1357">
        <w:rPr>
          <w:rFonts w:cstheme="minorHAnsi"/>
          <w:bCs/>
          <w:color w:val="FF0000"/>
        </w:rPr>
        <w:t xml:space="preserve"> </w:t>
      </w:r>
      <w:r w:rsidRPr="0020140D">
        <w:rPr>
          <w:rFonts w:cstheme="minorHAnsi"/>
          <w:bCs/>
          <w:color w:val="FF0000"/>
        </w:rPr>
        <w:t>percentiles</w:t>
      </w:r>
      <w:r w:rsidR="004C1100" w:rsidRPr="0020140D">
        <w:rPr>
          <w:rStyle w:val="normaltextrun"/>
          <w:rFonts w:ascii="Calibri" w:hAnsi="Calibri" w:cs="Calibri"/>
          <w:color w:val="FF0000"/>
          <w:shd w:val="clear" w:color="auto" w:fill="FFFFFF"/>
        </w:rPr>
        <w:t xml:space="preserve">, a </w:t>
      </w:r>
      <w:r w:rsidR="005567DF" w:rsidRPr="0020140D">
        <w:rPr>
          <w:rStyle w:val="normaltextrun"/>
          <w:rFonts w:ascii="Calibri" w:hAnsi="Calibri" w:cs="Calibri"/>
          <w:color w:val="FF0000"/>
          <w:shd w:val="clear" w:color="auto" w:fill="FFFFFF"/>
        </w:rPr>
        <w:t>16</w:t>
      </w:r>
      <w:r w:rsidR="008967DB">
        <w:rPr>
          <w:rStyle w:val="normaltextrun"/>
          <w:rFonts w:ascii="Calibri" w:hAnsi="Calibri" w:cs="Calibri"/>
          <w:color w:val="FF0000"/>
          <w:shd w:val="clear" w:color="auto" w:fill="FFFFFF"/>
        </w:rPr>
        <w:t xml:space="preserve"> percentage point</w:t>
      </w:r>
      <w:r w:rsidR="008967DB" w:rsidRPr="0020140D">
        <w:rPr>
          <w:rStyle w:val="normaltextrun"/>
          <w:rFonts w:ascii="Calibri" w:hAnsi="Calibri" w:cs="Calibri"/>
          <w:color w:val="FF0000"/>
          <w:shd w:val="clear" w:color="auto" w:fill="FFFFFF"/>
        </w:rPr>
        <w:t xml:space="preserve"> </w:t>
      </w:r>
      <w:r w:rsidR="004C1100" w:rsidRPr="0020140D">
        <w:rPr>
          <w:rStyle w:val="normaltextrun"/>
          <w:rFonts w:ascii="Calibri" w:hAnsi="Calibri" w:cs="Calibri"/>
          <w:color w:val="FF0000"/>
          <w:shd w:val="clear" w:color="auto" w:fill="FFFFFF"/>
        </w:rPr>
        <w:t>gap for Medica</w:t>
      </w:r>
      <w:r w:rsidR="005567DF" w:rsidRPr="0020140D">
        <w:rPr>
          <w:rStyle w:val="normaltextrun"/>
          <w:rFonts w:ascii="Calibri" w:hAnsi="Calibri" w:cs="Calibri"/>
          <w:color w:val="FF0000"/>
          <w:shd w:val="clear" w:color="auto" w:fill="FFFFFF"/>
        </w:rPr>
        <w:t>re</w:t>
      </w:r>
      <w:r w:rsidR="004C1100" w:rsidRPr="0020140D">
        <w:rPr>
          <w:rStyle w:val="normaltextrun"/>
          <w:rFonts w:ascii="Calibri" w:hAnsi="Calibri" w:cs="Calibri"/>
          <w:color w:val="FF0000"/>
          <w:shd w:val="clear" w:color="auto" w:fill="FFFFFF"/>
        </w:rPr>
        <w:t xml:space="preserve"> plans, and a </w:t>
      </w:r>
      <w:r w:rsidR="005567DF" w:rsidRPr="0020140D">
        <w:rPr>
          <w:rStyle w:val="normaltextrun"/>
          <w:rFonts w:ascii="Calibri" w:hAnsi="Calibri" w:cs="Calibri"/>
          <w:color w:val="FF0000"/>
          <w:shd w:val="clear" w:color="auto" w:fill="FFFFFF"/>
        </w:rPr>
        <w:t>14</w:t>
      </w:r>
      <w:r w:rsidR="008967DB">
        <w:rPr>
          <w:rStyle w:val="normaltextrun"/>
          <w:rFonts w:ascii="Calibri" w:hAnsi="Calibri" w:cs="Calibri"/>
          <w:color w:val="FF0000"/>
          <w:shd w:val="clear" w:color="auto" w:fill="FFFFFF"/>
        </w:rPr>
        <w:t xml:space="preserve"> percentage point</w:t>
      </w:r>
      <w:r w:rsidR="008967DB" w:rsidRPr="0020140D">
        <w:rPr>
          <w:rStyle w:val="normaltextrun"/>
          <w:rFonts w:ascii="Calibri" w:hAnsi="Calibri" w:cs="Calibri"/>
          <w:color w:val="FF0000"/>
          <w:shd w:val="clear" w:color="auto" w:fill="FFFFFF"/>
        </w:rPr>
        <w:t xml:space="preserve"> </w:t>
      </w:r>
      <w:r w:rsidR="004C1100" w:rsidRPr="0020140D">
        <w:rPr>
          <w:rStyle w:val="normaltextrun"/>
          <w:rFonts w:ascii="Calibri" w:hAnsi="Calibri" w:cs="Calibri"/>
          <w:color w:val="FF0000"/>
          <w:shd w:val="clear" w:color="auto" w:fill="FFFFFF"/>
        </w:rPr>
        <w:t>gap for Medica</w:t>
      </w:r>
      <w:r w:rsidR="005567DF" w:rsidRPr="0020140D">
        <w:rPr>
          <w:rStyle w:val="normaltextrun"/>
          <w:rFonts w:ascii="Calibri" w:hAnsi="Calibri" w:cs="Calibri"/>
          <w:color w:val="FF0000"/>
          <w:shd w:val="clear" w:color="auto" w:fill="FFFFFF"/>
        </w:rPr>
        <w:t>id</w:t>
      </w:r>
      <w:r w:rsidR="004C1100" w:rsidRPr="0020140D">
        <w:rPr>
          <w:rStyle w:val="normaltextrun"/>
          <w:rFonts w:ascii="Calibri" w:hAnsi="Calibri" w:cs="Calibri"/>
          <w:color w:val="FF0000"/>
          <w:shd w:val="clear" w:color="auto" w:fill="FFFFFF"/>
        </w:rPr>
        <w:t xml:space="preserve"> plans. </w:t>
      </w:r>
      <w:r w:rsidRPr="0020140D">
        <w:rPr>
          <w:rFonts w:cstheme="minorHAnsi"/>
          <w:bCs/>
          <w:color w:val="FF0000"/>
        </w:rPr>
        <w:t xml:space="preserve">For </w:t>
      </w:r>
      <w:r w:rsidR="004C1100" w:rsidRPr="0020140D">
        <w:rPr>
          <w:rFonts w:cstheme="minorHAnsi"/>
          <w:bCs/>
          <w:color w:val="FF0000"/>
        </w:rPr>
        <w:t>the 30-day rate</w:t>
      </w:r>
      <w:r w:rsidRPr="0020140D">
        <w:rPr>
          <w:rFonts w:cstheme="minorHAnsi"/>
          <w:bCs/>
          <w:color w:val="FF0000"/>
        </w:rPr>
        <w:t xml:space="preserve">, there is a </w:t>
      </w:r>
      <w:r w:rsidR="0020140D" w:rsidRPr="0020140D">
        <w:rPr>
          <w:rFonts w:cstheme="minorHAnsi"/>
          <w:bCs/>
          <w:color w:val="FF0000"/>
        </w:rPr>
        <w:t>13</w:t>
      </w:r>
      <w:r w:rsidRPr="0020140D">
        <w:rPr>
          <w:rFonts w:cstheme="minorHAnsi"/>
          <w:bCs/>
          <w:color w:val="FF0000"/>
        </w:rPr>
        <w:t xml:space="preserve"> </w:t>
      </w:r>
      <w:r w:rsidR="008967DB">
        <w:rPr>
          <w:rFonts w:cstheme="minorHAnsi"/>
          <w:bCs/>
          <w:color w:val="FF0000"/>
        </w:rPr>
        <w:t>percentage point</w:t>
      </w:r>
      <w:r w:rsidRPr="0020140D">
        <w:rPr>
          <w:rFonts w:cstheme="minorHAnsi"/>
          <w:bCs/>
          <w:color w:val="FF0000"/>
        </w:rPr>
        <w:t xml:space="preserve"> gap in performance between </w:t>
      </w:r>
      <w:r w:rsidR="004C1100" w:rsidRPr="0020140D">
        <w:rPr>
          <w:rFonts w:cstheme="minorHAnsi"/>
          <w:bCs/>
          <w:color w:val="FF0000"/>
        </w:rPr>
        <w:t>Commercial</w:t>
      </w:r>
      <w:r w:rsidRPr="0020140D">
        <w:rPr>
          <w:rFonts w:cstheme="minorHAnsi"/>
          <w:bCs/>
          <w:color w:val="FF0000"/>
        </w:rPr>
        <w:t xml:space="preserve"> plans at the 25</w:t>
      </w:r>
      <w:r w:rsidRPr="0020140D">
        <w:rPr>
          <w:rFonts w:cstheme="minorHAnsi"/>
          <w:bCs/>
          <w:color w:val="FF0000"/>
          <w:vertAlign w:val="superscript"/>
        </w:rPr>
        <w:t>th</w:t>
      </w:r>
      <w:r w:rsidRPr="0020140D">
        <w:rPr>
          <w:rFonts w:cstheme="minorHAnsi"/>
          <w:bCs/>
          <w:color w:val="FF0000"/>
        </w:rPr>
        <w:t xml:space="preserve"> and 75</w:t>
      </w:r>
      <w:r w:rsidRPr="0020140D">
        <w:rPr>
          <w:rFonts w:cstheme="minorHAnsi"/>
          <w:bCs/>
          <w:color w:val="FF0000"/>
          <w:vertAlign w:val="superscript"/>
        </w:rPr>
        <w:t>th</w:t>
      </w:r>
      <w:r w:rsidRPr="0020140D">
        <w:rPr>
          <w:rFonts w:cstheme="minorHAnsi"/>
          <w:bCs/>
          <w:color w:val="FF0000"/>
        </w:rPr>
        <w:t xml:space="preserve"> percentiles</w:t>
      </w:r>
      <w:r w:rsidR="004C1100" w:rsidRPr="0020140D">
        <w:rPr>
          <w:rFonts w:cstheme="minorHAnsi"/>
          <w:bCs/>
          <w:color w:val="FF0000"/>
        </w:rPr>
        <w:t xml:space="preserve">, a </w:t>
      </w:r>
      <w:r w:rsidR="0020140D" w:rsidRPr="0020140D">
        <w:rPr>
          <w:rFonts w:cstheme="minorHAnsi"/>
          <w:bCs/>
          <w:color w:val="FF0000"/>
        </w:rPr>
        <w:t>23</w:t>
      </w:r>
      <w:r w:rsidR="008967DB">
        <w:rPr>
          <w:rFonts w:cstheme="minorHAnsi"/>
          <w:bCs/>
          <w:color w:val="FF0000"/>
        </w:rPr>
        <w:t xml:space="preserve"> percentage point</w:t>
      </w:r>
      <w:r w:rsidR="008967DB" w:rsidRPr="0020140D">
        <w:rPr>
          <w:rFonts w:cstheme="minorHAnsi"/>
          <w:bCs/>
          <w:color w:val="FF0000"/>
        </w:rPr>
        <w:t xml:space="preserve"> </w:t>
      </w:r>
      <w:r w:rsidR="004C1100" w:rsidRPr="0020140D">
        <w:rPr>
          <w:rFonts w:cstheme="minorHAnsi"/>
          <w:bCs/>
          <w:color w:val="FF0000"/>
        </w:rPr>
        <w:t>gap for Medica</w:t>
      </w:r>
      <w:r w:rsidR="0020140D" w:rsidRPr="0020140D">
        <w:rPr>
          <w:rFonts w:cstheme="minorHAnsi"/>
          <w:bCs/>
          <w:color w:val="FF0000"/>
        </w:rPr>
        <w:t>re</w:t>
      </w:r>
      <w:r w:rsidR="004C1100" w:rsidRPr="0020140D">
        <w:rPr>
          <w:rFonts w:cstheme="minorHAnsi"/>
          <w:bCs/>
          <w:color w:val="FF0000"/>
        </w:rPr>
        <w:t xml:space="preserve"> plans</w:t>
      </w:r>
      <w:r w:rsidR="004C1100">
        <w:rPr>
          <w:rFonts w:cstheme="minorHAnsi"/>
          <w:bCs/>
          <w:color w:val="FF0000"/>
        </w:rPr>
        <w:t xml:space="preserve">, and a </w:t>
      </w:r>
      <w:r w:rsidR="0020140D">
        <w:rPr>
          <w:rFonts w:cstheme="minorHAnsi"/>
          <w:bCs/>
          <w:color w:val="FF0000"/>
        </w:rPr>
        <w:t>16</w:t>
      </w:r>
      <w:r w:rsidR="008967DB">
        <w:rPr>
          <w:rFonts w:cstheme="minorHAnsi"/>
          <w:bCs/>
          <w:color w:val="FF0000"/>
        </w:rPr>
        <w:t xml:space="preserve"> percentage point </w:t>
      </w:r>
      <w:r w:rsidR="004C1100">
        <w:rPr>
          <w:rFonts w:cstheme="minorHAnsi"/>
          <w:bCs/>
          <w:color w:val="FF0000"/>
        </w:rPr>
        <w:t xml:space="preserve">gap for Medicare plans. </w:t>
      </w:r>
      <w:r w:rsidR="008F1014" w:rsidRPr="008F1014">
        <w:rPr>
          <w:rFonts w:ascii="Calibri" w:hAnsi="Calibri" w:cs="Calibri"/>
          <w:color w:val="FF0000"/>
          <w:shd w:val="clear" w:color="auto" w:fill="FFFFFF"/>
        </w:rPr>
        <w:t xml:space="preserve">The difference in performance between </w:t>
      </w:r>
      <w:r w:rsidR="008F1014">
        <w:rPr>
          <w:rFonts w:ascii="Calibri" w:hAnsi="Calibri" w:cs="Calibri"/>
          <w:color w:val="FF0000"/>
          <w:shd w:val="clear" w:color="auto" w:fill="FFFFFF"/>
        </w:rPr>
        <w:t>plans</w:t>
      </w:r>
      <w:r w:rsidR="008F1014" w:rsidRPr="008F1014">
        <w:rPr>
          <w:rFonts w:ascii="Calibri" w:hAnsi="Calibri" w:cs="Calibri"/>
          <w:color w:val="FF0000"/>
          <w:shd w:val="clear" w:color="auto" w:fill="FFFFFF"/>
        </w:rPr>
        <w:t xml:space="preserve"> in the 25</w:t>
      </w:r>
      <w:r w:rsidR="008F1014" w:rsidRPr="008F1014">
        <w:rPr>
          <w:rFonts w:ascii="Calibri" w:hAnsi="Calibri" w:cs="Calibri"/>
          <w:color w:val="FF0000"/>
          <w:shd w:val="clear" w:color="auto" w:fill="FFFFFF"/>
          <w:vertAlign w:val="superscript"/>
        </w:rPr>
        <w:t>th</w:t>
      </w:r>
      <w:r w:rsidR="008F1014" w:rsidRPr="008F1014">
        <w:rPr>
          <w:rFonts w:ascii="Calibri" w:hAnsi="Calibri" w:cs="Calibri"/>
          <w:color w:val="FF0000"/>
          <w:shd w:val="clear" w:color="auto" w:fill="FFFFFF"/>
        </w:rPr>
        <w:t xml:space="preserve"> percentile and 75</w:t>
      </w:r>
      <w:r w:rsidR="008F1014" w:rsidRPr="008F1014">
        <w:rPr>
          <w:rFonts w:ascii="Calibri" w:hAnsi="Calibri" w:cs="Calibri"/>
          <w:color w:val="FF0000"/>
          <w:shd w:val="clear" w:color="auto" w:fill="FFFFFF"/>
          <w:vertAlign w:val="superscript"/>
        </w:rPr>
        <w:t>th</w:t>
      </w:r>
      <w:r w:rsidR="008F1014" w:rsidRPr="008F1014">
        <w:rPr>
          <w:rFonts w:ascii="Calibri" w:hAnsi="Calibri" w:cs="Calibri"/>
          <w:color w:val="FF0000"/>
          <w:shd w:val="clear" w:color="auto" w:fill="FFFFFF"/>
        </w:rPr>
        <w:t xml:space="preserve"> percentile is statistically significant</w:t>
      </w:r>
      <w:r w:rsidR="008F1014">
        <w:rPr>
          <w:rFonts w:ascii="Calibri" w:hAnsi="Calibri" w:cs="Calibri"/>
          <w:color w:val="FF0000"/>
          <w:shd w:val="clear" w:color="auto" w:fill="FFFFFF"/>
        </w:rPr>
        <w:t xml:space="preserve"> for both rates across all product lines.</w:t>
      </w:r>
    </w:p>
    <w:p w14:paraId="35D70401" w14:textId="77777777" w:rsidR="00FC48BF" w:rsidRDefault="00FC48BF" w:rsidP="00FC48BF">
      <w:pPr>
        <w:autoSpaceDE w:val="0"/>
        <w:autoSpaceDN w:val="0"/>
        <w:adjustRightInd w:val="0"/>
        <w:spacing w:after="0" w:line="240" w:lineRule="auto"/>
        <w:rPr>
          <w:color w:val="FF0000"/>
        </w:rPr>
      </w:pPr>
    </w:p>
    <w:p w14:paraId="14C1734E" w14:textId="77777777" w:rsidR="00FC48BF" w:rsidRDefault="00FC48BF" w:rsidP="00FC48BF">
      <w:pPr>
        <w:autoSpaceDE w:val="0"/>
        <w:autoSpaceDN w:val="0"/>
        <w:adjustRightInd w:val="0"/>
        <w:spacing w:after="0" w:line="240" w:lineRule="auto"/>
        <w:rPr>
          <w:color w:val="FF0000"/>
        </w:rPr>
      </w:pPr>
    </w:p>
    <w:p w14:paraId="5C71421D" w14:textId="77777777" w:rsidR="00FC48BF" w:rsidRPr="00F44DFA" w:rsidRDefault="00FC48BF" w:rsidP="00FC48BF">
      <w:pPr>
        <w:autoSpaceDE w:val="0"/>
        <w:autoSpaceDN w:val="0"/>
        <w:adjustRightInd w:val="0"/>
        <w:spacing w:after="0" w:line="240" w:lineRule="auto"/>
        <w:rPr>
          <w:b/>
          <w:bCs/>
          <w:color w:val="244061" w:themeColor="accent1" w:themeShade="80"/>
          <w:u w:val="single"/>
        </w:rPr>
      </w:pPr>
      <w:r w:rsidRPr="00F44DFA">
        <w:rPr>
          <w:b/>
          <w:bCs/>
          <w:color w:val="244061" w:themeColor="accent1" w:themeShade="80"/>
          <w:u w:val="single"/>
        </w:rPr>
        <w:t>2016 Submission:</w:t>
      </w:r>
    </w:p>
    <w:p w14:paraId="00023705" w14:textId="77777777" w:rsidR="00FC48BF" w:rsidRPr="00F44DFA" w:rsidRDefault="00FC48BF" w:rsidP="00FC48BF">
      <w:pPr>
        <w:autoSpaceDE w:val="0"/>
        <w:autoSpaceDN w:val="0"/>
        <w:adjustRightInd w:val="0"/>
        <w:spacing w:after="0" w:line="240" w:lineRule="auto"/>
        <w:rPr>
          <w:rFonts w:cstheme="minorHAnsi"/>
          <w:bCs/>
          <w:color w:val="244061" w:themeColor="accent1" w:themeShade="80"/>
        </w:rPr>
      </w:pPr>
      <w:r w:rsidRPr="00F44DFA">
        <w:rPr>
          <w:color w:val="244061" w:themeColor="accent1" w:themeShade="80"/>
        </w:rPr>
        <w:t>The results above indicate there is a 12-25% gap in performance between the 25</w:t>
      </w:r>
      <w:r w:rsidRPr="00F44DFA">
        <w:rPr>
          <w:color w:val="244061" w:themeColor="accent1" w:themeShade="80"/>
          <w:vertAlign w:val="superscript"/>
        </w:rPr>
        <w:t>th</w:t>
      </w:r>
      <w:r w:rsidRPr="00F44DFA">
        <w:rPr>
          <w:color w:val="244061" w:themeColor="accent1" w:themeShade="80"/>
        </w:rPr>
        <w:t xml:space="preserve"> and 75</w:t>
      </w:r>
      <w:r w:rsidRPr="00F44DFA">
        <w:rPr>
          <w:color w:val="244061" w:themeColor="accent1" w:themeShade="80"/>
          <w:vertAlign w:val="superscript"/>
        </w:rPr>
        <w:t>th</w:t>
      </w:r>
      <w:r w:rsidRPr="00F44DFA">
        <w:rPr>
          <w:color w:val="244061" w:themeColor="accent1" w:themeShade="80"/>
        </w:rPr>
        <w:t xml:space="preserve"> performing plans. For all product lines and rates the difference between the 25</w:t>
      </w:r>
      <w:r w:rsidRPr="00F44DFA">
        <w:rPr>
          <w:color w:val="244061" w:themeColor="accent1" w:themeShade="80"/>
          <w:vertAlign w:val="superscript"/>
        </w:rPr>
        <w:t>th</w:t>
      </w:r>
      <w:r w:rsidRPr="00F44DFA">
        <w:rPr>
          <w:color w:val="244061" w:themeColor="accent1" w:themeShade="80"/>
        </w:rPr>
        <w:t xml:space="preserve"> and 75</w:t>
      </w:r>
      <w:r w:rsidRPr="00F44DFA">
        <w:rPr>
          <w:color w:val="244061" w:themeColor="accent1" w:themeShade="80"/>
          <w:vertAlign w:val="superscript"/>
        </w:rPr>
        <w:t>th</w:t>
      </w:r>
      <w:r w:rsidRPr="00F44DFA">
        <w:rPr>
          <w:color w:val="244061" w:themeColor="accent1" w:themeShade="80"/>
        </w:rPr>
        <w:t xml:space="preserve"> percentile is statistically significant. The largest gap in performance is for the Medicare health plans which show a 20.6-25.4 percentage point gap between 25</w:t>
      </w:r>
      <w:r w:rsidRPr="00F44DFA">
        <w:rPr>
          <w:color w:val="244061" w:themeColor="accent1" w:themeShade="80"/>
          <w:vertAlign w:val="superscript"/>
        </w:rPr>
        <w:t>th</w:t>
      </w:r>
      <w:r w:rsidRPr="00F44DFA">
        <w:rPr>
          <w:color w:val="244061" w:themeColor="accent1" w:themeShade="80"/>
        </w:rPr>
        <w:t xml:space="preserve"> and 75</w:t>
      </w:r>
      <w:r w:rsidRPr="00F44DFA">
        <w:rPr>
          <w:color w:val="244061" w:themeColor="accent1" w:themeShade="80"/>
          <w:vertAlign w:val="superscript"/>
        </w:rPr>
        <w:t>th</w:t>
      </w:r>
      <w:r w:rsidRPr="00F44DFA">
        <w:rPr>
          <w:color w:val="244061" w:themeColor="accent1" w:themeShade="80"/>
        </w:rPr>
        <w:t xml:space="preserve"> percentile plans. </w:t>
      </w:r>
    </w:p>
    <w:p w14:paraId="06F2BFA6" w14:textId="77777777" w:rsidR="00FC48BF" w:rsidRPr="00A25024" w:rsidRDefault="00FC48BF" w:rsidP="00D61410">
      <w:pPr>
        <w:autoSpaceDE w:val="0"/>
        <w:autoSpaceDN w:val="0"/>
        <w:adjustRightInd w:val="0"/>
        <w:spacing w:after="0" w:line="240" w:lineRule="auto"/>
        <w:rPr>
          <w:rFonts w:cstheme="minorHAnsi"/>
          <w:bCs/>
        </w:rPr>
      </w:pPr>
    </w:p>
    <w:p w14:paraId="0CABD00D" w14:textId="77777777" w:rsidR="0086464B" w:rsidRDefault="0086464B" w:rsidP="0086464B">
      <w:pPr>
        <w:spacing w:after="0" w:line="240" w:lineRule="auto"/>
        <w:rPr>
          <w:rFonts w:cstheme="minorHAnsi"/>
          <w:b/>
          <w:bCs/>
        </w:rPr>
      </w:pPr>
      <w:r>
        <w:rPr>
          <w:rFonts w:cstheme="minorHAnsi"/>
          <w:b/>
          <w:bCs/>
        </w:rPr>
        <w:t>_______________________________________</w:t>
      </w:r>
    </w:p>
    <w:p w14:paraId="0CABD00E" w14:textId="1C19894E"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0CABD00F"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0CABD010" w14:textId="77777777" w:rsidR="00567D12" w:rsidRPr="00A25024" w:rsidRDefault="00567D12" w:rsidP="00DB3627">
      <w:pPr>
        <w:autoSpaceDE w:val="0"/>
        <w:autoSpaceDN w:val="0"/>
        <w:adjustRightInd w:val="0"/>
        <w:spacing w:after="0" w:line="240" w:lineRule="auto"/>
        <w:rPr>
          <w:rFonts w:cstheme="minorHAnsi"/>
          <w:b/>
          <w:bCs/>
        </w:rPr>
      </w:pPr>
    </w:p>
    <w:p w14:paraId="0CABD011" w14:textId="52777D4F"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Pr>
          <w:rFonts w:ascii="Calibri-Italic" w:eastAsiaTheme="minorHAnsi" w:hAnsi="Calibri-Italic" w:cs="Calibri-Italic"/>
          <w:i/>
          <w:iCs/>
        </w:rPr>
        <w:t>eMeasures</w:t>
      </w:r>
      <w:proofErr w:type="spellEnd"/>
      <w:r w:rsidR="00F1412B">
        <w:rPr>
          <w:rFonts w:ascii="Calibri-Italic" w:eastAsiaTheme="minorHAnsi" w:hAnsi="Calibri-Italic"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0CABD012" w14:textId="77777777" w:rsidR="000F06B5" w:rsidRPr="00A25024" w:rsidRDefault="000F06B5" w:rsidP="00DB3627">
      <w:pPr>
        <w:autoSpaceDE w:val="0"/>
        <w:autoSpaceDN w:val="0"/>
        <w:adjustRightInd w:val="0"/>
        <w:spacing w:after="0" w:line="240" w:lineRule="auto"/>
        <w:rPr>
          <w:rFonts w:cstheme="minorHAnsi"/>
          <w:bCs/>
        </w:rPr>
      </w:pPr>
    </w:p>
    <w:p w14:paraId="14F2CA8F" w14:textId="77777777" w:rsidR="00513C43" w:rsidRPr="0049306D" w:rsidRDefault="009C7513" w:rsidP="00513C43">
      <w:pPr>
        <w:spacing w:after="0" w:line="240" w:lineRule="auto"/>
        <w:textAlignment w:val="baseline"/>
        <w:rPr>
          <w:rFonts w:ascii="Segoe UI" w:eastAsia="Times New Roman" w:hAnsi="Segoe UI" w:cs="Segoe UI"/>
          <w:sz w:val="18"/>
          <w:szCs w:val="18"/>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r w:rsidR="00513C43" w:rsidRPr="0049306D">
        <w:rPr>
          <w:rFonts w:ascii="Calibri" w:eastAsia="Times New Roman" w:hAnsi="Calibri" w:cs="Calibri"/>
          <w:b/>
          <w:bCs/>
          <w:color w:val="FF0000"/>
          <w:u w:val="single"/>
        </w:rPr>
        <w:t>2020 Submission</w:t>
      </w:r>
      <w:r w:rsidR="00513C43" w:rsidRPr="0049306D">
        <w:rPr>
          <w:rFonts w:ascii="Calibri" w:eastAsia="Times New Roman" w:hAnsi="Calibri" w:cs="Calibri"/>
          <w:color w:val="FF0000"/>
        </w:rPr>
        <w:t>  </w:t>
      </w:r>
      <w:r w:rsidR="00513C43" w:rsidRPr="0049306D">
        <w:rPr>
          <w:rFonts w:ascii="Calibri" w:eastAsia="Times New Roman" w:hAnsi="Calibri" w:cs="Calibri"/>
        </w:rPr>
        <w:t> </w:t>
      </w:r>
    </w:p>
    <w:p w14:paraId="41519CE7" w14:textId="77777777" w:rsidR="00513C43" w:rsidRDefault="00513C43" w:rsidP="00513C43">
      <w:pPr>
        <w:spacing w:after="0" w:line="240" w:lineRule="auto"/>
        <w:textAlignment w:val="baseline"/>
        <w:rPr>
          <w:rFonts w:ascii="Calibri" w:eastAsia="Times New Roman" w:hAnsi="Calibri" w:cs="Calibri"/>
        </w:rPr>
      </w:pPr>
      <w:r w:rsidRPr="0049306D">
        <w:rPr>
          <w:rFonts w:ascii="Calibri" w:eastAsia="Times New Roman" w:hAnsi="Calibri" w:cs="Calibri"/>
          <w:color w:val="FF0000"/>
        </w:rPr>
        <w:t>This measure has only one set of specifications.</w:t>
      </w:r>
      <w:r w:rsidRPr="0049306D">
        <w:rPr>
          <w:rFonts w:ascii="Calibri" w:eastAsia="Times New Roman" w:hAnsi="Calibri" w:cs="Calibri"/>
        </w:rPr>
        <w:t> </w:t>
      </w:r>
    </w:p>
    <w:p w14:paraId="0CABD013" w14:textId="72FD124C" w:rsidR="000F06B5" w:rsidRPr="009D3882" w:rsidRDefault="000F06B5" w:rsidP="00DB3627">
      <w:pPr>
        <w:autoSpaceDE w:val="0"/>
        <w:autoSpaceDN w:val="0"/>
        <w:adjustRightInd w:val="0"/>
        <w:spacing w:after="0" w:line="240" w:lineRule="auto"/>
        <w:rPr>
          <w:rFonts w:cstheme="minorHAnsi"/>
          <w:bCs/>
          <w:sz w:val="14"/>
        </w:rPr>
      </w:pPr>
    </w:p>
    <w:p w14:paraId="58A91AD7" w14:textId="77777777" w:rsidR="00125F88" w:rsidRPr="00F44DFA" w:rsidRDefault="00125F88" w:rsidP="00125F88">
      <w:pPr>
        <w:autoSpaceDE w:val="0"/>
        <w:autoSpaceDN w:val="0"/>
        <w:adjustRightInd w:val="0"/>
        <w:spacing w:after="0" w:line="240" w:lineRule="auto"/>
        <w:rPr>
          <w:rFonts w:cstheme="minorHAnsi"/>
          <w:b/>
          <w:color w:val="244061" w:themeColor="accent1" w:themeShade="80"/>
          <w:u w:val="single"/>
        </w:rPr>
      </w:pPr>
      <w:r w:rsidRPr="00F44DFA">
        <w:rPr>
          <w:rFonts w:cstheme="minorHAnsi"/>
          <w:b/>
          <w:color w:val="244061" w:themeColor="accent1" w:themeShade="80"/>
          <w:u w:val="single"/>
        </w:rPr>
        <w:t>2016 Submission:</w:t>
      </w:r>
    </w:p>
    <w:p w14:paraId="6A778571" w14:textId="77777777" w:rsidR="00125F88" w:rsidRPr="00F44DFA" w:rsidRDefault="00125F88" w:rsidP="00125F88">
      <w:pPr>
        <w:autoSpaceDE w:val="0"/>
        <w:autoSpaceDN w:val="0"/>
        <w:adjustRightInd w:val="0"/>
        <w:spacing w:after="0" w:line="240" w:lineRule="auto"/>
        <w:rPr>
          <w:rFonts w:cstheme="minorHAnsi"/>
          <w:bCs/>
          <w:color w:val="244061" w:themeColor="accent1" w:themeShade="80"/>
        </w:rPr>
      </w:pPr>
      <w:r w:rsidRPr="00F44DFA">
        <w:rPr>
          <w:rFonts w:cstheme="minorHAnsi"/>
          <w:bCs/>
          <w:color w:val="244061" w:themeColor="accent1" w:themeShade="80"/>
        </w:rPr>
        <w:t xml:space="preserve">N/A </w:t>
      </w:r>
    </w:p>
    <w:p w14:paraId="0CABD014"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69825F17" w14:textId="77777777" w:rsidR="00513C43" w:rsidRPr="0049306D" w:rsidRDefault="009C7513" w:rsidP="00513C43">
      <w:pPr>
        <w:spacing w:after="0" w:line="240" w:lineRule="auto"/>
        <w:textAlignment w:val="baseline"/>
        <w:rPr>
          <w:rFonts w:ascii="Segoe UI" w:eastAsia="Times New Roman" w:hAnsi="Segoe UI" w:cs="Segoe UI"/>
          <w:sz w:val="18"/>
          <w:szCs w:val="18"/>
        </w:rPr>
      </w:pPr>
      <w:r>
        <w:rPr>
          <w:rFonts w:cstheme="minorHAnsi"/>
          <w:b/>
          <w:bCs/>
        </w:rPr>
        <w:t>2b5</w:t>
      </w:r>
      <w:r w:rsidR="00E1508F">
        <w:rPr>
          <w:rFonts w:cstheme="minorHAnsi"/>
          <w:b/>
          <w:bCs/>
        </w:rPr>
        <w:t xml:space="preserve">.2.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r w:rsidR="00513C43" w:rsidRPr="0049306D">
        <w:rPr>
          <w:rFonts w:ascii="Calibri" w:eastAsia="Times New Roman" w:hAnsi="Calibri" w:cs="Calibri"/>
          <w:b/>
          <w:bCs/>
          <w:color w:val="FF0000"/>
          <w:u w:val="single"/>
        </w:rPr>
        <w:t>2020 Submission</w:t>
      </w:r>
      <w:r w:rsidR="00513C43" w:rsidRPr="0049306D">
        <w:rPr>
          <w:rFonts w:ascii="Calibri" w:eastAsia="Times New Roman" w:hAnsi="Calibri" w:cs="Calibri"/>
          <w:color w:val="FF0000"/>
        </w:rPr>
        <w:t>  </w:t>
      </w:r>
      <w:r w:rsidR="00513C43" w:rsidRPr="0049306D">
        <w:rPr>
          <w:rFonts w:ascii="Calibri" w:eastAsia="Times New Roman" w:hAnsi="Calibri" w:cs="Calibri"/>
        </w:rPr>
        <w:t> </w:t>
      </w:r>
    </w:p>
    <w:p w14:paraId="4986D2DE" w14:textId="77777777" w:rsidR="00513C43" w:rsidRDefault="00513C43" w:rsidP="00513C43">
      <w:pPr>
        <w:spacing w:after="0" w:line="240" w:lineRule="auto"/>
        <w:textAlignment w:val="baseline"/>
        <w:rPr>
          <w:rFonts w:ascii="Calibri" w:eastAsia="Times New Roman" w:hAnsi="Calibri" w:cs="Calibri"/>
        </w:rPr>
      </w:pPr>
      <w:r w:rsidRPr="0049306D">
        <w:rPr>
          <w:rFonts w:ascii="Calibri" w:eastAsia="Times New Roman" w:hAnsi="Calibri" w:cs="Calibri"/>
          <w:color w:val="FF0000"/>
        </w:rPr>
        <w:t>This measure has only one set of specifications.</w:t>
      </w:r>
      <w:r w:rsidRPr="0049306D">
        <w:rPr>
          <w:rFonts w:ascii="Calibri" w:eastAsia="Times New Roman" w:hAnsi="Calibri" w:cs="Calibri"/>
        </w:rPr>
        <w:t> </w:t>
      </w:r>
    </w:p>
    <w:p w14:paraId="0CABD015" w14:textId="54545C7F" w:rsidR="00A35F8F" w:rsidRDefault="00A35F8F" w:rsidP="00E1508F">
      <w:pPr>
        <w:autoSpaceDE w:val="0"/>
        <w:autoSpaceDN w:val="0"/>
        <w:adjustRightInd w:val="0"/>
        <w:spacing w:after="0" w:line="240" w:lineRule="auto"/>
        <w:rPr>
          <w:rFonts w:cstheme="minorHAnsi"/>
          <w:bCs/>
        </w:rPr>
      </w:pPr>
    </w:p>
    <w:p w14:paraId="24042362" w14:textId="77777777" w:rsidR="00125F88" w:rsidRPr="00F44DFA" w:rsidRDefault="00125F88" w:rsidP="00125F88">
      <w:pPr>
        <w:autoSpaceDE w:val="0"/>
        <w:autoSpaceDN w:val="0"/>
        <w:adjustRightInd w:val="0"/>
        <w:spacing w:after="0" w:line="240" w:lineRule="auto"/>
        <w:rPr>
          <w:rFonts w:cstheme="minorHAnsi"/>
          <w:b/>
          <w:color w:val="244061" w:themeColor="accent1" w:themeShade="80"/>
          <w:u w:val="single"/>
        </w:rPr>
      </w:pPr>
      <w:r w:rsidRPr="00F44DFA">
        <w:rPr>
          <w:rFonts w:cstheme="minorHAnsi"/>
          <w:b/>
          <w:color w:val="244061" w:themeColor="accent1" w:themeShade="80"/>
          <w:u w:val="single"/>
        </w:rPr>
        <w:t>2016 Submission:</w:t>
      </w:r>
    </w:p>
    <w:p w14:paraId="4DCE38A6" w14:textId="77777777" w:rsidR="00125F88" w:rsidRPr="00F44DFA" w:rsidRDefault="00125F88" w:rsidP="00125F88">
      <w:pPr>
        <w:autoSpaceDE w:val="0"/>
        <w:autoSpaceDN w:val="0"/>
        <w:adjustRightInd w:val="0"/>
        <w:spacing w:after="0" w:line="240" w:lineRule="auto"/>
        <w:rPr>
          <w:rFonts w:cstheme="minorHAnsi"/>
          <w:bCs/>
          <w:color w:val="244061" w:themeColor="accent1" w:themeShade="80"/>
        </w:rPr>
      </w:pPr>
      <w:r w:rsidRPr="00F44DFA">
        <w:rPr>
          <w:rFonts w:cstheme="minorHAnsi"/>
          <w:bCs/>
          <w:color w:val="244061" w:themeColor="accent1" w:themeShade="80"/>
        </w:rPr>
        <w:t xml:space="preserve">N/A </w:t>
      </w:r>
    </w:p>
    <w:p w14:paraId="0CABD016" w14:textId="77777777" w:rsidR="00E1508F" w:rsidRPr="00E1508F" w:rsidRDefault="00E1508F" w:rsidP="00E1508F">
      <w:pPr>
        <w:autoSpaceDE w:val="0"/>
        <w:autoSpaceDN w:val="0"/>
        <w:adjustRightInd w:val="0"/>
        <w:spacing w:after="0" w:line="240" w:lineRule="auto"/>
        <w:rPr>
          <w:rFonts w:cstheme="minorHAnsi"/>
          <w:bCs/>
        </w:rPr>
      </w:pPr>
    </w:p>
    <w:p w14:paraId="0CABD017" w14:textId="7D8D4709" w:rsidR="0079180E" w:rsidRDefault="009C7513" w:rsidP="00DB3627">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.3. </w:t>
      </w:r>
      <w:r w:rsidR="002B0C3A" w:rsidRPr="00A25024">
        <w:rPr>
          <w:rFonts w:cstheme="minorHAnsi"/>
          <w:b/>
          <w:bCs/>
        </w:rPr>
        <w:t xml:space="preserve">What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p>
    <w:p w14:paraId="58C9CD99" w14:textId="77777777" w:rsidR="00513C43" w:rsidRPr="0049306D" w:rsidRDefault="00513C43" w:rsidP="00513C43">
      <w:pPr>
        <w:spacing w:after="0" w:line="240" w:lineRule="auto"/>
        <w:textAlignment w:val="baseline"/>
        <w:rPr>
          <w:rFonts w:ascii="Segoe UI" w:eastAsia="Times New Roman" w:hAnsi="Segoe UI" w:cs="Segoe UI"/>
          <w:sz w:val="18"/>
          <w:szCs w:val="18"/>
        </w:rPr>
      </w:pPr>
      <w:r w:rsidRPr="0049306D">
        <w:rPr>
          <w:rFonts w:ascii="Calibri" w:eastAsia="Times New Roman" w:hAnsi="Calibri" w:cs="Calibri"/>
          <w:b/>
          <w:bCs/>
          <w:color w:val="FF0000"/>
          <w:u w:val="single"/>
        </w:rPr>
        <w:t>2020 Submission</w:t>
      </w:r>
      <w:r w:rsidRPr="0049306D">
        <w:rPr>
          <w:rFonts w:ascii="Calibri" w:eastAsia="Times New Roman" w:hAnsi="Calibri" w:cs="Calibri"/>
          <w:color w:val="FF0000"/>
        </w:rPr>
        <w:t>  </w:t>
      </w:r>
      <w:r w:rsidRPr="0049306D">
        <w:rPr>
          <w:rFonts w:ascii="Calibri" w:eastAsia="Times New Roman" w:hAnsi="Calibri" w:cs="Calibri"/>
        </w:rPr>
        <w:t> </w:t>
      </w:r>
    </w:p>
    <w:p w14:paraId="5C128B6C" w14:textId="77777777" w:rsidR="00125F88" w:rsidRDefault="00513C43" w:rsidP="00513C43">
      <w:pPr>
        <w:spacing w:after="0" w:line="240" w:lineRule="auto"/>
        <w:textAlignment w:val="baseline"/>
        <w:rPr>
          <w:rFonts w:ascii="Calibri" w:eastAsia="Times New Roman" w:hAnsi="Calibri" w:cs="Calibri"/>
          <w:color w:val="FF0000"/>
        </w:rPr>
      </w:pPr>
      <w:r w:rsidRPr="0049306D">
        <w:rPr>
          <w:rFonts w:ascii="Calibri" w:eastAsia="Times New Roman" w:hAnsi="Calibri" w:cs="Calibri"/>
          <w:color w:val="FF0000"/>
        </w:rPr>
        <w:t>This measure has only one set of specifications.</w:t>
      </w:r>
    </w:p>
    <w:p w14:paraId="50E14CB5" w14:textId="3B80ED0B" w:rsidR="00513C43" w:rsidRDefault="00513C43" w:rsidP="00513C43">
      <w:pPr>
        <w:spacing w:after="0" w:line="240" w:lineRule="auto"/>
        <w:textAlignment w:val="baseline"/>
        <w:rPr>
          <w:rFonts w:ascii="Calibri" w:eastAsia="Times New Roman" w:hAnsi="Calibri" w:cs="Calibri"/>
        </w:rPr>
      </w:pPr>
      <w:r w:rsidRPr="0049306D">
        <w:rPr>
          <w:rFonts w:ascii="Calibri" w:eastAsia="Times New Roman" w:hAnsi="Calibri" w:cs="Calibri"/>
        </w:rPr>
        <w:t> </w:t>
      </w:r>
    </w:p>
    <w:p w14:paraId="0FAF30CC" w14:textId="77777777" w:rsidR="00125F88" w:rsidRPr="00F44DFA" w:rsidRDefault="00125F88" w:rsidP="00125F88">
      <w:pPr>
        <w:autoSpaceDE w:val="0"/>
        <w:autoSpaceDN w:val="0"/>
        <w:adjustRightInd w:val="0"/>
        <w:spacing w:after="0" w:line="240" w:lineRule="auto"/>
        <w:rPr>
          <w:rFonts w:cstheme="minorHAnsi"/>
          <w:b/>
          <w:color w:val="244061" w:themeColor="accent1" w:themeShade="80"/>
          <w:u w:val="single"/>
        </w:rPr>
      </w:pPr>
      <w:r w:rsidRPr="00F44DFA">
        <w:rPr>
          <w:rFonts w:cstheme="minorHAnsi"/>
          <w:b/>
          <w:color w:val="244061" w:themeColor="accent1" w:themeShade="80"/>
          <w:u w:val="single"/>
        </w:rPr>
        <w:t>2016 Submission:</w:t>
      </w:r>
    </w:p>
    <w:p w14:paraId="4EEFC372" w14:textId="77777777" w:rsidR="00125F88" w:rsidRPr="00F44DFA" w:rsidRDefault="00125F88" w:rsidP="00125F88">
      <w:pPr>
        <w:autoSpaceDE w:val="0"/>
        <w:autoSpaceDN w:val="0"/>
        <w:adjustRightInd w:val="0"/>
        <w:spacing w:after="0" w:line="240" w:lineRule="auto"/>
        <w:rPr>
          <w:rFonts w:cstheme="minorHAnsi"/>
          <w:bCs/>
          <w:color w:val="244061" w:themeColor="accent1" w:themeShade="80"/>
        </w:rPr>
      </w:pPr>
      <w:r w:rsidRPr="00F44DFA">
        <w:rPr>
          <w:rFonts w:cstheme="minorHAnsi"/>
          <w:bCs/>
          <w:color w:val="244061" w:themeColor="accent1" w:themeShade="80"/>
        </w:rPr>
        <w:t xml:space="preserve">N/A </w:t>
      </w:r>
    </w:p>
    <w:p w14:paraId="2FEB1437" w14:textId="77777777" w:rsidR="00DC6F68" w:rsidRDefault="00DC6F68" w:rsidP="00DB3627">
      <w:pPr>
        <w:autoSpaceDE w:val="0"/>
        <w:autoSpaceDN w:val="0"/>
        <w:adjustRightInd w:val="0"/>
        <w:spacing w:after="0" w:line="240" w:lineRule="auto"/>
        <w:rPr>
          <w:rFonts w:cstheme="minorHAnsi"/>
          <w:bCs/>
        </w:rPr>
      </w:pPr>
    </w:p>
    <w:p w14:paraId="0CABD018" w14:textId="77777777" w:rsidR="008F7E67" w:rsidRDefault="008F7E67" w:rsidP="008F7E67">
      <w:pPr>
        <w:spacing w:after="0" w:line="240" w:lineRule="auto"/>
        <w:rPr>
          <w:rFonts w:cstheme="minorHAnsi"/>
          <w:b/>
          <w:bCs/>
        </w:rPr>
      </w:pPr>
      <w:r>
        <w:rPr>
          <w:rFonts w:cstheme="minorHAnsi"/>
          <w:b/>
          <w:bCs/>
        </w:rPr>
        <w:t>_______________________________________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4D017D6D" w14:textId="77777777" w:rsidR="00906FB2" w:rsidRDefault="009C7513" w:rsidP="00906FB2">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p>
    <w:p w14:paraId="1EEEB24A" w14:textId="77777777" w:rsidR="00906FB2" w:rsidRDefault="00906FB2" w:rsidP="00906FB2">
      <w:pPr>
        <w:autoSpaceDE w:val="0"/>
        <w:autoSpaceDN w:val="0"/>
        <w:adjustRightInd w:val="0"/>
        <w:spacing w:after="0" w:line="240" w:lineRule="auto"/>
        <w:rPr>
          <w:rFonts w:cstheme="minorHAnsi"/>
          <w:bCs/>
        </w:rPr>
      </w:pPr>
    </w:p>
    <w:p w14:paraId="20C31126" w14:textId="77777777" w:rsidR="00AB58B0" w:rsidRPr="00F83B87" w:rsidRDefault="00AB58B0" w:rsidP="00AB58B0">
      <w:pPr>
        <w:pStyle w:val="paragraph"/>
        <w:spacing w:before="0" w:beforeAutospacing="0" w:after="0" w:afterAutospacing="0"/>
        <w:textAlignment w:val="baseline"/>
        <w:rPr>
          <w:rFonts w:ascii="Segoe UI" w:hAnsi="Segoe UI" w:cs="Segoe UI"/>
          <w:color w:val="FF0000"/>
          <w:sz w:val="18"/>
          <w:szCs w:val="18"/>
        </w:rPr>
      </w:pPr>
      <w:r w:rsidRPr="00F83B87">
        <w:rPr>
          <w:rStyle w:val="normaltextrun"/>
          <w:rFonts w:ascii="Calibri" w:hAnsi="Calibri" w:cs="Calibri"/>
          <w:b/>
          <w:bCs/>
          <w:color w:val="FF0000"/>
          <w:sz w:val="22"/>
          <w:szCs w:val="22"/>
          <w:u w:val="single"/>
        </w:rPr>
        <w:t>2020 Submission</w:t>
      </w:r>
      <w:r w:rsidRPr="00F83B87">
        <w:rPr>
          <w:rStyle w:val="eop"/>
          <w:rFonts w:ascii="Calibri" w:hAnsi="Calibri" w:cs="Calibri"/>
          <w:color w:val="FF0000"/>
          <w:sz w:val="22"/>
          <w:szCs w:val="22"/>
        </w:rPr>
        <w:t> </w:t>
      </w:r>
    </w:p>
    <w:p w14:paraId="76759F2A" w14:textId="77777777" w:rsidR="00AB58B0" w:rsidRPr="00D42C4F" w:rsidRDefault="00AB58B0" w:rsidP="00AB58B0">
      <w:pPr>
        <w:spacing w:after="0" w:line="240" w:lineRule="auto"/>
        <w:textAlignment w:val="baseline"/>
        <w:rPr>
          <w:rFonts w:ascii="Segoe UI" w:eastAsia="Times New Roman" w:hAnsi="Segoe UI" w:cs="Segoe UI"/>
          <w:sz w:val="18"/>
          <w:szCs w:val="18"/>
        </w:rPr>
      </w:pPr>
      <w:r w:rsidRPr="00D42C4F">
        <w:rPr>
          <w:rFonts w:ascii="Calibri" w:eastAsia="Times New Roman" w:hAnsi="Calibri" w:cs="Calibri"/>
          <w:color w:val="FF0000"/>
        </w:rPr>
        <w:t>HEDIS measures apply to enrolled members in a health plan, and NCQA has a rigorous audit process to ensure the eligible population and numerator events for each measure are correctly identified and reported. The audit process is designed to verify primary data sources used to populate measures and ensure specifications are correctly implemented.   </w:t>
      </w:r>
      <w:r w:rsidRPr="00D42C4F">
        <w:rPr>
          <w:rFonts w:ascii="Calibri" w:eastAsia="Times New Roman" w:hAnsi="Calibri" w:cs="Calibri"/>
        </w:rPr>
        <w:t> </w:t>
      </w:r>
    </w:p>
    <w:p w14:paraId="19680F96" w14:textId="77777777" w:rsidR="00AB58B0" w:rsidRDefault="00AB58B0" w:rsidP="00AB58B0">
      <w:pPr>
        <w:spacing w:after="0" w:line="240" w:lineRule="auto"/>
        <w:textAlignment w:val="baseline"/>
        <w:rPr>
          <w:rFonts w:ascii="Calibri" w:eastAsia="Times New Roman" w:hAnsi="Calibri" w:cs="Calibri"/>
          <w:color w:val="FF0000"/>
        </w:rPr>
      </w:pPr>
    </w:p>
    <w:p w14:paraId="482AB4C0" w14:textId="77777777" w:rsidR="00AB58B0" w:rsidRPr="00D42C4F" w:rsidRDefault="00AB58B0" w:rsidP="00AB58B0">
      <w:pPr>
        <w:spacing w:after="0" w:line="240" w:lineRule="auto"/>
        <w:textAlignment w:val="baseline"/>
        <w:rPr>
          <w:rFonts w:ascii="Segoe UI" w:eastAsia="Times New Roman" w:hAnsi="Segoe UI" w:cs="Segoe UI"/>
          <w:sz w:val="18"/>
          <w:szCs w:val="18"/>
        </w:rPr>
      </w:pPr>
      <w:r w:rsidRPr="00D42C4F">
        <w:rPr>
          <w:rFonts w:ascii="Calibri" w:eastAsia="Times New Roman" w:hAnsi="Calibri" w:cs="Calibri"/>
          <w:color w:val="FF0000"/>
        </w:rPr>
        <w:t>The HEDIS Compliance Audit addresses the following functions:    </w:t>
      </w:r>
      <w:r w:rsidRPr="00D42C4F">
        <w:rPr>
          <w:rFonts w:ascii="Calibri" w:eastAsia="Times New Roman" w:hAnsi="Calibri" w:cs="Calibri"/>
        </w:rPr>
        <w:t> </w:t>
      </w:r>
    </w:p>
    <w:p w14:paraId="2964F9A0" w14:textId="77777777" w:rsidR="00AB58B0" w:rsidRPr="006101E6" w:rsidRDefault="00AB58B0" w:rsidP="00AB58B0">
      <w:pPr>
        <w:pStyle w:val="ListParagraph"/>
        <w:numPr>
          <w:ilvl w:val="0"/>
          <w:numId w:val="35"/>
        </w:numPr>
        <w:spacing w:after="0" w:line="240" w:lineRule="auto"/>
        <w:textAlignment w:val="baseline"/>
        <w:rPr>
          <w:rFonts w:ascii="Segoe UI" w:eastAsia="Times New Roman" w:hAnsi="Segoe UI" w:cs="Segoe UI"/>
          <w:sz w:val="18"/>
          <w:szCs w:val="18"/>
        </w:rPr>
      </w:pPr>
      <w:r w:rsidRPr="006101E6">
        <w:rPr>
          <w:rFonts w:ascii="Calibri" w:eastAsia="Times New Roman" w:hAnsi="Calibri" w:cs="Calibri"/>
          <w:color w:val="FF0000"/>
        </w:rPr>
        <w:t>Information practices and control procedures   </w:t>
      </w:r>
      <w:r w:rsidRPr="006101E6">
        <w:rPr>
          <w:rFonts w:ascii="Calibri" w:eastAsia="Times New Roman" w:hAnsi="Calibri" w:cs="Calibri"/>
        </w:rPr>
        <w:t> </w:t>
      </w:r>
    </w:p>
    <w:p w14:paraId="21C93ABB" w14:textId="77777777" w:rsidR="00AB58B0" w:rsidRPr="006101E6" w:rsidRDefault="00AB58B0" w:rsidP="00AB58B0">
      <w:pPr>
        <w:pStyle w:val="ListParagraph"/>
        <w:numPr>
          <w:ilvl w:val="0"/>
          <w:numId w:val="35"/>
        </w:numPr>
        <w:spacing w:after="0" w:line="240" w:lineRule="auto"/>
        <w:textAlignment w:val="baseline"/>
        <w:rPr>
          <w:rFonts w:ascii="Segoe UI" w:eastAsia="Times New Roman" w:hAnsi="Segoe UI" w:cs="Segoe UI"/>
          <w:sz w:val="18"/>
          <w:szCs w:val="18"/>
        </w:rPr>
      </w:pPr>
      <w:r w:rsidRPr="006101E6">
        <w:rPr>
          <w:rFonts w:ascii="Calibri" w:eastAsia="Times New Roman" w:hAnsi="Calibri" w:cs="Calibri"/>
          <w:color w:val="FF0000"/>
        </w:rPr>
        <w:t>Sampling methods and procedures   </w:t>
      </w:r>
      <w:r w:rsidRPr="006101E6">
        <w:rPr>
          <w:rFonts w:ascii="Calibri" w:eastAsia="Times New Roman" w:hAnsi="Calibri" w:cs="Calibri"/>
        </w:rPr>
        <w:t> </w:t>
      </w:r>
    </w:p>
    <w:p w14:paraId="3FDED5F9" w14:textId="77777777" w:rsidR="00AB58B0" w:rsidRPr="006101E6" w:rsidRDefault="00AB58B0" w:rsidP="00AB58B0">
      <w:pPr>
        <w:pStyle w:val="ListParagraph"/>
        <w:numPr>
          <w:ilvl w:val="0"/>
          <w:numId w:val="35"/>
        </w:numPr>
        <w:spacing w:after="0" w:line="240" w:lineRule="auto"/>
        <w:textAlignment w:val="baseline"/>
        <w:rPr>
          <w:rFonts w:ascii="Segoe UI" w:eastAsia="Times New Roman" w:hAnsi="Segoe UI" w:cs="Segoe UI"/>
          <w:sz w:val="18"/>
          <w:szCs w:val="18"/>
        </w:rPr>
      </w:pPr>
      <w:r w:rsidRPr="006101E6">
        <w:rPr>
          <w:rFonts w:ascii="Calibri" w:eastAsia="Times New Roman" w:hAnsi="Calibri" w:cs="Calibri"/>
          <w:color w:val="FF0000"/>
        </w:rPr>
        <w:t>Data integrity   </w:t>
      </w:r>
      <w:r w:rsidRPr="006101E6">
        <w:rPr>
          <w:rFonts w:ascii="Calibri" w:eastAsia="Times New Roman" w:hAnsi="Calibri" w:cs="Calibri"/>
        </w:rPr>
        <w:t> </w:t>
      </w:r>
    </w:p>
    <w:p w14:paraId="62C39A94" w14:textId="77777777" w:rsidR="00AB58B0" w:rsidRPr="006101E6" w:rsidRDefault="00AB58B0" w:rsidP="00AB58B0">
      <w:pPr>
        <w:pStyle w:val="ListParagraph"/>
        <w:numPr>
          <w:ilvl w:val="0"/>
          <w:numId w:val="35"/>
        </w:numPr>
        <w:spacing w:after="0" w:line="240" w:lineRule="auto"/>
        <w:textAlignment w:val="baseline"/>
        <w:rPr>
          <w:rFonts w:ascii="Segoe UI" w:eastAsia="Times New Roman" w:hAnsi="Segoe UI" w:cs="Segoe UI"/>
          <w:sz w:val="18"/>
          <w:szCs w:val="18"/>
        </w:rPr>
      </w:pPr>
      <w:r w:rsidRPr="006101E6">
        <w:rPr>
          <w:rFonts w:ascii="Calibri" w:eastAsia="Times New Roman" w:hAnsi="Calibri" w:cs="Calibri"/>
          <w:color w:val="FF0000"/>
        </w:rPr>
        <w:t>Compliance with HEDIS specifications   </w:t>
      </w:r>
      <w:r w:rsidRPr="006101E6">
        <w:rPr>
          <w:rFonts w:ascii="Calibri" w:eastAsia="Times New Roman" w:hAnsi="Calibri" w:cs="Calibri"/>
        </w:rPr>
        <w:t> </w:t>
      </w:r>
    </w:p>
    <w:p w14:paraId="23E338A0" w14:textId="77777777" w:rsidR="00AB58B0" w:rsidRPr="00AB58B0" w:rsidRDefault="00AB58B0" w:rsidP="00AB58B0">
      <w:pPr>
        <w:pStyle w:val="ListParagraph"/>
        <w:numPr>
          <w:ilvl w:val="0"/>
          <w:numId w:val="35"/>
        </w:numPr>
        <w:spacing w:after="0" w:line="240" w:lineRule="auto"/>
        <w:textAlignment w:val="baseline"/>
        <w:rPr>
          <w:rFonts w:ascii="Segoe UI" w:eastAsia="Times New Roman" w:hAnsi="Segoe UI" w:cs="Segoe UI"/>
          <w:sz w:val="18"/>
          <w:szCs w:val="18"/>
        </w:rPr>
      </w:pPr>
      <w:r w:rsidRPr="006101E6">
        <w:rPr>
          <w:rFonts w:ascii="Calibri" w:eastAsia="Times New Roman" w:hAnsi="Calibri" w:cs="Calibri"/>
          <w:color w:val="FF0000"/>
        </w:rPr>
        <w:t>Analytic file production    </w:t>
      </w:r>
      <w:r w:rsidRPr="006101E6">
        <w:rPr>
          <w:rFonts w:ascii="Calibri" w:eastAsia="Times New Roman" w:hAnsi="Calibri" w:cs="Calibri"/>
        </w:rPr>
        <w:t> </w:t>
      </w:r>
    </w:p>
    <w:p w14:paraId="20482695" w14:textId="77777777" w:rsidR="00AB58B0" w:rsidRPr="00AB58B0" w:rsidRDefault="00AB58B0" w:rsidP="00AB58B0">
      <w:pPr>
        <w:pStyle w:val="ListParagraph"/>
        <w:numPr>
          <w:ilvl w:val="0"/>
          <w:numId w:val="35"/>
        </w:numPr>
        <w:spacing w:after="0" w:line="240" w:lineRule="auto"/>
        <w:textAlignment w:val="baseline"/>
        <w:rPr>
          <w:rFonts w:ascii="Segoe UI" w:eastAsia="Times New Roman" w:hAnsi="Segoe UI" w:cs="Segoe UI"/>
          <w:sz w:val="18"/>
          <w:szCs w:val="18"/>
        </w:rPr>
      </w:pPr>
      <w:r w:rsidRPr="00AB58B0">
        <w:rPr>
          <w:rFonts w:ascii="Calibri" w:eastAsia="Times New Roman" w:hAnsi="Calibri" w:cs="Calibri"/>
          <w:color w:val="FF0000"/>
        </w:rPr>
        <w:t>Reporting and documentation  </w:t>
      </w:r>
      <w:r w:rsidRPr="00AB58B0">
        <w:rPr>
          <w:rFonts w:ascii="Calibri" w:eastAsia="Times New Roman" w:hAnsi="Calibri" w:cs="Calibri"/>
        </w:rPr>
        <w:t> </w:t>
      </w:r>
    </w:p>
    <w:p w14:paraId="2E098BE6" w14:textId="77777777" w:rsidR="00AB58B0" w:rsidRDefault="00AB58B0" w:rsidP="00AB58B0">
      <w:pPr>
        <w:spacing w:after="0" w:line="240" w:lineRule="auto"/>
        <w:textAlignment w:val="baseline"/>
        <w:rPr>
          <w:rFonts w:cstheme="minorHAnsi"/>
          <w:bCs/>
        </w:rPr>
      </w:pPr>
    </w:p>
    <w:p w14:paraId="089526B0" w14:textId="3F48C1A2" w:rsidR="00906FB2" w:rsidRPr="00AB58B0" w:rsidRDefault="00906FB2" w:rsidP="00AB58B0">
      <w:pPr>
        <w:spacing w:after="0" w:line="240" w:lineRule="auto"/>
        <w:textAlignment w:val="baseline"/>
        <w:rPr>
          <w:rFonts w:ascii="Segoe UI" w:eastAsia="Times New Roman" w:hAnsi="Segoe UI" w:cs="Segoe UI"/>
          <w:sz w:val="18"/>
          <w:szCs w:val="18"/>
        </w:rPr>
      </w:pPr>
      <w:r w:rsidRPr="00AB58B0">
        <w:rPr>
          <w:rFonts w:cstheme="minorHAnsi"/>
          <w:b/>
          <w:color w:val="244061" w:themeColor="accent1" w:themeShade="80"/>
          <w:u w:val="single"/>
        </w:rPr>
        <w:t>2016 Submission:</w:t>
      </w:r>
    </w:p>
    <w:p w14:paraId="5CF9EFF3" w14:textId="77777777" w:rsidR="00906FB2" w:rsidRPr="00F44DFA" w:rsidRDefault="00906FB2" w:rsidP="00906FB2">
      <w:pPr>
        <w:autoSpaceDE w:val="0"/>
        <w:autoSpaceDN w:val="0"/>
        <w:adjustRightInd w:val="0"/>
        <w:spacing w:after="0" w:line="240" w:lineRule="auto"/>
        <w:rPr>
          <w:rFonts w:cstheme="minorHAnsi"/>
          <w:bCs/>
          <w:color w:val="244061" w:themeColor="accent1" w:themeShade="80"/>
        </w:rPr>
      </w:pPr>
      <w:r w:rsidRPr="00F44DFA">
        <w:rPr>
          <w:rFonts w:eastAsia="Times New Roman" w:cs="Calibri"/>
          <w:bCs/>
          <w:color w:val="244061" w:themeColor="accent1" w:themeShade="80"/>
        </w:rPr>
        <w:t>Plans collect this measure using all administrative data sources. NCQA’s audit process checks that plans’ measure calculations are not biased due to missing data.</w:t>
      </w:r>
    </w:p>
    <w:p w14:paraId="0CABD01B" w14:textId="7B771816" w:rsidR="008F7E67" w:rsidRPr="00A25024" w:rsidRDefault="008F7E67" w:rsidP="008F7E67">
      <w:pPr>
        <w:autoSpaceDE w:val="0"/>
        <w:autoSpaceDN w:val="0"/>
        <w:adjustRightInd w:val="0"/>
        <w:spacing w:after="0" w:line="240" w:lineRule="auto"/>
        <w:rPr>
          <w:rFonts w:cstheme="minorHAnsi"/>
          <w:bCs/>
        </w:rPr>
      </w:pPr>
    </w:p>
    <w:p w14:paraId="0CABD01C" w14:textId="77777777" w:rsidR="008F7E67" w:rsidRPr="009D3882" w:rsidRDefault="008F7E67" w:rsidP="008F7E67">
      <w:pPr>
        <w:pStyle w:val="ListParagraph"/>
        <w:autoSpaceDE w:val="0"/>
        <w:autoSpaceDN w:val="0"/>
        <w:adjustRightInd w:val="0"/>
        <w:spacing w:after="0" w:line="240" w:lineRule="auto"/>
        <w:ind w:left="0"/>
        <w:rPr>
          <w:rFonts w:cstheme="minorHAnsi"/>
          <w:bCs/>
          <w:sz w:val="18"/>
        </w:rPr>
      </w:pPr>
    </w:p>
    <w:p w14:paraId="0CABD01D" w14:textId="4E3B588A" w:rsidR="008F7E67"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p>
    <w:p w14:paraId="279D3E2F" w14:textId="77777777" w:rsidR="00E01C01" w:rsidRPr="00E01C01" w:rsidRDefault="0041469D" w:rsidP="00E01C01">
      <w:pPr>
        <w:autoSpaceDE w:val="0"/>
        <w:autoSpaceDN w:val="0"/>
        <w:adjustRightInd w:val="0"/>
        <w:rPr>
          <w:rFonts w:cstheme="minorHAnsi"/>
          <w:b/>
          <w:bCs/>
          <w:color w:val="FF0000"/>
          <w:u w:val="single"/>
        </w:rPr>
      </w:pPr>
      <w:r w:rsidRPr="006E655D">
        <w:rPr>
          <w:rFonts w:cstheme="minorHAnsi"/>
          <w:b/>
          <w:bCs/>
          <w:color w:val="FF0000"/>
          <w:u w:val="single"/>
        </w:rPr>
        <w:t xml:space="preserve">2020 Submission: </w:t>
      </w:r>
      <w:r w:rsidR="00E01C01" w:rsidRPr="00E01C01">
        <w:rPr>
          <w:rFonts w:cstheme="minorHAnsi"/>
          <w:b/>
          <w:bCs/>
          <w:color w:val="FF0000"/>
          <w:u w:val="single"/>
        </w:rPr>
        <w:t>2020 Submission </w:t>
      </w:r>
    </w:p>
    <w:p w14:paraId="56676418" w14:textId="77777777" w:rsidR="00E01C01" w:rsidRPr="00E01C01" w:rsidRDefault="00E01C01" w:rsidP="00E01C01">
      <w:pPr>
        <w:autoSpaceDE w:val="0"/>
        <w:autoSpaceDN w:val="0"/>
        <w:adjustRightInd w:val="0"/>
        <w:spacing w:after="0" w:line="240" w:lineRule="auto"/>
        <w:rPr>
          <w:rFonts w:cstheme="minorHAnsi"/>
          <w:color w:val="FF0000"/>
        </w:rPr>
      </w:pPr>
      <w:r w:rsidRPr="00E01C01">
        <w:rPr>
          <w:rFonts w:cstheme="minorHAnsi"/>
          <w:color w:val="FF0000"/>
        </w:rPr>
        <w:t>HEDIS addresses missing data in a structured way through its audit process. HEDIS measures apply to enrolled members in a health plan, and NCQA-certified auditors use standard audit methodologies to assess whether data sources are missing data. If a data source is found to be missing data, and the issues cannot be rectified, the auditor will assign a “materially biased” designation to the measure for that reporting plan, and the rate will not be used. Once measures are added to HEDIS, NCQA conducts a first-year analysis to assess the feasibility of the measure when widely implemented in the field. This analysis includes an assessment of how many plans report valid rates vs. rates that are materially biased (or have other issues, such as small denominators). These considerations are weighed in the deliberation process before measures are approved for public reporting.</w:t>
      </w:r>
    </w:p>
    <w:p w14:paraId="5ECAF5EB" w14:textId="5777D072" w:rsidR="0041469D" w:rsidRDefault="0041469D" w:rsidP="0041469D">
      <w:pPr>
        <w:autoSpaceDE w:val="0"/>
        <w:autoSpaceDN w:val="0"/>
        <w:adjustRightInd w:val="0"/>
        <w:spacing w:after="0" w:line="240" w:lineRule="auto"/>
        <w:rPr>
          <w:rFonts w:cstheme="minorHAnsi"/>
          <w:b/>
          <w:color w:val="244061" w:themeColor="accent1" w:themeShade="80"/>
          <w:u w:val="single"/>
        </w:rPr>
      </w:pPr>
    </w:p>
    <w:p w14:paraId="2B491489" w14:textId="77777777" w:rsidR="0041469D" w:rsidRPr="00F44DFA" w:rsidRDefault="0041469D" w:rsidP="0041469D">
      <w:pPr>
        <w:autoSpaceDE w:val="0"/>
        <w:autoSpaceDN w:val="0"/>
        <w:adjustRightInd w:val="0"/>
        <w:spacing w:after="0" w:line="240" w:lineRule="auto"/>
        <w:rPr>
          <w:rFonts w:cstheme="minorHAnsi"/>
          <w:b/>
          <w:color w:val="244061" w:themeColor="accent1" w:themeShade="80"/>
          <w:u w:val="single"/>
        </w:rPr>
      </w:pPr>
      <w:r w:rsidRPr="00F44DFA">
        <w:rPr>
          <w:rFonts w:cstheme="minorHAnsi"/>
          <w:b/>
          <w:color w:val="244061" w:themeColor="accent1" w:themeShade="80"/>
          <w:u w:val="single"/>
        </w:rPr>
        <w:t>2016 Submission:</w:t>
      </w:r>
    </w:p>
    <w:p w14:paraId="2DA58F48" w14:textId="77777777" w:rsidR="0041469D" w:rsidRPr="00F44DFA" w:rsidRDefault="0041469D" w:rsidP="0041469D">
      <w:pPr>
        <w:autoSpaceDE w:val="0"/>
        <w:autoSpaceDN w:val="0"/>
        <w:adjustRightInd w:val="0"/>
        <w:spacing w:after="0" w:line="240" w:lineRule="auto"/>
        <w:rPr>
          <w:rFonts w:cstheme="minorHAnsi"/>
          <w:bCs/>
          <w:color w:val="244061" w:themeColor="accent1" w:themeShade="80"/>
        </w:rPr>
      </w:pPr>
      <w:r w:rsidRPr="00F44DFA">
        <w:rPr>
          <w:rFonts w:eastAsia="Times New Roman" w:cs="Calibri"/>
          <w:bCs/>
          <w:color w:val="244061" w:themeColor="accent1" w:themeShade="80"/>
        </w:rPr>
        <w:t>Plans collect this measure using all administrative data sources. NCQA’s audit process checks that plans’ measure calculations are not biased due to missing data.</w:t>
      </w:r>
    </w:p>
    <w:p w14:paraId="437689E2" w14:textId="77777777" w:rsidR="0041469D" w:rsidRPr="00753C06" w:rsidRDefault="0041469D" w:rsidP="0041469D">
      <w:pPr>
        <w:autoSpaceDE w:val="0"/>
        <w:autoSpaceDN w:val="0"/>
        <w:adjustRightInd w:val="0"/>
        <w:spacing w:after="0" w:line="240" w:lineRule="auto"/>
        <w:rPr>
          <w:rFonts w:cstheme="minorHAnsi"/>
          <w:bCs/>
        </w:rPr>
      </w:pPr>
    </w:p>
    <w:p w14:paraId="55C0921A" w14:textId="77777777" w:rsidR="0041469D" w:rsidRDefault="0041469D" w:rsidP="008F7E67">
      <w:pPr>
        <w:autoSpaceDE w:val="0"/>
        <w:autoSpaceDN w:val="0"/>
        <w:adjustRightInd w:val="0"/>
        <w:spacing w:after="0" w:line="240" w:lineRule="auto"/>
        <w:rPr>
          <w:rFonts w:cstheme="minorHAnsi"/>
          <w:bCs/>
        </w:rPr>
      </w:pPr>
    </w:p>
    <w:p w14:paraId="0CABD01E" w14:textId="77777777" w:rsidR="008F7E67" w:rsidRPr="00E1508F" w:rsidRDefault="008F7E67" w:rsidP="008F7E67">
      <w:pPr>
        <w:autoSpaceDE w:val="0"/>
        <w:autoSpaceDN w:val="0"/>
        <w:adjustRightInd w:val="0"/>
        <w:spacing w:after="0" w:line="240" w:lineRule="auto"/>
        <w:rPr>
          <w:rFonts w:cstheme="minorHAnsi"/>
          <w:bCs/>
        </w:rPr>
      </w:pPr>
    </w:p>
    <w:p w14:paraId="0CABD01F" w14:textId="1851BD9F" w:rsidR="008B604D"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r w:rsidR="008F7E67"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2CBDC3ED" w14:textId="77777777" w:rsidR="00FD2547" w:rsidRDefault="00FD2547" w:rsidP="00FD2547">
      <w:pPr>
        <w:pStyle w:val="paragraph"/>
        <w:spacing w:before="0" w:beforeAutospacing="0" w:after="0" w:afterAutospacing="0"/>
        <w:textAlignment w:val="baseline"/>
        <w:rPr>
          <w:rStyle w:val="normaltextrun"/>
          <w:rFonts w:ascii="Calibri" w:hAnsi="Calibri" w:cs="Calibri"/>
          <w:b/>
          <w:bCs/>
          <w:color w:val="FF0000"/>
          <w:sz w:val="22"/>
          <w:szCs w:val="22"/>
          <w:u w:val="single"/>
        </w:rPr>
      </w:pPr>
    </w:p>
    <w:p w14:paraId="164D3BD6" w14:textId="378CB9B9" w:rsidR="00FD2547" w:rsidRPr="00F83B87" w:rsidRDefault="00FD2547" w:rsidP="00FD2547">
      <w:pPr>
        <w:pStyle w:val="paragraph"/>
        <w:spacing w:before="0" w:beforeAutospacing="0" w:after="0" w:afterAutospacing="0"/>
        <w:textAlignment w:val="baseline"/>
        <w:rPr>
          <w:rFonts w:ascii="Segoe UI" w:hAnsi="Segoe UI" w:cs="Segoe UI"/>
          <w:color w:val="FF0000"/>
          <w:sz w:val="18"/>
          <w:szCs w:val="18"/>
        </w:rPr>
      </w:pPr>
      <w:r w:rsidRPr="00F83B87">
        <w:rPr>
          <w:rStyle w:val="normaltextrun"/>
          <w:rFonts w:ascii="Calibri" w:hAnsi="Calibri" w:cs="Calibri"/>
          <w:b/>
          <w:bCs/>
          <w:color w:val="FF0000"/>
          <w:sz w:val="22"/>
          <w:szCs w:val="22"/>
          <w:u w:val="single"/>
        </w:rPr>
        <w:t>2020 Submission</w:t>
      </w:r>
      <w:r w:rsidRPr="00F83B87">
        <w:rPr>
          <w:rStyle w:val="eop"/>
          <w:rFonts w:ascii="Calibri" w:hAnsi="Calibri" w:cs="Calibri"/>
          <w:color w:val="FF0000"/>
          <w:sz w:val="22"/>
          <w:szCs w:val="22"/>
        </w:rPr>
        <w:t> </w:t>
      </w:r>
    </w:p>
    <w:p w14:paraId="418FDEF8" w14:textId="77777777" w:rsidR="005D0F62" w:rsidRPr="008A4A45" w:rsidRDefault="005D0F62" w:rsidP="005D0F62">
      <w:pPr>
        <w:spacing w:after="0" w:line="240" w:lineRule="auto"/>
        <w:textAlignment w:val="baseline"/>
        <w:rPr>
          <w:rFonts w:ascii="&amp;quot" w:eastAsia="Times New Roman" w:hAnsi="&amp;quot" w:cs="Times New Roman"/>
          <w:color w:val="FF0000"/>
          <w:sz w:val="18"/>
          <w:szCs w:val="18"/>
        </w:rPr>
      </w:pPr>
      <w:r w:rsidRPr="008A4A45">
        <w:rPr>
          <w:rFonts w:ascii="Calibri" w:eastAsia="Times New Roman" w:hAnsi="Calibri" w:cs="Calibri"/>
          <w:color w:val="FF0000"/>
        </w:rPr>
        <w:t>This measure goes through the NCQA audit process each year to identify potential errors or bias in results. Only performances rates that have been reviewed and determined not to be “materially biased” are reported and used.   </w:t>
      </w:r>
    </w:p>
    <w:p w14:paraId="2C9DD072" w14:textId="77777777" w:rsidR="00FD2547" w:rsidRDefault="00FD2547" w:rsidP="00FD2547">
      <w:pPr>
        <w:autoSpaceDE w:val="0"/>
        <w:autoSpaceDN w:val="0"/>
        <w:adjustRightInd w:val="0"/>
        <w:spacing w:after="0" w:line="240" w:lineRule="auto"/>
        <w:rPr>
          <w:rFonts w:eastAsia="Times New Roman" w:cs="Calibri"/>
          <w:bCs/>
          <w:i/>
          <w:color w:val="FF0000"/>
        </w:rPr>
      </w:pPr>
    </w:p>
    <w:p w14:paraId="3F827C3B" w14:textId="77777777" w:rsidR="007F057D" w:rsidRPr="00F44DFA" w:rsidRDefault="007F057D" w:rsidP="007F057D">
      <w:pPr>
        <w:autoSpaceDE w:val="0"/>
        <w:autoSpaceDN w:val="0"/>
        <w:adjustRightInd w:val="0"/>
        <w:spacing w:after="0" w:line="240" w:lineRule="auto"/>
        <w:rPr>
          <w:rFonts w:cstheme="minorHAnsi"/>
          <w:b/>
          <w:color w:val="244061" w:themeColor="accent1" w:themeShade="80"/>
          <w:u w:val="single"/>
        </w:rPr>
      </w:pPr>
      <w:r w:rsidRPr="00F44DFA">
        <w:rPr>
          <w:rFonts w:cstheme="minorHAnsi"/>
          <w:b/>
          <w:color w:val="244061" w:themeColor="accent1" w:themeShade="80"/>
          <w:u w:val="single"/>
        </w:rPr>
        <w:t>2016 Submission:</w:t>
      </w:r>
    </w:p>
    <w:p w14:paraId="0BE4AC58" w14:textId="77777777" w:rsidR="007F057D" w:rsidRPr="00F44DFA" w:rsidRDefault="007F057D" w:rsidP="007F057D">
      <w:pPr>
        <w:autoSpaceDE w:val="0"/>
        <w:autoSpaceDN w:val="0"/>
        <w:adjustRightInd w:val="0"/>
        <w:spacing w:after="0" w:line="240" w:lineRule="auto"/>
        <w:rPr>
          <w:rFonts w:cstheme="minorHAnsi"/>
          <w:bCs/>
          <w:color w:val="244061" w:themeColor="accent1" w:themeShade="80"/>
        </w:rPr>
      </w:pPr>
      <w:r w:rsidRPr="00F44DFA">
        <w:rPr>
          <w:rFonts w:eastAsia="Times New Roman" w:cs="Calibri"/>
          <w:bCs/>
          <w:color w:val="244061" w:themeColor="accent1" w:themeShade="80"/>
        </w:rPr>
        <w:t>Plans collect this measure using all administrative data sources. NCQA’s audit process checks that plans’ measure calculations are not biased due to missing data.</w:t>
      </w:r>
    </w:p>
    <w:p w14:paraId="5EB45554" w14:textId="77777777" w:rsidR="007F057D" w:rsidRPr="00753C06" w:rsidRDefault="007F057D" w:rsidP="007F057D">
      <w:pPr>
        <w:autoSpaceDE w:val="0"/>
        <w:autoSpaceDN w:val="0"/>
        <w:adjustRightInd w:val="0"/>
        <w:spacing w:after="0" w:line="240" w:lineRule="auto"/>
        <w:rPr>
          <w:rFonts w:cstheme="minorHAnsi"/>
          <w:bCs/>
          <w:color w:val="FF0000"/>
        </w:rPr>
      </w:pPr>
    </w:p>
    <w:p w14:paraId="0CABD020" w14:textId="77777777" w:rsidR="00BA053B" w:rsidRPr="005560E7" w:rsidRDefault="00BA053B">
      <w:pPr>
        <w:autoSpaceDE w:val="0"/>
        <w:autoSpaceDN w:val="0"/>
        <w:adjustRightInd w:val="0"/>
        <w:spacing w:after="0" w:line="240" w:lineRule="auto"/>
        <w:rPr>
          <w:rFonts w:cstheme="minorHAnsi"/>
          <w:bCs/>
        </w:rPr>
      </w:pPr>
    </w:p>
    <w:sectPr w:rsidR="00BA053B" w:rsidRPr="005560E7" w:rsidSect="008505D1">
      <w:headerReference w:type="default" r:id="rId21"/>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D1611B" w14:textId="77777777" w:rsidR="00BF0180" w:rsidRDefault="00BF0180" w:rsidP="005C73CA">
      <w:pPr>
        <w:spacing w:after="0" w:line="240" w:lineRule="auto"/>
      </w:pPr>
      <w:r>
        <w:separator/>
      </w:r>
    </w:p>
  </w:endnote>
  <w:endnote w:type="continuationSeparator" w:id="0">
    <w:p w14:paraId="4C0A515A" w14:textId="77777777" w:rsidR="00BF0180" w:rsidRDefault="00BF0180" w:rsidP="005C73CA">
      <w:pPr>
        <w:spacing w:after="0" w:line="240" w:lineRule="auto"/>
      </w:pPr>
      <w:r>
        <w:continuationSeparator/>
      </w:r>
    </w:p>
  </w:endnote>
  <w:endnote w:type="continuationNotice" w:id="1">
    <w:p w14:paraId="1D8E0E3F" w14:textId="77777777" w:rsidR="00BF0180" w:rsidRDefault="00BF01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mp;quot">
    <w:altName w:val="Cambria"/>
    <w:panose1 w:val="00000000000000000000"/>
    <w:charset w:val="00"/>
    <w:family w:val="roman"/>
    <w:notTrueType/>
    <w:pitch w:val="default"/>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ABD026" w14:textId="0ECAE404" w:rsidR="00A64EBF" w:rsidRDefault="000C0FF8">
    <w:pPr>
      <w:pStyle w:val="Footer"/>
    </w:pPr>
    <w:r>
      <w:t xml:space="preserve">Version </w:t>
    </w:r>
    <w:r w:rsidR="00450C58">
      <w:t>7</w:t>
    </w:r>
    <w:r>
      <w:t>.</w:t>
    </w:r>
    <w:r w:rsidR="00D369E9">
      <w:t>1</w:t>
    </w:r>
    <w:r>
      <w:t xml:space="preserve"> </w:t>
    </w:r>
    <w:r w:rsidR="00C775CE">
      <w:t>9/6</w:t>
    </w:r>
    <w:r>
      <w:t>/</w:t>
    </w:r>
    <w:r w:rsidR="00537C1B">
      <w:t>20</w:t>
    </w:r>
    <w:r w:rsidR="00F1412B">
      <w:t>1</w:t>
    </w:r>
    <w:r w:rsidR="00D369E9">
      <w:t>7</w:t>
    </w:r>
    <w:r w:rsidR="00193F21">
      <w:ptab w:relativeTo="margin" w:alignment="right" w:leader="none"/>
    </w:r>
    <w:r w:rsidR="00193F21">
      <w:fldChar w:fldCharType="begin"/>
    </w:r>
    <w:r w:rsidR="00193F21">
      <w:instrText xml:space="preserve"> PAGE   \* MERGEFORMAT </w:instrText>
    </w:r>
    <w:r w:rsidR="00193F21">
      <w:fldChar w:fldCharType="separate"/>
    </w:r>
    <w:r w:rsidR="005D2579">
      <w:rPr>
        <w:noProof/>
      </w:rPr>
      <w:t>1</w:t>
    </w:r>
    <w:r w:rsidR="00193F21">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12668E" w14:textId="77777777" w:rsidR="00BF0180" w:rsidRDefault="00BF0180" w:rsidP="005C73CA">
      <w:pPr>
        <w:spacing w:after="0" w:line="240" w:lineRule="auto"/>
      </w:pPr>
      <w:r>
        <w:separator/>
      </w:r>
    </w:p>
  </w:footnote>
  <w:footnote w:type="continuationSeparator" w:id="0">
    <w:p w14:paraId="26EA7FA6" w14:textId="77777777" w:rsidR="00BF0180" w:rsidRDefault="00BF0180" w:rsidP="005C73CA">
      <w:pPr>
        <w:spacing w:after="0" w:line="240" w:lineRule="auto"/>
      </w:pPr>
      <w:r>
        <w:continuationSeparator/>
      </w:r>
    </w:p>
  </w:footnote>
  <w:footnote w:type="continuationNotice" w:id="1">
    <w:p w14:paraId="7AB4C620" w14:textId="77777777" w:rsidR="00BF0180" w:rsidRDefault="00BF018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ABD025" w14:textId="77777777" w:rsidR="00A64EBF" w:rsidRPr="00105D8B" w:rsidRDefault="00A64EBF"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464811"/>
    <w:multiLevelType w:val="hybridMultilevel"/>
    <w:tmpl w:val="F2EAC4DE"/>
    <w:lvl w:ilvl="0" w:tplc="31DC16DA">
      <w:start w:val="1"/>
      <w:numFmt w:val="decimal"/>
      <w:lvlText w:val="%1."/>
      <w:lvlJc w:val="left"/>
      <w:pPr>
        <w:ind w:left="720" w:hanging="360"/>
      </w:pPr>
      <w:rPr>
        <w:sz w:val="22"/>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74B5710"/>
    <w:multiLevelType w:val="hybridMultilevel"/>
    <w:tmpl w:val="A92A6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3313E46"/>
    <w:multiLevelType w:val="hybridMultilevel"/>
    <w:tmpl w:val="60A4D546"/>
    <w:lvl w:ilvl="0" w:tplc="78802EB4">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4817C64"/>
    <w:multiLevelType w:val="multilevel"/>
    <w:tmpl w:val="C778D9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5C1989"/>
    <w:multiLevelType w:val="hybridMultilevel"/>
    <w:tmpl w:val="5E0C48FE"/>
    <w:lvl w:ilvl="0" w:tplc="C0B80D94">
      <w:start w:val="1"/>
      <w:numFmt w:val="decimal"/>
      <w:lvlText w:val="%1."/>
      <w:lvlJc w:val="left"/>
      <w:pPr>
        <w:ind w:left="720" w:hanging="72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1"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291742"/>
    <w:multiLevelType w:val="hybridMultilevel"/>
    <w:tmpl w:val="99BEB03E"/>
    <w:lvl w:ilvl="0" w:tplc="0B948BBE">
      <w:start w:val="2020"/>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5310A87"/>
    <w:multiLevelType w:val="hybridMultilevel"/>
    <w:tmpl w:val="006444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DF1332E"/>
    <w:multiLevelType w:val="hybridMultilevel"/>
    <w:tmpl w:val="1CC07620"/>
    <w:lvl w:ilvl="0" w:tplc="B0BA5890">
      <w:start w:val="5"/>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74754DA"/>
    <w:multiLevelType w:val="hybridMultilevel"/>
    <w:tmpl w:val="47CA7982"/>
    <w:lvl w:ilvl="0" w:tplc="E3943BDE">
      <w:start w:val="1"/>
      <w:numFmt w:val="decimal"/>
      <w:lvlText w:val="%1."/>
      <w:lvlJc w:val="left"/>
      <w:pPr>
        <w:ind w:left="720" w:hanging="360"/>
      </w:pPr>
      <w:rPr>
        <w:sz w:val="22"/>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67DA7483"/>
    <w:multiLevelType w:val="multilevel"/>
    <w:tmpl w:val="E3664BDA"/>
    <w:lvl w:ilvl="0">
      <w:start w:val="1"/>
      <w:numFmt w:val="decimal"/>
      <w:lvlText w:val="%1."/>
      <w:lvlJc w:val="left"/>
      <w:pPr>
        <w:tabs>
          <w:tab w:val="num" w:pos="720"/>
        </w:tabs>
        <w:ind w:left="720" w:hanging="360"/>
      </w:pPr>
    </w:lvl>
    <w:lvl w:ilvl="1">
      <w:start w:val="30"/>
      <w:numFmt w:val="decimal"/>
      <w:lvlText w:val="%2."/>
      <w:lvlJc w:val="left"/>
      <w:pPr>
        <w:ind w:left="1440" w:hanging="360"/>
      </w:pPr>
      <w:rPr>
        <w:rFonts w:ascii="Calibri" w:eastAsia="Times New Roman" w:hAnsi="Calibri" w:cs="Calibri" w:hint="default"/>
        <w:color w:val="FF000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7D2AC2"/>
    <w:multiLevelType w:val="multilevel"/>
    <w:tmpl w:val="3E720BE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C0466AA"/>
    <w:multiLevelType w:val="hybridMultilevel"/>
    <w:tmpl w:val="D7D6A8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4"/>
  </w:num>
  <w:num w:numId="3">
    <w:abstractNumId w:val="3"/>
  </w:num>
  <w:num w:numId="4">
    <w:abstractNumId w:val="6"/>
  </w:num>
  <w:num w:numId="5">
    <w:abstractNumId w:val="2"/>
  </w:num>
  <w:num w:numId="6">
    <w:abstractNumId w:val="1"/>
  </w:num>
  <w:num w:numId="7">
    <w:abstractNumId w:val="4"/>
  </w:num>
  <w:num w:numId="8">
    <w:abstractNumId w:val="27"/>
  </w:num>
  <w:num w:numId="9">
    <w:abstractNumId w:val="13"/>
  </w:num>
  <w:num w:numId="10">
    <w:abstractNumId w:val="34"/>
  </w:num>
  <w:num w:numId="11">
    <w:abstractNumId w:val="15"/>
  </w:num>
  <w:num w:numId="12">
    <w:abstractNumId w:val="31"/>
  </w:num>
  <w:num w:numId="13">
    <w:abstractNumId w:val="24"/>
  </w:num>
  <w:num w:numId="14">
    <w:abstractNumId w:val="24"/>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3"/>
  </w:num>
  <w:num w:numId="16">
    <w:abstractNumId w:val="10"/>
  </w:num>
  <w:num w:numId="17">
    <w:abstractNumId w:val="33"/>
  </w:num>
  <w:num w:numId="18">
    <w:abstractNumId w:val="29"/>
  </w:num>
  <w:num w:numId="19">
    <w:abstractNumId w:val="28"/>
  </w:num>
  <w:num w:numId="20">
    <w:abstractNumId w:val="21"/>
  </w:num>
  <w:num w:numId="21">
    <w:abstractNumId w:val="25"/>
  </w:num>
  <w:num w:numId="22">
    <w:abstractNumId w:val="19"/>
  </w:num>
  <w:num w:numId="23">
    <w:abstractNumId w:val="9"/>
  </w:num>
  <w:num w:numId="24">
    <w:abstractNumId w:val="17"/>
  </w:num>
  <w:num w:numId="25">
    <w:abstractNumId w:val="16"/>
  </w:num>
  <w:num w:numId="26">
    <w:abstractNumId w:val="37"/>
  </w:num>
  <w:num w:numId="27">
    <w:abstractNumId w:val="0"/>
  </w:num>
  <w:num w:numId="28">
    <w:abstractNumId w:val="12"/>
  </w:num>
  <w:num w:numId="29">
    <w:abstractNumId w:val="22"/>
  </w:num>
  <w:num w:numId="30">
    <w:abstractNumId w:val="36"/>
  </w:num>
  <w:num w:numId="31">
    <w:abstractNumId w:val="18"/>
  </w:num>
  <w:num w:numId="32">
    <w:abstractNumId w:val="8"/>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30"/>
  </w:num>
  <w:num w:numId="37">
    <w:abstractNumId w:val="32"/>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num>
  <w:num w:numId="40">
    <w:abstractNumId w:val="39"/>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trackRevisions/>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03A"/>
    <w:rsid w:val="00001D73"/>
    <w:rsid w:val="00003469"/>
    <w:rsid w:val="00006DBD"/>
    <w:rsid w:val="0001094F"/>
    <w:rsid w:val="000111F1"/>
    <w:rsid w:val="00014A26"/>
    <w:rsid w:val="00014BC8"/>
    <w:rsid w:val="0001555C"/>
    <w:rsid w:val="0001565F"/>
    <w:rsid w:val="0001720C"/>
    <w:rsid w:val="00020453"/>
    <w:rsid w:val="00021170"/>
    <w:rsid w:val="0002128B"/>
    <w:rsid w:val="00024726"/>
    <w:rsid w:val="00024DFD"/>
    <w:rsid w:val="00025AFA"/>
    <w:rsid w:val="00027AB8"/>
    <w:rsid w:val="000309DD"/>
    <w:rsid w:val="00031414"/>
    <w:rsid w:val="00033038"/>
    <w:rsid w:val="00033D63"/>
    <w:rsid w:val="0003436F"/>
    <w:rsid w:val="00036896"/>
    <w:rsid w:val="000414E8"/>
    <w:rsid w:val="0004584B"/>
    <w:rsid w:val="0004593A"/>
    <w:rsid w:val="00050392"/>
    <w:rsid w:val="00050A3E"/>
    <w:rsid w:val="00052A6F"/>
    <w:rsid w:val="00053F02"/>
    <w:rsid w:val="0005612B"/>
    <w:rsid w:val="00056D8F"/>
    <w:rsid w:val="000574AB"/>
    <w:rsid w:val="0006147A"/>
    <w:rsid w:val="00061C32"/>
    <w:rsid w:val="0006234F"/>
    <w:rsid w:val="00063134"/>
    <w:rsid w:val="000658B9"/>
    <w:rsid w:val="000731B6"/>
    <w:rsid w:val="000775F8"/>
    <w:rsid w:val="00080CF7"/>
    <w:rsid w:val="000851B2"/>
    <w:rsid w:val="00091507"/>
    <w:rsid w:val="000918FF"/>
    <w:rsid w:val="00092566"/>
    <w:rsid w:val="00092810"/>
    <w:rsid w:val="000968F8"/>
    <w:rsid w:val="00097012"/>
    <w:rsid w:val="000A1C30"/>
    <w:rsid w:val="000A51EA"/>
    <w:rsid w:val="000A54D6"/>
    <w:rsid w:val="000B032A"/>
    <w:rsid w:val="000B1930"/>
    <w:rsid w:val="000B2DF7"/>
    <w:rsid w:val="000B3880"/>
    <w:rsid w:val="000B3E29"/>
    <w:rsid w:val="000B4152"/>
    <w:rsid w:val="000B66EB"/>
    <w:rsid w:val="000B7D57"/>
    <w:rsid w:val="000C036D"/>
    <w:rsid w:val="000C0FF8"/>
    <w:rsid w:val="000C1229"/>
    <w:rsid w:val="000C25B4"/>
    <w:rsid w:val="000C3E86"/>
    <w:rsid w:val="000D2722"/>
    <w:rsid w:val="000D33D7"/>
    <w:rsid w:val="000D3C1B"/>
    <w:rsid w:val="000D4E6F"/>
    <w:rsid w:val="000D56D6"/>
    <w:rsid w:val="000D58BE"/>
    <w:rsid w:val="000D7948"/>
    <w:rsid w:val="000D7C84"/>
    <w:rsid w:val="000E3201"/>
    <w:rsid w:val="000E3D53"/>
    <w:rsid w:val="000E4D60"/>
    <w:rsid w:val="000E4E13"/>
    <w:rsid w:val="000E6CC2"/>
    <w:rsid w:val="000E78F6"/>
    <w:rsid w:val="000F034A"/>
    <w:rsid w:val="000F06B5"/>
    <w:rsid w:val="000F1B7A"/>
    <w:rsid w:val="000F39E9"/>
    <w:rsid w:val="000F7D5E"/>
    <w:rsid w:val="001035A1"/>
    <w:rsid w:val="00104B45"/>
    <w:rsid w:val="00104FEA"/>
    <w:rsid w:val="0010564D"/>
    <w:rsid w:val="00105D8B"/>
    <w:rsid w:val="001060EE"/>
    <w:rsid w:val="0011342F"/>
    <w:rsid w:val="001202E9"/>
    <w:rsid w:val="00122CED"/>
    <w:rsid w:val="0012454F"/>
    <w:rsid w:val="00125273"/>
    <w:rsid w:val="00125505"/>
    <w:rsid w:val="0012575E"/>
    <w:rsid w:val="00125F88"/>
    <w:rsid w:val="00127C06"/>
    <w:rsid w:val="001348AA"/>
    <w:rsid w:val="0013763C"/>
    <w:rsid w:val="00145149"/>
    <w:rsid w:val="00145D4F"/>
    <w:rsid w:val="0014773C"/>
    <w:rsid w:val="00152782"/>
    <w:rsid w:val="001643B9"/>
    <w:rsid w:val="001657E2"/>
    <w:rsid w:val="001717CC"/>
    <w:rsid w:val="00175808"/>
    <w:rsid w:val="001758A6"/>
    <w:rsid w:val="0017696D"/>
    <w:rsid w:val="001821B5"/>
    <w:rsid w:val="001848FC"/>
    <w:rsid w:val="001908B5"/>
    <w:rsid w:val="00191F59"/>
    <w:rsid w:val="00193934"/>
    <w:rsid w:val="00193F21"/>
    <w:rsid w:val="001969C5"/>
    <w:rsid w:val="00196D00"/>
    <w:rsid w:val="001A4E54"/>
    <w:rsid w:val="001A6CDD"/>
    <w:rsid w:val="001B0EF2"/>
    <w:rsid w:val="001B3C4F"/>
    <w:rsid w:val="001B5699"/>
    <w:rsid w:val="001C12EE"/>
    <w:rsid w:val="001C2E9B"/>
    <w:rsid w:val="001C4B8C"/>
    <w:rsid w:val="001C69E8"/>
    <w:rsid w:val="001C716D"/>
    <w:rsid w:val="001C7B02"/>
    <w:rsid w:val="001D089C"/>
    <w:rsid w:val="001D1262"/>
    <w:rsid w:val="001E0E73"/>
    <w:rsid w:val="001E4DD4"/>
    <w:rsid w:val="001E69DC"/>
    <w:rsid w:val="001F169D"/>
    <w:rsid w:val="001F1DA1"/>
    <w:rsid w:val="001F3147"/>
    <w:rsid w:val="001F6F93"/>
    <w:rsid w:val="001F7A20"/>
    <w:rsid w:val="0020099B"/>
    <w:rsid w:val="002011D0"/>
    <w:rsid w:val="0020140D"/>
    <w:rsid w:val="0021054A"/>
    <w:rsid w:val="0021195A"/>
    <w:rsid w:val="002124BB"/>
    <w:rsid w:val="00213383"/>
    <w:rsid w:val="00220250"/>
    <w:rsid w:val="00222444"/>
    <w:rsid w:val="00225F74"/>
    <w:rsid w:val="0022691B"/>
    <w:rsid w:val="00232163"/>
    <w:rsid w:val="002376F8"/>
    <w:rsid w:val="002408E4"/>
    <w:rsid w:val="00241591"/>
    <w:rsid w:val="00243E1C"/>
    <w:rsid w:val="00250B4F"/>
    <w:rsid w:val="00253818"/>
    <w:rsid w:val="0025762F"/>
    <w:rsid w:val="00260999"/>
    <w:rsid w:val="0026114A"/>
    <w:rsid w:val="00262097"/>
    <w:rsid w:val="002623BD"/>
    <w:rsid w:val="00266209"/>
    <w:rsid w:val="002739E9"/>
    <w:rsid w:val="00274F69"/>
    <w:rsid w:val="00275563"/>
    <w:rsid w:val="002802BB"/>
    <w:rsid w:val="0028114D"/>
    <w:rsid w:val="002837A1"/>
    <w:rsid w:val="002839FD"/>
    <w:rsid w:val="00286896"/>
    <w:rsid w:val="00286CA7"/>
    <w:rsid w:val="00287649"/>
    <w:rsid w:val="00287E84"/>
    <w:rsid w:val="00291371"/>
    <w:rsid w:val="0029286C"/>
    <w:rsid w:val="0029300E"/>
    <w:rsid w:val="002940DF"/>
    <w:rsid w:val="002945C5"/>
    <w:rsid w:val="002A079B"/>
    <w:rsid w:val="002A28FD"/>
    <w:rsid w:val="002A39A5"/>
    <w:rsid w:val="002A690E"/>
    <w:rsid w:val="002B0C3A"/>
    <w:rsid w:val="002B2116"/>
    <w:rsid w:val="002B2D9B"/>
    <w:rsid w:val="002B416B"/>
    <w:rsid w:val="002B5016"/>
    <w:rsid w:val="002B590C"/>
    <w:rsid w:val="002B5BDA"/>
    <w:rsid w:val="002B742C"/>
    <w:rsid w:val="002B76AF"/>
    <w:rsid w:val="002B7F4D"/>
    <w:rsid w:val="002C24AD"/>
    <w:rsid w:val="002C285C"/>
    <w:rsid w:val="002C4CDF"/>
    <w:rsid w:val="002C5D7C"/>
    <w:rsid w:val="002C7BE4"/>
    <w:rsid w:val="002C7C95"/>
    <w:rsid w:val="002D417D"/>
    <w:rsid w:val="002D5E5D"/>
    <w:rsid w:val="002D6389"/>
    <w:rsid w:val="002E65D1"/>
    <w:rsid w:val="002E7207"/>
    <w:rsid w:val="002E78A0"/>
    <w:rsid w:val="002F011F"/>
    <w:rsid w:val="002F2687"/>
    <w:rsid w:val="002F48E1"/>
    <w:rsid w:val="002F4F3B"/>
    <w:rsid w:val="002F5834"/>
    <w:rsid w:val="0030330F"/>
    <w:rsid w:val="00304C86"/>
    <w:rsid w:val="003059EB"/>
    <w:rsid w:val="0030767D"/>
    <w:rsid w:val="00307E80"/>
    <w:rsid w:val="00307FDB"/>
    <w:rsid w:val="003116AC"/>
    <w:rsid w:val="00311D90"/>
    <w:rsid w:val="00314515"/>
    <w:rsid w:val="00314D39"/>
    <w:rsid w:val="00315567"/>
    <w:rsid w:val="00315D51"/>
    <w:rsid w:val="00316545"/>
    <w:rsid w:val="00321876"/>
    <w:rsid w:val="003239F8"/>
    <w:rsid w:val="003300D5"/>
    <w:rsid w:val="00330144"/>
    <w:rsid w:val="00334329"/>
    <w:rsid w:val="00337B6F"/>
    <w:rsid w:val="00345069"/>
    <w:rsid w:val="00345CBA"/>
    <w:rsid w:val="00346245"/>
    <w:rsid w:val="00346A86"/>
    <w:rsid w:val="00353924"/>
    <w:rsid w:val="00356267"/>
    <w:rsid w:val="00356BAD"/>
    <w:rsid w:val="003605B4"/>
    <w:rsid w:val="003627AC"/>
    <w:rsid w:val="00363379"/>
    <w:rsid w:val="0036441B"/>
    <w:rsid w:val="003646D6"/>
    <w:rsid w:val="00364E41"/>
    <w:rsid w:val="00366914"/>
    <w:rsid w:val="00372FE3"/>
    <w:rsid w:val="003742D2"/>
    <w:rsid w:val="0037501E"/>
    <w:rsid w:val="003755CB"/>
    <w:rsid w:val="00375CBB"/>
    <w:rsid w:val="00381058"/>
    <w:rsid w:val="00383F85"/>
    <w:rsid w:val="00385DCE"/>
    <w:rsid w:val="00386037"/>
    <w:rsid w:val="00387BA1"/>
    <w:rsid w:val="003906F3"/>
    <w:rsid w:val="00390A46"/>
    <w:rsid w:val="00390A72"/>
    <w:rsid w:val="003952D6"/>
    <w:rsid w:val="003969B7"/>
    <w:rsid w:val="00397C2D"/>
    <w:rsid w:val="003A0334"/>
    <w:rsid w:val="003A306C"/>
    <w:rsid w:val="003A7DE7"/>
    <w:rsid w:val="003B0CB3"/>
    <w:rsid w:val="003B1006"/>
    <w:rsid w:val="003C30F7"/>
    <w:rsid w:val="003C442E"/>
    <w:rsid w:val="003C5F11"/>
    <w:rsid w:val="003C6AB0"/>
    <w:rsid w:val="003D294B"/>
    <w:rsid w:val="003D49D1"/>
    <w:rsid w:val="003D6401"/>
    <w:rsid w:val="003E1863"/>
    <w:rsid w:val="003E7904"/>
    <w:rsid w:val="003F490D"/>
    <w:rsid w:val="0040027C"/>
    <w:rsid w:val="00403209"/>
    <w:rsid w:val="00404B6C"/>
    <w:rsid w:val="00406632"/>
    <w:rsid w:val="00411212"/>
    <w:rsid w:val="0041469D"/>
    <w:rsid w:val="0041606D"/>
    <w:rsid w:val="00416962"/>
    <w:rsid w:val="004206A8"/>
    <w:rsid w:val="00421A4F"/>
    <w:rsid w:val="00423442"/>
    <w:rsid w:val="00425620"/>
    <w:rsid w:val="004348CC"/>
    <w:rsid w:val="00437537"/>
    <w:rsid w:val="00450C58"/>
    <w:rsid w:val="00461ED1"/>
    <w:rsid w:val="00461F71"/>
    <w:rsid w:val="00462A10"/>
    <w:rsid w:val="00462F2B"/>
    <w:rsid w:val="004658FF"/>
    <w:rsid w:val="004725E6"/>
    <w:rsid w:val="004726F8"/>
    <w:rsid w:val="00474ED7"/>
    <w:rsid w:val="004756E1"/>
    <w:rsid w:val="00476073"/>
    <w:rsid w:val="0048008A"/>
    <w:rsid w:val="00483E94"/>
    <w:rsid w:val="00484120"/>
    <w:rsid w:val="004853A0"/>
    <w:rsid w:val="0048563B"/>
    <w:rsid w:val="00491A4D"/>
    <w:rsid w:val="00494951"/>
    <w:rsid w:val="00496B5F"/>
    <w:rsid w:val="00497713"/>
    <w:rsid w:val="004A0958"/>
    <w:rsid w:val="004A130B"/>
    <w:rsid w:val="004A2E10"/>
    <w:rsid w:val="004B17FF"/>
    <w:rsid w:val="004B1BA0"/>
    <w:rsid w:val="004B512C"/>
    <w:rsid w:val="004B6CEE"/>
    <w:rsid w:val="004C1100"/>
    <w:rsid w:val="004C2443"/>
    <w:rsid w:val="004C498F"/>
    <w:rsid w:val="004C5D29"/>
    <w:rsid w:val="004C681A"/>
    <w:rsid w:val="004D0FA3"/>
    <w:rsid w:val="004D4D8A"/>
    <w:rsid w:val="004D62CA"/>
    <w:rsid w:val="004E7C50"/>
    <w:rsid w:val="004F1E0A"/>
    <w:rsid w:val="004F2B7F"/>
    <w:rsid w:val="004F68EE"/>
    <w:rsid w:val="005009C7"/>
    <w:rsid w:val="005038D5"/>
    <w:rsid w:val="00504831"/>
    <w:rsid w:val="00511749"/>
    <w:rsid w:val="00511BA4"/>
    <w:rsid w:val="00511BC7"/>
    <w:rsid w:val="00512973"/>
    <w:rsid w:val="00513C43"/>
    <w:rsid w:val="005149E7"/>
    <w:rsid w:val="0051547F"/>
    <w:rsid w:val="00515E89"/>
    <w:rsid w:val="0052093C"/>
    <w:rsid w:val="00522652"/>
    <w:rsid w:val="005232D6"/>
    <w:rsid w:val="005238DA"/>
    <w:rsid w:val="00532A3A"/>
    <w:rsid w:val="005333CC"/>
    <w:rsid w:val="005363F1"/>
    <w:rsid w:val="00537C1B"/>
    <w:rsid w:val="00544BF8"/>
    <w:rsid w:val="0055007C"/>
    <w:rsid w:val="005526A1"/>
    <w:rsid w:val="00554922"/>
    <w:rsid w:val="00555282"/>
    <w:rsid w:val="005560E7"/>
    <w:rsid w:val="005567DF"/>
    <w:rsid w:val="005575A6"/>
    <w:rsid w:val="005612CC"/>
    <w:rsid w:val="00561E77"/>
    <w:rsid w:val="00563029"/>
    <w:rsid w:val="00563E5C"/>
    <w:rsid w:val="00565946"/>
    <w:rsid w:val="00567D12"/>
    <w:rsid w:val="00576062"/>
    <w:rsid w:val="00587EDD"/>
    <w:rsid w:val="005944D8"/>
    <w:rsid w:val="0059559F"/>
    <w:rsid w:val="0059793D"/>
    <w:rsid w:val="005A1DC3"/>
    <w:rsid w:val="005A255C"/>
    <w:rsid w:val="005A3C26"/>
    <w:rsid w:val="005A49FF"/>
    <w:rsid w:val="005A565D"/>
    <w:rsid w:val="005A58B3"/>
    <w:rsid w:val="005A7634"/>
    <w:rsid w:val="005B6F04"/>
    <w:rsid w:val="005B7523"/>
    <w:rsid w:val="005C0447"/>
    <w:rsid w:val="005C2FC1"/>
    <w:rsid w:val="005C38D1"/>
    <w:rsid w:val="005C4DD0"/>
    <w:rsid w:val="005C739F"/>
    <w:rsid w:val="005C73CA"/>
    <w:rsid w:val="005D0F62"/>
    <w:rsid w:val="005D2579"/>
    <w:rsid w:val="005D330C"/>
    <w:rsid w:val="005D4768"/>
    <w:rsid w:val="005D5DAB"/>
    <w:rsid w:val="005D79EB"/>
    <w:rsid w:val="005E2CAB"/>
    <w:rsid w:val="005E429E"/>
    <w:rsid w:val="005E4A40"/>
    <w:rsid w:val="005E56E5"/>
    <w:rsid w:val="005E59FF"/>
    <w:rsid w:val="005F18B0"/>
    <w:rsid w:val="005F26C1"/>
    <w:rsid w:val="005F4965"/>
    <w:rsid w:val="00600295"/>
    <w:rsid w:val="00600BBF"/>
    <w:rsid w:val="00601ED4"/>
    <w:rsid w:val="006030BC"/>
    <w:rsid w:val="00610B30"/>
    <w:rsid w:val="00612866"/>
    <w:rsid w:val="00612BC2"/>
    <w:rsid w:val="006130E1"/>
    <w:rsid w:val="00614727"/>
    <w:rsid w:val="00616EB5"/>
    <w:rsid w:val="006238FA"/>
    <w:rsid w:val="006269D4"/>
    <w:rsid w:val="006327D8"/>
    <w:rsid w:val="00637EBD"/>
    <w:rsid w:val="0064070A"/>
    <w:rsid w:val="00643614"/>
    <w:rsid w:val="00643A01"/>
    <w:rsid w:val="006457D5"/>
    <w:rsid w:val="00651D44"/>
    <w:rsid w:val="00657383"/>
    <w:rsid w:val="006574D2"/>
    <w:rsid w:val="00661F5B"/>
    <w:rsid w:val="00662D12"/>
    <w:rsid w:val="00663563"/>
    <w:rsid w:val="006676D4"/>
    <w:rsid w:val="00667CFA"/>
    <w:rsid w:val="00670CB3"/>
    <w:rsid w:val="00671226"/>
    <w:rsid w:val="00675535"/>
    <w:rsid w:val="00675BF5"/>
    <w:rsid w:val="00681359"/>
    <w:rsid w:val="0068298E"/>
    <w:rsid w:val="0069075F"/>
    <w:rsid w:val="0069157C"/>
    <w:rsid w:val="00696262"/>
    <w:rsid w:val="006979D9"/>
    <w:rsid w:val="00697A43"/>
    <w:rsid w:val="006A0149"/>
    <w:rsid w:val="006A2B48"/>
    <w:rsid w:val="006A3E06"/>
    <w:rsid w:val="006A45CE"/>
    <w:rsid w:val="006B0C6F"/>
    <w:rsid w:val="006B3A09"/>
    <w:rsid w:val="006B3CD1"/>
    <w:rsid w:val="006C3A4F"/>
    <w:rsid w:val="006C4845"/>
    <w:rsid w:val="006D20FF"/>
    <w:rsid w:val="006D52AE"/>
    <w:rsid w:val="006D6BC1"/>
    <w:rsid w:val="006D70DD"/>
    <w:rsid w:val="006E02A2"/>
    <w:rsid w:val="006E2BFC"/>
    <w:rsid w:val="006E3E0D"/>
    <w:rsid w:val="006E5C57"/>
    <w:rsid w:val="006F156D"/>
    <w:rsid w:val="006F1B04"/>
    <w:rsid w:val="006F22A5"/>
    <w:rsid w:val="006F3439"/>
    <w:rsid w:val="006F4DD0"/>
    <w:rsid w:val="006F71C6"/>
    <w:rsid w:val="00702C73"/>
    <w:rsid w:val="00704033"/>
    <w:rsid w:val="0070549F"/>
    <w:rsid w:val="0071219D"/>
    <w:rsid w:val="00713394"/>
    <w:rsid w:val="007159B0"/>
    <w:rsid w:val="007174EA"/>
    <w:rsid w:val="00720775"/>
    <w:rsid w:val="00724677"/>
    <w:rsid w:val="00725AC2"/>
    <w:rsid w:val="00727568"/>
    <w:rsid w:val="00727F0C"/>
    <w:rsid w:val="007304E5"/>
    <w:rsid w:val="00731B47"/>
    <w:rsid w:val="00732880"/>
    <w:rsid w:val="00732AC1"/>
    <w:rsid w:val="007416B9"/>
    <w:rsid w:val="007422FD"/>
    <w:rsid w:val="00742A1E"/>
    <w:rsid w:val="00743E46"/>
    <w:rsid w:val="00747C45"/>
    <w:rsid w:val="00756FDB"/>
    <w:rsid w:val="007629B6"/>
    <w:rsid w:val="007665BF"/>
    <w:rsid w:val="00767D5B"/>
    <w:rsid w:val="00767DCA"/>
    <w:rsid w:val="00770C3A"/>
    <w:rsid w:val="00771B2A"/>
    <w:rsid w:val="00772222"/>
    <w:rsid w:val="007757CE"/>
    <w:rsid w:val="00775800"/>
    <w:rsid w:val="007779B6"/>
    <w:rsid w:val="00787230"/>
    <w:rsid w:val="0079180E"/>
    <w:rsid w:val="007950CC"/>
    <w:rsid w:val="0079538B"/>
    <w:rsid w:val="007961B8"/>
    <w:rsid w:val="00797624"/>
    <w:rsid w:val="00797D28"/>
    <w:rsid w:val="007A4828"/>
    <w:rsid w:val="007B093D"/>
    <w:rsid w:val="007B2069"/>
    <w:rsid w:val="007B34C9"/>
    <w:rsid w:val="007B7279"/>
    <w:rsid w:val="007C04A1"/>
    <w:rsid w:val="007C1D36"/>
    <w:rsid w:val="007C21FA"/>
    <w:rsid w:val="007C3490"/>
    <w:rsid w:val="007C4BC9"/>
    <w:rsid w:val="007C4D35"/>
    <w:rsid w:val="007C64E8"/>
    <w:rsid w:val="007C7F6D"/>
    <w:rsid w:val="007D13B1"/>
    <w:rsid w:val="007D3645"/>
    <w:rsid w:val="007D4040"/>
    <w:rsid w:val="007D4351"/>
    <w:rsid w:val="007D5F89"/>
    <w:rsid w:val="007D7019"/>
    <w:rsid w:val="007E0553"/>
    <w:rsid w:val="007E18DB"/>
    <w:rsid w:val="007E4093"/>
    <w:rsid w:val="007E6F1C"/>
    <w:rsid w:val="007F057D"/>
    <w:rsid w:val="007F1602"/>
    <w:rsid w:val="00804C69"/>
    <w:rsid w:val="0080711D"/>
    <w:rsid w:val="008100A9"/>
    <w:rsid w:val="00813F72"/>
    <w:rsid w:val="008155CD"/>
    <w:rsid w:val="00815CE9"/>
    <w:rsid w:val="008176D2"/>
    <w:rsid w:val="008255D4"/>
    <w:rsid w:val="00830A40"/>
    <w:rsid w:val="00830F8D"/>
    <w:rsid w:val="00833325"/>
    <w:rsid w:val="008365EA"/>
    <w:rsid w:val="00840A41"/>
    <w:rsid w:val="00842F3C"/>
    <w:rsid w:val="00843728"/>
    <w:rsid w:val="00845FAA"/>
    <w:rsid w:val="008505D1"/>
    <w:rsid w:val="00850A81"/>
    <w:rsid w:val="0085168A"/>
    <w:rsid w:val="00855158"/>
    <w:rsid w:val="00855595"/>
    <w:rsid w:val="00856B2B"/>
    <w:rsid w:val="00857BC4"/>
    <w:rsid w:val="00857EE8"/>
    <w:rsid w:val="0086464B"/>
    <w:rsid w:val="008647FC"/>
    <w:rsid w:val="00864CA8"/>
    <w:rsid w:val="0086596E"/>
    <w:rsid w:val="00865E2D"/>
    <w:rsid w:val="0087068B"/>
    <w:rsid w:val="00870BC9"/>
    <w:rsid w:val="00870E6C"/>
    <w:rsid w:val="008723D5"/>
    <w:rsid w:val="00873700"/>
    <w:rsid w:val="00875846"/>
    <w:rsid w:val="008771BC"/>
    <w:rsid w:val="00882B92"/>
    <w:rsid w:val="00883E45"/>
    <w:rsid w:val="00884486"/>
    <w:rsid w:val="00886594"/>
    <w:rsid w:val="008871A9"/>
    <w:rsid w:val="008916BA"/>
    <w:rsid w:val="00892176"/>
    <w:rsid w:val="00893EDB"/>
    <w:rsid w:val="008967DB"/>
    <w:rsid w:val="00897044"/>
    <w:rsid w:val="00897F65"/>
    <w:rsid w:val="008A1DB7"/>
    <w:rsid w:val="008A3E9E"/>
    <w:rsid w:val="008A403A"/>
    <w:rsid w:val="008A4420"/>
    <w:rsid w:val="008A4C13"/>
    <w:rsid w:val="008B0A4A"/>
    <w:rsid w:val="008B1420"/>
    <w:rsid w:val="008B5EB5"/>
    <w:rsid w:val="008B604D"/>
    <w:rsid w:val="008B6E2C"/>
    <w:rsid w:val="008C238B"/>
    <w:rsid w:val="008C3DF4"/>
    <w:rsid w:val="008C54A9"/>
    <w:rsid w:val="008E67C3"/>
    <w:rsid w:val="008F1014"/>
    <w:rsid w:val="008F5542"/>
    <w:rsid w:val="008F589F"/>
    <w:rsid w:val="008F76A9"/>
    <w:rsid w:val="008F7E67"/>
    <w:rsid w:val="00900DBF"/>
    <w:rsid w:val="00901C2B"/>
    <w:rsid w:val="009048B9"/>
    <w:rsid w:val="00904E91"/>
    <w:rsid w:val="00906107"/>
    <w:rsid w:val="00906FB2"/>
    <w:rsid w:val="00915886"/>
    <w:rsid w:val="00917886"/>
    <w:rsid w:val="009204AC"/>
    <w:rsid w:val="0092084D"/>
    <w:rsid w:val="00920C47"/>
    <w:rsid w:val="009214DC"/>
    <w:rsid w:val="00926D4E"/>
    <w:rsid w:val="00927027"/>
    <w:rsid w:val="009275A6"/>
    <w:rsid w:val="00927C49"/>
    <w:rsid w:val="0093368C"/>
    <w:rsid w:val="009344BA"/>
    <w:rsid w:val="00945EC4"/>
    <w:rsid w:val="00946E61"/>
    <w:rsid w:val="00947F78"/>
    <w:rsid w:val="00953234"/>
    <w:rsid w:val="00955C8D"/>
    <w:rsid w:val="00956856"/>
    <w:rsid w:val="00961EAF"/>
    <w:rsid w:val="0096278F"/>
    <w:rsid w:val="009641A3"/>
    <w:rsid w:val="009726E1"/>
    <w:rsid w:val="00972A04"/>
    <w:rsid w:val="00977591"/>
    <w:rsid w:val="0097781D"/>
    <w:rsid w:val="00980E75"/>
    <w:rsid w:val="00982B1F"/>
    <w:rsid w:val="009852A1"/>
    <w:rsid w:val="00991770"/>
    <w:rsid w:val="00994A26"/>
    <w:rsid w:val="00994BE0"/>
    <w:rsid w:val="009974C8"/>
    <w:rsid w:val="009A06B4"/>
    <w:rsid w:val="009A25B1"/>
    <w:rsid w:val="009A4608"/>
    <w:rsid w:val="009A6A57"/>
    <w:rsid w:val="009A70BF"/>
    <w:rsid w:val="009A7D77"/>
    <w:rsid w:val="009B02DF"/>
    <w:rsid w:val="009B1A15"/>
    <w:rsid w:val="009B3E43"/>
    <w:rsid w:val="009B5DA4"/>
    <w:rsid w:val="009C0852"/>
    <w:rsid w:val="009C13CA"/>
    <w:rsid w:val="009C17BC"/>
    <w:rsid w:val="009C1A7F"/>
    <w:rsid w:val="009C32C6"/>
    <w:rsid w:val="009C665F"/>
    <w:rsid w:val="009C7513"/>
    <w:rsid w:val="009D2706"/>
    <w:rsid w:val="009D2E8B"/>
    <w:rsid w:val="009D3882"/>
    <w:rsid w:val="009D7E38"/>
    <w:rsid w:val="009E095B"/>
    <w:rsid w:val="009E1846"/>
    <w:rsid w:val="009E2E6C"/>
    <w:rsid w:val="009E2EC3"/>
    <w:rsid w:val="009E30B5"/>
    <w:rsid w:val="009E35A9"/>
    <w:rsid w:val="009E5939"/>
    <w:rsid w:val="009E5B6E"/>
    <w:rsid w:val="009E5C64"/>
    <w:rsid w:val="009E78FF"/>
    <w:rsid w:val="009F14F8"/>
    <w:rsid w:val="009F3D5C"/>
    <w:rsid w:val="00A01494"/>
    <w:rsid w:val="00A03566"/>
    <w:rsid w:val="00A066CB"/>
    <w:rsid w:val="00A11B1E"/>
    <w:rsid w:val="00A14D4E"/>
    <w:rsid w:val="00A22526"/>
    <w:rsid w:val="00A2259A"/>
    <w:rsid w:val="00A22FA9"/>
    <w:rsid w:val="00A25024"/>
    <w:rsid w:val="00A25DDC"/>
    <w:rsid w:val="00A3063A"/>
    <w:rsid w:val="00A3401D"/>
    <w:rsid w:val="00A348D9"/>
    <w:rsid w:val="00A35F8F"/>
    <w:rsid w:val="00A41377"/>
    <w:rsid w:val="00A4263D"/>
    <w:rsid w:val="00A47207"/>
    <w:rsid w:val="00A509B8"/>
    <w:rsid w:val="00A52AB9"/>
    <w:rsid w:val="00A54474"/>
    <w:rsid w:val="00A6210B"/>
    <w:rsid w:val="00A64EBF"/>
    <w:rsid w:val="00A67F9E"/>
    <w:rsid w:val="00A71200"/>
    <w:rsid w:val="00A71887"/>
    <w:rsid w:val="00A7323A"/>
    <w:rsid w:val="00A74C7D"/>
    <w:rsid w:val="00A76E6C"/>
    <w:rsid w:val="00A831B4"/>
    <w:rsid w:val="00A91C46"/>
    <w:rsid w:val="00A9372E"/>
    <w:rsid w:val="00A97798"/>
    <w:rsid w:val="00AA1DDA"/>
    <w:rsid w:val="00AA5213"/>
    <w:rsid w:val="00AA657D"/>
    <w:rsid w:val="00AA65A6"/>
    <w:rsid w:val="00AA7A23"/>
    <w:rsid w:val="00AB58B0"/>
    <w:rsid w:val="00AC1D8E"/>
    <w:rsid w:val="00AC48FA"/>
    <w:rsid w:val="00AD0240"/>
    <w:rsid w:val="00AD224A"/>
    <w:rsid w:val="00AD4137"/>
    <w:rsid w:val="00AE1B61"/>
    <w:rsid w:val="00AF21B5"/>
    <w:rsid w:val="00AF2D68"/>
    <w:rsid w:val="00AF3295"/>
    <w:rsid w:val="00AF468C"/>
    <w:rsid w:val="00B00EEE"/>
    <w:rsid w:val="00B037BA"/>
    <w:rsid w:val="00B04012"/>
    <w:rsid w:val="00B136EC"/>
    <w:rsid w:val="00B1373F"/>
    <w:rsid w:val="00B1593B"/>
    <w:rsid w:val="00B165E0"/>
    <w:rsid w:val="00B20139"/>
    <w:rsid w:val="00B218DA"/>
    <w:rsid w:val="00B26DE4"/>
    <w:rsid w:val="00B27329"/>
    <w:rsid w:val="00B30E73"/>
    <w:rsid w:val="00B324E1"/>
    <w:rsid w:val="00B342FA"/>
    <w:rsid w:val="00B36417"/>
    <w:rsid w:val="00B36A49"/>
    <w:rsid w:val="00B37177"/>
    <w:rsid w:val="00B44FCA"/>
    <w:rsid w:val="00B47269"/>
    <w:rsid w:val="00B53E8B"/>
    <w:rsid w:val="00B67F1D"/>
    <w:rsid w:val="00B75C0E"/>
    <w:rsid w:val="00B76183"/>
    <w:rsid w:val="00B774D2"/>
    <w:rsid w:val="00B8015A"/>
    <w:rsid w:val="00B80DE5"/>
    <w:rsid w:val="00B81FA6"/>
    <w:rsid w:val="00B82A57"/>
    <w:rsid w:val="00B83D34"/>
    <w:rsid w:val="00B90006"/>
    <w:rsid w:val="00B912D8"/>
    <w:rsid w:val="00B9273A"/>
    <w:rsid w:val="00B932B6"/>
    <w:rsid w:val="00B93AF5"/>
    <w:rsid w:val="00B95349"/>
    <w:rsid w:val="00BA053B"/>
    <w:rsid w:val="00BA2D34"/>
    <w:rsid w:val="00BA59CB"/>
    <w:rsid w:val="00BA79D4"/>
    <w:rsid w:val="00BB35AE"/>
    <w:rsid w:val="00BB3E0B"/>
    <w:rsid w:val="00BC03A1"/>
    <w:rsid w:val="00BC0D25"/>
    <w:rsid w:val="00BC46F5"/>
    <w:rsid w:val="00BD2505"/>
    <w:rsid w:val="00BE592D"/>
    <w:rsid w:val="00BF0180"/>
    <w:rsid w:val="00BF05DE"/>
    <w:rsid w:val="00BF52B0"/>
    <w:rsid w:val="00BF5697"/>
    <w:rsid w:val="00C00A97"/>
    <w:rsid w:val="00C02128"/>
    <w:rsid w:val="00C024B6"/>
    <w:rsid w:val="00C02DDA"/>
    <w:rsid w:val="00C0354C"/>
    <w:rsid w:val="00C0482A"/>
    <w:rsid w:val="00C06044"/>
    <w:rsid w:val="00C06D04"/>
    <w:rsid w:val="00C07048"/>
    <w:rsid w:val="00C12790"/>
    <w:rsid w:val="00C13AA5"/>
    <w:rsid w:val="00C14CCC"/>
    <w:rsid w:val="00C1695E"/>
    <w:rsid w:val="00C22C1C"/>
    <w:rsid w:val="00C238B7"/>
    <w:rsid w:val="00C26E65"/>
    <w:rsid w:val="00C31B67"/>
    <w:rsid w:val="00C32899"/>
    <w:rsid w:val="00C33C2D"/>
    <w:rsid w:val="00C33E66"/>
    <w:rsid w:val="00C33F2E"/>
    <w:rsid w:val="00C34936"/>
    <w:rsid w:val="00C34C14"/>
    <w:rsid w:val="00C355B9"/>
    <w:rsid w:val="00C37EF1"/>
    <w:rsid w:val="00C401C4"/>
    <w:rsid w:val="00C41680"/>
    <w:rsid w:val="00C43A3F"/>
    <w:rsid w:val="00C46B42"/>
    <w:rsid w:val="00C513C3"/>
    <w:rsid w:val="00C56BE1"/>
    <w:rsid w:val="00C60A25"/>
    <w:rsid w:val="00C60B6A"/>
    <w:rsid w:val="00C60F39"/>
    <w:rsid w:val="00C66079"/>
    <w:rsid w:val="00C67F55"/>
    <w:rsid w:val="00C704E3"/>
    <w:rsid w:val="00C73E11"/>
    <w:rsid w:val="00C765C5"/>
    <w:rsid w:val="00C766EF"/>
    <w:rsid w:val="00C775CE"/>
    <w:rsid w:val="00C8181C"/>
    <w:rsid w:val="00C82479"/>
    <w:rsid w:val="00C867F0"/>
    <w:rsid w:val="00C872AA"/>
    <w:rsid w:val="00C94423"/>
    <w:rsid w:val="00C94B8B"/>
    <w:rsid w:val="00C97B08"/>
    <w:rsid w:val="00CA002A"/>
    <w:rsid w:val="00CA06D8"/>
    <w:rsid w:val="00CA345A"/>
    <w:rsid w:val="00CA407D"/>
    <w:rsid w:val="00CA70A5"/>
    <w:rsid w:val="00CB1E53"/>
    <w:rsid w:val="00CB49FF"/>
    <w:rsid w:val="00CB7CA1"/>
    <w:rsid w:val="00CC02CF"/>
    <w:rsid w:val="00CC086A"/>
    <w:rsid w:val="00CC2752"/>
    <w:rsid w:val="00CC7CE4"/>
    <w:rsid w:val="00CD0E24"/>
    <w:rsid w:val="00CD0F66"/>
    <w:rsid w:val="00CD364B"/>
    <w:rsid w:val="00CE23B8"/>
    <w:rsid w:val="00CE284E"/>
    <w:rsid w:val="00CE50D7"/>
    <w:rsid w:val="00CE5F29"/>
    <w:rsid w:val="00CF03D4"/>
    <w:rsid w:val="00CF14B6"/>
    <w:rsid w:val="00CF4CBE"/>
    <w:rsid w:val="00D00344"/>
    <w:rsid w:val="00D007E6"/>
    <w:rsid w:val="00D110F5"/>
    <w:rsid w:val="00D11AAE"/>
    <w:rsid w:val="00D1754D"/>
    <w:rsid w:val="00D2223F"/>
    <w:rsid w:val="00D274A4"/>
    <w:rsid w:val="00D277AF"/>
    <w:rsid w:val="00D27D72"/>
    <w:rsid w:val="00D27F8C"/>
    <w:rsid w:val="00D31163"/>
    <w:rsid w:val="00D311EB"/>
    <w:rsid w:val="00D320B1"/>
    <w:rsid w:val="00D33AFD"/>
    <w:rsid w:val="00D345F4"/>
    <w:rsid w:val="00D36489"/>
    <w:rsid w:val="00D369E9"/>
    <w:rsid w:val="00D42195"/>
    <w:rsid w:val="00D504BE"/>
    <w:rsid w:val="00D50704"/>
    <w:rsid w:val="00D55F4A"/>
    <w:rsid w:val="00D5760A"/>
    <w:rsid w:val="00D61410"/>
    <w:rsid w:val="00D62F63"/>
    <w:rsid w:val="00D646F7"/>
    <w:rsid w:val="00D75600"/>
    <w:rsid w:val="00D81088"/>
    <w:rsid w:val="00D8181D"/>
    <w:rsid w:val="00D903C3"/>
    <w:rsid w:val="00D968D8"/>
    <w:rsid w:val="00D9799D"/>
    <w:rsid w:val="00DA563D"/>
    <w:rsid w:val="00DA71CC"/>
    <w:rsid w:val="00DA7277"/>
    <w:rsid w:val="00DB3627"/>
    <w:rsid w:val="00DB4724"/>
    <w:rsid w:val="00DB6944"/>
    <w:rsid w:val="00DC04B2"/>
    <w:rsid w:val="00DC1461"/>
    <w:rsid w:val="00DC1D39"/>
    <w:rsid w:val="00DC2584"/>
    <w:rsid w:val="00DC4746"/>
    <w:rsid w:val="00DC6F68"/>
    <w:rsid w:val="00DC72E3"/>
    <w:rsid w:val="00DE3A23"/>
    <w:rsid w:val="00DE3EC7"/>
    <w:rsid w:val="00DE544C"/>
    <w:rsid w:val="00DE63D8"/>
    <w:rsid w:val="00DE7149"/>
    <w:rsid w:val="00DE7588"/>
    <w:rsid w:val="00DF54E2"/>
    <w:rsid w:val="00DF5D06"/>
    <w:rsid w:val="00E01A09"/>
    <w:rsid w:val="00E01C01"/>
    <w:rsid w:val="00E0314C"/>
    <w:rsid w:val="00E04CE5"/>
    <w:rsid w:val="00E05678"/>
    <w:rsid w:val="00E13A91"/>
    <w:rsid w:val="00E1508F"/>
    <w:rsid w:val="00E20D82"/>
    <w:rsid w:val="00E22AC5"/>
    <w:rsid w:val="00E22C97"/>
    <w:rsid w:val="00E22E0C"/>
    <w:rsid w:val="00E24E24"/>
    <w:rsid w:val="00E261DF"/>
    <w:rsid w:val="00E27240"/>
    <w:rsid w:val="00E27EDD"/>
    <w:rsid w:val="00E30584"/>
    <w:rsid w:val="00E310B9"/>
    <w:rsid w:val="00E36512"/>
    <w:rsid w:val="00E37A29"/>
    <w:rsid w:val="00E37E1B"/>
    <w:rsid w:val="00E42049"/>
    <w:rsid w:val="00E4483A"/>
    <w:rsid w:val="00E4732E"/>
    <w:rsid w:val="00E549F0"/>
    <w:rsid w:val="00E54E04"/>
    <w:rsid w:val="00E562C0"/>
    <w:rsid w:val="00E57FAF"/>
    <w:rsid w:val="00E60F22"/>
    <w:rsid w:val="00E63E9B"/>
    <w:rsid w:val="00E649C7"/>
    <w:rsid w:val="00E672D6"/>
    <w:rsid w:val="00E715CE"/>
    <w:rsid w:val="00E7461C"/>
    <w:rsid w:val="00E76024"/>
    <w:rsid w:val="00E770D7"/>
    <w:rsid w:val="00E8039E"/>
    <w:rsid w:val="00E81D52"/>
    <w:rsid w:val="00E856A2"/>
    <w:rsid w:val="00E93CF4"/>
    <w:rsid w:val="00E967AD"/>
    <w:rsid w:val="00E96884"/>
    <w:rsid w:val="00EA0D82"/>
    <w:rsid w:val="00EA0E1D"/>
    <w:rsid w:val="00EA3AD3"/>
    <w:rsid w:val="00EA5435"/>
    <w:rsid w:val="00EA5F47"/>
    <w:rsid w:val="00EB13B7"/>
    <w:rsid w:val="00EB455E"/>
    <w:rsid w:val="00EC384A"/>
    <w:rsid w:val="00EC6E12"/>
    <w:rsid w:val="00EC79DE"/>
    <w:rsid w:val="00ED47B6"/>
    <w:rsid w:val="00ED4ACE"/>
    <w:rsid w:val="00ED7036"/>
    <w:rsid w:val="00ED77BB"/>
    <w:rsid w:val="00ED78BA"/>
    <w:rsid w:val="00EE1E56"/>
    <w:rsid w:val="00EE4D35"/>
    <w:rsid w:val="00EE7507"/>
    <w:rsid w:val="00EE7657"/>
    <w:rsid w:val="00EF230A"/>
    <w:rsid w:val="00EF2DA7"/>
    <w:rsid w:val="00EF35B4"/>
    <w:rsid w:val="00EF6156"/>
    <w:rsid w:val="00F010E1"/>
    <w:rsid w:val="00F0285B"/>
    <w:rsid w:val="00F076A3"/>
    <w:rsid w:val="00F1033B"/>
    <w:rsid w:val="00F10889"/>
    <w:rsid w:val="00F11731"/>
    <w:rsid w:val="00F13AEC"/>
    <w:rsid w:val="00F1412B"/>
    <w:rsid w:val="00F15BFA"/>
    <w:rsid w:val="00F15F20"/>
    <w:rsid w:val="00F17B19"/>
    <w:rsid w:val="00F2523E"/>
    <w:rsid w:val="00F33C83"/>
    <w:rsid w:val="00F34724"/>
    <w:rsid w:val="00F34EBE"/>
    <w:rsid w:val="00F34FAB"/>
    <w:rsid w:val="00F37400"/>
    <w:rsid w:val="00F411EA"/>
    <w:rsid w:val="00F41636"/>
    <w:rsid w:val="00F435AA"/>
    <w:rsid w:val="00F459B7"/>
    <w:rsid w:val="00F47EC9"/>
    <w:rsid w:val="00F53A44"/>
    <w:rsid w:val="00F53A95"/>
    <w:rsid w:val="00F56416"/>
    <w:rsid w:val="00F5738A"/>
    <w:rsid w:val="00F612D4"/>
    <w:rsid w:val="00F6357F"/>
    <w:rsid w:val="00F66033"/>
    <w:rsid w:val="00F709D4"/>
    <w:rsid w:val="00F70AB0"/>
    <w:rsid w:val="00F7389E"/>
    <w:rsid w:val="00F77F1D"/>
    <w:rsid w:val="00F84CCD"/>
    <w:rsid w:val="00F87CCB"/>
    <w:rsid w:val="00F936B4"/>
    <w:rsid w:val="00FA0981"/>
    <w:rsid w:val="00FA4777"/>
    <w:rsid w:val="00FA48C7"/>
    <w:rsid w:val="00FB1460"/>
    <w:rsid w:val="00FB1841"/>
    <w:rsid w:val="00FB51FB"/>
    <w:rsid w:val="00FB73C1"/>
    <w:rsid w:val="00FC2C4D"/>
    <w:rsid w:val="00FC2C6E"/>
    <w:rsid w:val="00FC3634"/>
    <w:rsid w:val="00FC48BF"/>
    <w:rsid w:val="00FC4CD3"/>
    <w:rsid w:val="00FC4FA6"/>
    <w:rsid w:val="00FC54F5"/>
    <w:rsid w:val="00FC6F5A"/>
    <w:rsid w:val="00FC7602"/>
    <w:rsid w:val="00FD2547"/>
    <w:rsid w:val="00FD7628"/>
    <w:rsid w:val="00FE4BF6"/>
    <w:rsid w:val="00FF17D3"/>
    <w:rsid w:val="00FF58A1"/>
    <w:rsid w:val="00FF6ED6"/>
    <w:rsid w:val="019854D4"/>
    <w:rsid w:val="0B02EF7B"/>
    <w:rsid w:val="31271AA8"/>
    <w:rsid w:val="3A376C63"/>
    <w:rsid w:val="7C1B364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0CABCF53"/>
  <w15:docId w15:val="{2BC6E5CA-201B-4D76-9D06-736418866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908B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1908B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738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paragraph" w:styleId="Heading5">
    <w:name w:val="heading 5"/>
    <w:basedOn w:val="Normal"/>
    <w:next w:val="Normal"/>
    <w:link w:val="Heading5Char"/>
    <w:uiPriority w:val="9"/>
    <w:semiHidden/>
    <w:unhideWhenUsed/>
    <w:qFormat/>
    <w:rsid w:val="00897044"/>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7">
    <w:name w:val="heading 7"/>
    <w:basedOn w:val="Normal"/>
    <w:next w:val="Normal"/>
    <w:link w:val="Heading7Char"/>
    <w:uiPriority w:val="9"/>
    <w:semiHidden/>
    <w:unhideWhenUsed/>
    <w:qFormat/>
    <w:rsid w:val="00897044"/>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customStyle="1" w:styleId="paragraph">
    <w:name w:val="paragraph"/>
    <w:basedOn w:val="Normal"/>
    <w:rsid w:val="00C60B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C60B6A"/>
  </w:style>
  <w:style w:type="character" w:customStyle="1" w:styleId="eop">
    <w:name w:val="eop"/>
    <w:basedOn w:val="DefaultParagraphFont"/>
    <w:rsid w:val="00C60B6A"/>
  </w:style>
  <w:style w:type="character" w:customStyle="1" w:styleId="Heading5Char">
    <w:name w:val="Heading 5 Char"/>
    <w:basedOn w:val="DefaultParagraphFont"/>
    <w:link w:val="Heading5"/>
    <w:uiPriority w:val="9"/>
    <w:semiHidden/>
    <w:rsid w:val="00897044"/>
    <w:rPr>
      <w:rFonts w:asciiTheme="majorHAnsi" w:eastAsiaTheme="majorEastAsia" w:hAnsiTheme="majorHAnsi" w:cstheme="majorBidi"/>
      <w:color w:val="365F91" w:themeColor="accent1" w:themeShade="BF"/>
    </w:rPr>
  </w:style>
  <w:style w:type="character" w:customStyle="1" w:styleId="Heading7Char">
    <w:name w:val="Heading 7 Char"/>
    <w:basedOn w:val="DefaultParagraphFont"/>
    <w:link w:val="Heading7"/>
    <w:uiPriority w:val="9"/>
    <w:semiHidden/>
    <w:rsid w:val="00897044"/>
    <w:rPr>
      <w:rFonts w:asciiTheme="majorHAnsi" w:eastAsiaTheme="majorEastAsia" w:hAnsiTheme="majorHAnsi" w:cstheme="majorBidi"/>
      <w:i/>
      <w:iCs/>
      <w:color w:val="243F60" w:themeColor="accent1" w:themeShade="7F"/>
    </w:rPr>
  </w:style>
  <w:style w:type="paragraph" w:styleId="Caption">
    <w:name w:val="caption"/>
    <w:basedOn w:val="Normal"/>
    <w:next w:val="Normal"/>
    <w:uiPriority w:val="35"/>
    <w:unhideWhenUsed/>
    <w:qFormat/>
    <w:rsid w:val="00897044"/>
    <w:pPr>
      <w:spacing w:before="120" w:after="0" w:line="240" w:lineRule="auto"/>
    </w:pPr>
    <w:rPr>
      <w:i/>
      <w:color w:val="1F497D" w:themeColor="text2"/>
    </w:rPr>
  </w:style>
  <w:style w:type="paragraph" w:styleId="BodyText3">
    <w:name w:val="Body Text 3"/>
    <w:basedOn w:val="Normal"/>
    <w:link w:val="BodyText3Char"/>
    <w:uiPriority w:val="99"/>
    <w:unhideWhenUsed/>
    <w:rsid w:val="00AA7A23"/>
    <w:pPr>
      <w:spacing w:after="120"/>
    </w:pPr>
    <w:rPr>
      <w:sz w:val="16"/>
      <w:szCs w:val="16"/>
    </w:rPr>
  </w:style>
  <w:style w:type="character" w:customStyle="1" w:styleId="BodyText3Char">
    <w:name w:val="Body Text 3 Char"/>
    <w:basedOn w:val="DefaultParagraphFont"/>
    <w:link w:val="BodyText3"/>
    <w:uiPriority w:val="99"/>
    <w:rsid w:val="00AA7A23"/>
    <w:rPr>
      <w:sz w:val="16"/>
      <w:szCs w:val="16"/>
    </w:rPr>
  </w:style>
  <w:style w:type="paragraph" w:styleId="BodyText">
    <w:name w:val="Body Text"/>
    <w:basedOn w:val="Normal"/>
    <w:link w:val="BodyTextChar"/>
    <w:uiPriority w:val="99"/>
    <w:unhideWhenUsed/>
    <w:rsid w:val="00C43A3F"/>
    <w:pPr>
      <w:spacing w:after="120"/>
    </w:pPr>
  </w:style>
  <w:style w:type="character" w:customStyle="1" w:styleId="BodyTextChar">
    <w:name w:val="Body Text Char"/>
    <w:basedOn w:val="DefaultParagraphFont"/>
    <w:link w:val="BodyText"/>
    <w:uiPriority w:val="99"/>
    <w:rsid w:val="00C43A3F"/>
  </w:style>
  <w:style w:type="character" w:customStyle="1" w:styleId="Heading1Char">
    <w:name w:val="Heading 1 Char"/>
    <w:basedOn w:val="DefaultParagraphFont"/>
    <w:link w:val="Heading1"/>
    <w:uiPriority w:val="9"/>
    <w:rsid w:val="001908B5"/>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1908B5"/>
    <w:rPr>
      <w:rFonts w:asciiTheme="majorHAnsi" w:eastAsiaTheme="majorEastAsia" w:hAnsiTheme="majorHAnsi" w:cstheme="majorBidi"/>
      <w:color w:val="365F91" w:themeColor="accent1" w:themeShade="BF"/>
      <w:sz w:val="26"/>
      <w:szCs w:val="26"/>
    </w:rPr>
  </w:style>
  <w:style w:type="paragraph" w:customStyle="1" w:styleId="Style5">
    <w:name w:val="Style5"/>
    <w:basedOn w:val="Normal"/>
    <w:link w:val="Style5Char"/>
    <w:qFormat/>
    <w:rsid w:val="006D52AE"/>
    <w:pPr>
      <w:autoSpaceDE w:val="0"/>
      <w:autoSpaceDN w:val="0"/>
      <w:adjustRightInd w:val="0"/>
      <w:spacing w:after="0" w:line="240" w:lineRule="auto"/>
    </w:pPr>
    <w:rPr>
      <w:rFonts w:ascii="Trebuchet MS" w:hAnsi="Trebuchet MS" w:cstheme="minorHAnsi"/>
      <w:i/>
      <w:color w:val="FF0000"/>
      <w:sz w:val="20"/>
      <w:szCs w:val="20"/>
    </w:rPr>
  </w:style>
  <w:style w:type="character" w:customStyle="1" w:styleId="Style5Char">
    <w:name w:val="Style5 Char"/>
    <w:basedOn w:val="DefaultParagraphFont"/>
    <w:link w:val="Style5"/>
    <w:rsid w:val="006D52AE"/>
    <w:rPr>
      <w:rFonts w:ascii="Trebuchet MS" w:hAnsi="Trebuchet MS" w:cstheme="minorHAnsi"/>
      <w:i/>
      <w:color w:val="FF0000"/>
      <w:sz w:val="20"/>
      <w:szCs w:val="20"/>
    </w:rPr>
  </w:style>
  <w:style w:type="character" w:customStyle="1" w:styleId="Heading3Char">
    <w:name w:val="Heading 3 Char"/>
    <w:basedOn w:val="DefaultParagraphFont"/>
    <w:link w:val="Heading3"/>
    <w:uiPriority w:val="9"/>
    <w:semiHidden/>
    <w:rsid w:val="00657383"/>
    <w:rPr>
      <w:rFonts w:asciiTheme="majorHAnsi" w:eastAsiaTheme="majorEastAsia" w:hAnsiTheme="majorHAnsi" w:cstheme="majorBidi"/>
      <w:color w:val="243F60" w:themeColor="accent1" w:themeShade="7F"/>
      <w:sz w:val="24"/>
      <w:szCs w:val="24"/>
    </w:rPr>
  </w:style>
  <w:style w:type="paragraph" w:customStyle="1" w:styleId="Default">
    <w:name w:val="Default"/>
    <w:rsid w:val="00657383"/>
    <w:pPr>
      <w:autoSpaceDE w:val="0"/>
      <w:autoSpaceDN w:val="0"/>
      <w:adjustRightInd w:val="0"/>
      <w:spacing w:after="0" w:line="240" w:lineRule="auto"/>
    </w:pPr>
    <w:rPr>
      <w:rFonts w:ascii="Calibri" w:hAnsi="Calibri" w:cs="Calibri"/>
      <w:color w:val="000000"/>
      <w:sz w:val="24"/>
      <w:szCs w:val="24"/>
    </w:rPr>
  </w:style>
  <w:style w:type="character" w:styleId="UnresolvedMention">
    <w:name w:val="Unresolved Mention"/>
    <w:basedOn w:val="DefaultParagraphFont"/>
    <w:uiPriority w:val="99"/>
    <w:unhideWhenUsed/>
    <w:rsid w:val="0013763C"/>
    <w:rPr>
      <w:color w:val="605E5C"/>
      <w:shd w:val="clear" w:color="auto" w:fill="E1DFDD"/>
    </w:rPr>
  </w:style>
  <w:style w:type="character" w:styleId="Mention">
    <w:name w:val="Mention"/>
    <w:basedOn w:val="DefaultParagraphFont"/>
    <w:uiPriority w:val="99"/>
    <w:unhideWhenUsed/>
    <w:rsid w:val="0013763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496028">
      <w:bodyDiv w:val="1"/>
      <w:marLeft w:val="0"/>
      <w:marRight w:val="0"/>
      <w:marTop w:val="0"/>
      <w:marBottom w:val="0"/>
      <w:divBdr>
        <w:top w:val="none" w:sz="0" w:space="0" w:color="auto"/>
        <w:left w:val="none" w:sz="0" w:space="0" w:color="auto"/>
        <w:bottom w:val="none" w:sz="0" w:space="0" w:color="auto"/>
        <w:right w:val="none" w:sz="0" w:space="0" w:color="auto"/>
      </w:divBdr>
    </w:div>
    <w:div w:id="114108112">
      <w:bodyDiv w:val="1"/>
      <w:marLeft w:val="0"/>
      <w:marRight w:val="0"/>
      <w:marTop w:val="0"/>
      <w:marBottom w:val="0"/>
      <w:divBdr>
        <w:top w:val="none" w:sz="0" w:space="0" w:color="auto"/>
        <w:left w:val="none" w:sz="0" w:space="0" w:color="auto"/>
        <w:bottom w:val="none" w:sz="0" w:space="0" w:color="auto"/>
        <w:right w:val="none" w:sz="0" w:space="0" w:color="auto"/>
      </w:divBdr>
    </w:div>
    <w:div w:id="171921448">
      <w:bodyDiv w:val="1"/>
      <w:marLeft w:val="0"/>
      <w:marRight w:val="0"/>
      <w:marTop w:val="0"/>
      <w:marBottom w:val="0"/>
      <w:divBdr>
        <w:top w:val="none" w:sz="0" w:space="0" w:color="auto"/>
        <w:left w:val="none" w:sz="0" w:space="0" w:color="auto"/>
        <w:bottom w:val="none" w:sz="0" w:space="0" w:color="auto"/>
        <w:right w:val="none" w:sz="0" w:space="0" w:color="auto"/>
      </w:divBdr>
    </w:div>
    <w:div w:id="214896864">
      <w:bodyDiv w:val="1"/>
      <w:marLeft w:val="0"/>
      <w:marRight w:val="0"/>
      <w:marTop w:val="0"/>
      <w:marBottom w:val="0"/>
      <w:divBdr>
        <w:top w:val="none" w:sz="0" w:space="0" w:color="auto"/>
        <w:left w:val="none" w:sz="0" w:space="0" w:color="auto"/>
        <w:bottom w:val="none" w:sz="0" w:space="0" w:color="auto"/>
        <w:right w:val="none" w:sz="0" w:space="0" w:color="auto"/>
      </w:divBdr>
    </w:div>
    <w:div w:id="242647003">
      <w:bodyDiv w:val="1"/>
      <w:marLeft w:val="0"/>
      <w:marRight w:val="0"/>
      <w:marTop w:val="0"/>
      <w:marBottom w:val="0"/>
      <w:divBdr>
        <w:top w:val="none" w:sz="0" w:space="0" w:color="auto"/>
        <w:left w:val="none" w:sz="0" w:space="0" w:color="auto"/>
        <w:bottom w:val="none" w:sz="0" w:space="0" w:color="auto"/>
        <w:right w:val="none" w:sz="0" w:space="0" w:color="auto"/>
      </w:divBdr>
    </w:div>
    <w:div w:id="309986255">
      <w:bodyDiv w:val="1"/>
      <w:marLeft w:val="0"/>
      <w:marRight w:val="0"/>
      <w:marTop w:val="0"/>
      <w:marBottom w:val="0"/>
      <w:divBdr>
        <w:top w:val="none" w:sz="0" w:space="0" w:color="auto"/>
        <w:left w:val="none" w:sz="0" w:space="0" w:color="auto"/>
        <w:bottom w:val="none" w:sz="0" w:space="0" w:color="auto"/>
        <w:right w:val="none" w:sz="0" w:space="0" w:color="auto"/>
      </w:divBdr>
    </w:div>
    <w:div w:id="319695209">
      <w:bodyDiv w:val="1"/>
      <w:marLeft w:val="0"/>
      <w:marRight w:val="0"/>
      <w:marTop w:val="0"/>
      <w:marBottom w:val="0"/>
      <w:divBdr>
        <w:top w:val="none" w:sz="0" w:space="0" w:color="auto"/>
        <w:left w:val="none" w:sz="0" w:space="0" w:color="auto"/>
        <w:bottom w:val="none" w:sz="0" w:space="0" w:color="auto"/>
        <w:right w:val="none" w:sz="0" w:space="0" w:color="auto"/>
      </w:divBdr>
    </w:div>
    <w:div w:id="332226630">
      <w:bodyDiv w:val="1"/>
      <w:marLeft w:val="0"/>
      <w:marRight w:val="0"/>
      <w:marTop w:val="0"/>
      <w:marBottom w:val="0"/>
      <w:divBdr>
        <w:top w:val="none" w:sz="0" w:space="0" w:color="auto"/>
        <w:left w:val="none" w:sz="0" w:space="0" w:color="auto"/>
        <w:bottom w:val="none" w:sz="0" w:space="0" w:color="auto"/>
        <w:right w:val="none" w:sz="0" w:space="0" w:color="auto"/>
      </w:divBdr>
    </w:div>
    <w:div w:id="336541178">
      <w:bodyDiv w:val="1"/>
      <w:marLeft w:val="0"/>
      <w:marRight w:val="0"/>
      <w:marTop w:val="0"/>
      <w:marBottom w:val="0"/>
      <w:divBdr>
        <w:top w:val="none" w:sz="0" w:space="0" w:color="auto"/>
        <w:left w:val="none" w:sz="0" w:space="0" w:color="auto"/>
        <w:bottom w:val="none" w:sz="0" w:space="0" w:color="auto"/>
        <w:right w:val="none" w:sz="0" w:space="0" w:color="auto"/>
      </w:divBdr>
    </w:div>
    <w:div w:id="380902740">
      <w:bodyDiv w:val="1"/>
      <w:marLeft w:val="0"/>
      <w:marRight w:val="0"/>
      <w:marTop w:val="0"/>
      <w:marBottom w:val="0"/>
      <w:divBdr>
        <w:top w:val="none" w:sz="0" w:space="0" w:color="auto"/>
        <w:left w:val="none" w:sz="0" w:space="0" w:color="auto"/>
        <w:bottom w:val="none" w:sz="0" w:space="0" w:color="auto"/>
        <w:right w:val="none" w:sz="0" w:space="0" w:color="auto"/>
      </w:divBdr>
    </w:div>
    <w:div w:id="444816621">
      <w:bodyDiv w:val="1"/>
      <w:marLeft w:val="0"/>
      <w:marRight w:val="0"/>
      <w:marTop w:val="0"/>
      <w:marBottom w:val="0"/>
      <w:divBdr>
        <w:top w:val="none" w:sz="0" w:space="0" w:color="auto"/>
        <w:left w:val="none" w:sz="0" w:space="0" w:color="auto"/>
        <w:bottom w:val="none" w:sz="0" w:space="0" w:color="auto"/>
        <w:right w:val="none" w:sz="0" w:space="0" w:color="auto"/>
      </w:divBdr>
    </w:div>
    <w:div w:id="477382139">
      <w:bodyDiv w:val="1"/>
      <w:marLeft w:val="0"/>
      <w:marRight w:val="0"/>
      <w:marTop w:val="0"/>
      <w:marBottom w:val="0"/>
      <w:divBdr>
        <w:top w:val="none" w:sz="0" w:space="0" w:color="auto"/>
        <w:left w:val="none" w:sz="0" w:space="0" w:color="auto"/>
        <w:bottom w:val="none" w:sz="0" w:space="0" w:color="auto"/>
        <w:right w:val="none" w:sz="0" w:space="0" w:color="auto"/>
      </w:divBdr>
    </w:div>
    <w:div w:id="480780480">
      <w:bodyDiv w:val="1"/>
      <w:marLeft w:val="0"/>
      <w:marRight w:val="0"/>
      <w:marTop w:val="0"/>
      <w:marBottom w:val="0"/>
      <w:divBdr>
        <w:top w:val="none" w:sz="0" w:space="0" w:color="auto"/>
        <w:left w:val="none" w:sz="0" w:space="0" w:color="auto"/>
        <w:bottom w:val="none" w:sz="0" w:space="0" w:color="auto"/>
        <w:right w:val="none" w:sz="0" w:space="0" w:color="auto"/>
      </w:divBdr>
    </w:div>
    <w:div w:id="487793636">
      <w:bodyDiv w:val="1"/>
      <w:marLeft w:val="0"/>
      <w:marRight w:val="0"/>
      <w:marTop w:val="0"/>
      <w:marBottom w:val="0"/>
      <w:divBdr>
        <w:top w:val="none" w:sz="0" w:space="0" w:color="auto"/>
        <w:left w:val="none" w:sz="0" w:space="0" w:color="auto"/>
        <w:bottom w:val="none" w:sz="0" w:space="0" w:color="auto"/>
        <w:right w:val="none" w:sz="0" w:space="0" w:color="auto"/>
      </w:divBdr>
    </w:div>
    <w:div w:id="503475868">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515537822">
      <w:bodyDiv w:val="1"/>
      <w:marLeft w:val="0"/>
      <w:marRight w:val="0"/>
      <w:marTop w:val="0"/>
      <w:marBottom w:val="0"/>
      <w:divBdr>
        <w:top w:val="none" w:sz="0" w:space="0" w:color="auto"/>
        <w:left w:val="none" w:sz="0" w:space="0" w:color="auto"/>
        <w:bottom w:val="none" w:sz="0" w:space="0" w:color="auto"/>
        <w:right w:val="none" w:sz="0" w:space="0" w:color="auto"/>
      </w:divBdr>
    </w:div>
    <w:div w:id="520164396">
      <w:bodyDiv w:val="1"/>
      <w:marLeft w:val="0"/>
      <w:marRight w:val="0"/>
      <w:marTop w:val="0"/>
      <w:marBottom w:val="0"/>
      <w:divBdr>
        <w:top w:val="none" w:sz="0" w:space="0" w:color="auto"/>
        <w:left w:val="none" w:sz="0" w:space="0" w:color="auto"/>
        <w:bottom w:val="none" w:sz="0" w:space="0" w:color="auto"/>
        <w:right w:val="none" w:sz="0" w:space="0" w:color="auto"/>
      </w:divBdr>
    </w:div>
    <w:div w:id="530463387">
      <w:bodyDiv w:val="1"/>
      <w:marLeft w:val="0"/>
      <w:marRight w:val="0"/>
      <w:marTop w:val="0"/>
      <w:marBottom w:val="0"/>
      <w:divBdr>
        <w:top w:val="none" w:sz="0" w:space="0" w:color="auto"/>
        <w:left w:val="none" w:sz="0" w:space="0" w:color="auto"/>
        <w:bottom w:val="none" w:sz="0" w:space="0" w:color="auto"/>
        <w:right w:val="none" w:sz="0" w:space="0" w:color="auto"/>
      </w:divBdr>
    </w:div>
    <w:div w:id="611978086">
      <w:bodyDiv w:val="1"/>
      <w:marLeft w:val="0"/>
      <w:marRight w:val="0"/>
      <w:marTop w:val="0"/>
      <w:marBottom w:val="0"/>
      <w:divBdr>
        <w:top w:val="none" w:sz="0" w:space="0" w:color="auto"/>
        <w:left w:val="none" w:sz="0" w:space="0" w:color="auto"/>
        <w:bottom w:val="none" w:sz="0" w:space="0" w:color="auto"/>
        <w:right w:val="none" w:sz="0" w:space="0" w:color="auto"/>
      </w:divBdr>
    </w:div>
    <w:div w:id="642655488">
      <w:bodyDiv w:val="1"/>
      <w:marLeft w:val="0"/>
      <w:marRight w:val="0"/>
      <w:marTop w:val="0"/>
      <w:marBottom w:val="0"/>
      <w:divBdr>
        <w:top w:val="none" w:sz="0" w:space="0" w:color="auto"/>
        <w:left w:val="none" w:sz="0" w:space="0" w:color="auto"/>
        <w:bottom w:val="none" w:sz="0" w:space="0" w:color="auto"/>
        <w:right w:val="none" w:sz="0" w:space="0" w:color="auto"/>
      </w:divBdr>
    </w:div>
    <w:div w:id="649291857">
      <w:bodyDiv w:val="1"/>
      <w:marLeft w:val="0"/>
      <w:marRight w:val="0"/>
      <w:marTop w:val="0"/>
      <w:marBottom w:val="0"/>
      <w:divBdr>
        <w:top w:val="none" w:sz="0" w:space="0" w:color="auto"/>
        <w:left w:val="none" w:sz="0" w:space="0" w:color="auto"/>
        <w:bottom w:val="none" w:sz="0" w:space="0" w:color="auto"/>
        <w:right w:val="none" w:sz="0" w:space="0" w:color="auto"/>
      </w:divBdr>
    </w:div>
    <w:div w:id="657153032">
      <w:bodyDiv w:val="1"/>
      <w:marLeft w:val="0"/>
      <w:marRight w:val="0"/>
      <w:marTop w:val="0"/>
      <w:marBottom w:val="0"/>
      <w:divBdr>
        <w:top w:val="none" w:sz="0" w:space="0" w:color="auto"/>
        <w:left w:val="none" w:sz="0" w:space="0" w:color="auto"/>
        <w:bottom w:val="none" w:sz="0" w:space="0" w:color="auto"/>
        <w:right w:val="none" w:sz="0" w:space="0" w:color="auto"/>
      </w:divBdr>
    </w:div>
    <w:div w:id="659233667">
      <w:bodyDiv w:val="1"/>
      <w:marLeft w:val="0"/>
      <w:marRight w:val="0"/>
      <w:marTop w:val="0"/>
      <w:marBottom w:val="0"/>
      <w:divBdr>
        <w:top w:val="none" w:sz="0" w:space="0" w:color="auto"/>
        <w:left w:val="none" w:sz="0" w:space="0" w:color="auto"/>
        <w:bottom w:val="none" w:sz="0" w:space="0" w:color="auto"/>
        <w:right w:val="none" w:sz="0" w:space="0" w:color="auto"/>
      </w:divBdr>
    </w:div>
    <w:div w:id="698438421">
      <w:bodyDiv w:val="1"/>
      <w:marLeft w:val="0"/>
      <w:marRight w:val="0"/>
      <w:marTop w:val="0"/>
      <w:marBottom w:val="0"/>
      <w:divBdr>
        <w:top w:val="none" w:sz="0" w:space="0" w:color="auto"/>
        <w:left w:val="none" w:sz="0" w:space="0" w:color="auto"/>
        <w:bottom w:val="none" w:sz="0" w:space="0" w:color="auto"/>
        <w:right w:val="none" w:sz="0" w:space="0" w:color="auto"/>
      </w:divBdr>
    </w:div>
    <w:div w:id="700008285">
      <w:bodyDiv w:val="1"/>
      <w:marLeft w:val="0"/>
      <w:marRight w:val="0"/>
      <w:marTop w:val="0"/>
      <w:marBottom w:val="0"/>
      <w:divBdr>
        <w:top w:val="none" w:sz="0" w:space="0" w:color="auto"/>
        <w:left w:val="none" w:sz="0" w:space="0" w:color="auto"/>
        <w:bottom w:val="none" w:sz="0" w:space="0" w:color="auto"/>
        <w:right w:val="none" w:sz="0" w:space="0" w:color="auto"/>
      </w:divBdr>
    </w:div>
    <w:div w:id="713697724">
      <w:bodyDiv w:val="1"/>
      <w:marLeft w:val="0"/>
      <w:marRight w:val="0"/>
      <w:marTop w:val="0"/>
      <w:marBottom w:val="0"/>
      <w:divBdr>
        <w:top w:val="none" w:sz="0" w:space="0" w:color="auto"/>
        <w:left w:val="none" w:sz="0" w:space="0" w:color="auto"/>
        <w:bottom w:val="none" w:sz="0" w:space="0" w:color="auto"/>
        <w:right w:val="none" w:sz="0" w:space="0" w:color="auto"/>
      </w:divBdr>
    </w:div>
    <w:div w:id="733897862">
      <w:bodyDiv w:val="1"/>
      <w:marLeft w:val="0"/>
      <w:marRight w:val="0"/>
      <w:marTop w:val="0"/>
      <w:marBottom w:val="0"/>
      <w:divBdr>
        <w:top w:val="none" w:sz="0" w:space="0" w:color="auto"/>
        <w:left w:val="none" w:sz="0" w:space="0" w:color="auto"/>
        <w:bottom w:val="none" w:sz="0" w:space="0" w:color="auto"/>
        <w:right w:val="none" w:sz="0" w:space="0" w:color="auto"/>
      </w:divBdr>
    </w:div>
    <w:div w:id="765151121">
      <w:bodyDiv w:val="1"/>
      <w:marLeft w:val="0"/>
      <w:marRight w:val="0"/>
      <w:marTop w:val="0"/>
      <w:marBottom w:val="0"/>
      <w:divBdr>
        <w:top w:val="none" w:sz="0" w:space="0" w:color="auto"/>
        <w:left w:val="none" w:sz="0" w:space="0" w:color="auto"/>
        <w:bottom w:val="none" w:sz="0" w:space="0" w:color="auto"/>
        <w:right w:val="none" w:sz="0" w:space="0" w:color="auto"/>
      </w:divBdr>
    </w:div>
    <w:div w:id="827021612">
      <w:bodyDiv w:val="1"/>
      <w:marLeft w:val="0"/>
      <w:marRight w:val="0"/>
      <w:marTop w:val="0"/>
      <w:marBottom w:val="0"/>
      <w:divBdr>
        <w:top w:val="none" w:sz="0" w:space="0" w:color="auto"/>
        <w:left w:val="none" w:sz="0" w:space="0" w:color="auto"/>
        <w:bottom w:val="none" w:sz="0" w:space="0" w:color="auto"/>
        <w:right w:val="none" w:sz="0" w:space="0" w:color="auto"/>
      </w:divBdr>
    </w:div>
    <w:div w:id="841970681">
      <w:bodyDiv w:val="1"/>
      <w:marLeft w:val="0"/>
      <w:marRight w:val="0"/>
      <w:marTop w:val="0"/>
      <w:marBottom w:val="0"/>
      <w:divBdr>
        <w:top w:val="none" w:sz="0" w:space="0" w:color="auto"/>
        <w:left w:val="none" w:sz="0" w:space="0" w:color="auto"/>
        <w:bottom w:val="none" w:sz="0" w:space="0" w:color="auto"/>
        <w:right w:val="none" w:sz="0" w:space="0" w:color="auto"/>
      </w:divBdr>
    </w:div>
    <w:div w:id="856387145">
      <w:bodyDiv w:val="1"/>
      <w:marLeft w:val="0"/>
      <w:marRight w:val="0"/>
      <w:marTop w:val="0"/>
      <w:marBottom w:val="0"/>
      <w:divBdr>
        <w:top w:val="none" w:sz="0" w:space="0" w:color="auto"/>
        <w:left w:val="none" w:sz="0" w:space="0" w:color="auto"/>
        <w:bottom w:val="none" w:sz="0" w:space="0" w:color="auto"/>
        <w:right w:val="none" w:sz="0" w:space="0" w:color="auto"/>
      </w:divBdr>
    </w:div>
    <w:div w:id="857963719">
      <w:bodyDiv w:val="1"/>
      <w:marLeft w:val="0"/>
      <w:marRight w:val="0"/>
      <w:marTop w:val="0"/>
      <w:marBottom w:val="0"/>
      <w:divBdr>
        <w:top w:val="none" w:sz="0" w:space="0" w:color="auto"/>
        <w:left w:val="none" w:sz="0" w:space="0" w:color="auto"/>
        <w:bottom w:val="none" w:sz="0" w:space="0" w:color="auto"/>
        <w:right w:val="none" w:sz="0" w:space="0" w:color="auto"/>
      </w:divBdr>
    </w:div>
    <w:div w:id="860321637">
      <w:bodyDiv w:val="1"/>
      <w:marLeft w:val="0"/>
      <w:marRight w:val="0"/>
      <w:marTop w:val="0"/>
      <w:marBottom w:val="0"/>
      <w:divBdr>
        <w:top w:val="none" w:sz="0" w:space="0" w:color="auto"/>
        <w:left w:val="none" w:sz="0" w:space="0" w:color="auto"/>
        <w:bottom w:val="none" w:sz="0" w:space="0" w:color="auto"/>
        <w:right w:val="none" w:sz="0" w:space="0" w:color="auto"/>
      </w:divBdr>
    </w:div>
    <w:div w:id="951017158">
      <w:bodyDiv w:val="1"/>
      <w:marLeft w:val="0"/>
      <w:marRight w:val="0"/>
      <w:marTop w:val="0"/>
      <w:marBottom w:val="0"/>
      <w:divBdr>
        <w:top w:val="none" w:sz="0" w:space="0" w:color="auto"/>
        <w:left w:val="none" w:sz="0" w:space="0" w:color="auto"/>
        <w:bottom w:val="none" w:sz="0" w:space="0" w:color="auto"/>
        <w:right w:val="none" w:sz="0" w:space="0" w:color="auto"/>
      </w:divBdr>
    </w:div>
    <w:div w:id="981467261">
      <w:bodyDiv w:val="1"/>
      <w:marLeft w:val="0"/>
      <w:marRight w:val="0"/>
      <w:marTop w:val="0"/>
      <w:marBottom w:val="0"/>
      <w:divBdr>
        <w:top w:val="none" w:sz="0" w:space="0" w:color="auto"/>
        <w:left w:val="none" w:sz="0" w:space="0" w:color="auto"/>
        <w:bottom w:val="none" w:sz="0" w:space="0" w:color="auto"/>
        <w:right w:val="none" w:sz="0" w:space="0" w:color="auto"/>
      </w:divBdr>
    </w:div>
    <w:div w:id="987780804">
      <w:bodyDiv w:val="1"/>
      <w:marLeft w:val="0"/>
      <w:marRight w:val="0"/>
      <w:marTop w:val="0"/>
      <w:marBottom w:val="0"/>
      <w:divBdr>
        <w:top w:val="none" w:sz="0" w:space="0" w:color="auto"/>
        <w:left w:val="none" w:sz="0" w:space="0" w:color="auto"/>
        <w:bottom w:val="none" w:sz="0" w:space="0" w:color="auto"/>
        <w:right w:val="none" w:sz="0" w:space="0" w:color="auto"/>
      </w:divBdr>
    </w:div>
    <w:div w:id="997149583">
      <w:bodyDiv w:val="1"/>
      <w:marLeft w:val="0"/>
      <w:marRight w:val="0"/>
      <w:marTop w:val="0"/>
      <w:marBottom w:val="0"/>
      <w:divBdr>
        <w:top w:val="none" w:sz="0" w:space="0" w:color="auto"/>
        <w:left w:val="none" w:sz="0" w:space="0" w:color="auto"/>
        <w:bottom w:val="none" w:sz="0" w:space="0" w:color="auto"/>
        <w:right w:val="none" w:sz="0" w:space="0" w:color="auto"/>
      </w:divBdr>
    </w:div>
    <w:div w:id="998537733">
      <w:bodyDiv w:val="1"/>
      <w:marLeft w:val="0"/>
      <w:marRight w:val="0"/>
      <w:marTop w:val="0"/>
      <w:marBottom w:val="0"/>
      <w:divBdr>
        <w:top w:val="none" w:sz="0" w:space="0" w:color="auto"/>
        <w:left w:val="none" w:sz="0" w:space="0" w:color="auto"/>
        <w:bottom w:val="none" w:sz="0" w:space="0" w:color="auto"/>
        <w:right w:val="none" w:sz="0" w:space="0" w:color="auto"/>
      </w:divBdr>
    </w:div>
    <w:div w:id="1024986788">
      <w:bodyDiv w:val="1"/>
      <w:marLeft w:val="0"/>
      <w:marRight w:val="0"/>
      <w:marTop w:val="0"/>
      <w:marBottom w:val="0"/>
      <w:divBdr>
        <w:top w:val="none" w:sz="0" w:space="0" w:color="auto"/>
        <w:left w:val="none" w:sz="0" w:space="0" w:color="auto"/>
        <w:bottom w:val="none" w:sz="0" w:space="0" w:color="auto"/>
        <w:right w:val="none" w:sz="0" w:space="0" w:color="auto"/>
      </w:divBdr>
    </w:div>
    <w:div w:id="1026831191">
      <w:bodyDiv w:val="1"/>
      <w:marLeft w:val="0"/>
      <w:marRight w:val="0"/>
      <w:marTop w:val="0"/>
      <w:marBottom w:val="0"/>
      <w:divBdr>
        <w:top w:val="none" w:sz="0" w:space="0" w:color="auto"/>
        <w:left w:val="none" w:sz="0" w:space="0" w:color="auto"/>
        <w:bottom w:val="none" w:sz="0" w:space="0" w:color="auto"/>
        <w:right w:val="none" w:sz="0" w:space="0" w:color="auto"/>
      </w:divBdr>
    </w:div>
    <w:div w:id="1059939577">
      <w:bodyDiv w:val="1"/>
      <w:marLeft w:val="0"/>
      <w:marRight w:val="0"/>
      <w:marTop w:val="0"/>
      <w:marBottom w:val="0"/>
      <w:divBdr>
        <w:top w:val="none" w:sz="0" w:space="0" w:color="auto"/>
        <w:left w:val="none" w:sz="0" w:space="0" w:color="auto"/>
        <w:bottom w:val="none" w:sz="0" w:space="0" w:color="auto"/>
        <w:right w:val="none" w:sz="0" w:space="0" w:color="auto"/>
      </w:divBdr>
    </w:div>
    <w:div w:id="1093623276">
      <w:bodyDiv w:val="1"/>
      <w:marLeft w:val="0"/>
      <w:marRight w:val="0"/>
      <w:marTop w:val="0"/>
      <w:marBottom w:val="0"/>
      <w:divBdr>
        <w:top w:val="none" w:sz="0" w:space="0" w:color="auto"/>
        <w:left w:val="none" w:sz="0" w:space="0" w:color="auto"/>
        <w:bottom w:val="none" w:sz="0" w:space="0" w:color="auto"/>
        <w:right w:val="none" w:sz="0" w:space="0" w:color="auto"/>
      </w:divBdr>
    </w:div>
    <w:div w:id="1106316634">
      <w:bodyDiv w:val="1"/>
      <w:marLeft w:val="0"/>
      <w:marRight w:val="0"/>
      <w:marTop w:val="0"/>
      <w:marBottom w:val="0"/>
      <w:divBdr>
        <w:top w:val="none" w:sz="0" w:space="0" w:color="auto"/>
        <w:left w:val="none" w:sz="0" w:space="0" w:color="auto"/>
        <w:bottom w:val="none" w:sz="0" w:space="0" w:color="auto"/>
        <w:right w:val="none" w:sz="0" w:space="0" w:color="auto"/>
      </w:divBdr>
    </w:div>
    <w:div w:id="1171021074">
      <w:bodyDiv w:val="1"/>
      <w:marLeft w:val="0"/>
      <w:marRight w:val="0"/>
      <w:marTop w:val="0"/>
      <w:marBottom w:val="0"/>
      <w:divBdr>
        <w:top w:val="none" w:sz="0" w:space="0" w:color="auto"/>
        <w:left w:val="none" w:sz="0" w:space="0" w:color="auto"/>
        <w:bottom w:val="none" w:sz="0" w:space="0" w:color="auto"/>
        <w:right w:val="none" w:sz="0" w:space="0" w:color="auto"/>
      </w:divBdr>
    </w:div>
    <w:div w:id="1201548619">
      <w:bodyDiv w:val="1"/>
      <w:marLeft w:val="0"/>
      <w:marRight w:val="0"/>
      <w:marTop w:val="0"/>
      <w:marBottom w:val="0"/>
      <w:divBdr>
        <w:top w:val="none" w:sz="0" w:space="0" w:color="auto"/>
        <w:left w:val="none" w:sz="0" w:space="0" w:color="auto"/>
        <w:bottom w:val="none" w:sz="0" w:space="0" w:color="auto"/>
        <w:right w:val="none" w:sz="0" w:space="0" w:color="auto"/>
      </w:divBdr>
    </w:div>
    <w:div w:id="1202203981">
      <w:bodyDiv w:val="1"/>
      <w:marLeft w:val="0"/>
      <w:marRight w:val="0"/>
      <w:marTop w:val="0"/>
      <w:marBottom w:val="0"/>
      <w:divBdr>
        <w:top w:val="none" w:sz="0" w:space="0" w:color="auto"/>
        <w:left w:val="none" w:sz="0" w:space="0" w:color="auto"/>
        <w:bottom w:val="none" w:sz="0" w:space="0" w:color="auto"/>
        <w:right w:val="none" w:sz="0" w:space="0" w:color="auto"/>
      </w:divBdr>
    </w:div>
    <w:div w:id="1234777655">
      <w:bodyDiv w:val="1"/>
      <w:marLeft w:val="0"/>
      <w:marRight w:val="0"/>
      <w:marTop w:val="0"/>
      <w:marBottom w:val="0"/>
      <w:divBdr>
        <w:top w:val="none" w:sz="0" w:space="0" w:color="auto"/>
        <w:left w:val="none" w:sz="0" w:space="0" w:color="auto"/>
        <w:bottom w:val="none" w:sz="0" w:space="0" w:color="auto"/>
        <w:right w:val="none" w:sz="0" w:space="0" w:color="auto"/>
      </w:divBdr>
    </w:div>
    <w:div w:id="1261907949">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480221269">
      <w:bodyDiv w:val="1"/>
      <w:marLeft w:val="0"/>
      <w:marRight w:val="0"/>
      <w:marTop w:val="0"/>
      <w:marBottom w:val="0"/>
      <w:divBdr>
        <w:top w:val="none" w:sz="0" w:space="0" w:color="auto"/>
        <w:left w:val="none" w:sz="0" w:space="0" w:color="auto"/>
        <w:bottom w:val="none" w:sz="0" w:space="0" w:color="auto"/>
        <w:right w:val="none" w:sz="0" w:space="0" w:color="auto"/>
      </w:divBdr>
    </w:div>
    <w:div w:id="1499272652">
      <w:bodyDiv w:val="1"/>
      <w:marLeft w:val="0"/>
      <w:marRight w:val="0"/>
      <w:marTop w:val="0"/>
      <w:marBottom w:val="0"/>
      <w:divBdr>
        <w:top w:val="none" w:sz="0" w:space="0" w:color="auto"/>
        <w:left w:val="none" w:sz="0" w:space="0" w:color="auto"/>
        <w:bottom w:val="none" w:sz="0" w:space="0" w:color="auto"/>
        <w:right w:val="none" w:sz="0" w:space="0" w:color="auto"/>
      </w:divBdr>
    </w:div>
    <w:div w:id="1503659664">
      <w:bodyDiv w:val="1"/>
      <w:marLeft w:val="0"/>
      <w:marRight w:val="0"/>
      <w:marTop w:val="0"/>
      <w:marBottom w:val="0"/>
      <w:divBdr>
        <w:top w:val="none" w:sz="0" w:space="0" w:color="auto"/>
        <w:left w:val="none" w:sz="0" w:space="0" w:color="auto"/>
        <w:bottom w:val="none" w:sz="0" w:space="0" w:color="auto"/>
        <w:right w:val="none" w:sz="0" w:space="0" w:color="auto"/>
      </w:divBdr>
    </w:div>
    <w:div w:id="1543903197">
      <w:bodyDiv w:val="1"/>
      <w:marLeft w:val="0"/>
      <w:marRight w:val="0"/>
      <w:marTop w:val="0"/>
      <w:marBottom w:val="0"/>
      <w:divBdr>
        <w:top w:val="none" w:sz="0" w:space="0" w:color="auto"/>
        <w:left w:val="none" w:sz="0" w:space="0" w:color="auto"/>
        <w:bottom w:val="none" w:sz="0" w:space="0" w:color="auto"/>
        <w:right w:val="none" w:sz="0" w:space="0" w:color="auto"/>
      </w:divBdr>
    </w:div>
    <w:div w:id="1548444262">
      <w:bodyDiv w:val="1"/>
      <w:marLeft w:val="0"/>
      <w:marRight w:val="0"/>
      <w:marTop w:val="0"/>
      <w:marBottom w:val="0"/>
      <w:divBdr>
        <w:top w:val="none" w:sz="0" w:space="0" w:color="auto"/>
        <w:left w:val="none" w:sz="0" w:space="0" w:color="auto"/>
        <w:bottom w:val="none" w:sz="0" w:space="0" w:color="auto"/>
        <w:right w:val="none" w:sz="0" w:space="0" w:color="auto"/>
      </w:divBdr>
    </w:div>
    <w:div w:id="1586062774">
      <w:bodyDiv w:val="1"/>
      <w:marLeft w:val="0"/>
      <w:marRight w:val="0"/>
      <w:marTop w:val="0"/>
      <w:marBottom w:val="0"/>
      <w:divBdr>
        <w:top w:val="none" w:sz="0" w:space="0" w:color="auto"/>
        <w:left w:val="none" w:sz="0" w:space="0" w:color="auto"/>
        <w:bottom w:val="none" w:sz="0" w:space="0" w:color="auto"/>
        <w:right w:val="none" w:sz="0" w:space="0" w:color="auto"/>
      </w:divBdr>
    </w:div>
    <w:div w:id="1586450210">
      <w:bodyDiv w:val="1"/>
      <w:marLeft w:val="0"/>
      <w:marRight w:val="0"/>
      <w:marTop w:val="0"/>
      <w:marBottom w:val="0"/>
      <w:divBdr>
        <w:top w:val="none" w:sz="0" w:space="0" w:color="auto"/>
        <w:left w:val="none" w:sz="0" w:space="0" w:color="auto"/>
        <w:bottom w:val="none" w:sz="0" w:space="0" w:color="auto"/>
        <w:right w:val="none" w:sz="0" w:space="0" w:color="auto"/>
      </w:divBdr>
    </w:div>
    <w:div w:id="1620719328">
      <w:bodyDiv w:val="1"/>
      <w:marLeft w:val="0"/>
      <w:marRight w:val="0"/>
      <w:marTop w:val="0"/>
      <w:marBottom w:val="0"/>
      <w:divBdr>
        <w:top w:val="none" w:sz="0" w:space="0" w:color="auto"/>
        <w:left w:val="none" w:sz="0" w:space="0" w:color="auto"/>
        <w:bottom w:val="none" w:sz="0" w:space="0" w:color="auto"/>
        <w:right w:val="none" w:sz="0" w:space="0" w:color="auto"/>
      </w:divBdr>
    </w:div>
    <w:div w:id="1640183986">
      <w:bodyDiv w:val="1"/>
      <w:marLeft w:val="0"/>
      <w:marRight w:val="0"/>
      <w:marTop w:val="0"/>
      <w:marBottom w:val="0"/>
      <w:divBdr>
        <w:top w:val="none" w:sz="0" w:space="0" w:color="auto"/>
        <w:left w:val="none" w:sz="0" w:space="0" w:color="auto"/>
        <w:bottom w:val="none" w:sz="0" w:space="0" w:color="auto"/>
        <w:right w:val="none" w:sz="0" w:space="0" w:color="auto"/>
      </w:divBdr>
    </w:div>
    <w:div w:id="1682466234">
      <w:bodyDiv w:val="1"/>
      <w:marLeft w:val="0"/>
      <w:marRight w:val="0"/>
      <w:marTop w:val="0"/>
      <w:marBottom w:val="0"/>
      <w:divBdr>
        <w:top w:val="none" w:sz="0" w:space="0" w:color="auto"/>
        <w:left w:val="none" w:sz="0" w:space="0" w:color="auto"/>
        <w:bottom w:val="none" w:sz="0" w:space="0" w:color="auto"/>
        <w:right w:val="none" w:sz="0" w:space="0" w:color="auto"/>
      </w:divBdr>
    </w:div>
    <w:div w:id="1694302682">
      <w:bodyDiv w:val="1"/>
      <w:marLeft w:val="0"/>
      <w:marRight w:val="0"/>
      <w:marTop w:val="0"/>
      <w:marBottom w:val="0"/>
      <w:divBdr>
        <w:top w:val="none" w:sz="0" w:space="0" w:color="auto"/>
        <w:left w:val="none" w:sz="0" w:space="0" w:color="auto"/>
        <w:bottom w:val="none" w:sz="0" w:space="0" w:color="auto"/>
        <w:right w:val="none" w:sz="0" w:space="0" w:color="auto"/>
      </w:divBdr>
    </w:div>
    <w:div w:id="1694384103">
      <w:bodyDiv w:val="1"/>
      <w:marLeft w:val="0"/>
      <w:marRight w:val="0"/>
      <w:marTop w:val="0"/>
      <w:marBottom w:val="0"/>
      <w:divBdr>
        <w:top w:val="none" w:sz="0" w:space="0" w:color="auto"/>
        <w:left w:val="none" w:sz="0" w:space="0" w:color="auto"/>
        <w:bottom w:val="none" w:sz="0" w:space="0" w:color="auto"/>
        <w:right w:val="none" w:sz="0" w:space="0" w:color="auto"/>
      </w:divBdr>
    </w:div>
    <w:div w:id="1696274626">
      <w:bodyDiv w:val="1"/>
      <w:marLeft w:val="0"/>
      <w:marRight w:val="0"/>
      <w:marTop w:val="0"/>
      <w:marBottom w:val="0"/>
      <w:divBdr>
        <w:top w:val="none" w:sz="0" w:space="0" w:color="auto"/>
        <w:left w:val="none" w:sz="0" w:space="0" w:color="auto"/>
        <w:bottom w:val="none" w:sz="0" w:space="0" w:color="auto"/>
        <w:right w:val="none" w:sz="0" w:space="0" w:color="auto"/>
      </w:divBdr>
    </w:div>
    <w:div w:id="1725250583">
      <w:bodyDiv w:val="1"/>
      <w:marLeft w:val="0"/>
      <w:marRight w:val="0"/>
      <w:marTop w:val="0"/>
      <w:marBottom w:val="0"/>
      <w:divBdr>
        <w:top w:val="none" w:sz="0" w:space="0" w:color="auto"/>
        <w:left w:val="none" w:sz="0" w:space="0" w:color="auto"/>
        <w:bottom w:val="none" w:sz="0" w:space="0" w:color="auto"/>
        <w:right w:val="none" w:sz="0" w:space="0" w:color="auto"/>
      </w:divBdr>
    </w:div>
    <w:div w:id="1759863645">
      <w:bodyDiv w:val="1"/>
      <w:marLeft w:val="0"/>
      <w:marRight w:val="0"/>
      <w:marTop w:val="0"/>
      <w:marBottom w:val="0"/>
      <w:divBdr>
        <w:top w:val="none" w:sz="0" w:space="0" w:color="auto"/>
        <w:left w:val="none" w:sz="0" w:space="0" w:color="auto"/>
        <w:bottom w:val="none" w:sz="0" w:space="0" w:color="auto"/>
        <w:right w:val="none" w:sz="0" w:space="0" w:color="auto"/>
      </w:divBdr>
    </w:div>
    <w:div w:id="1802724042">
      <w:bodyDiv w:val="1"/>
      <w:marLeft w:val="0"/>
      <w:marRight w:val="0"/>
      <w:marTop w:val="0"/>
      <w:marBottom w:val="0"/>
      <w:divBdr>
        <w:top w:val="none" w:sz="0" w:space="0" w:color="auto"/>
        <w:left w:val="none" w:sz="0" w:space="0" w:color="auto"/>
        <w:bottom w:val="none" w:sz="0" w:space="0" w:color="auto"/>
        <w:right w:val="none" w:sz="0" w:space="0" w:color="auto"/>
      </w:divBdr>
    </w:div>
    <w:div w:id="180493214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 w:id="1812867032">
      <w:bodyDiv w:val="1"/>
      <w:marLeft w:val="0"/>
      <w:marRight w:val="0"/>
      <w:marTop w:val="0"/>
      <w:marBottom w:val="0"/>
      <w:divBdr>
        <w:top w:val="none" w:sz="0" w:space="0" w:color="auto"/>
        <w:left w:val="none" w:sz="0" w:space="0" w:color="auto"/>
        <w:bottom w:val="none" w:sz="0" w:space="0" w:color="auto"/>
        <w:right w:val="none" w:sz="0" w:space="0" w:color="auto"/>
      </w:divBdr>
    </w:div>
    <w:div w:id="1813980422">
      <w:bodyDiv w:val="1"/>
      <w:marLeft w:val="0"/>
      <w:marRight w:val="0"/>
      <w:marTop w:val="0"/>
      <w:marBottom w:val="0"/>
      <w:divBdr>
        <w:top w:val="none" w:sz="0" w:space="0" w:color="auto"/>
        <w:left w:val="none" w:sz="0" w:space="0" w:color="auto"/>
        <w:bottom w:val="none" w:sz="0" w:space="0" w:color="auto"/>
        <w:right w:val="none" w:sz="0" w:space="0" w:color="auto"/>
      </w:divBdr>
    </w:div>
    <w:div w:id="1838576593">
      <w:bodyDiv w:val="1"/>
      <w:marLeft w:val="0"/>
      <w:marRight w:val="0"/>
      <w:marTop w:val="0"/>
      <w:marBottom w:val="0"/>
      <w:divBdr>
        <w:top w:val="none" w:sz="0" w:space="0" w:color="auto"/>
        <w:left w:val="none" w:sz="0" w:space="0" w:color="auto"/>
        <w:bottom w:val="none" w:sz="0" w:space="0" w:color="auto"/>
        <w:right w:val="none" w:sz="0" w:space="0" w:color="auto"/>
      </w:divBdr>
    </w:div>
    <w:div w:id="1863979426">
      <w:bodyDiv w:val="1"/>
      <w:marLeft w:val="0"/>
      <w:marRight w:val="0"/>
      <w:marTop w:val="0"/>
      <w:marBottom w:val="0"/>
      <w:divBdr>
        <w:top w:val="none" w:sz="0" w:space="0" w:color="auto"/>
        <w:left w:val="none" w:sz="0" w:space="0" w:color="auto"/>
        <w:bottom w:val="none" w:sz="0" w:space="0" w:color="auto"/>
        <w:right w:val="none" w:sz="0" w:space="0" w:color="auto"/>
      </w:divBdr>
    </w:div>
    <w:div w:id="1874730936">
      <w:bodyDiv w:val="1"/>
      <w:marLeft w:val="0"/>
      <w:marRight w:val="0"/>
      <w:marTop w:val="0"/>
      <w:marBottom w:val="0"/>
      <w:divBdr>
        <w:top w:val="none" w:sz="0" w:space="0" w:color="auto"/>
        <w:left w:val="none" w:sz="0" w:space="0" w:color="auto"/>
        <w:bottom w:val="none" w:sz="0" w:space="0" w:color="auto"/>
        <w:right w:val="none" w:sz="0" w:space="0" w:color="auto"/>
      </w:divBdr>
    </w:div>
    <w:div w:id="1874922971">
      <w:bodyDiv w:val="1"/>
      <w:marLeft w:val="0"/>
      <w:marRight w:val="0"/>
      <w:marTop w:val="0"/>
      <w:marBottom w:val="0"/>
      <w:divBdr>
        <w:top w:val="none" w:sz="0" w:space="0" w:color="auto"/>
        <w:left w:val="none" w:sz="0" w:space="0" w:color="auto"/>
        <w:bottom w:val="none" w:sz="0" w:space="0" w:color="auto"/>
        <w:right w:val="none" w:sz="0" w:space="0" w:color="auto"/>
      </w:divBdr>
    </w:div>
    <w:div w:id="1900435436">
      <w:bodyDiv w:val="1"/>
      <w:marLeft w:val="0"/>
      <w:marRight w:val="0"/>
      <w:marTop w:val="0"/>
      <w:marBottom w:val="0"/>
      <w:divBdr>
        <w:top w:val="none" w:sz="0" w:space="0" w:color="auto"/>
        <w:left w:val="none" w:sz="0" w:space="0" w:color="auto"/>
        <w:bottom w:val="none" w:sz="0" w:space="0" w:color="auto"/>
        <w:right w:val="none" w:sz="0" w:space="0" w:color="auto"/>
      </w:divBdr>
    </w:div>
    <w:div w:id="1923876999">
      <w:bodyDiv w:val="1"/>
      <w:marLeft w:val="0"/>
      <w:marRight w:val="0"/>
      <w:marTop w:val="0"/>
      <w:marBottom w:val="0"/>
      <w:divBdr>
        <w:top w:val="none" w:sz="0" w:space="0" w:color="auto"/>
        <w:left w:val="none" w:sz="0" w:space="0" w:color="auto"/>
        <w:bottom w:val="none" w:sz="0" w:space="0" w:color="auto"/>
        <w:right w:val="none" w:sz="0" w:space="0" w:color="auto"/>
      </w:divBdr>
    </w:div>
    <w:div w:id="1958019785">
      <w:bodyDiv w:val="1"/>
      <w:marLeft w:val="0"/>
      <w:marRight w:val="0"/>
      <w:marTop w:val="0"/>
      <w:marBottom w:val="0"/>
      <w:divBdr>
        <w:top w:val="none" w:sz="0" w:space="0" w:color="auto"/>
        <w:left w:val="none" w:sz="0" w:space="0" w:color="auto"/>
        <w:bottom w:val="none" w:sz="0" w:space="0" w:color="auto"/>
        <w:right w:val="none" w:sz="0" w:space="0" w:color="auto"/>
      </w:divBdr>
    </w:div>
    <w:div w:id="1976329284">
      <w:bodyDiv w:val="1"/>
      <w:marLeft w:val="0"/>
      <w:marRight w:val="0"/>
      <w:marTop w:val="0"/>
      <w:marBottom w:val="0"/>
      <w:divBdr>
        <w:top w:val="none" w:sz="0" w:space="0" w:color="auto"/>
        <w:left w:val="none" w:sz="0" w:space="0" w:color="auto"/>
        <w:bottom w:val="none" w:sz="0" w:space="0" w:color="auto"/>
        <w:right w:val="none" w:sz="0" w:space="0" w:color="auto"/>
      </w:divBdr>
    </w:div>
    <w:div w:id="1986154838">
      <w:bodyDiv w:val="1"/>
      <w:marLeft w:val="0"/>
      <w:marRight w:val="0"/>
      <w:marTop w:val="0"/>
      <w:marBottom w:val="0"/>
      <w:divBdr>
        <w:top w:val="none" w:sz="0" w:space="0" w:color="auto"/>
        <w:left w:val="none" w:sz="0" w:space="0" w:color="auto"/>
        <w:bottom w:val="none" w:sz="0" w:space="0" w:color="auto"/>
        <w:right w:val="none" w:sz="0" w:space="0" w:color="auto"/>
      </w:divBdr>
    </w:div>
    <w:div w:id="2032026917">
      <w:bodyDiv w:val="1"/>
      <w:marLeft w:val="0"/>
      <w:marRight w:val="0"/>
      <w:marTop w:val="0"/>
      <w:marBottom w:val="0"/>
      <w:divBdr>
        <w:top w:val="none" w:sz="0" w:space="0" w:color="auto"/>
        <w:left w:val="none" w:sz="0" w:space="0" w:color="auto"/>
        <w:bottom w:val="none" w:sz="0" w:space="0" w:color="auto"/>
        <w:right w:val="none" w:sz="0" w:space="0" w:color="auto"/>
      </w:divBdr>
    </w:div>
    <w:div w:id="2046363840">
      <w:bodyDiv w:val="1"/>
      <w:marLeft w:val="0"/>
      <w:marRight w:val="0"/>
      <w:marTop w:val="0"/>
      <w:marBottom w:val="0"/>
      <w:divBdr>
        <w:top w:val="none" w:sz="0" w:space="0" w:color="auto"/>
        <w:left w:val="none" w:sz="0" w:space="0" w:color="auto"/>
        <w:bottom w:val="none" w:sz="0" w:space="0" w:color="auto"/>
        <w:right w:val="none" w:sz="0" w:space="0" w:color="auto"/>
      </w:divBdr>
    </w:div>
    <w:div w:id="2066448087">
      <w:bodyDiv w:val="1"/>
      <w:marLeft w:val="0"/>
      <w:marRight w:val="0"/>
      <w:marTop w:val="0"/>
      <w:marBottom w:val="0"/>
      <w:divBdr>
        <w:top w:val="none" w:sz="0" w:space="0" w:color="auto"/>
        <w:left w:val="none" w:sz="0" w:space="0" w:color="auto"/>
        <w:bottom w:val="none" w:sz="0" w:space="0" w:color="auto"/>
        <w:right w:val="none" w:sz="0" w:space="0" w:color="auto"/>
      </w:divBdr>
    </w:div>
    <w:div w:id="2111777738">
      <w:bodyDiv w:val="1"/>
      <w:marLeft w:val="0"/>
      <w:marRight w:val="0"/>
      <w:marTop w:val="0"/>
      <w:marBottom w:val="0"/>
      <w:divBdr>
        <w:top w:val="none" w:sz="0" w:space="0" w:color="auto"/>
        <w:left w:val="none" w:sz="0" w:space="0" w:color="auto"/>
        <w:bottom w:val="none" w:sz="0" w:space="0" w:color="auto"/>
        <w:right w:val="none" w:sz="0" w:space="0" w:color="auto"/>
      </w:divBdr>
    </w:div>
    <w:div w:id="2114586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spe.hhs.gov/social-risk-factors-and-medicares-value-basedpurchasing-programs" TargetMode="Externa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medpac.gov/docs/default-source/reports/mar20_medpac_ch13_sec.pdf" TargetMode="Externa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gov/medicare/Coding/ICD10/index.html" TargetMode="External"/><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bookmarkStart w:id="1" w:name="_GoBack"/>
        <w:bookmarkStart w:id="2" w:name="_GoBack"/>
        <w:bookmarkEnd w:id="1"/>
      </w:docPartBody>
    </w:docPart>
    <w:docPart>
      <w:docPartPr>
        <w:name w:val="10C14DC9453B4738864EE655E97DD6ED"/>
        <w:category>
          <w:name w:val="General"/>
          <w:gallery w:val="placeholder"/>
        </w:category>
        <w:types>
          <w:type w:val="bbPlcHdr"/>
        </w:types>
        <w:behaviors>
          <w:behavior w:val="content"/>
        </w:behaviors>
        <w:guid w:val="{A4CF0180-0801-4E0F-851C-542F013C3F55}"/>
      </w:docPartPr>
      <w:docPartBody>
        <w:p w:rsidR="00E2776B" w:rsidRDefault="009641A3" w:rsidP="009641A3">
          <w:pPr>
            <w:pStyle w:val="10C14DC9453B4738864EE655E97DD6ED"/>
          </w:pPr>
          <w:r w:rsidRPr="00A25024">
            <w:rPr>
              <w:rStyle w:val="PlaceholderText"/>
              <w:rFonts w:cstheme="minorHAnsi"/>
              <w:color w:val="A6A6A6" w:themeColor="background1" w:themeShade="A6"/>
            </w:rPr>
            <w:t>Click here to enter measure title</w:t>
          </w:r>
          <w:bookmarkEnd w:id="2"/>
        </w:p>
      </w:docPartBody>
    </w:docPart>
    <w:docPart>
      <w:docPartPr>
        <w:name w:val="8F012C9F5A114B9AA71F4A7BC37B3969"/>
        <w:category>
          <w:name w:val="General"/>
          <w:gallery w:val="placeholder"/>
        </w:category>
        <w:types>
          <w:type w:val="bbPlcHdr"/>
        </w:types>
        <w:behaviors>
          <w:behavior w:val="content"/>
        </w:behaviors>
        <w:guid w:val="{8235861E-A828-420D-BF05-A8F6A9E50086}"/>
      </w:docPartPr>
      <w:docPartBody>
        <w:p w:rsidR="000C3E86" w:rsidRDefault="000C3E86">
          <w:pPr>
            <w:pStyle w:val="8F012C9F5A114B9AA71F4A7BC37B3969"/>
          </w:pPr>
          <w:r w:rsidRPr="00A25024">
            <w:rPr>
              <w:rStyle w:val="PlaceholderText"/>
              <w:rFonts w:cstheme="minorHAnsi"/>
              <w:color w:val="A6A6A6" w:themeColor="background1" w:themeShade="A6"/>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mp;quot">
    <w:altName w:val="Cambria"/>
    <w:panose1 w:val="00000000000000000000"/>
    <w:charset w:val="00"/>
    <w:family w:val="roman"/>
    <w:notTrueType/>
    <w:pitch w:val="default"/>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0121"/>
    <w:rsid w:val="00021F89"/>
    <w:rsid w:val="000C3E86"/>
    <w:rsid w:val="00127222"/>
    <w:rsid w:val="001736D7"/>
    <w:rsid w:val="00190AF4"/>
    <w:rsid w:val="001A7DEA"/>
    <w:rsid w:val="001C2FAD"/>
    <w:rsid w:val="00223FA3"/>
    <w:rsid w:val="002A288F"/>
    <w:rsid w:val="002C65A7"/>
    <w:rsid w:val="002F052A"/>
    <w:rsid w:val="0030520B"/>
    <w:rsid w:val="00350176"/>
    <w:rsid w:val="003840F0"/>
    <w:rsid w:val="00437537"/>
    <w:rsid w:val="004D785E"/>
    <w:rsid w:val="00513FC9"/>
    <w:rsid w:val="0053654E"/>
    <w:rsid w:val="00610196"/>
    <w:rsid w:val="00632A7E"/>
    <w:rsid w:val="00632AB6"/>
    <w:rsid w:val="00682CCF"/>
    <w:rsid w:val="006B44BD"/>
    <w:rsid w:val="00730B33"/>
    <w:rsid w:val="00772B2A"/>
    <w:rsid w:val="007C672A"/>
    <w:rsid w:val="007D4368"/>
    <w:rsid w:val="00822666"/>
    <w:rsid w:val="00823ECC"/>
    <w:rsid w:val="00826796"/>
    <w:rsid w:val="00866C97"/>
    <w:rsid w:val="009017AE"/>
    <w:rsid w:val="009641A3"/>
    <w:rsid w:val="009B7DF7"/>
    <w:rsid w:val="009C542D"/>
    <w:rsid w:val="00A01A18"/>
    <w:rsid w:val="00A95183"/>
    <w:rsid w:val="00AB4AF7"/>
    <w:rsid w:val="00AD7C4F"/>
    <w:rsid w:val="00B445F5"/>
    <w:rsid w:val="00BD40CB"/>
    <w:rsid w:val="00C362A2"/>
    <w:rsid w:val="00C90121"/>
    <w:rsid w:val="00C96E73"/>
    <w:rsid w:val="00CA1FE8"/>
    <w:rsid w:val="00CA344F"/>
    <w:rsid w:val="00CA660C"/>
    <w:rsid w:val="00D1676E"/>
    <w:rsid w:val="00DC0246"/>
    <w:rsid w:val="00E2776B"/>
    <w:rsid w:val="00E6518A"/>
    <w:rsid w:val="00E857C0"/>
    <w:rsid w:val="00F24F9C"/>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10C14DC9453B4738864EE655E97DD6ED">
    <w:name w:val="10C14DC9453B4738864EE655E97DD6ED"/>
    <w:rsid w:val="009641A3"/>
    <w:pPr>
      <w:spacing w:after="160" w:line="259" w:lineRule="auto"/>
    </w:pPr>
  </w:style>
  <w:style w:type="paragraph" w:customStyle="1" w:styleId="8F012C9F5A114B9AA71F4A7BC37B3969">
    <w:name w:val="8F012C9F5A114B9AA71F4A7BC37B396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9F7F90E6C239F42B2564F20A8AAD4CE" ma:contentTypeVersion="8" ma:contentTypeDescription="Create a new document." ma:contentTypeScope="" ma:versionID="40f0f5d9b073a67672677cdbf390ce3b">
  <xsd:schema xmlns:xsd="http://www.w3.org/2001/XMLSchema" xmlns:xs="http://www.w3.org/2001/XMLSchema" xmlns:p="http://schemas.microsoft.com/office/2006/metadata/properties" xmlns:ns2="76bce2c7-2e52-4525-a6e0-24f8a73e605d" xmlns:ns3="64615f93-1352-4a7e-b7a8-3b07e39b2009" targetNamespace="http://schemas.microsoft.com/office/2006/metadata/properties" ma:root="true" ma:fieldsID="5bcb151596019b85dc59b2e0546d91e0" ns2:_="" ns3:_="">
    <xsd:import namespace="76bce2c7-2e52-4525-a6e0-24f8a73e605d"/>
    <xsd:import namespace="64615f93-1352-4a7e-b7a8-3b07e39b200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ce2c7-2e52-4525-a6e0-24f8a73e605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615f93-1352-4a7e-b7a8-3b07e39b20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2.xml><?xml version="1.0" encoding="utf-8"?>
<ds:datastoreItem xmlns:ds="http://schemas.openxmlformats.org/officeDocument/2006/customXml" ds:itemID="{D700C901-3C40-4C03-AF30-8401D54B3554}">
  <ds:schemaRefs>
    <ds:schemaRef ds:uri="http://purl.org/dc/terms/"/>
    <ds:schemaRef ds:uri="http://schemas.microsoft.com/office/infopath/2007/PartnerControls"/>
    <ds:schemaRef ds:uri="http://schemas.openxmlformats.org/package/2006/metadata/core-properties"/>
    <ds:schemaRef ds:uri="http://www.w3.org/XML/1998/namespace"/>
    <ds:schemaRef ds:uri="http://purl.org/dc/elements/1.1/"/>
    <ds:schemaRef ds:uri="http://schemas.microsoft.com/office/2006/documentManagement/types"/>
    <ds:schemaRef ds:uri="64615f93-1352-4a7e-b7a8-3b07e39b2009"/>
    <ds:schemaRef ds:uri="http://purl.org/dc/dcmitype/"/>
    <ds:schemaRef ds:uri="76bce2c7-2e52-4525-a6e0-24f8a73e605d"/>
    <ds:schemaRef ds:uri="http://schemas.microsoft.com/office/2006/metadata/properties"/>
  </ds:schemaRefs>
</ds:datastoreItem>
</file>

<file path=customXml/itemProps3.xml><?xml version="1.0" encoding="utf-8"?>
<ds:datastoreItem xmlns:ds="http://schemas.openxmlformats.org/officeDocument/2006/customXml" ds:itemID="{3F29525E-9AC2-4AED-90FA-B87FEE1EC193}">
  <ds:schemaRefs>
    <ds:schemaRef ds:uri="http://schemas.openxmlformats.org/officeDocument/2006/bibliography"/>
  </ds:schemaRefs>
</ds:datastoreItem>
</file>

<file path=customXml/itemProps4.xml><?xml version="1.0" encoding="utf-8"?>
<ds:datastoreItem xmlns:ds="http://schemas.openxmlformats.org/officeDocument/2006/customXml" ds:itemID="{800C3183-2F80-4715-9EB3-D00EF9F026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ce2c7-2e52-4525-a6e0-24f8a73e605d"/>
    <ds:schemaRef ds:uri="64615f93-1352-4a7e-b7a8-3b07e39b20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12701</Words>
  <Characters>72402</Characters>
  <Application>Microsoft Office Word</Application>
  <DocSecurity>0</DocSecurity>
  <Lines>603</Lines>
  <Paragraphs>169</Paragraphs>
  <ScaleCrop>false</ScaleCrop>
  <Company>National Quality Forum</Company>
  <LinksUpToDate>false</LinksUpToDate>
  <CharactersWithSpaces>84934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subject/>
  <dc:creator>Reva Winkler</dc:creator>
  <cp:keywords/>
  <cp:lastModifiedBy>Brittany Wade</cp:lastModifiedBy>
  <cp:revision>3</cp:revision>
  <dcterms:created xsi:type="dcterms:W3CDTF">2020-10-28T20:30:00Z</dcterms:created>
  <dcterms:modified xsi:type="dcterms:W3CDTF">2020-10-28T20:31:00Z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0x010100E9F7F90E6C239F42B2564F20A8AAD4CE</vt:lpwstr>
  </property>
</Properties>
</file>