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BCF53" w14:textId="7A9604A2"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23701C01"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32544C">
            <w:rPr>
              <w:rStyle w:val="Style1"/>
            </w:rPr>
            <w:t>1879</w:t>
          </w:r>
        </w:sdtContent>
      </w:sdt>
    </w:p>
    <w:p w14:paraId="0CABCF56" w14:textId="78486D18"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32544C">
            <w:rPr>
              <w:rStyle w:val="Style1"/>
              <w:rFonts w:cstheme="minorHAnsi"/>
            </w:rPr>
            <w:t>Adherence to Antipsychotic Medications for Individuals with Schizophrenia</w:t>
          </w:r>
        </w:sdtContent>
      </w:sdt>
    </w:p>
    <w:p w14:paraId="0CABCF57" w14:textId="4C43563F"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rPr>
          <w:id w:val="-1689821638"/>
          <w:placeholder>
            <w:docPart w:val="D0A5AE3409394D21BA5FA5F27780E302"/>
          </w:placeholder>
          <w:date w:fullDate="2018-04-02T00:00:00Z">
            <w:dateFormat w:val="M/d/yyyy"/>
            <w:lid w:val="en-US"/>
            <w:storeMappedDataAs w:val="dateTime"/>
            <w:calendar w:val="gregorian"/>
          </w:date>
        </w:sdtPr>
        <w:sdtEndPr>
          <w:rPr>
            <w:rStyle w:val="DefaultParagraphFont"/>
            <w:noProof/>
            <w:color w:val="auto"/>
            <w:u w:val="none"/>
          </w:rPr>
        </w:sdtEndPr>
        <w:sdtContent>
          <w:r w:rsidR="00BD27E6">
            <w:rPr>
              <w:rStyle w:val="Style2"/>
              <w:rFonts w:cstheme="minorHAnsi"/>
            </w:rPr>
            <w:t>4/2/2018</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77777777" w:rsidR="000B7D57" w:rsidRPr="00C775CE" w:rsidRDefault="00466546"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466546"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466546"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466546"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52A7241A" w:rsidR="000B7D57" w:rsidRPr="00C775CE" w:rsidRDefault="00466546"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7D364A">
                  <w:rPr>
                    <w:rFonts w:ascii="MS Gothic" w:eastAsia="MS Gothic" w:hAnsi="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466546"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466546"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1"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w:t>
            </w:r>
            <w:proofErr w:type="gramStart"/>
            <w:r w:rsidRPr="000F034A">
              <w:rPr>
                <w:rFonts w:cstheme="minorHAnsi"/>
                <w:bCs/>
                <w:iCs/>
              </w:rPr>
              <w:t>time period</w:t>
            </w:r>
            <w:proofErr w:type="gramEnd"/>
            <w:r w:rsidRPr="000F034A">
              <w:rPr>
                <w:rFonts w:cstheme="minorHAnsi"/>
                <w:bCs/>
                <w:iCs/>
              </w:rPr>
              <w:t xml:space="preserve">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2ED0A0A"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lastRenderedPageBreak/>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0F034A">
              <w:rPr>
                <w:rFonts w:ascii="Calibri" w:eastAsia="Calibri" w:hAnsi="Calibri" w:cs="Calibri"/>
              </w:rPr>
              <w:t>nonresponders</w:t>
            </w:r>
            <w:proofErr w:type="spellEnd"/>
            <w:r w:rsidR="00E30584" w:rsidRPr="000F034A">
              <w:rPr>
                <w:rFonts w:ascii="Calibri" w:eastAsia="Calibri" w:hAnsi="Calibri" w:cs="Calibri"/>
              </w:rPr>
              <w:t>)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454C01EE"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4E2BE714"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0C4F32A2"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bookmarkStart w:id="11" w:name="_Hlk500845916"/>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77777777" w:rsidR="00A01494" w:rsidRPr="00A01494" w:rsidRDefault="00466546"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77777777" w:rsidR="00A01494" w:rsidRPr="00A01494" w:rsidRDefault="00466546"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432B7CF9" w:rsidR="00A01494" w:rsidRPr="000F1B7A" w:rsidRDefault="00466546" w:rsidP="000F1B7A">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8D04C2">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4D3CE1B0" w:rsidR="00A01494" w:rsidRPr="000F1B7A" w:rsidRDefault="00466546" w:rsidP="000F1B7A">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437258">
                  <w:rPr>
                    <w:rFonts w:ascii="MS Gothic" w:eastAsia="MS Gothic" w:hAnsi="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38318C23" w:rsidR="00A01494" w:rsidRPr="000F1B7A" w:rsidRDefault="00466546"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562084B1" w:rsidR="00A01494" w:rsidRPr="000F1B7A" w:rsidRDefault="00466546"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03C97EBD" w:rsidR="00A01494" w:rsidRPr="000F1B7A" w:rsidRDefault="00466546"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0559D4">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565BE338" w:rsidR="00A01494" w:rsidRPr="000F1B7A" w:rsidRDefault="00466546"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0559D4">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466546"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466546"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62952893" w:rsidR="00A01494" w:rsidRPr="000F1B7A" w:rsidRDefault="00466546" w:rsidP="008D04C2">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215DDD">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color w:val="FF0000"/>
                </w:rPr>
                <w:id w:val="1834251992"/>
                <w:showingPlcHdr/>
                <w:text/>
              </w:sdtPr>
              <w:sdtEndPr>
                <w:rPr>
                  <w:rStyle w:val="Style1"/>
                </w:rPr>
              </w:sdtEndPr>
              <w:sdtContent>
                <w:r w:rsidR="00215DDD">
                  <w:rPr>
                    <w:rStyle w:val="Style1"/>
                    <w:color w:val="FF0000"/>
                  </w:rPr>
                  <w:t xml:space="preserve">     </w:t>
                </w:r>
              </w:sdtContent>
            </w:sdt>
          </w:p>
        </w:tc>
        <w:tc>
          <w:tcPr>
            <w:tcW w:w="4847" w:type="dxa"/>
          </w:tcPr>
          <w:p w14:paraId="0CABCFAB" w14:textId="3637C4D2" w:rsidR="00A01494" w:rsidRPr="000F1B7A" w:rsidRDefault="00466546"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215DDD">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color w:val="FF0000"/>
                </w:rPr>
                <w:id w:val="1976178076"/>
                <w:showingPlcHdr/>
                <w:text/>
              </w:sdtPr>
              <w:sdtEndPr/>
              <w:sdtContent>
                <w:r w:rsidR="00215DDD">
                  <w:rPr>
                    <w:color w:val="FF0000"/>
                  </w:rPr>
                  <w:t xml:space="preserve">     </w:t>
                </w:r>
              </w:sdtContent>
            </w:sdt>
          </w:p>
        </w:tc>
      </w:tr>
    </w:tbl>
    <w:bookmarkEnd w:id="11"/>
    <w:p w14:paraId="0CABCFAD" w14:textId="2F2C8CF8" w:rsidR="00A01494" w:rsidRDefault="0077259B" w:rsidP="00DB3627">
      <w:pPr>
        <w:autoSpaceDE w:val="0"/>
        <w:autoSpaceDN w:val="0"/>
        <w:adjustRightInd w:val="0"/>
        <w:spacing w:after="0" w:line="240" w:lineRule="auto"/>
        <w:rPr>
          <w:rFonts w:cstheme="minorHAnsi"/>
          <w:b/>
          <w:bCs/>
        </w:rPr>
      </w:pPr>
      <w:r>
        <w:rPr>
          <w:rFonts w:cstheme="minorHAnsi"/>
          <w:b/>
          <w:bCs/>
        </w:rPr>
        <w:t xml:space="preserve">  </w:t>
      </w:r>
      <w:r w:rsidR="006327D8" w:rsidRPr="00A25024">
        <w:rPr>
          <w:rFonts w:cstheme="minorHAnsi"/>
          <w:b/>
          <w:bCs/>
        </w:rPr>
        <w:t xml:space="preserve"> </w:t>
      </w:r>
    </w:p>
    <w:p w14:paraId="0CABCFAE" w14:textId="2CE6DF3A"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w:t>
      </w:r>
      <w:r w:rsidR="0077259B">
        <w:rPr>
          <w:rFonts w:cstheme="minorHAnsi"/>
          <w:bCs/>
        </w:rPr>
        <w:t xml:space="preserve">  </w:t>
      </w:r>
    </w:p>
    <w:p w14:paraId="0CABCFAF" w14:textId="7CDFF97A" w:rsidR="009E1846" w:rsidRDefault="009E1846" w:rsidP="00DB3627">
      <w:pPr>
        <w:autoSpaceDE w:val="0"/>
        <w:autoSpaceDN w:val="0"/>
        <w:adjustRightInd w:val="0"/>
        <w:spacing w:after="0" w:line="240" w:lineRule="auto"/>
        <w:rPr>
          <w:rFonts w:cstheme="minorHAnsi"/>
          <w:b/>
        </w:rPr>
      </w:pPr>
    </w:p>
    <w:p w14:paraId="03DC1230" w14:textId="77777777" w:rsidR="000317AB" w:rsidRDefault="00B21CEF" w:rsidP="000317AB">
      <w:pPr>
        <w:autoSpaceDE w:val="0"/>
        <w:autoSpaceDN w:val="0"/>
        <w:adjustRightInd w:val="0"/>
        <w:spacing w:after="0" w:line="240" w:lineRule="auto"/>
        <w:rPr>
          <w:rFonts w:cstheme="minorHAnsi"/>
          <w:color w:val="1100EE"/>
        </w:rPr>
      </w:pPr>
      <w:r w:rsidRPr="00684634">
        <w:rPr>
          <w:rFonts w:cstheme="minorHAnsi"/>
          <w:color w:val="1100EE"/>
        </w:rPr>
        <w:t xml:space="preserve">Medicare Parts A, B, and D claims data and Minimum Data Set (MDS) data </w:t>
      </w:r>
      <w:r w:rsidR="002F6737" w:rsidRPr="00684634">
        <w:rPr>
          <w:rFonts w:cstheme="minorHAnsi"/>
          <w:color w:val="1100EE"/>
        </w:rPr>
        <w:t>were</w:t>
      </w:r>
      <w:r w:rsidRPr="00684634">
        <w:rPr>
          <w:rFonts w:cstheme="minorHAnsi"/>
          <w:color w:val="1100EE"/>
        </w:rPr>
        <w:t xml:space="preserve"> used to support the field testing of the measure.</w:t>
      </w:r>
      <w:r w:rsidR="00215DDD">
        <w:rPr>
          <w:rFonts w:cstheme="minorHAnsi"/>
          <w:color w:val="1100EE"/>
        </w:rPr>
        <w:t xml:space="preserve"> The following files were used:</w:t>
      </w:r>
      <w:r w:rsidR="000317AB">
        <w:rPr>
          <w:rFonts w:cstheme="minorHAnsi"/>
          <w:color w:val="1100EE"/>
        </w:rPr>
        <w:t xml:space="preserve"> </w:t>
      </w:r>
    </w:p>
    <w:p w14:paraId="6F236CA1" w14:textId="77777777" w:rsidR="000317AB" w:rsidRDefault="000317AB" w:rsidP="000317AB">
      <w:pPr>
        <w:autoSpaceDE w:val="0"/>
        <w:autoSpaceDN w:val="0"/>
        <w:adjustRightInd w:val="0"/>
        <w:spacing w:after="0" w:line="240" w:lineRule="auto"/>
        <w:rPr>
          <w:rFonts w:eastAsia="Times New Roman"/>
          <w:color w:val="0070C0"/>
          <w:szCs w:val="20"/>
        </w:rPr>
      </w:pPr>
    </w:p>
    <w:p w14:paraId="3B2D6EBA" w14:textId="7FA16EC5" w:rsidR="00215DDD" w:rsidRPr="000317AB" w:rsidRDefault="00215DDD">
      <w:pPr>
        <w:pStyle w:val="ListParagraph"/>
        <w:numPr>
          <w:ilvl w:val="0"/>
          <w:numId w:val="33"/>
        </w:numPr>
        <w:autoSpaceDE w:val="0"/>
        <w:autoSpaceDN w:val="0"/>
        <w:adjustRightInd w:val="0"/>
        <w:spacing w:after="0" w:line="240" w:lineRule="auto"/>
        <w:rPr>
          <w:rFonts w:eastAsia="Times New Roman"/>
          <w:color w:val="0000FF"/>
          <w:szCs w:val="20"/>
        </w:rPr>
      </w:pPr>
      <w:r w:rsidRPr="000317AB">
        <w:rPr>
          <w:rFonts w:eastAsia="Times New Roman"/>
          <w:color w:val="0000FF"/>
          <w:szCs w:val="20"/>
        </w:rPr>
        <w:t>Denominator tables to determine individual enrollment</w:t>
      </w:r>
    </w:p>
    <w:p w14:paraId="54908607" w14:textId="77777777" w:rsidR="000317AB" w:rsidRPr="000317AB" w:rsidRDefault="00215DDD" w:rsidP="004808F8">
      <w:pPr>
        <w:pStyle w:val="ListParagraph"/>
        <w:numPr>
          <w:ilvl w:val="0"/>
          <w:numId w:val="33"/>
        </w:numPr>
        <w:shd w:val="clear" w:color="auto" w:fill="FFFFFF"/>
        <w:spacing w:after="0" w:line="240" w:lineRule="auto"/>
        <w:rPr>
          <w:rFonts w:eastAsia="Times New Roman"/>
          <w:color w:val="0000FF"/>
          <w:szCs w:val="20"/>
        </w:rPr>
      </w:pPr>
      <w:r w:rsidRPr="000317AB">
        <w:rPr>
          <w:rFonts w:eastAsia="Times New Roman"/>
          <w:color w:val="0000FF"/>
          <w:szCs w:val="20"/>
        </w:rPr>
        <w:t xml:space="preserve">Prescription drug benefit (Part D) coverage tables </w:t>
      </w:r>
    </w:p>
    <w:p w14:paraId="270DF2AC" w14:textId="77777777" w:rsidR="000317AB" w:rsidRPr="000317AB" w:rsidRDefault="00215DDD" w:rsidP="004808F8">
      <w:pPr>
        <w:pStyle w:val="ListParagraph"/>
        <w:numPr>
          <w:ilvl w:val="0"/>
          <w:numId w:val="33"/>
        </w:numPr>
        <w:shd w:val="clear" w:color="auto" w:fill="FFFFFF"/>
        <w:spacing w:after="0" w:line="240" w:lineRule="auto"/>
        <w:rPr>
          <w:rFonts w:eastAsia="Times New Roman"/>
          <w:color w:val="0000FF"/>
          <w:szCs w:val="20"/>
        </w:rPr>
      </w:pPr>
      <w:r w:rsidRPr="000317AB">
        <w:rPr>
          <w:rFonts w:eastAsia="Times New Roman"/>
          <w:color w:val="0000FF"/>
          <w:szCs w:val="20"/>
        </w:rPr>
        <w:t>Beneficiary file</w:t>
      </w:r>
    </w:p>
    <w:p w14:paraId="18A7B661" w14:textId="77777777" w:rsidR="000317AB" w:rsidRPr="000317AB" w:rsidRDefault="00215DDD" w:rsidP="004808F8">
      <w:pPr>
        <w:pStyle w:val="ListParagraph"/>
        <w:numPr>
          <w:ilvl w:val="0"/>
          <w:numId w:val="33"/>
        </w:numPr>
        <w:shd w:val="clear" w:color="auto" w:fill="FFFFFF"/>
        <w:spacing w:after="0" w:line="240" w:lineRule="auto"/>
        <w:rPr>
          <w:rFonts w:eastAsia="Times New Roman"/>
          <w:color w:val="0000FF"/>
          <w:szCs w:val="20"/>
        </w:rPr>
      </w:pPr>
      <w:r w:rsidRPr="000317AB">
        <w:rPr>
          <w:rFonts w:eastAsia="Times New Roman"/>
          <w:color w:val="0000FF"/>
          <w:szCs w:val="20"/>
        </w:rPr>
        <w:t>Institutional claims (Part A)</w:t>
      </w:r>
    </w:p>
    <w:p w14:paraId="0ADB2513" w14:textId="77777777" w:rsidR="000317AB" w:rsidRPr="000317AB" w:rsidRDefault="00215DDD" w:rsidP="004808F8">
      <w:pPr>
        <w:pStyle w:val="ListParagraph"/>
        <w:numPr>
          <w:ilvl w:val="0"/>
          <w:numId w:val="33"/>
        </w:numPr>
        <w:shd w:val="clear" w:color="auto" w:fill="FFFFFF"/>
        <w:spacing w:after="0" w:line="240" w:lineRule="auto"/>
        <w:rPr>
          <w:rFonts w:eastAsia="Times New Roman"/>
          <w:color w:val="0000FF"/>
          <w:szCs w:val="20"/>
        </w:rPr>
      </w:pPr>
      <w:r w:rsidRPr="000317AB">
        <w:rPr>
          <w:rFonts w:eastAsia="Times New Roman"/>
          <w:color w:val="0000FF"/>
          <w:szCs w:val="20"/>
        </w:rPr>
        <w:t>Non-institutional claims (Part B)—physician carrier/non-DME (durable medical equipment)</w:t>
      </w:r>
    </w:p>
    <w:p w14:paraId="4221FD78" w14:textId="77777777" w:rsidR="000317AB" w:rsidRPr="000317AB" w:rsidRDefault="00215DDD" w:rsidP="004808F8">
      <w:pPr>
        <w:pStyle w:val="ListParagraph"/>
        <w:numPr>
          <w:ilvl w:val="0"/>
          <w:numId w:val="33"/>
        </w:numPr>
        <w:shd w:val="clear" w:color="auto" w:fill="FFFFFF"/>
        <w:spacing w:after="0" w:line="240" w:lineRule="auto"/>
        <w:rPr>
          <w:rFonts w:eastAsia="Times New Roman"/>
          <w:color w:val="0000FF"/>
          <w:szCs w:val="20"/>
        </w:rPr>
      </w:pPr>
      <w:r w:rsidRPr="000317AB">
        <w:rPr>
          <w:rFonts w:eastAsia="Times New Roman"/>
          <w:color w:val="0000FF"/>
          <w:szCs w:val="20"/>
        </w:rPr>
        <w:t>Prescription drug benefit (Part D) claims</w:t>
      </w:r>
    </w:p>
    <w:p w14:paraId="237E1EA3" w14:textId="77777777" w:rsidR="000317AB" w:rsidRPr="000317AB" w:rsidRDefault="00215DDD" w:rsidP="004808F8">
      <w:pPr>
        <w:pStyle w:val="ListParagraph"/>
        <w:numPr>
          <w:ilvl w:val="0"/>
          <w:numId w:val="33"/>
        </w:numPr>
        <w:shd w:val="clear" w:color="auto" w:fill="FFFFFF"/>
        <w:spacing w:after="0" w:line="240" w:lineRule="auto"/>
        <w:rPr>
          <w:rFonts w:eastAsia="Times New Roman"/>
          <w:color w:val="0000FF"/>
          <w:szCs w:val="20"/>
        </w:rPr>
      </w:pPr>
      <w:r w:rsidRPr="000317AB">
        <w:rPr>
          <w:rFonts w:eastAsia="Times New Roman"/>
          <w:color w:val="0000FF"/>
          <w:szCs w:val="20"/>
        </w:rPr>
        <w:t>Centers for Medicare &amp; Medicaid Services (CMS) physician and physician specialty tables</w:t>
      </w:r>
    </w:p>
    <w:p w14:paraId="1CF6CFD4" w14:textId="11667AB5" w:rsidR="00215DDD" w:rsidRPr="000317AB" w:rsidRDefault="00215DDD" w:rsidP="004808F8">
      <w:pPr>
        <w:pStyle w:val="ListParagraph"/>
        <w:numPr>
          <w:ilvl w:val="0"/>
          <w:numId w:val="33"/>
        </w:numPr>
        <w:shd w:val="clear" w:color="auto" w:fill="FFFFFF"/>
        <w:spacing w:after="0" w:line="240" w:lineRule="auto"/>
        <w:rPr>
          <w:rFonts w:eastAsia="Times New Roman"/>
          <w:color w:val="0070C0"/>
          <w:szCs w:val="20"/>
        </w:rPr>
      </w:pPr>
      <w:r w:rsidRPr="000317AB">
        <w:rPr>
          <w:rFonts w:eastAsia="Times New Roman"/>
          <w:color w:val="0000FF"/>
          <w:szCs w:val="20"/>
        </w:rPr>
        <w:t>National Plan &amp; Provider Enumeration System (NPPES) database</w:t>
      </w:r>
    </w:p>
    <w:p w14:paraId="306F6AD7" w14:textId="77777777" w:rsidR="00215DDD" w:rsidRPr="00684634" w:rsidRDefault="00215DDD" w:rsidP="00DB3627">
      <w:pPr>
        <w:autoSpaceDE w:val="0"/>
        <w:autoSpaceDN w:val="0"/>
        <w:adjustRightInd w:val="0"/>
        <w:spacing w:after="0" w:line="240" w:lineRule="auto"/>
        <w:rPr>
          <w:rFonts w:cstheme="minorHAnsi"/>
          <w:color w:val="1100EE"/>
        </w:rPr>
      </w:pPr>
    </w:p>
    <w:p w14:paraId="669609E1" w14:textId="4360CE4A" w:rsidR="003F41FC" w:rsidRPr="003F41FC" w:rsidRDefault="003F41FC" w:rsidP="00DB3627">
      <w:pPr>
        <w:autoSpaceDE w:val="0"/>
        <w:autoSpaceDN w:val="0"/>
        <w:adjustRightInd w:val="0"/>
        <w:spacing w:after="0" w:line="240" w:lineRule="auto"/>
        <w:rPr>
          <w:rFonts w:cstheme="minorHAnsi"/>
        </w:rPr>
      </w:pPr>
    </w:p>
    <w:p w14:paraId="0CABCFB0" w14:textId="2481A790"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sdt>
        <w:sdtPr>
          <w:rPr>
            <w:rStyle w:val="Style1"/>
          </w:rPr>
          <w:id w:val="950514773"/>
          <w:text/>
        </w:sdtPr>
        <w:sdtEndPr>
          <w:rPr>
            <w:rStyle w:val="DefaultParagraphFont"/>
            <w:rFonts w:cstheme="minorHAnsi"/>
            <w:color w:val="auto"/>
          </w:rPr>
        </w:sdtEndPr>
        <w:sdtContent>
          <w:r w:rsidR="007D7C84">
            <w:rPr>
              <w:rStyle w:val="Style1"/>
            </w:rPr>
            <w:t xml:space="preserve">2007, </w:t>
          </w:r>
          <w:r w:rsidR="00B21CEF">
            <w:rPr>
              <w:rStyle w:val="Style1"/>
            </w:rPr>
            <w:t>2008</w:t>
          </w:r>
        </w:sdtContent>
      </w:sdt>
    </w:p>
    <w:p w14:paraId="0CABCFB1" w14:textId="77777777" w:rsidR="000574AB" w:rsidRDefault="000574AB"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77777777" w:rsidR="000414E8" w:rsidRPr="00A01494" w:rsidRDefault="00466546"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CABCFB8" w14:textId="77777777" w:rsidR="000414E8" w:rsidRPr="00A01494" w:rsidRDefault="00466546"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69585988" w:rsidR="000414E8" w:rsidRPr="00A01494" w:rsidRDefault="00466546" w:rsidP="00D61410">
            <w:pPr>
              <w:autoSpaceDE w:val="0"/>
              <w:autoSpaceDN w:val="0"/>
              <w:adjustRightInd w:val="0"/>
              <w:rPr>
                <w:rFonts w:cstheme="minorHAnsi"/>
                <w:bCs/>
              </w:rPr>
            </w:pPr>
            <w:sdt>
              <w:sdtPr>
                <w:rPr>
                  <w:rFonts w:cstheme="minorHAnsi"/>
                  <w:bCs/>
                  <w:color w:val="0000FF"/>
                </w:rPr>
                <w:id w:val="-834455086"/>
                <w14:checkbox>
                  <w14:checked w14:val="1"/>
                  <w14:checkedState w14:val="2612" w14:font="MS Gothic"/>
                  <w14:uncheckedState w14:val="2610" w14:font="MS Gothic"/>
                </w14:checkbox>
              </w:sdtPr>
              <w:sdtEndPr/>
              <w:sdtContent>
                <w:r w:rsidR="00B21CEF">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74EB1D56" w:rsidR="000414E8" w:rsidRPr="00A01494" w:rsidRDefault="00466546" w:rsidP="00D61410">
            <w:pPr>
              <w:autoSpaceDE w:val="0"/>
              <w:autoSpaceDN w:val="0"/>
              <w:adjustRightInd w:val="0"/>
              <w:rPr>
                <w:rFonts w:cstheme="minorHAnsi"/>
                <w:bCs/>
              </w:rPr>
            </w:pPr>
            <w:sdt>
              <w:sdtPr>
                <w:rPr>
                  <w:rFonts w:cstheme="minorHAnsi"/>
                  <w:bCs/>
                  <w:color w:val="0000FF"/>
                </w:rPr>
                <w:id w:val="-412627602"/>
                <w14:checkbox>
                  <w14:checked w14:val="1"/>
                  <w14:checkedState w14:val="2612" w14:font="MS Gothic"/>
                  <w14:uncheckedState w14:val="2610" w14:font="MS Gothic"/>
                </w14:checkbox>
              </w:sdtPr>
              <w:sdtEndPr/>
              <w:sdtContent>
                <w:r w:rsidR="00B21CEF">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77777777" w:rsidR="000414E8" w:rsidRPr="00A01494" w:rsidRDefault="00466546"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77777777" w:rsidR="000414E8" w:rsidRPr="00A01494" w:rsidRDefault="00466546"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2786B0E3" w:rsidR="000414E8" w:rsidRPr="00A01494" w:rsidRDefault="00466546" w:rsidP="00D61410">
            <w:pPr>
              <w:autoSpaceDE w:val="0"/>
              <w:autoSpaceDN w:val="0"/>
              <w:adjustRightInd w:val="0"/>
              <w:rPr>
                <w:rFonts w:cstheme="minorHAnsi"/>
                <w:bCs/>
              </w:rPr>
            </w:pPr>
            <w:sdt>
              <w:sdtPr>
                <w:rPr>
                  <w:rFonts w:cstheme="minorHAnsi"/>
                  <w:bCs/>
                  <w:color w:val="0000FF"/>
                </w:rPr>
                <w:id w:val="275535217"/>
                <w14:checkbox>
                  <w14:checked w14:val="1"/>
                  <w14:checkedState w14:val="2612" w14:font="MS Gothic"/>
                  <w14:uncheckedState w14:val="2610" w14:font="MS Gothic"/>
                </w14:checkbox>
              </w:sdtPr>
              <w:sdtEndPr/>
              <w:sdtContent>
                <w:r w:rsidR="00B21CEF">
                  <w:rPr>
                    <w:rFonts w:ascii="MS Gothic" w:eastAsia="MS Gothic" w:hAnsi="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13689C76" w:rsidR="000414E8" w:rsidRPr="00A01494" w:rsidRDefault="00466546" w:rsidP="00D61410">
            <w:pPr>
              <w:autoSpaceDE w:val="0"/>
              <w:autoSpaceDN w:val="0"/>
              <w:adjustRightInd w:val="0"/>
              <w:rPr>
                <w:rFonts w:cstheme="minorHAnsi"/>
                <w:bCs/>
              </w:rPr>
            </w:pPr>
            <w:sdt>
              <w:sdtPr>
                <w:rPr>
                  <w:rFonts w:cstheme="minorHAnsi"/>
                  <w:bCs/>
                  <w:color w:val="0000FF"/>
                </w:rPr>
                <w:id w:val="1896924375"/>
                <w14:checkbox>
                  <w14:checked w14:val="1"/>
                  <w14:checkedState w14:val="2612" w14:font="MS Gothic"/>
                  <w14:uncheckedState w14:val="2610" w14:font="MS Gothic"/>
                </w14:checkbox>
              </w:sdtPr>
              <w:sdtEndPr/>
              <w:sdtContent>
                <w:r w:rsidR="00B21CEF">
                  <w:rPr>
                    <w:rFonts w:ascii="MS Gothic" w:eastAsia="MS Gothic" w:hAnsi="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478F5364" w:rsidR="000414E8" w:rsidRPr="00A01494" w:rsidRDefault="00466546" w:rsidP="00D61410">
            <w:pPr>
              <w:autoSpaceDE w:val="0"/>
              <w:autoSpaceDN w:val="0"/>
              <w:adjustRightInd w:val="0"/>
              <w:rPr>
                <w:rFonts w:cstheme="minorHAnsi"/>
                <w:bCs/>
              </w:rPr>
            </w:pPr>
            <w:sdt>
              <w:sdtPr>
                <w:rPr>
                  <w:rFonts w:cstheme="minorHAnsi"/>
                  <w:bCs/>
                  <w:color w:val="0000FF"/>
                </w:rPr>
                <w:id w:val="-1138024150"/>
                <w14:checkbox>
                  <w14:checked w14:val="1"/>
                  <w14:checkedState w14:val="2612" w14:font="MS Gothic"/>
                  <w14:uncheckedState w14:val="2610" w14:font="MS Gothic"/>
                </w14:checkbox>
              </w:sdtPr>
              <w:sdtEndPr/>
              <w:sdtContent>
                <w:r w:rsidR="00B21CEF">
                  <w:rPr>
                    <w:rFonts w:ascii="MS Gothic" w:eastAsia="MS Gothic" w:hAnsi="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text/>
              </w:sdtPr>
              <w:sdtEndPr>
                <w:rPr>
                  <w:rStyle w:val="DefaultParagraphFont"/>
                  <w:rFonts w:cstheme="minorHAnsi"/>
                  <w:bCs/>
                  <w:color w:val="auto"/>
                </w:rPr>
              </w:sdtEndPr>
              <w:sdtContent>
                <w:r w:rsidR="00B21CEF">
                  <w:rPr>
                    <w:rStyle w:val="Style1"/>
                  </w:rPr>
                  <w:t>population (state)</w:t>
                </w:r>
              </w:sdtContent>
            </w:sdt>
          </w:p>
        </w:tc>
        <w:tc>
          <w:tcPr>
            <w:tcW w:w="5028" w:type="dxa"/>
          </w:tcPr>
          <w:p w14:paraId="0CABCFC4" w14:textId="16063D8A" w:rsidR="000414E8" w:rsidRPr="00A01494" w:rsidRDefault="00466546" w:rsidP="00D61410">
            <w:pPr>
              <w:autoSpaceDE w:val="0"/>
              <w:autoSpaceDN w:val="0"/>
              <w:adjustRightInd w:val="0"/>
              <w:rPr>
                <w:rFonts w:cstheme="minorHAnsi"/>
                <w:bCs/>
              </w:rPr>
            </w:pPr>
            <w:sdt>
              <w:sdtPr>
                <w:rPr>
                  <w:rFonts w:cstheme="minorHAnsi"/>
                  <w:bCs/>
                  <w:color w:val="0000FF"/>
                </w:rPr>
                <w:id w:val="-417333514"/>
                <w14:checkbox>
                  <w14:checked w14:val="1"/>
                  <w14:checkedState w14:val="2612" w14:font="MS Gothic"/>
                  <w14:uncheckedState w14:val="2610" w14:font="MS Gothic"/>
                </w14:checkbox>
              </w:sdtPr>
              <w:sdtEndPr/>
              <w:sdtContent>
                <w:r w:rsidR="00B21CEF">
                  <w:rPr>
                    <w:rFonts w:ascii="MS Gothic" w:eastAsia="MS Gothic" w:hAnsi="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text/>
              </w:sdtPr>
              <w:sdtEndPr>
                <w:rPr>
                  <w:rStyle w:val="DefaultParagraphFont"/>
                  <w:rFonts w:cstheme="minorHAnsi"/>
                  <w:bCs/>
                  <w:color w:val="auto"/>
                </w:rPr>
              </w:sdtEndPr>
              <w:sdtContent>
                <w:r w:rsidR="00B21CEF">
                  <w:rPr>
                    <w:rStyle w:val="Style1"/>
                  </w:rPr>
                  <w:t>population (state)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0CABCFC8" w14:textId="176FCAE8" w:rsidR="002B5016" w:rsidRDefault="002B5016" w:rsidP="00DB3627">
      <w:pPr>
        <w:autoSpaceDE w:val="0"/>
        <w:autoSpaceDN w:val="0"/>
        <w:adjustRightInd w:val="0"/>
        <w:spacing w:after="0" w:line="240" w:lineRule="auto"/>
        <w:rPr>
          <w:rFonts w:cstheme="minorHAnsi"/>
          <w:bCs/>
        </w:rPr>
      </w:pPr>
    </w:p>
    <w:p w14:paraId="095C8F59" w14:textId="552B084D" w:rsidR="00BC2EA2" w:rsidRDefault="00BD27E6" w:rsidP="00BC2EA2">
      <w:pPr>
        <w:autoSpaceDE w:val="0"/>
        <w:autoSpaceDN w:val="0"/>
        <w:adjustRightInd w:val="0"/>
        <w:spacing w:after="0" w:line="240" w:lineRule="auto"/>
        <w:rPr>
          <w:rFonts w:cstheme="minorHAnsi"/>
          <w:bCs/>
          <w:color w:val="1100EE"/>
        </w:rPr>
      </w:pPr>
      <w:bookmarkStart w:id="12" w:name="_Hlk500852231"/>
      <w:r>
        <w:rPr>
          <w:rFonts w:cstheme="minorHAnsi"/>
          <w:color w:val="1100EE"/>
        </w:rPr>
        <w:t xml:space="preserve">Data from eight states </w:t>
      </w:r>
      <w:r w:rsidR="002F6737" w:rsidRPr="00684634">
        <w:rPr>
          <w:rFonts w:cstheme="minorHAnsi"/>
          <w:color w:val="1100EE"/>
        </w:rPr>
        <w:t>were included in the testing and analysis</w:t>
      </w:r>
      <w:r w:rsidR="00E767B2" w:rsidRPr="00684634">
        <w:rPr>
          <w:rFonts w:cstheme="minorHAnsi"/>
          <w:color w:val="1100EE"/>
        </w:rPr>
        <w:t xml:space="preserve"> for </w:t>
      </w:r>
      <w:r w:rsidR="000E3C17" w:rsidRPr="00684634">
        <w:rPr>
          <w:rFonts w:cstheme="minorHAnsi"/>
          <w:color w:val="1100EE"/>
        </w:rPr>
        <w:t>validity</w:t>
      </w:r>
      <w:r w:rsidR="000E3C17" w:rsidRPr="00684634" w:rsidDel="000E3C17">
        <w:rPr>
          <w:rFonts w:cstheme="minorHAnsi"/>
          <w:color w:val="1100EE"/>
        </w:rPr>
        <w:t xml:space="preserve"> </w:t>
      </w:r>
      <w:r w:rsidR="000E3C17">
        <w:rPr>
          <w:rFonts w:cstheme="minorHAnsi"/>
          <w:color w:val="1100EE"/>
        </w:rPr>
        <w:t xml:space="preserve">and </w:t>
      </w:r>
      <w:r w:rsidR="000E3C17">
        <w:rPr>
          <w:rFonts w:cstheme="minorHAnsi"/>
          <w:color w:val="FF0000"/>
        </w:rPr>
        <w:t xml:space="preserve">physician group </w:t>
      </w:r>
      <w:r w:rsidR="00F754C0">
        <w:rPr>
          <w:rFonts w:cstheme="minorHAnsi"/>
          <w:color w:val="FF0000"/>
        </w:rPr>
        <w:t xml:space="preserve">and state </w:t>
      </w:r>
      <w:r w:rsidR="00E767B2" w:rsidRPr="00684634">
        <w:rPr>
          <w:rFonts w:cstheme="minorHAnsi"/>
          <w:color w:val="1100EE"/>
        </w:rPr>
        <w:t>reliability.</w:t>
      </w:r>
      <w:r w:rsidR="00BC2EA2">
        <w:rPr>
          <w:rFonts w:cstheme="minorHAnsi"/>
          <w:color w:val="1100EE"/>
        </w:rPr>
        <w:t xml:space="preserve"> These data included </w:t>
      </w:r>
      <w:r w:rsidR="00BC2EA2" w:rsidRPr="00684634">
        <w:rPr>
          <w:rFonts w:cstheme="minorHAnsi"/>
          <w:bCs/>
          <w:color w:val="1100EE"/>
        </w:rPr>
        <w:t>9,406 Physician Groups and 656 Part D plans.</w:t>
      </w:r>
    </w:p>
    <w:p w14:paraId="7D2C1F06" w14:textId="77777777" w:rsidR="00257975" w:rsidRDefault="00257975" w:rsidP="00BC2EA2">
      <w:pPr>
        <w:autoSpaceDE w:val="0"/>
        <w:autoSpaceDN w:val="0"/>
        <w:adjustRightInd w:val="0"/>
        <w:spacing w:after="0" w:line="240" w:lineRule="auto"/>
        <w:rPr>
          <w:rFonts w:cstheme="minorHAnsi"/>
          <w:bCs/>
          <w:color w:val="1100EE"/>
        </w:rPr>
      </w:pPr>
    </w:p>
    <w:p w14:paraId="36C7EC57" w14:textId="073DA755" w:rsidR="002F6737" w:rsidRPr="00684634" w:rsidRDefault="00257975" w:rsidP="00DB3627">
      <w:pPr>
        <w:autoSpaceDE w:val="0"/>
        <w:autoSpaceDN w:val="0"/>
        <w:adjustRightInd w:val="0"/>
        <w:spacing w:after="0" w:line="240" w:lineRule="auto"/>
        <w:rPr>
          <w:rFonts w:cstheme="minorHAnsi"/>
          <w:color w:val="1100EE"/>
        </w:rPr>
      </w:pPr>
      <w:r>
        <w:rPr>
          <w:rFonts w:cstheme="minorHAnsi"/>
          <w:bCs/>
          <w:color w:val="FF0000"/>
        </w:rPr>
        <w:t>For</w:t>
      </w:r>
      <w:r w:rsidR="005B5876">
        <w:rPr>
          <w:rFonts w:cstheme="minorHAnsi"/>
          <w:bCs/>
          <w:color w:val="FF0000"/>
        </w:rPr>
        <w:t xml:space="preserve"> health plan</w:t>
      </w:r>
      <w:r>
        <w:rPr>
          <w:rFonts w:cstheme="minorHAnsi"/>
          <w:bCs/>
          <w:color w:val="FF0000"/>
        </w:rPr>
        <w:t xml:space="preserve"> </w:t>
      </w:r>
      <w:r w:rsidR="00E4438B">
        <w:rPr>
          <w:rFonts w:cstheme="minorHAnsi"/>
          <w:bCs/>
          <w:color w:val="FF0000"/>
        </w:rPr>
        <w:t>reliability testing</w:t>
      </w:r>
      <w:r w:rsidR="005B5876">
        <w:rPr>
          <w:rFonts w:cstheme="minorHAnsi"/>
          <w:bCs/>
          <w:color w:val="FF0000"/>
        </w:rPr>
        <w:t xml:space="preserve">, data </w:t>
      </w:r>
      <w:r w:rsidR="005E3620">
        <w:rPr>
          <w:rFonts w:cstheme="minorHAnsi"/>
          <w:bCs/>
          <w:color w:val="FF0000"/>
        </w:rPr>
        <w:t xml:space="preserve">included five randomly selected Part D plans </w:t>
      </w:r>
      <w:r w:rsidR="005B5876">
        <w:rPr>
          <w:rFonts w:cstheme="minorHAnsi"/>
          <w:bCs/>
          <w:color w:val="FF0000"/>
        </w:rPr>
        <w:t>from two states</w:t>
      </w:r>
      <w:bookmarkEnd w:id="12"/>
      <w:r w:rsidR="00BD27E6">
        <w:rPr>
          <w:rFonts w:cstheme="minorHAnsi"/>
          <w:bCs/>
          <w:color w:val="FF0000"/>
        </w:rPr>
        <w:t>.</w:t>
      </w:r>
    </w:p>
    <w:p w14:paraId="32BF6195" w14:textId="77777777" w:rsidR="002F6737" w:rsidRPr="00A25024" w:rsidRDefault="002F6737" w:rsidP="00DB3627">
      <w:pPr>
        <w:autoSpaceDE w:val="0"/>
        <w:autoSpaceDN w:val="0"/>
        <w:adjustRightInd w:val="0"/>
        <w:spacing w:after="0" w:line="240" w:lineRule="auto"/>
        <w:rPr>
          <w:rFonts w:cstheme="minorHAnsi"/>
          <w:bCs/>
        </w:rPr>
      </w:pPr>
    </w:p>
    <w:p w14:paraId="0CABCFC9" w14:textId="33688F02" w:rsidR="007422FD"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p>
    <w:p w14:paraId="4D4300FD" w14:textId="46DF0786" w:rsidR="0007344D" w:rsidRPr="00684634" w:rsidRDefault="0007344D" w:rsidP="00DB3627">
      <w:pPr>
        <w:autoSpaceDE w:val="0"/>
        <w:autoSpaceDN w:val="0"/>
        <w:adjustRightInd w:val="0"/>
        <w:spacing w:after="0" w:line="240" w:lineRule="auto"/>
        <w:rPr>
          <w:rFonts w:cstheme="minorHAnsi"/>
          <w:bCs/>
          <w:color w:val="1100EE"/>
        </w:rPr>
      </w:pPr>
      <w:r w:rsidRPr="00684634">
        <w:rPr>
          <w:rFonts w:cstheme="minorHAnsi"/>
          <w:bCs/>
          <w:color w:val="1100EE"/>
        </w:rPr>
        <w:t>The data included 4,789,034 Medicare benefi</w:t>
      </w:r>
      <w:r w:rsidR="00AC0AA6" w:rsidRPr="00684634">
        <w:rPr>
          <w:rFonts w:cstheme="minorHAnsi"/>
          <w:bCs/>
          <w:color w:val="1100EE"/>
        </w:rPr>
        <w:t>ciaries</w:t>
      </w:r>
      <w:r w:rsidRPr="00684634">
        <w:rPr>
          <w:rFonts w:cstheme="minorHAnsi"/>
          <w:bCs/>
          <w:color w:val="1100EE"/>
        </w:rPr>
        <w:t>.</w:t>
      </w:r>
    </w:p>
    <w:p w14:paraId="57ADFD9D" w14:textId="77777777" w:rsidR="0007344D" w:rsidRDefault="0007344D" w:rsidP="00DB3627">
      <w:pPr>
        <w:autoSpaceDE w:val="0"/>
        <w:autoSpaceDN w:val="0"/>
        <w:adjustRightInd w:val="0"/>
        <w:spacing w:after="0" w:line="240" w:lineRule="auto"/>
        <w:rPr>
          <w:rFonts w:cstheme="minorHAnsi"/>
          <w:bCs/>
        </w:rPr>
      </w:pPr>
    </w:p>
    <w:p w14:paraId="0CABCFCA" w14:textId="77777777"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43C12285" w14:textId="77777777" w:rsidR="000B0254" w:rsidRDefault="000B0254" w:rsidP="00BC2EA2">
      <w:pPr>
        <w:autoSpaceDE w:val="0"/>
        <w:autoSpaceDN w:val="0"/>
        <w:adjustRightInd w:val="0"/>
        <w:spacing w:after="0" w:line="240" w:lineRule="auto"/>
        <w:rPr>
          <w:rFonts w:cstheme="minorHAnsi"/>
          <w:bCs/>
          <w:color w:val="1100EE"/>
        </w:rPr>
      </w:pPr>
      <w:bookmarkStart w:id="13" w:name="_Hlk500852273"/>
    </w:p>
    <w:p w14:paraId="6B55ADDE" w14:textId="1D0E2C2B" w:rsidR="00BC2EA2" w:rsidRPr="00684634" w:rsidRDefault="00215DDD" w:rsidP="00BC2EA2">
      <w:pPr>
        <w:autoSpaceDE w:val="0"/>
        <w:autoSpaceDN w:val="0"/>
        <w:adjustRightInd w:val="0"/>
        <w:spacing w:after="0" w:line="240" w:lineRule="auto"/>
        <w:rPr>
          <w:rFonts w:cstheme="minorHAnsi"/>
          <w:bCs/>
          <w:color w:val="1100EE"/>
        </w:rPr>
      </w:pPr>
      <w:r>
        <w:rPr>
          <w:rFonts w:cstheme="minorHAnsi"/>
          <w:bCs/>
          <w:color w:val="1100EE"/>
        </w:rPr>
        <w:t>No</w:t>
      </w:r>
      <w:r w:rsidR="00BC2EA2" w:rsidRPr="00684634">
        <w:rPr>
          <w:rFonts w:cstheme="minorHAnsi"/>
          <w:bCs/>
          <w:color w:val="1100EE"/>
        </w:rPr>
        <w:t xml:space="preserve"> </w:t>
      </w:r>
      <w:r w:rsidR="00BC2EA2">
        <w:rPr>
          <w:rFonts w:cstheme="minorHAnsi"/>
          <w:bCs/>
          <w:color w:val="1100EE"/>
        </w:rPr>
        <w:t>differences in the data or sample used.</w:t>
      </w:r>
      <w:bookmarkEnd w:id="13"/>
    </w:p>
    <w:p w14:paraId="0CABCFCB" w14:textId="22D12CDD" w:rsidR="00E37E1B" w:rsidRDefault="00E37E1B" w:rsidP="00E37E1B">
      <w:pPr>
        <w:autoSpaceDE w:val="0"/>
        <w:autoSpaceDN w:val="0"/>
        <w:adjustRightInd w:val="0"/>
        <w:spacing w:after="0" w:line="240" w:lineRule="auto"/>
        <w:rPr>
          <w:rFonts w:cstheme="minorHAnsi"/>
          <w:bCs/>
        </w:rPr>
      </w:pPr>
    </w:p>
    <w:p w14:paraId="0E490053" w14:textId="77777777" w:rsidR="006D4672" w:rsidRDefault="006D4672" w:rsidP="00E37E1B">
      <w:pPr>
        <w:autoSpaceDE w:val="0"/>
        <w:autoSpaceDN w:val="0"/>
        <w:adjustRightInd w:val="0"/>
        <w:spacing w:after="0" w:line="240" w:lineRule="auto"/>
        <w:rPr>
          <w:rFonts w:cstheme="minorHAnsi"/>
          <w:bCs/>
        </w:rPr>
      </w:pPr>
    </w:p>
    <w:p w14:paraId="0CABCFCC" w14:textId="149C1A5E" w:rsidR="0021054A" w:rsidRDefault="0021054A" w:rsidP="00E37E1B">
      <w:pPr>
        <w:autoSpaceDE w:val="0"/>
        <w:autoSpaceDN w:val="0"/>
        <w:adjustRightInd w:val="0"/>
        <w:spacing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14:paraId="74CC6D30" w14:textId="77777777" w:rsidR="00FE33F0" w:rsidRDefault="00FE33F0" w:rsidP="00FE33F0">
      <w:pPr>
        <w:autoSpaceDE w:val="0"/>
        <w:autoSpaceDN w:val="0"/>
        <w:adjustRightInd w:val="0"/>
        <w:spacing w:after="0" w:line="240" w:lineRule="auto"/>
        <w:rPr>
          <w:rFonts w:cstheme="minorHAnsi"/>
          <w:bCs/>
          <w:color w:val="1100EE"/>
        </w:rPr>
      </w:pPr>
    </w:p>
    <w:p w14:paraId="4FB62FEA" w14:textId="69EB45FB" w:rsidR="00A5592D" w:rsidRDefault="00507652" w:rsidP="004808F8">
      <w:pPr>
        <w:spacing w:after="0" w:line="240" w:lineRule="auto"/>
        <w:rPr>
          <w:rFonts w:ascii="Times New Roman" w:hAnsi="Times New Roman"/>
        </w:rPr>
      </w:pPr>
      <w:bookmarkStart w:id="14" w:name="_Hlk500852281"/>
      <w:r>
        <w:rPr>
          <w:rFonts w:cstheme="minorHAnsi"/>
          <w:bCs/>
          <w:color w:val="FF0000"/>
        </w:rPr>
        <w:t xml:space="preserve">Two proxy variables for social risk were evaluated to understand disparities: race/ethnicity and dual-eligibility </w:t>
      </w:r>
      <w:r w:rsidR="00CE7EE4">
        <w:rPr>
          <w:rFonts w:cstheme="minorHAnsi"/>
          <w:bCs/>
          <w:color w:val="FF0000"/>
        </w:rPr>
        <w:t xml:space="preserve">beneficiary </w:t>
      </w:r>
      <w:r>
        <w:rPr>
          <w:rFonts w:cstheme="minorHAnsi"/>
          <w:bCs/>
          <w:color w:val="FF0000"/>
        </w:rPr>
        <w:t xml:space="preserve">status. Because this measure is not an outcome or intermediate outcome measure, these factors were </w:t>
      </w:r>
      <w:r w:rsidRPr="00CC0822">
        <w:rPr>
          <w:rFonts w:cstheme="minorHAnsi"/>
          <w:bCs/>
          <w:color w:val="FF0000"/>
        </w:rPr>
        <w:t xml:space="preserve">not evaluated for risk adjustment. </w:t>
      </w:r>
      <w:r w:rsidRPr="00A5592D">
        <w:rPr>
          <w:rFonts w:eastAsia="Trebuchet MS" w:cs="Trebuchet MS"/>
          <w:color w:val="FF0000"/>
        </w:rPr>
        <w:t xml:space="preserve">Overall, </w:t>
      </w:r>
      <w:r w:rsidR="00A5592D" w:rsidRPr="00A5592D">
        <w:rPr>
          <w:color w:val="FF0000"/>
        </w:rPr>
        <w:t>in the younger age groups (18-64),</w:t>
      </w:r>
      <w:r w:rsidRPr="00A5592D">
        <w:rPr>
          <w:color w:val="FF0000"/>
        </w:rPr>
        <w:t xml:space="preserve"> </w:t>
      </w:r>
      <w:r w:rsidR="00BD27E6">
        <w:rPr>
          <w:color w:val="FF0000"/>
        </w:rPr>
        <w:t>African-</w:t>
      </w:r>
      <w:r w:rsidR="00CC0822" w:rsidRPr="00A5592D">
        <w:rPr>
          <w:color w:val="FF0000"/>
        </w:rPr>
        <w:t xml:space="preserve">Americans </w:t>
      </w:r>
      <w:r w:rsidR="00A5592D" w:rsidRPr="00A5592D">
        <w:rPr>
          <w:color w:val="FF0000"/>
        </w:rPr>
        <w:t>had noticeably lower adherence. In all age groups, dual-</w:t>
      </w:r>
      <w:r w:rsidR="00CC0822" w:rsidRPr="00A5592D">
        <w:rPr>
          <w:color w:val="FF0000"/>
        </w:rPr>
        <w:t xml:space="preserve">eligible </w:t>
      </w:r>
      <w:r w:rsidR="00DC2C6F">
        <w:rPr>
          <w:color w:val="FF0000"/>
        </w:rPr>
        <w:t xml:space="preserve">beneficiaries </w:t>
      </w:r>
      <w:r w:rsidR="00A5592D" w:rsidRPr="00A5592D">
        <w:rPr>
          <w:color w:val="FF0000"/>
        </w:rPr>
        <w:t xml:space="preserve">had higher </w:t>
      </w:r>
      <w:r w:rsidR="00CC0822" w:rsidRPr="00A5592D">
        <w:rPr>
          <w:color w:val="FF0000"/>
        </w:rPr>
        <w:t xml:space="preserve">rates </w:t>
      </w:r>
      <w:r w:rsidR="00A5592D" w:rsidRPr="00A5592D">
        <w:rPr>
          <w:color w:val="FF0000"/>
        </w:rPr>
        <w:t xml:space="preserve">of adherence </w:t>
      </w:r>
      <w:r w:rsidR="00CC0822" w:rsidRPr="00A5592D">
        <w:rPr>
          <w:color w:val="FF0000"/>
        </w:rPr>
        <w:t xml:space="preserve">than </w:t>
      </w:r>
      <w:r w:rsidR="00A5592D" w:rsidRPr="00A5592D">
        <w:rPr>
          <w:color w:val="FF0000"/>
        </w:rPr>
        <w:t>those who are not dual</w:t>
      </w:r>
      <w:r w:rsidR="00C262E6">
        <w:rPr>
          <w:color w:val="FF0000"/>
        </w:rPr>
        <w:t>-</w:t>
      </w:r>
      <w:r w:rsidR="00A5592D" w:rsidRPr="00A5592D">
        <w:rPr>
          <w:color w:val="FF0000"/>
        </w:rPr>
        <w:t>eligible.</w:t>
      </w:r>
      <w:r w:rsidR="00A5592D" w:rsidRPr="00A5592D">
        <w:rPr>
          <w:rFonts w:ascii="Times New Roman" w:hAnsi="Times New Roman"/>
          <w:color w:val="FF0000"/>
        </w:rPr>
        <w:t xml:space="preserve"> </w:t>
      </w:r>
    </w:p>
    <w:p w14:paraId="4A2FE9A9" w14:textId="4A7B4AFB" w:rsidR="00507652" w:rsidRPr="00CC0822" w:rsidRDefault="00507652" w:rsidP="00507652">
      <w:pPr>
        <w:shd w:val="clear" w:color="auto" w:fill="FFFFFF"/>
        <w:spacing w:after="0"/>
        <w:rPr>
          <w:rFonts w:eastAsia="Times New Roman"/>
          <w:color w:val="000000" w:themeColor="text1"/>
        </w:rPr>
      </w:pPr>
    </w:p>
    <w:bookmarkEnd w:id="14"/>
    <w:p w14:paraId="0CABCFCD"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2CBA2150"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C262E6" w:rsidRPr="00BD27E6">
            <w:rPr>
              <w:rFonts w:ascii="MS Gothic" w:eastAsia="MS Gothic" w:hAnsi="MS Gothic" w:cstheme="minorHAnsi" w:hint="eastAsia"/>
              <w:bCs/>
              <w:color w:val="0000FF"/>
            </w:rPr>
            <w:t>☒</w:t>
          </w:r>
        </w:sdtContent>
      </w:sdt>
      <w:r w:rsidR="00A25024" w:rsidRPr="00BD27E6">
        <w:rPr>
          <w:rFonts w:eastAsia="MS Mincho" w:cstheme="minorHAnsi"/>
          <w:b/>
          <w:bCs/>
          <w:color w:val="0000FF"/>
        </w:rPr>
        <w:t xml:space="preserve"> </w:t>
      </w:r>
      <w:r w:rsidR="001F7A20" w:rsidRPr="00BD27E6">
        <w:rPr>
          <w:rFonts w:cstheme="minorHAnsi"/>
          <w:b/>
          <w:bCs/>
        </w:rPr>
        <w:t>Critical</w:t>
      </w:r>
      <w:r w:rsidR="001F7A20" w:rsidRPr="0062225C">
        <w:rPr>
          <w:rFonts w:cstheme="minorHAnsi"/>
          <w:b/>
          <w:bCs/>
        </w:rPr>
        <w:t xml:space="preserve"> data elements used in the measure</w:t>
      </w:r>
      <w:r w:rsidR="001F7A20" w:rsidRPr="0062225C">
        <w:rPr>
          <w:rFonts w:cstheme="minorHAnsi"/>
          <w:bCs/>
        </w:rPr>
        <w:t xml:space="preserve"> (</w:t>
      </w:r>
      <w:r w:rsidR="001F7A20" w:rsidRPr="0062225C">
        <w:rPr>
          <w:rFonts w:cstheme="minorHAnsi"/>
          <w:bCs/>
          <w:i/>
        </w:rPr>
        <w:t>e.g., inter-abstractor reliability; data element reliability</w:t>
      </w:r>
      <w:r w:rsidR="001F7A20" w:rsidRPr="000414E8">
        <w:rPr>
          <w:rFonts w:cstheme="minorHAnsi"/>
          <w:bCs/>
          <w:i/>
        </w:rPr>
        <w:t xml:space="preserve"> </w:t>
      </w:r>
      <w:r w:rsidR="001F7A20" w:rsidRPr="000414E8">
        <w:rPr>
          <w:rFonts w:cstheme="minorHAnsi"/>
          <w:bCs/>
          <w:i/>
        </w:rPr>
        <w:lastRenderedPageBreak/>
        <w:t>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B13EE0">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0CABCFD2" w14:textId="5F4800DB" w:rsidR="008C54A9" w:rsidRDefault="008C54A9" w:rsidP="008C54A9">
      <w:pPr>
        <w:autoSpaceDE w:val="0"/>
        <w:autoSpaceDN w:val="0"/>
        <w:adjustRightInd w:val="0"/>
        <w:spacing w:after="0" w:line="240" w:lineRule="auto"/>
        <w:rPr>
          <w:rFonts w:cstheme="minorHAnsi"/>
          <w:bCs/>
        </w:rPr>
      </w:pPr>
    </w:p>
    <w:p w14:paraId="61323723" w14:textId="67FA5349" w:rsidR="00B13EE0" w:rsidRPr="00B13EE0" w:rsidRDefault="00B13EE0" w:rsidP="00B13EE0">
      <w:pPr>
        <w:autoSpaceDE w:val="0"/>
        <w:autoSpaceDN w:val="0"/>
        <w:adjustRightInd w:val="0"/>
        <w:spacing w:after="0" w:line="240" w:lineRule="auto"/>
        <w:rPr>
          <w:rFonts w:cstheme="minorHAnsi"/>
          <w:bCs/>
          <w:color w:val="1100EE"/>
        </w:rPr>
      </w:pPr>
      <w:proofErr w:type="gramStart"/>
      <w:r w:rsidRPr="00B13EE0">
        <w:rPr>
          <w:rFonts w:cstheme="minorHAnsi"/>
          <w:bCs/>
          <w:color w:val="1100EE"/>
        </w:rPr>
        <w:t>In order to</w:t>
      </w:r>
      <w:proofErr w:type="gramEnd"/>
      <w:r w:rsidRPr="00B13EE0">
        <w:rPr>
          <w:rFonts w:cstheme="minorHAnsi"/>
          <w:bCs/>
          <w:color w:val="1100EE"/>
        </w:rPr>
        <w:t xml:space="preserve"> assess measure precision in the context of the observed variability across measurement units (physician groups), we utilized the approach proposed by Adams (2009) in work on the reliability for provider profiling for the National Committee for Quality Assurance (NCQA). The following is quoted from the tutorial: “Reliability is a key metric of the suitability of a measure for [provider] profiling because it describes how well one can confidently distinguish the performance of one physician from another. Conceptually, it is the ratio of signal to noise. The signal in this case is the proportion of the variability in measured performance that can be explained by real differences in performance. There are three main drivers of reliability: sample size, differences between physicians, and measurement error. At the physician level, sample size can be increased by increasing the number of patients in the physician’s data as well as increasing the number of measures per patient.” </w:t>
      </w:r>
    </w:p>
    <w:p w14:paraId="5E7A11D4" w14:textId="77777777" w:rsidR="00B13EE0" w:rsidRPr="00B13EE0" w:rsidRDefault="00B13EE0" w:rsidP="00B13EE0">
      <w:pPr>
        <w:autoSpaceDE w:val="0"/>
        <w:autoSpaceDN w:val="0"/>
        <w:adjustRightInd w:val="0"/>
        <w:spacing w:after="0" w:line="240" w:lineRule="auto"/>
        <w:rPr>
          <w:rFonts w:cstheme="minorHAnsi"/>
          <w:bCs/>
          <w:color w:val="1100EE"/>
        </w:rPr>
      </w:pPr>
    </w:p>
    <w:p w14:paraId="0C0AE33C" w14:textId="06EF821D" w:rsidR="00B13EE0" w:rsidRPr="00B13EE0" w:rsidRDefault="00B13EE0" w:rsidP="00B13EE0">
      <w:pPr>
        <w:autoSpaceDE w:val="0"/>
        <w:autoSpaceDN w:val="0"/>
        <w:adjustRightInd w:val="0"/>
        <w:spacing w:after="0" w:line="240" w:lineRule="auto"/>
        <w:rPr>
          <w:rFonts w:cstheme="minorHAnsi"/>
          <w:bCs/>
          <w:color w:val="1100EE"/>
        </w:rPr>
      </w:pPr>
      <w:r w:rsidRPr="00B13EE0">
        <w:rPr>
          <w:rFonts w:cstheme="minorHAnsi"/>
          <w:bCs/>
          <w:color w:val="1100EE"/>
        </w:rPr>
        <w:t>The signal to noise ratio was calculated as a function of the variance between physician groups (signal) and the variance within a physician group (noise). Reliability was estimated using a beta-binomial model. This approach has 2 basic assumptions:</w:t>
      </w:r>
    </w:p>
    <w:p w14:paraId="18BC39E2" w14:textId="77777777" w:rsidR="00B13EE0" w:rsidRPr="00B13EE0" w:rsidRDefault="00B13EE0" w:rsidP="00B13EE0">
      <w:pPr>
        <w:autoSpaceDE w:val="0"/>
        <w:autoSpaceDN w:val="0"/>
        <w:adjustRightInd w:val="0"/>
        <w:spacing w:after="0" w:line="240" w:lineRule="auto"/>
        <w:rPr>
          <w:rFonts w:cstheme="minorHAnsi"/>
          <w:bCs/>
          <w:color w:val="1100EE"/>
        </w:rPr>
      </w:pPr>
    </w:p>
    <w:p w14:paraId="080558B7" w14:textId="77777777" w:rsidR="00B13EE0" w:rsidRPr="00B13EE0" w:rsidRDefault="00B13EE0" w:rsidP="00B13EE0">
      <w:pPr>
        <w:autoSpaceDE w:val="0"/>
        <w:autoSpaceDN w:val="0"/>
        <w:adjustRightInd w:val="0"/>
        <w:spacing w:after="0" w:line="240" w:lineRule="auto"/>
        <w:rPr>
          <w:rFonts w:cstheme="minorHAnsi"/>
          <w:bCs/>
          <w:color w:val="1100EE"/>
        </w:rPr>
      </w:pPr>
      <w:r w:rsidRPr="00B13EE0">
        <w:rPr>
          <w:rFonts w:cstheme="minorHAnsi"/>
          <w:bCs/>
          <w:color w:val="1100EE"/>
        </w:rPr>
        <w:t xml:space="preserve">1) Each physician has a true pass rate, p, which varies from physician to physician, and </w:t>
      </w:r>
    </w:p>
    <w:p w14:paraId="50290E24" w14:textId="77777777" w:rsidR="00B13EE0" w:rsidRPr="00B13EE0" w:rsidRDefault="00B13EE0" w:rsidP="00B13EE0">
      <w:pPr>
        <w:autoSpaceDE w:val="0"/>
        <w:autoSpaceDN w:val="0"/>
        <w:adjustRightInd w:val="0"/>
        <w:spacing w:after="0" w:line="240" w:lineRule="auto"/>
        <w:rPr>
          <w:rFonts w:cstheme="minorHAnsi"/>
          <w:bCs/>
          <w:color w:val="1100EE"/>
        </w:rPr>
      </w:pPr>
      <w:r w:rsidRPr="00B13EE0">
        <w:rPr>
          <w:rFonts w:cstheme="minorHAnsi"/>
          <w:bCs/>
          <w:color w:val="1100EE"/>
        </w:rPr>
        <w:t xml:space="preserve">2) The physician’s score is a binomial random variable conditional on the physician’s true value, which comes from the beta distribution. </w:t>
      </w:r>
    </w:p>
    <w:p w14:paraId="5210549E" w14:textId="77777777" w:rsidR="00B13EE0" w:rsidRPr="00B13EE0" w:rsidRDefault="00B13EE0" w:rsidP="00B13EE0">
      <w:pPr>
        <w:autoSpaceDE w:val="0"/>
        <w:autoSpaceDN w:val="0"/>
        <w:adjustRightInd w:val="0"/>
        <w:spacing w:after="0" w:line="240" w:lineRule="auto"/>
        <w:rPr>
          <w:rFonts w:cstheme="minorHAnsi"/>
          <w:bCs/>
          <w:color w:val="1100EE"/>
        </w:rPr>
      </w:pPr>
    </w:p>
    <w:p w14:paraId="578B0D8F" w14:textId="27B4F02D" w:rsidR="00B13EE0" w:rsidRPr="00B13EE0" w:rsidRDefault="00B13EE0" w:rsidP="00B13EE0">
      <w:pPr>
        <w:autoSpaceDE w:val="0"/>
        <w:autoSpaceDN w:val="0"/>
        <w:adjustRightInd w:val="0"/>
        <w:spacing w:after="0" w:line="240" w:lineRule="auto"/>
        <w:rPr>
          <w:rFonts w:cstheme="minorHAnsi"/>
          <w:bCs/>
          <w:color w:val="1100EE"/>
        </w:rPr>
      </w:pPr>
      <w:r w:rsidRPr="00B13EE0">
        <w:rPr>
          <w:rFonts w:cstheme="minorHAnsi"/>
          <w:bCs/>
          <w:color w:val="1100EE"/>
        </w:rPr>
        <w:t>Reliability scores vary from 0.0 to 1.0. A score of zero implies that all variation is attributed to measurement error (noise or the individual physician group variance), whereas a reliability of 1.0 implies that all variation is caused by a real difference in performance (across physician groups). In a simulation, Adams showed that differences between physicians started to be seen at reliability of 0.7 and significant differences could be seen at reliability of 0.9. Generally, a minimum reliability score of 0.7 is used to indicate sufficient signal strength to discriminate performance between physicians. Reliability scores were also calculated for state level results using the same approach.</w:t>
      </w:r>
    </w:p>
    <w:p w14:paraId="0C9410D4" w14:textId="77777777" w:rsidR="00B13EE0" w:rsidRPr="00B13EE0" w:rsidRDefault="00B13EE0" w:rsidP="00B13EE0">
      <w:pPr>
        <w:autoSpaceDE w:val="0"/>
        <w:autoSpaceDN w:val="0"/>
        <w:adjustRightInd w:val="0"/>
        <w:spacing w:after="0" w:line="240" w:lineRule="auto"/>
        <w:rPr>
          <w:rFonts w:cstheme="minorHAnsi"/>
          <w:bCs/>
          <w:color w:val="1100EE"/>
        </w:rPr>
      </w:pPr>
    </w:p>
    <w:p w14:paraId="6855C3E6" w14:textId="5D37502C" w:rsidR="00B13EE0" w:rsidRPr="00B13EE0" w:rsidRDefault="00B13EE0" w:rsidP="00B13EE0">
      <w:pPr>
        <w:autoSpaceDE w:val="0"/>
        <w:autoSpaceDN w:val="0"/>
        <w:adjustRightInd w:val="0"/>
        <w:spacing w:after="0" w:line="240" w:lineRule="auto"/>
        <w:rPr>
          <w:rFonts w:cstheme="minorHAnsi"/>
          <w:bCs/>
          <w:color w:val="1100EE"/>
        </w:rPr>
      </w:pPr>
      <w:r w:rsidRPr="00B13EE0">
        <w:rPr>
          <w:rFonts w:cstheme="minorHAnsi"/>
          <w:bCs/>
          <w:color w:val="1100EE"/>
        </w:rPr>
        <w:t>Adams, J. L. The Reliability of Provider Profiling: A Tutorial. Santa Monica, California: RAND Corporation. TR-653-NCQA, 2009.</w:t>
      </w:r>
    </w:p>
    <w:p w14:paraId="2E0B7F81" w14:textId="5C7590C5" w:rsidR="00B13EE0" w:rsidRDefault="00B13EE0" w:rsidP="00B13EE0">
      <w:pPr>
        <w:autoSpaceDE w:val="0"/>
        <w:autoSpaceDN w:val="0"/>
        <w:adjustRightInd w:val="0"/>
        <w:spacing w:after="0" w:line="240" w:lineRule="auto"/>
        <w:rPr>
          <w:rFonts w:cstheme="minorHAnsi"/>
          <w:bCs/>
        </w:rPr>
      </w:pPr>
    </w:p>
    <w:p w14:paraId="73CFA231" w14:textId="7A108C2C" w:rsidR="00EF1A71" w:rsidRDefault="00F50C7E" w:rsidP="00EF1A71">
      <w:pPr>
        <w:autoSpaceDE w:val="0"/>
        <w:autoSpaceDN w:val="0"/>
        <w:adjustRightInd w:val="0"/>
        <w:spacing w:after="0" w:line="240" w:lineRule="auto"/>
        <w:rPr>
          <w:rFonts w:cstheme="minorHAnsi"/>
          <w:bCs/>
          <w:color w:val="FF0000"/>
        </w:rPr>
      </w:pPr>
      <w:r>
        <w:rPr>
          <w:rFonts w:cstheme="minorHAnsi"/>
          <w:bCs/>
          <w:color w:val="FF0000"/>
        </w:rPr>
        <w:t>Reliability at the health plan level</w:t>
      </w:r>
      <w:r w:rsidRPr="00F50C7E">
        <w:rPr>
          <w:rFonts w:cstheme="minorHAnsi"/>
          <w:bCs/>
          <w:color w:val="FF0000"/>
        </w:rPr>
        <w:t xml:space="preserve"> </w:t>
      </w:r>
      <w:r>
        <w:rPr>
          <w:rFonts w:cstheme="minorHAnsi"/>
          <w:bCs/>
          <w:color w:val="FF0000"/>
        </w:rPr>
        <w:t>was assessed using Cohen’s Kappa. The measure scores for five randomly selected Medicare Part D plans were compared and inter-rater agreement was calculated</w:t>
      </w:r>
      <w:r w:rsidR="00EF1A71">
        <w:rPr>
          <w:rFonts w:cstheme="minorHAnsi"/>
          <w:bCs/>
          <w:color w:val="FF0000"/>
        </w:rPr>
        <w:t xml:space="preserve">. </w:t>
      </w:r>
      <w:r w:rsidR="00EF1A71" w:rsidRPr="00EF1A71">
        <w:rPr>
          <w:rFonts w:cstheme="minorHAnsi"/>
          <w:bCs/>
          <w:color w:val="FF0000"/>
        </w:rPr>
        <w:t>Concerning an acceptable threshold for kappa, there are no definitive criteria in the literature for what level of reliability is acceptable for measures</w:t>
      </w:r>
      <w:r w:rsidR="00DE3104">
        <w:rPr>
          <w:rFonts w:cstheme="minorHAnsi"/>
          <w:bCs/>
          <w:color w:val="FF0000"/>
        </w:rPr>
        <w:t xml:space="preserve"> based on administrative data. </w:t>
      </w:r>
      <w:r w:rsidR="00EF1A71" w:rsidRPr="00EF1A71">
        <w:rPr>
          <w:rFonts w:cstheme="minorHAnsi"/>
          <w:bCs/>
          <w:color w:val="FF0000"/>
        </w:rPr>
        <w:t>Furthermore, since relatively small differences in programmer interpretation could result in a large variation in output, we utilized a conservative threshold of 0.9 for Cohen’s Kapp</w:t>
      </w:r>
      <w:r w:rsidR="00DE3104">
        <w:rPr>
          <w:rFonts w:cstheme="minorHAnsi"/>
          <w:bCs/>
          <w:color w:val="FF0000"/>
        </w:rPr>
        <w:t>a, based on the following scale</w:t>
      </w:r>
      <w:r w:rsidR="00EF1A71" w:rsidRPr="00EF1A71">
        <w:rPr>
          <w:rFonts w:cstheme="minorHAnsi"/>
          <w:bCs/>
          <w:color w:val="FF0000"/>
        </w:rPr>
        <w:t>:</w:t>
      </w:r>
    </w:p>
    <w:p w14:paraId="3FB7B9E3" w14:textId="77777777" w:rsidR="00EF1A71" w:rsidRPr="00EF1A71" w:rsidRDefault="00EF1A71" w:rsidP="00EF1A71">
      <w:pPr>
        <w:autoSpaceDE w:val="0"/>
        <w:autoSpaceDN w:val="0"/>
        <w:adjustRightInd w:val="0"/>
        <w:spacing w:after="0" w:line="240" w:lineRule="auto"/>
        <w:rPr>
          <w:rFonts w:cstheme="minorHAnsi"/>
          <w:bCs/>
          <w:color w:val="FF0000"/>
        </w:rPr>
      </w:pPr>
    </w:p>
    <w:p w14:paraId="7F8E2E67" w14:textId="77777777" w:rsidR="00EF1A71" w:rsidRPr="00EF1A71" w:rsidRDefault="00EF1A71" w:rsidP="00EF1A71">
      <w:pPr>
        <w:autoSpaceDE w:val="0"/>
        <w:autoSpaceDN w:val="0"/>
        <w:adjustRightInd w:val="0"/>
        <w:spacing w:after="0" w:line="240" w:lineRule="auto"/>
        <w:ind w:left="720"/>
        <w:rPr>
          <w:rFonts w:cstheme="minorHAnsi"/>
          <w:bCs/>
          <w:color w:val="FF0000"/>
        </w:rPr>
      </w:pPr>
      <w:r w:rsidRPr="00EF1A71">
        <w:rPr>
          <w:rFonts w:cstheme="minorHAnsi"/>
          <w:bCs/>
          <w:color w:val="FF0000"/>
        </w:rPr>
        <w:t xml:space="preserve">&lt; 0 = no agreement </w:t>
      </w:r>
    </w:p>
    <w:p w14:paraId="0C972852" w14:textId="77777777" w:rsidR="00EF1A71" w:rsidRPr="00EF1A71" w:rsidRDefault="00EF1A71" w:rsidP="00EF1A71">
      <w:pPr>
        <w:autoSpaceDE w:val="0"/>
        <w:autoSpaceDN w:val="0"/>
        <w:adjustRightInd w:val="0"/>
        <w:spacing w:after="0" w:line="240" w:lineRule="auto"/>
        <w:ind w:left="720"/>
        <w:rPr>
          <w:rFonts w:cstheme="minorHAnsi"/>
          <w:bCs/>
          <w:color w:val="FF0000"/>
        </w:rPr>
      </w:pPr>
      <w:r w:rsidRPr="00EF1A71">
        <w:rPr>
          <w:rFonts w:cstheme="minorHAnsi"/>
          <w:bCs/>
          <w:color w:val="FF0000"/>
        </w:rPr>
        <w:t>0–0.20 = slight agreement</w:t>
      </w:r>
    </w:p>
    <w:p w14:paraId="1DF291DB" w14:textId="77777777" w:rsidR="00EF1A71" w:rsidRPr="00EF1A71" w:rsidRDefault="00EF1A71" w:rsidP="00EF1A71">
      <w:pPr>
        <w:autoSpaceDE w:val="0"/>
        <w:autoSpaceDN w:val="0"/>
        <w:adjustRightInd w:val="0"/>
        <w:spacing w:after="0" w:line="240" w:lineRule="auto"/>
        <w:ind w:left="720"/>
        <w:rPr>
          <w:rFonts w:cstheme="minorHAnsi"/>
          <w:bCs/>
          <w:color w:val="FF0000"/>
        </w:rPr>
      </w:pPr>
      <w:r w:rsidRPr="00EF1A71">
        <w:rPr>
          <w:rFonts w:cstheme="minorHAnsi"/>
          <w:bCs/>
          <w:color w:val="FF0000"/>
        </w:rPr>
        <w:t>0.21–0.40 = fair agreement</w:t>
      </w:r>
    </w:p>
    <w:p w14:paraId="7DD23DA5" w14:textId="77777777" w:rsidR="00EF1A71" w:rsidRPr="00EF1A71" w:rsidRDefault="00EF1A71" w:rsidP="00EF1A71">
      <w:pPr>
        <w:autoSpaceDE w:val="0"/>
        <w:autoSpaceDN w:val="0"/>
        <w:adjustRightInd w:val="0"/>
        <w:spacing w:after="0" w:line="240" w:lineRule="auto"/>
        <w:ind w:left="720"/>
        <w:rPr>
          <w:rFonts w:cstheme="minorHAnsi"/>
          <w:bCs/>
          <w:color w:val="FF0000"/>
        </w:rPr>
      </w:pPr>
      <w:r w:rsidRPr="00EF1A71">
        <w:rPr>
          <w:rFonts w:cstheme="minorHAnsi"/>
          <w:bCs/>
          <w:color w:val="FF0000"/>
        </w:rPr>
        <w:t>0.41–0.60 = moderate agreement</w:t>
      </w:r>
    </w:p>
    <w:p w14:paraId="0593E0E6" w14:textId="77777777" w:rsidR="00EF1A71" w:rsidRPr="00EF1A71" w:rsidRDefault="00EF1A71" w:rsidP="00EF1A71">
      <w:pPr>
        <w:autoSpaceDE w:val="0"/>
        <w:autoSpaceDN w:val="0"/>
        <w:adjustRightInd w:val="0"/>
        <w:spacing w:after="0" w:line="240" w:lineRule="auto"/>
        <w:ind w:left="720"/>
        <w:rPr>
          <w:rFonts w:cstheme="minorHAnsi"/>
          <w:bCs/>
          <w:color w:val="FF0000"/>
        </w:rPr>
      </w:pPr>
      <w:r w:rsidRPr="00EF1A71">
        <w:rPr>
          <w:rFonts w:cstheme="minorHAnsi"/>
          <w:bCs/>
          <w:color w:val="FF0000"/>
        </w:rPr>
        <w:lastRenderedPageBreak/>
        <w:t>0.61–0.80 = substantial agreement</w:t>
      </w:r>
    </w:p>
    <w:p w14:paraId="15279812" w14:textId="77777777" w:rsidR="00EF1A71" w:rsidRPr="00EF1A71" w:rsidRDefault="00EF1A71" w:rsidP="00EF1A71">
      <w:pPr>
        <w:autoSpaceDE w:val="0"/>
        <w:autoSpaceDN w:val="0"/>
        <w:adjustRightInd w:val="0"/>
        <w:spacing w:after="0" w:line="240" w:lineRule="auto"/>
        <w:ind w:left="720"/>
        <w:rPr>
          <w:rFonts w:cstheme="minorHAnsi"/>
          <w:bCs/>
          <w:color w:val="FF0000"/>
        </w:rPr>
      </w:pPr>
      <w:r w:rsidRPr="00EF1A71">
        <w:rPr>
          <w:rFonts w:cstheme="minorHAnsi"/>
          <w:bCs/>
          <w:color w:val="FF0000"/>
        </w:rPr>
        <w:t>0.81–1 = almost perfect agreement</w:t>
      </w:r>
    </w:p>
    <w:p w14:paraId="2B01AD14" w14:textId="77777777" w:rsidR="00EF1A71" w:rsidRPr="00EF1A71" w:rsidRDefault="00EF1A71" w:rsidP="00EF1A71">
      <w:pPr>
        <w:autoSpaceDE w:val="0"/>
        <w:autoSpaceDN w:val="0"/>
        <w:adjustRightInd w:val="0"/>
        <w:spacing w:after="0" w:line="240" w:lineRule="auto"/>
        <w:rPr>
          <w:rFonts w:cstheme="minorHAnsi"/>
          <w:bCs/>
          <w:color w:val="FF0000"/>
        </w:rPr>
      </w:pPr>
      <w:r w:rsidRPr="00EF1A71">
        <w:rPr>
          <w:rFonts w:cstheme="minorHAnsi"/>
          <w:bCs/>
          <w:color w:val="FF0000"/>
        </w:rPr>
        <w:t xml:space="preserve"> </w:t>
      </w:r>
    </w:p>
    <w:p w14:paraId="7A599721" w14:textId="72352265" w:rsidR="00EF1A71" w:rsidRPr="00EF1A71" w:rsidRDefault="00EF1A71" w:rsidP="00EF1A71">
      <w:pPr>
        <w:autoSpaceDE w:val="0"/>
        <w:autoSpaceDN w:val="0"/>
        <w:adjustRightInd w:val="0"/>
        <w:spacing w:after="0" w:line="240" w:lineRule="auto"/>
        <w:rPr>
          <w:rFonts w:cstheme="minorHAnsi"/>
          <w:bCs/>
          <w:color w:val="FF0000"/>
        </w:rPr>
      </w:pPr>
      <w:r w:rsidRPr="00EF1A71">
        <w:rPr>
          <w:rFonts w:cstheme="minorHAnsi"/>
          <w:bCs/>
          <w:color w:val="FF0000"/>
        </w:rPr>
        <w:t>Therefore, if the Cohen’s Kappa was greater than or equal to 0.9, the measure specifica</w:t>
      </w:r>
      <w:r w:rsidR="00DE3104">
        <w:rPr>
          <w:rFonts w:cstheme="minorHAnsi"/>
          <w:bCs/>
          <w:color w:val="FF0000"/>
        </w:rPr>
        <w:t>tions were considered reliable.</w:t>
      </w:r>
      <w:r w:rsidRPr="00EF1A71">
        <w:rPr>
          <w:rFonts w:cstheme="minorHAnsi"/>
          <w:bCs/>
          <w:color w:val="FF0000"/>
        </w:rPr>
        <w:t xml:space="preserve"> If Cohen’s Kappa in the initial reliability testing with the two programmers was less than 0.9, each step of the measure algorithm (in the Measure Information Form [MIF]) was compared, and the differences were clarifi</w:t>
      </w:r>
      <w:r w:rsidR="00DE3104">
        <w:rPr>
          <w:rFonts w:cstheme="minorHAnsi"/>
          <w:bCs/>
          <w:color w:val="FF0000"/>
        </w:rPr>
        <w:t xml:space="preserve">ed between programmer 1 and 2. </w:t>
      </w:r>
      <w:r w:rsidRPr="00EF1A71">
        <w:rPr>
          <w:rFonts w:cstheme="minorHAnsi"/>
          <w:bCs/>
          <w:color w:val="FF0000"/>
        </w:rPr>
        <w:t>Identified differences are noted in a narrative, where applicable, along with extracts of the respective modification to the MIF.</w:t>
      </w:r>
    </w:p>
    <w:p w14:paraId="5A07B609" w14:textId="77777777" w:rsidR="00EF1A71" w:rsidRPr="00EF1A71" w:rsidRDefault="00EF1A71" w:rsidP="00EF1A71">
      <w:pPr>
        <w:autoSpaceDE w:val="0"/>
        <w:autoSpaceDN w:val="0"/>
        <w:adjustRightInd w:val="0"/>
        <w:spacing w:after="0" w:line="240" w:lineRule="auto"/>
        <w:rPr>
          <w:rFonts w:cstheme="minorHAnsi"/>
          <w:bCs/>
          <w:color w:val="FF0000"/>
        </w:rPr>
      </w:pPr>
    </w:p>
    <w:p w14:paraId="74DF6A95" w14:textId="092FD055" w:rsidR="00EF1A71" w:rsidRPr="00EF1A71" w:rsidRDefault="00EF1A71" w:rsidP="00EF1A71">
      <w:pPr>
        <w:autoSpaceDE w:val="0"/>
        <w:autoSpaceDN w:val="0"/>
        <w:adjustRightInd w:val="0"/>
        <w:spacing w:after="0" w:line="240" w:lineRule="auto"/>
        <w:rPr>
          <w:rFonts w:cstheme="minorHAnsi"/>
          <w:bCs/>
          <w:color w:val="FF0000"/>
        </w:rPr>
      </w:pPr>
      <w:r w:rsidRPr="00EF1A71">
        <w:rPr>
          <w:rFonts w:cstheme="minorHAnsi"/>
          <w:bCs/>
          <w:color w:val="FF0000"/>
        </w:rPr>
        <w:t>The revised MIF was then presented to a third programmer and results compared to the consolidated results derived in the first</w:t>
      </w:r>
      <w:r w:rsidR="00DE3104">
        <w:rPr>
          <w:rFonts w:cstheme="minorHAnsi"/>
          <w:bCs/>
          <w:color w:val="FF0000"/>
        </w:rPr>
        <w:t xml:space="preserve"> round of reliability testing. </w:t>
      </w:r>
      <w:r w:rsidRPr="00EF1A71">
        <w:rPr>
          <w:rFonts w:cstheme="minorHAnsi"/>
          <w:bCs/>
          <w:color w:val="FF0000"/>
        </w:rPr>
        <w:t>This iterative process with independent programmers continued until the Kappa score reached the threshold of greater than or equal to 0.9.</w:t>
      </w:r>
    </w:p>
    <w:p w14:paraId="4A557718" w14:textId="10F6346E" w:rsidR="00F50C7E" w:rsidRPr="00A25024" w:rsidRDefault="00F50C7E" w:rsidP="00B13EE0">
      <w:pPr>
        <w:autoSpaceDE w:val="0"/>
        <w:autoSpaceDN w:val="0"/>
        <w:adjustRightInd w:val="0"/>
        <w:spacing w:after="0" w:line="240" w:lineRule="auto"/>
        <w:rPr>
          <w:rFonts w:cstheme="minorHAnsi"/>
          <w:bCs/>
        </w:rPr>
      </w:pPr>
    </w:p>
    <w:p w14:paraId="0CABCFD3" w14:textId="7F992D05" w:rsidR="007422FD"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p>
    <w:p w14:paraId="176692EF" w14:textId="17396D8E" w:rsidR="00B13EE0" w:rsidRPr="00A5592D" w:rsidRDefault="00A5592D" w:rsidP="00B13EE0">
      <w:pPr>
        <w:autoSpaceDE w:val="0"/>
        <w:autoSpaceDN w:val="0"/>
        <w:adjustRightInd w:val="0"/>
        <w:spacing w:after="0" w:line="240" w:lineRule="auto"/>
        <w:rPr>
          <w:rFonts w:cstheme="minorHAnsi"/>
          <w:b/>
          <w:color w:val="1100EE"/>
        </w:rPr>
      </w:pPr>
      <w:r w:rsidRPr="00A5592D">
        <w:rPr>
          <w:rFonts w:cstheme="minorHAnsi"/>
          <w:b/>
          <w:bCs/>
          <w:color w:val="1100EE"/>
        </w:rPr>
        <w:t>State Reliability</w:t>
      </w:r>
    </w:p>
    <w:p w14:paraId="551F902C" w14:textId="77777777" w:rsidR="00B13EE0" w:rsidRPr="00B13EE0" w:rsidRDefault="00B13EE0" w:rsidP="00B13EE0">
      <w:pPr>
        <w:autoSpaceDE w:val="0"/>
        <w:autoSpaceDN w:val="0"/>
        <w:adjustRightInd w:val="0"/>
        <w:spacing w:after="0" w:line="240" w:lineRule="auto"/>
        <w:rPr>
          <w:rFonts w:cstheme="minorHAnsi"/>
          <w:bCs/>
          <w:color w:val="1100EE"/>
        </w:rPr>
      </w:pPr>
      <w:r w:rsidRPr="00B13EE0">
        <w:rPr>
          <w:rFonts w:cstheme="minorHAnsi"/>
          <w:bCs/>
          <w:color w:val="1100EE"/>
        </w:rPr>
        <w:t>State / Denominator / Mean rate for state / Reliability score (based on the mean rate)</w:t>
      </w:r>
    </w:p>
    <w:p w14:paraId="36EAD9EA" w14:textId="77777777" w:rsidR="00B13EE0" w:rsidRPr="00B13EE0" w:rsidRDefault="00B13EE0" w:rsidP="00B13EE0">
      <w:pPr>
        <w:autoSpaceDE w:val="0"/>
        <w:autoSpaceDN w:val="0"/>
        <w:adjustRightInd w:val="0"/>
        <w:spacing w:after="0" w:line="240" w:lineRule="auto"/>
        <w:rPr>
          <w:rFonts w:cstheme="minorHAnsi"/>
          <w:bCs/>
          <w:color w:val="1100EE"/>
        </w:rPr>
      </w:pPr>
    </w:p>
    <w:p w14:paraId="6631C897" w14:textId="4989837F" w:rsidR="00BD27E6" w:rsidRPr="00B13EE0" w:rsidRDefault="00C86561" w:rsidP="00BD27E6">
      <w:pPr>
        <w:autoSpaceDE w:val="0"/>
        <w:autoSpaceDN w:val="0"/>
        <w:adjustRightInd w:val="0"/>
        <w:spacing w:after="0" w:line="240" w:lineRule="auto"/>
        <w:rPr>
          <w:rFonts w:cstheme="minorHAnsi"/>
          <w:bCs/>
          <w:color w:val="1100EE"/>
        </w:rPr>
      </w:pPr>
      <w:r>
        <w:rPr>
          <w:rFonts w:cstheme="minorHAnsi"/>
          <w:bCs/>
          <w:color w:val="1100EE"/>
        </w:rPr>
        <w:t>A</w:t>
      </w:r>
      <w:r w:rsidR="00BD27E6" w:rsidRPr="00B13EE0">
        <w:rPr>
          <w:rFonts w:cstheme="minorHAnsi"/>
          <w:bCs/>
          <w:color w:val="1100EE"/>
        </w:rPr>
        <w:t xml:space="preserve"> / 1368 / 67.54% / 0.955</w:t>
      </w:r>
    </w:p>
    <w:p w14:paraId="64EE623E" w14:textId="77777777" w:rsidR="00BD27E6" w:rsidRDefault="00BD27E6" w:rsidP="00B13EE0">
      <w:pPr>
        <w:autoSpaceDE w:val="0"/>
        <w:autoSpaceDN w:val="0"/>
        <w:adjustRightInd w:val="0"/>
        <w:spacing w:after="0" w:line="240" w:lineRule="auto"/>
        <w:rPr>
          <w:rFonts w:cstheme="minorHAnsi"/>
          <w:bCs/>
          <w:color w:val="1100EE"/>
        </w:rPr>
      </w:pPr>
    </w:p>
    <w:p w14:paraId="6AB6B3C8" w14:textId="5B66EAE7" w:rsidR="00B13EE0" w:rsidRDefault="00C86561" w:rsidP="00B13EE0">
      <w:pPr>
        <w:autoSpaceDE w:val="0"/>
        <w:autoSpaceDN w:val="0"/>
        <w:adjustRightInd w:val="0"/>
        <w:spacing w:after="0" w:line="240" w:lineRule="auto"/>
        <w:rPr>
          <w:rFonts w:cstheme="minorHAnsi"/>
          <w:bCs/>
          <w:color w:val="1100EE"/>
        </w:rPr>
      </w:pPr>
      <w:r>
        <w:rPr>
          <w:rFonts w:cstheme="minorHAnsi"/>
          <w:bCs/>
          <w:color w:val="1100EE"/>
        </w:rPr>
        <w:t>B</w:t>
      </w:r>
      <w:r w:rsidR="00B13EE0" w:rsidRPr="00B13EE0">
        <w:rPr>
          <w:rFonts w:cstheme="minorHAnsi"/>
          <w:bCs/>
          <w:color w:val="1100EE"/>
        </w:rPr>
        <w:t xml:space="preserve"> / 681 / 76.36% / 0.927</w:t>
      </w:r>
    </w:p>
    <w:p w14:paraId="5EF2EE04" w14:textId="35F189BC" w:rsidR="00BD27E6" w:rsidRDefault="00BD27E6" w:rsidP="00B13EE0">
      <w:pPr>
        <w:autoSpaceDE w:val="0"/>
        <w:autoSpaceDN w:val="0"/>
        <w:adjustRightInd w:val="0"/>
        <w:spacing w:after="0" w:line="240" w:lineRule="auto"/>
        <w:rPr>
          <w:rFonts w:cstheme="minorHAnsi"/>
          <w:bCs/>
          <w:color w:val="1100EE"/>
        </w:rPr>
      </w:pPr>
    </w:p>
    <w:p w14:paraId="7D83F195" w14:textId="65AB0622" w:rsidR="00BD27E6" w:rsidRDefault="00C86561" w:rsidP="00BD27E6">
      <w:pPr>
        <w:autoSpaceDE w:val="0"/>
        <w:autoSpaceDN w:val="0"/>
        <w:adjustRightInd w:val="0"/>
        <w:spacing w:after="0" w:line="240" w:lineRule="auto"/>
        <w:rPr>
          <w:rFonts w:cstheme="minorHAnsi"/>
          <w:bCs/>
          <w:color w:val="1100EE"/>
        </w:rPr>
      </w:pPr>
      <w:r>
        <w:rPr>
          <w:rFonts w:cstheme="minorHAnsi"/>
          <w:bCs/>
          <w:color w:val="1100EE"/>
        </w:rPr>
        <w:t>C</w:t>
      </w:r>
      <w:r w:rsidR="00BD27E6" w:rsidRPr="00B13EE0">
        <w:rPr>
          <w:rFonts w:cstheme="minorHAnsi"/>
          <w:bCs/>
          <w:color w:val="1100EE"/>
        </w:rPr>
        <w:t xml:space="preserve"> / 14869 / 71.03% / 0.996</w:t>
      </w:r>
    </w:p>
    <w:p w14:paraId="52229D56" w14:textId="346C1243" w:rsidR="00BD27E6" w:rsidRDefault="00BD27E6" w:rsidP="00B13EE0">
      <w:pPr>
        <w:autoSpaceDE w:val="0"/>
        <w:autoSpaceDN w:val="0"/>
        <w:adjustRightInd w:val="0"/>
        <w:spacing w:after="0" w:line="240" w:lineRule="auto"/>
        <w:rPr>
          <w:rFonts w:cstheme="minorHAnsi"/>
          <w:bCs/>
          <w:color w:val="1100EE"/>
        </w:rPr>
      </w:pPr>
    </w:p>
    <w:p w14:paraId="772E2142" w14:textId="6F6F24CA" w:rsidR="00BD27E6" w:rsidRDefault="00C86561" w:rsidP="00BD27E6">
      <w:pPr>
        <w:autoSpaceDE w:val="0"/>
        <w:autoSpaceDN w:val="0"/>
        <w:adjustRightInd w:val="0"/>
        <w:spacing w:after="0" w:line="240" w:lineRule="auto"/>
        <w:rPr>
          <w:rFonts w:cstheme="minorHAnsi"/>
          <w:bCs/>
          <w:color w:val="1100EE"/>
        </w:rPr>
      </w:pPr>
      <w:r>
        <w:rPr>
          <w:rFonts w:cstheme="minorHAnsi"/>
          <w:bCs/>
          <w:color w:val="1100EE"/>
        </w:rPr>
        <w:t>D</w:t>
      </w:r>
      <w:r w:rsidR="00BD27E6" w:rsidRPr="00B13EE0">
        <w:rPr>
          <w:rFonts w:cstheme="minorHAnsi"/>
          <w:bCs/>
          <w:color w:val="1100EE"/>
        </w:rPr>
        <w:t xml:space="preserve"> / 3652 / 84.72% / 0.990</w:t>
      </w:r>
    </w:p>
    <w:p w14:paraId="75A9B59C" w14:textId="77777777" w:rsidR="00BD27E6" w:rsidRPr="00B13EE0" w:rsidRDefault="00BD27E6" w:rsidP="00BD27E6">
      <w:pPr>
        <w:autoSpaceDE w:val="0"/>
        <w:autoSpaceDN w:val="0"/>
        <w:adjustRightInd w:val="0"/>
        <w:spacing w:after="0" w:line="240" w:lineRule="auto"/>
        <w:rPr>
          <w:rFonts w:cstheme="minorHAnsi"/>
          <w:bCs/>
          <w:color w:val="1100EE"/>
        </w:rPr>
      </w:pPr>
    </w:p>
    <w:p w14:paraId="29A2CF20" w14:textId="2E72FF80" w:rsidR="00BD27E6" w:rsidRPr="00B13EE0" w:rsidRDefault="00C86561" w:rsidP="00BD27E6">
      <w:pPr>
        <w:autoSpaceDE w:val="0"/>
        <w:autoSpaceDN w:val="0"/>
        <w:adjustRightInd w:val="0"/>
        <w:spacing w:after="0" w:line="240" w:lineRule="auto"/>
        <w:rPr>
          <w:rFonts w:cstheme="minorHAnsi"/>
          <w:bCs/>
          <w:color w:val="1100EE"/>
        </w:rPr>
      </w:pPr>
      <w:r>
        <w:rPr>
          <w:rFonts w:cstheme="minorHAnsi"/>
          <w:bCs/>
          <w:color w:val="1100EE"/>
        </w:rPr>
        <w:t>E</w:t>
      </w:r>
      <w:r w:rsidR="00BD27E6" w:rsidRPr="00B13EE0">
        <w:rPr>
          <w:rFonts w:cstheme="minorHAnsi"/>
          <w:bCs/>
          <w:color w:val="1100EE"/>
        </w:rPr>
        <w:t xml:space="preserve"> / 6157 / 80.02% / 0.992</w:t>
      </w:r>
    </w:p>
    <w:p w14:paraId="5FDAC666" w14:textId="0C66E61E" w:rsidR="00BD27E6" w:rsidRDefault="00BD27E6" w:rsidP="00B13EE0">
      <w:pPr>
        <w:autoSpaceDE w:val="0"/>
        <w:autoSpaceDN w:val="0"/>
        <w:adjustRightInd w:val="0"/>
        <w:spacing w:after="0" w:line="240" w:lineRule="auto"/>
        <w:rPr>
          <w:rFonts w:cstheme="minorHAnsi"/>
          <w:bCs/>
          <w:color w:val="1100EE"/>
        </w:rPr>
      </w:pPr>
    </w:p>
    <w:p w14:paraId="5590AC1D" w14:textId="5D5E2387" w:rsidR="00BD27E6" w:rsidRPr="00B13EE0" w:rsidRDefault="00C86561" w:rsidP="00BD27E6">
      <w:pPr>
        <w:autoSpaceDE w:val="0"/>
        <w:autoSpaceDN w:val="0"/>
        <w:adjustRightInd w:val="0"/>
        <w:spacing w:after="0" w:line="240" w:lineRule="auto"/>
        <w:rPr>
          <w:rFonts w:cstheme="minorHAnsi"/>
          <w:bCs/>
          <w:color w:val="1100EE"/>
        </w:rPr>
      </w:pPr>
      <w:r>
        <w:rPr>
          <w:rFonts w:cstheme="minorHAnsi"/>
          <w:bCs/>
          <w:color w:val="1100EE"/>
        </w:rPr>
        <w:t>F</w:t>
      </w:r>
      <w:r w:rsidR="00BD27E6" w:rsidRPr="00B13EE0">
        <w:rPr>
          <w:rFonts w:cstheme="minorHAnsi"/>
          <w:bCs/>
          <w:color w:val="1100EE"/>
        </w:rPr>
        <w:t xml:space="preserve"> / 3351 / 68.49% / 0.981</w:t>
      </w:r>
    </w:p>
    <w:p w14:paraId="7E1BEE52" w14:textId="356F8752" w:rsidR="00B13EE0" w:rsidRPr="00B13EE0" w:rsidRDefault="00B13EE0" w:rsidP="00B13EE0">
      <w:pPr>
        <w:autoSpaceDE w:val="0"/>
        <w:autoSpaceDN w:val="0"/>
        <w:adjustRightInd w:val="0"/>
        <w:spacing w:after="0" w:line="240" w:lineRule="auto"/>
        <w:rPr>
          <w:rFonts w:cstheme="minorHAnsi"/>
          <w:bCs/>
          <w:color w:val="1100EE"/>
        </w:rPr>
      </w:pPr>
    </w:p>
    <w:p w14:paraId="78C62095" w14:textId="06DBF3B5" w:rsidR="00B13EE0" w:rsidRPr="00B13EE0" w:rsidRDefault="00C86561" w:rsidP="00B13EE0">
      <w:pPr>
        <w:autoSpaceDE w:val="0"/>
        <w:autoSpaceDN w:val="0"/>
        <w:adjustRightInd w:val="0"/>
        <w:spacing w:after="0" w:line="240" w:lineRule="auto"/>
        <w:rPr>
          <w:rFonts w:cstheme="minorHAnsi"/>
          <w:bCs/>
          <w:color w:val="1100EE"/>
        </w:rPr>
      </w:pPr>
      <w:r>
        <w:rPr>
          <w:rFonts w:cstheme="minorHAnsi"/>
          <w:bCs/>
          <w:color w:val="1100EE"/>
        </w:rPr>
        <w:t>G</w:t>
      </w:r>
      <w:r w:rsidR="00B13EE0" w:rsidRPr="00B13EE0">
        <w:rPr>
          <w:rFonts w:cstheme="minorHAnsi"/>
          <w:bCs/>
          <w:color w:val="1100EE"/>
        </w:rPr>
        <w:t xml:space="preserve"> / 1005 / 78.31% / 0.952</w:t>
      </w:r>
    </w:p>
    <w:p w14:paraId="301A413E" w14:textId="77777777" w:rsidR="00B13EE0" w:rsidRPr="00B13EE0" w:rsidRDefault="00B13EE0" w:rsidP="00B13EE0">
      <w:pPr>
        <w:autoSpaceDE w:val="0"/>
        <w:autoSpaceDN w:val="0"/>
        <w:adjustRightInd w:val="0"/>
        <w:spacing w:after="0" w:line="240" w:lineRule="auto"/>
        <w:rPr>
          <w:rFonts w:cstheme="minorHAnsi"/>
          <w:bCs/>
          <w:color w:val="1100EE"/>
        </w:rPr>
      </w:pPr>
    </w:p>
    <w:p w14:paraId="76506AAC" w14:textId="779752F1" w:rsidR="00B13EE0" w:rsidRPr="00B13EE0" w:rsidRDefault="00C86561" w:rsidP="00B13EE0">
      <w:pPr>
        <w:autoSpaceDE w:val="0"/>
        <w:autoSpaceDN w:val="0"/>
        <w:adjustRightInd w:val="0"/>
        <w:spacing w:after="0" w:line="240" w:lineRule="auto"/>
        <w:rPr>
          <w:rFonts w:cstheme="minorHAnsi"/>
          <w:bCs/>
          <w:color w:val="1100EE"/>
        </w:rPr>
      </w:pPr>
      <w:r>
        <w:rPr>
          <w:rFonts w:cstheme="minorHAnsi"/>
          <w:bCs/>
          <w:color w:val="1100EE"/>
        </w:rPr>
        <w:t>H</w:t>
      </w:r>
      <w:r w:rsidR="00B13EE0" w:rsidRPr="00B13EE0">
        <w:rPr>
          <w:rFonts w:cstheme="minorHAnsi"/>
          <w:bCs/>
          <w:color w:val="1100EE"/>
        </w:rPr>
        <w:t xml:space="preserve"> / 5224 / 81.13% / 0.991</w:t>
      </w:r>
    </w:p>
    <w:p w14:paraId="09602545" w14:textId="5393D8CA" w:rsidR="00B13EE0" w:rsidRDefault="00B13EE0" w:rsidP="00B13EE0">
      <w:pPr>
        <w:autoSpaceDE w:val="0"/>
        <w:autoSpaceDN w:val="0"/>
        <w:adjustRightInd w:val="0"/>
        <w:spacing w:after="0" w:line="240" w:lineRule="auto"/>
        <w:rPr>
          <w:rFonts w:cstheme="minorHAnsi"/>
          <w:bCs/>
          <w:color w:val="1100EE"/>
        </w:rPr>
      </w:pPr>
    </w:p>
    <w:p w14:paraId="64C71547" w14:textId="25D51FC0" w:rsidR="00B13EE0" w:rsidRPr="00A5592D" w:rsidRDefault="00A5592D" w:rsidP="00B13EE0">
      <w:pPr>
        <w:autoSpaceDE w:val="0"/>
        <w:autoSpaceDN w:val="0"/>
        <w:adjustRightInd w:val="0"/>
        <w:spacing w:after="0" w:line="240" w:lineRule="auto"/>
        <w:rPr>
          <w:rFonts w:cstheme="minorHAnsi"/>
          <w:b/>
          <w:color w:val="1100EE"/>
        </w:rPr>
      </w:pPr>
      <w:r w:rsidRPr="00A5592D">
        <w:rPr>
          <w:rFonts w:cstheme="minorHAnsi"/>
          <w:b/>
          <w:bCs/>
          <w:color w:val="1100EE"/>
        </w:rPr>
        <w:t>Physician Group Reliability (By Case Volume)</w:t>
      </w:r>
    </w:p>
    <w:p w14:paraId="44883D47" w14:textId="780D539B" w:rsidR="00B13EE0" w:rsidRPr="00B13EE0" w:rsidRDefault="00B13EE0" w:rsidP="00B13EE0">
      <w:pPr>
        <w:autoSpaceDE w:val="0"/>
        <w:autoSpaceDN w:val="0"/>
        <w:adjustRightInd w:val="0"/>
        <w:spacing w:after="0" w:line="240" w:lineRule="auto"/>
        <w:rPr>
          <w:rFonts w:cstheme="minorHAnsi"/>
          <w:bCs/>
          <w:color w:val="1100EE"/>
        </w:rPr>
      </w:pPr>
      <w:r w:rsidRPr="00B13EE0">
        <w:rPr>
          <w:rFonts w:cstheme="minorHAnsi"/>
          <w:bCs/>
          <w:color w:val="1100EE"/>
        </w:rPr>
        <w:t>Minimum denominator size of MD group / # of Groups / M</w:t>
      </w:r>
      <w:r w:rsidR="00E91B8D">
        <w:rPr>
          <w:rFonts w:cstheme="minorHAnsi"/>
          <w:bCs/>
          <w:color w:val="1100EE"/>
        </w:rPr>
        <w:t>ean rate of physician groups / V</w:t>
      </w:r>
      <w:r w:rsidRPr="00B13EE0">
        <w:rPr>
          <w:rFonts w:cstheme="minorHAnsi"/>
          <w:bCs/>
          <w:color w:val="1100EE"/>
        </w:rPr>
        <w:t>aria</w:t>
      </w:r>
      <w:r w:rsidR="00E91B8D">
        <w:rPr>
          <w:rFonts w:cstheme="minorHAnsi"/>
          <w:bCs/>
          <w:color w:val="1100EE"/>
        </w:rPr>
        <w:t>nce between physician groups / P</w:t>
      </w:r>
      <w:r w:rsidRPr="00B13EE0">
        <w:rPr>
          <w:rFonts w:cstheme="minorHAnsi"/>
          <w:bCs/>
          <w:color w:val="1100EE"/>
        </w:rPr>
        <w:t>hysician specific error / Reliability score (based on the mean rate and the minimum denominator size) / Mean Reliability Score / Median Reliability score / Minimum Reliability Score / Maximum Reliability Score / Standard Deviation of Reliability Scores</w:t>
      </w:r>
    </w:p>
    <w:p w14:paraId="39A3A9A1" w14:textId="77777777" w:rsidR="00B13EE0" w:rsidRPr="00B13EE0" w:rsidRDefault="00B13EE0" w:rsidP="00B13EE0">
      <w:pPr>
        <w:autoSpaceDE w:val="0"/>
        <w:autoSpaceDN w:val="0"/>
        <w:adjustRightInd w:val="0"/>
        <w:spacing w:after="0" w:line="240" w:lineRule="auto"/>
        <w:rPr>
          <w:rFonts w:cstheme="minorHAnsi"/>
          <w:bCs/>
          <w:color w:val="1100EE"/>
        </w:rPr>
      </w:pPr>
    </w:p>
    <w:p w14:paraId="56AF6159" w14:textId="77777777" w:rsidR="00B13EE0" w:rsidRPr="00B13EE0" w:rsidRDefault="00B13EE0" w:rsidP="00B13EE0">
      <w:pPr>
        <w:autoSpaceDE w:val="0"/>
        <w:autoSpaceDN w:val="0"/>
        <w:adjustRightInd w:val="0"/>
        <w:spacing w:after="0" w:line="240" w:lineRule="auto"/>
        <w:rPr>
          <w:rFonts w:cstheme="minorHAnsi"/>
          <w:bCs/>
          <w:color w:val="1100EE"/>
        </w:rPr>
      </w:pPr>
      <w:r w:rsidRPr="00B13EE0">
        <w:rPr>
          <w:rFonts w:cstheme="minorHAnsi"/>
          <w:bCs/>
          <w:color w:val="1100EE"/>
        </w:rPr>
        <w:t>10 / 296 / 76.71% / 0.0081 / 0.0179 / 0.3116 / 0.48 / 0.44 / 0.26 / 0.91 / 0.15</w:t>
      </w:r>
    </w:p>
    <w:p w14:paraId="213687B3" w14:textId="77777777" w:rsidR="00B13EE0" w:rsidRPr="00B13EE0" w:rsidRDefault="00B13EE0" w:rsidP="00B13EE0">
      <w:pPr>
        <w:autoSpaceDE w:val="0"/>
        <w:autoSpaceDN w:val="0"/>
        <w:adjustRightInd w:val="0"/>
        <w:spacing w:after="0" w:line="240" w:lineRule="auto"/>
        <w:rPr>
          <w:rFonts w:cstheme="minorHAnsi"/>
          <w:bCs/>
          <w:color w:val="1100EE"/>
        </w:rPr>
      </w:pPr>
    </w:p>
    <w:p w14:paraId="440094E0" w14:textId="77777777" w:rsidR="00B13EE0" w:rsidRPr="00B13EE0" w:rsidRDefault="00B13EE0" w:rsidP="00B13EE0">
      <w:pPr>
        <w:autoSpaceDE w:val="0"/>
        <w:autoSpaceDN w:val="0"/>
        <w:adjustRightInd w:val="0"/>
        <w:spacing w:after="0" w:line="240" w:lineRule="auto"/>
        <w:rPr>
          <w:rFonts w:cstheme="minorHAnsi"/>
          <w:bCs/>
          <w:color w:val="1100EE"/>
        </w:rPr>
      </w:pPr>
      <w:r w:rsidRPr="00B13EE0">
        <w:rPr>
          <w:rFonts w:cstheme="minorHAnsi"/>
          <w:bCs/>
          <w:color w:val="1100EE"/>
        </w:rPr>
        <w:t>20 / 122 / 77.49% / 0.0087 / 0.0087 / 0.4993 / 0.65 / 0.63 / 0.43 / 0.91 / 0.13</w:t>
      </w:r>
    </w:p>
    <w:p w14:paraId="655C2DB7" w14:textId="77777777" w:rsidR="00B13EE0" w:rsidRPr="00B13EE0" w:rsidRDefault="00B13EE0" w:rsidP="00B13EE0">
      <w:pPr>
        <w:autoSpaceDE w:val="0"/>
        <w:autoSpaceDN w:val="0"/>
        <w:adjustRightInd w:val="0"/>
        <w:spacing w:after="0" w:line="240" w:lineRule="auto"/>
        <w:rPr>
          <w:rFonts w:cstheme="minorHAnsi"/>
          <w:bCs/>
          <w:color w:val="1100EE"/>
        </w:rPr>
      </w:pPr>
    </w:p>
    <w:p w14:paraId="1C52A53E" w14:textId="77777777" w:rsidR="00B13EE0" w:rsidRPr="00B13EE0" w:rsidRDefault="00B13EE0" w:rsidP="00B13EE0">
      <w:pPr>
        <w:autoSpaceDE w:val="0"/>
        <w:autoSpaceDN w:val="0"/>
        <w:adjustRightInd w:val="0"/>
        <w:spacing w:after="0" w:line="240" w:lineRule="auto"/>
        <w:rPr>
          <w:rFonts w:cstheme="minorHAnsi"/>
          <w:bCs/>
          <w:color w:val="1100EE"/>
        </w:rPr>
      </w:pPr>
      <w:r w:rsidRPr="00B13EE0">
        <w:rPr>
          <w:rFonts w:cstheme="minorHAnsi"/>
          <w:bCs/>
          <w:color w:val="1100EE"/>
        </w:rPr>
        <w:t>30 / 71 / 79.08% / 0.0079 / 0.0055 / 0.5895 / 0.71 / 0.71 / 0.52 / 0.91 / 0.11</w:t>
      </w:r>
    </w:p>
    <w:p w14:paraId="2999F43F" w14:textId="77777777" w:rsidR="00B13EE0" w:rsidRPr="00B13EE0" w:rsidRDefault="00B13EE0" w:rsidP="00B13EE0">
      <w:pPr>
        <w:autoSpaceDE w:val="0"/>
        <w:autoSpaceDN w:val="0"/>
        <w:adjustRightInd w:val="0"/>
        <w:spacing w:after="0" w:line="240" w:lineRule="auto"/>
        <w:rPr>
          <w:rFonts w:cstheme="minorHAnsi"/>
          <w:bCs/>
          <w:color w:val="1100EE"/>
        </w:rPr>
      </w:pPr>
    </w:p>
    <w:p w14:paraId="123BDB9F" w14:textId="77777777" w:rsidR="00B13EE0" w:rsidRPr="00B13EE0" w:rsidRDefault="00B13EE0" w:rsidP="00B13EE0">
      <w:pPr>
        <w:autoSpaceDE w:val="0"/>
        <w:autoSpaceDN w:val="0"/>
        <w:adjustRightInd w:val="0"/>
        <w:spacing w:after="0" w:line="240" w:lineRule="auto"/>
        <w:rPr>
          <w:rFonts w:cstheme="minorHAnsi"/>
          <w:bCs/>
          <w:color w:val="1100EE"/>
        </w:rPr>
      </w:pPr>
      <w:r w:rsidRPr="00B13EE0">
        <w:rPr>
          <w:rFonts w:cstheme="minorHAnsi"/>
          <w:bCs/>
          <w:color w:val="1100EE"/>
        </w:rPr>
        <w:lastRenderedPageBreak/>
        <w:t>35 / 55 / 80.28% / 0.0081 / 0.0045 / 0.6405 / 0.75 / 0.74 / 0.58 / 0.91 / 0.09</w:t>
      </w:r>
    </w:p>
    <w:p w14:paraId="1D652839" w14:textId="77777777" w:rsidR="00B13EE0" w:rsidRPr="00B13EE0" w:rsidRDefault="00B13EE0" w:rsidP="00B13EE0">
      <w:pPr>
        <w:autoSpaceDE w:val="0"/>
        <w:autoSpaceDN w:val="0"/>
        <w:adjustRightInd w:val="0"/>
        <w:spacing w:after="0" w:line="240" w:lineRule="auto"/>
        <w:rPr>
          <w:rFonts w:cstheme="minorHAnsi"/>
          <w:bCs/>
          <w:color w:val="1100EE"/>
        </w:rPr>
      </w:pPr>
    </w:p>
    <w:p w14:paraId="4CC4D4CB" w14:textId="77777777" w:rsidR="00B13EE0" w:rsidRPr="00B13EE0" w:rsidRDefault="00B13EE0" w:rsidP="00B13EE0">
      <w:pPr>
        <w:autoSpaceDE w:val="0"/>
        <w:autoSpaceDN w:val="0"/>
        <w:adjustRightInd w:val="0"/>
        <w:spacing w:after="0" w:line="240" w:lineRule="auto"/>
        <w:rPr>
          <w:rFonts w:cstheme="minorHAnsi"/>
          <w:bCs/>
          <w:color w:val="1100EE"/>
        </w:rPr>
      </w:pPr>
      <w:r w:rsidRPr="00B13EE0">
        <w:rPr>
          <w:rFonts w:cstheme="minorHAnsi"/>
          <w:bCs/>
          <w:color w:val="1100EE"/>
        </w:rPr>
        <w:t>40 / 44 / 80.94% / 0.0088 / 0.0039 / 0.6954 / 0.79 / 0.8 / 0.64 / 0.92 / 0.08</w:t>
      </w:r>
    </w:p>
    <w:p w14:paraId="36245187" w14:textId="77777777" w:rsidR="00B13EE0" w:rsidRPr="00B13EE0" w:rsidRDefault="00B13EE0" w:rsidP="00B13EE0">
      <w:pPr>
        <w:autoSpaceDE w:val="0"/>
        <w:autoSpaceDN w:val="0"/>
        <w:adjustRightInd w:val="0"/>
        <w:spacing w:after="0" w:line="240" w:lineRule="auto"/>
        <w:rPr>
          <w:rFonts w:cstheme="minorHAnsi"/>
          <w:bCs/>
          <w:color w:val="1100EE"/>
        </w:rPr>
      </w:pPr>
    </w:p>
    <w:p w14:paraId="2A588375" w14:textId="77777777" w:rsidR="00B13EE0" w:rsidRPr="00B13EE0" w:rsidRDefault="00B13EE0" w:rsidP="00B13EE0">
      <w:pPr>
        <w:autoSpaceDE w:val="0"/>
        <w:autoSpaceDN w:val="0"/>
        <w:adjustRightInd w:val="0"/>
        <w:spacing w:after="0" w:line="240" w:lineRule="auto"/>
        <w:rPr>
          <w:rFonts w:cstheme="minorHAnsi"/>
          <w:bCs/>
          <w:color w:val="1100EE"/>
        </w:rPr>
      </w:pPr>
      <w:r w:rsidRPr="00B13EE0">
        <w:rPr>
          <w:rFonts w:cstheme="minorHAnsi"/>
          <w:bCs/>
          <w:color w:val="1100EE"/>
        </w:rPr>
        <w:t>45 / 36 / 81.41% / 0.0084 / 0.0034 / 0.7144 / 0.8 / 0.8 / 0.67 / 0.92 / 0.07</w:t>
      </w:r>
    </w:p>
    <w:p w14:paraId="20B7EA0F" w14:textId="77777777" w:rsidR="00B13EE0" w:rsidRPr="00B13EE0" w:rsidRDefault="00B13EE0" w:rsidP="00B13EE0">
      <w:pPr>
        <w:autoSpaceDE w:val="0"/>
        <w:autoSpaceDN w:val="0"/>
        <w:adjustRightInd w:val="0"/>
        <w:spacing w:after="0" w:line="240" w:lineRule="auto"/>
        <w:rPr>
          <w:rFonts w:cstheme="minorHAnsi"/>
          <w:bCs/>
          <w:color w:val="1100EE"/>
        </w:rPr>
      </w:pPr>
    </w:p>
    <w:p w14:paraId="4A9B1106" w14:textId="77777777" w:rsidR="00B13EE0" w:rsidRPr="00B13EE0" w:rsidRDefault="00B13EE0" w:rsidP="00B13EE0">
      <w:pPr>
        <w:autoSpaceDE w:val="0"/>
        <w:autoSpaceDN w:val="0"/>
        <w:adjustRightInd w:val="0"/>
        <w:spacing w:after="0" w:line="240" w:lineRule="auto"/>
        <w:rPr>
          <w:rFonts w:cstheme="minorHAnsi"/>
          <w:bCs/>
          <w:color w:val="1100EE"/>
        </w:rPr>
      </w:pPr>
      <w:r w:rsidRPr="00B13EE0">
        <w:rPr>
          <w:rFonts w:cstheme="minorHAnsi"/>
          <w:bCs/>
          <w:color w:val="1100EE"/>
        </w:rPr>
        <w:t>50 / 30 / 80.68% / 0.0092 / 0.0031 / 0.7471 / 0.82 / 0.83 / 0.69 / 0.92 / 0.06</w:t>
      </w:r>
    </w:p>
    <w:p w14:paraId="39E8E946" w14:textId="77777777" w:rsidR="00B13EE0" w:rsidRPr="00B13EE0" w:rsidRDefault="00B13EE0" w:rsidP="00B13EE0">
      <w:pPr>
        <w:autoSpaceDE w:val="0"/>
        <w:autoSpaceDN w:val="0"/>
        <w:adjustRightInd w:val="0"/>
        <w:spacing w:after="0" w:line="240" w:lineRule="auto"/>
        <w:rPr>
          <w:rFonts w:cstheme="minorHAnsi"/>
          <w:bCs/>
          <w:color w:val="1100EE"/>
        </w:rPr>
      </w:pPr>
    </w:p>
    <w:p w14:paraId="3749F0F5" w14:textId="77777777" w:rsidR="00B13EE0" w:rsidRPr="00B13EE0" w:rsidRDefault="00B13EE0" w:rsidP="00B13EE0">
      <w:pPr>
        <w:autoSpaceDE w:val="0"/>
        <w:autoSpaceDN w:val="0"/>
        <w:adjustRightInd w:val="0"/>
        <w:spacing w:after="0" w:line="240" w:lineRule="auto"/>
        <w:rPr>
          <w:rFonts w:cstheme="minorHAnsi"/>
          <w:bCs/>
          <w:color w:val="1100EE"/>
        </w:rPr>
      </w:pPr>
      <w:r w:rsidRPr="00B13EE0">
        <w:rPr>
          <w:rFonts w:cstheme="minorHAnsi"/>
          <w:bCs/>
          <w:color w:val="1100EE"/>
        </w:rPr>
        <w:t>100 / 7 / 74.55% / 0.0194 / 0.0019 / 0.9107 / 0.94 / 0.95 / 0.91 / 0.96 / 0.02</w:t>
      </w:r>
    </w:p>
    <w:p w14:paraId="2AADA845" w14:textId="77777777" w:rsidR="00B13EE0" w:rsidRPr="00B13EE0" w:rsidRDefault="00B13EE0" w:rsidP="00B13EE0">
      <w:pPr>
        <w:autoSpaceDE w:val="0"/>
        <w:autoSpaceDN w:val="0"/>
        <w:adjustRightInd w:val="0"/>
        <w:spacing w:after="0" w:line="240" w:lineRule="auto"/>
        <w:rPr>
          <w:rFonts w:cstheme="minorHAnsi"/>
          <w:bCs/>
          <w:color w:val="1100EE"/>
        </w:rPr>
      </w:pPr>
    </w:p>
    <w:p w14:paraId="6EAC384A" w14:textId="1A4189F0" w:rsidR="00D0679F" w:rsidRDefault="00B13EE0" w:rsidP="00B13EE0">
      <w:pPr>
        <w:autoSpaceDE w:val="0"/>
        <w:autoSpaceDN w:val="0"/>
        <w:adjustRightInd w:val="0"/>
        <w:spacing w:after="0" w:line="240" w:lineRule="auto"/>
        <w:rPr>
          <w:rFonts w:cstheme="minorHAnsi"/>
          <w:bCs/>
          <w:color w:val="1100EE"/>
        </w:rPr>
      </w:pPr>
      <w:r w:rsidRPr="00B13EE0">
        <w:rPr>
          <w:rFonts w:cstheme="minorHAnsi"/>
          <w:bCs/>
          <w:color w:val="1100EE"/>
        </w:rPr>
        <w:t>150 / 3 / 75.47% / 0.0032 / 0.0012 / 0.7186 / 0.75 / 0.76 / 0.71 / 0.77 / 0.03</w:t>
      </w:r>
    </w:p>
    <w:p w14:paraId="5F558910" w14:textId="6D337276" w:rsidR="00D0679F" w:rsidRDefault="00D0679F" w:rsidP="00B13EE0">
      <w:pPr>
        <w:autoSpaceDE w:val="0"/>
        <w:autoSpaceDN w:val="0"/>
        <w:adjustRightInd w:val="0"/>
        <w:spacing w:after="0" w:line="240" w:lineRule="auto"/>
        <w:rPr>
          <w:rFonts w:cstheme="minorHAnsi"/>
          <w:bCs/>
          <w:color w:val="1100EE"/>
        </w:rPr>
      </w:pPr>
    </w:p>
    <w:p w14:paraId="160EA004" w14:textId="2CF5B0EC" w:rsidR="00534101" w:rsidRPr="002B2631" w:rsidRDefault="00F40CD5" w:rsidP="002B2631">
      <w:pPr>
        <w:autoSpaceDE w:val="0"/>
        <w:autoSpaceDN w:val="0"/>
        <w:adjustRightInd w:val="0"/>
        <w:spacing w:after="0" w:line="240" w:lineRule="auto"/>
        <w:rPr>
          <w:b/>
          <w:color w:val="FF0000"/>
        </w:rPr>
      </w:pPr>
      <w:r w:rsidRPr="00534101">
        <w:rPr>
          <w:rFonts w:cstheme="minorHAnsi"/>
          <w:b/>
          <w:bCs/>
          <w:color w:val="FF0000"/>
        </w:rPr>
        <w:t>Health Plan Reliability</w:t>
      </w:r>
    </w:p>
    <w:tbl>
      <w:tblPr>
        <w:tblW w:w="9450" w:type="dxa"/>
        <w:tblInd w:w="108"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Look w:val="04A0" w:firstRow="1" w:lastRow="0" w:firstColumn="1" w:lastColumn="0" w:noHBand="0" w:noVBand="1"/>
      </w:tblPr>
      <w:tblGrid>
        <w:gridCol w:w="2430"/>
        <w:gridCol w:w="2340"/>
        <w:gridCol w:w="2340"/>
        <w:gridCol w:w="2340"/>
      </w:tblGrid>
      <w:tr w:rsidR="00534101" w:rsidRPr="00534101" w14:paraId="695DA703" w14:textId="77777777" w:rsidTr="00534101">
        <w:trPr>
          <w:trHeight w:val="288"/>
          <w:tblHeader/>
        </w:trPr>
        <w:tc>
          <w:tcPr>
            <w:tcW w:w="2430" w:type="dxa"/>
            <w:shd w:val="clear" w:color="auto" w:fill="DBE5F1"/>
            <w:vAlign w:val="center"/>
          </w:tcPr>
          <w:p w14:paraId="4A1D76D2" w14:textId="77777777" w:rsidR="00534101" w:rsidRPr="002B2631" w:rsidRDefault="00534101" w:rsidP="002B2631">
            <w:pPr>
              <w:autoSpaceDE w:val="0"/>
              <w:autoSpaceDN w:val="0"/>
              <w:adjustRightInd w:val="0"/>
              <w:spacing w:after="0" w:line="240" w:lineRule="auto"/>
              <w:jc w:val="center"/>
              <w:rPr>
                <w:rFonts w:eastAsia="Calibri"/>
                <w:b/>
                <w:iCs/>
                <w:color w:val="FF0000"/>
                <w:lang w:eastAsia="zh-TW"/>
              </w:rPr>
            </w:pPr>
          </w:p>
        </w:tc>
        <w:tc>
          <w:tcPr>
            <w:tcW w:w="4680" w:type="dxa"/>
            <w:gridSpan w:val="2"/>
            <w:shd w:val="clear" w:color="auto" w:fill="DBE5F1"/>
            <w:vAlign w:val="center"/>
          </w:tcPr>
          <w:p w14:paraId="6764270F" w14:textId="77777777" w:rsidR="00534101" w:rsidRPr="002B2631" w:rsidRDefault="00534101" w:rsidP="002B2631">
            <w:pPr>
              <w:autoSpaceDE w:val="0"/>
              <w:autoSpaceDN w:val="0"/>
              <w:adjustRightInd w:val="0"/>
              <w:spacing w:after="0" w:line="240" w:lineRule="auto"/>
              <w:jc w:val="center"/>
              <w:rPr>
                <w:rFonts w:eastAsia="Calibri"/>
                <w:b/>
                <w:iCs/>
                <w:color w:val="FF0000"/>
                <w:lang w:eastAsia="zh-TW"/>
              </w:rPr>
            </w:pPr>
            <w:r w:rsidRPr="002B2631">
              <w:rPr>
                <w:rFonts w:eastAsia="Calibri"/>
                <w:b/>
                <w:iCs/>
                <w:color w:val="FF0000"/>
                <w:lang w:eastAsia="zh-TW"/>
              </w:rPr>
              <w:t>Percent Agreement</w:t>
            </w:r>
          </w:p>
        </w:tc>
        <w:tc>
          <w:tcPr>
            <w:tcW w:w="2340" w:type="dxa"/>
            <w:shd w:val="clear" w:color="auto" w:fill="DBE5F1"/>
          </w:tcPr>
          <w:p w14:paraId="083B6350" w14:textId="77777777" w:rsidR="00534101" w:rsidRPr="002B2631" w:rsidRDefault="00534101" w:rsidP="002B2631">
            <w:pPr>
              <w:autoSpaceDE w:val="0"/>
              <w:autoSpaceDN w:val="0"/>
              <w:adjustRightInd w:val="0"/>
              <w:spacing w:after="0" w:line="240" w:lineRule="auto"/>
              <w:jc w:val="center"/>
              <w:rPr>
                <w:rFonts w:eastAsia="Calibri"/>
                <w:b/>
                <w:iCs/>
                <w:color w:val="FF0000"/>
                <w:lang w:eastAsia="zh-TW"/>
              </w:rPr>
            </w:pPr>
          </w:p>
        </w:tc>
      </w:tr>
      <w:tr w:rsidR="00534101" w:rsidRPr="00534101" w14:paraId="36E4C744" w14:textId="77777777" w:rsidTr="00534101">
        <w:trPr>
          <w:trHeight w:val="485"/>
          <w:tblHeader/>
        </w:trPr>
        <w:tc>
          <w:tcPr>
            <w:tcW w:w="2430" w:type="dxa"/>
            <w:shd w:val="clear" w:color="auto" w:fill="DBE5F1"/>
          </w:tcPr>
          <w:p w14:paraId="48DD0BB6" w14:textId="77777777" w:rsidR="00534101" w:rsidRPr="002B2631" w:rsidRDefault="00534101" w:rsidP="002B2631">
            <w:pPr>
              <w:autoSpaceDE w:val="0"/>
              <w:autoSpaceDN w:val="0"/>
              <w:adjustRightInd w:val="0"/>
              <w:spacing w:after="0" w:line="240" w:lineRule="auto"/>
              <w:jc w:val="center"/>
              <w:rPr>
                <w:rFonts w:eastAsia="Calibri"/>
                <w:b/>
                <w:iCs/>
                <w:color w:val="FF0000"/>
                <w:lang w:eastAsia="zh-TW"/>
              </w:rPr>
            </w:pPr>
            <w:r w:rsidRPr="002B2631">
              <w:rPr>
                <w:rFonts w:eastAsia="Calibri"/>
                <w:b/>
                <w:iCs/>
                <w:color w:val="FF0000"/>
                <w:lang w:eastAsia="zh-TW"/>
              </w:rPr>
              <w:t>Unit of Analysis</w:t>
            </w:r>
          </w:p>
        </w:tc>
        <w:tc>
          <w:tcPr>
            <w:tcW w:w="2340" w:type="dxa"/>
            <w:shd w:val="clear" w:color="auto" w:fill="DBE5F1"/>
          </w:tcPr>
          <w:p w14:paraId="631714FD" w14:textId="77777777" w:rsidR="00534101" w:rsidRPr="002B2631" w:rsidRDefault="00534101" w:rsidP="002B2631">
            <w:pPr>
              <w:autoSpaceDE w:val="0"/>
              <w:autoSpaceDN w:val="0"/>
              <w:adjustRightInd w:val="0"/>
              <w:spacing w:after="0" w:line="240" w:lineRule="auto"/>
              <w:jc w:val="center"/>
              <w:rPr>
                <w:rFonts w:eastAsia="Calibri"/>
                <w:b/>
                <w:iCs/>
                <w:color w:val="FF0000"/>
                <w:lang w:eastAsia="zh-TW"/>
              </w:rPr>
            </w:pPr>
            <w:r w:rsidRPr="002B2631">
              <w:rPr>
                <w:rFonts w:eastAsia="Calibri"/>
                <w:b/>
                <w:iCs/>
                <w:color w:val="FF0000"/>
                <w:lang w:eastAsia="zh-TW"/>
              </w:rPr>
              <w:t>Programmer 1</w:t>
            </w:r>
          </w:p>
          <w:p w14:paraId="078D1FE1" w14:textId="77777777" w:rsidR="00534101" w:rsidRPr="002B2631" w:rsidRDefault="00534101" w:rsidP="002B2631">
            <w:pPr>
              <w:autoSpaceDE w:val="0"/>
              <w:autoSpaceDN w:val="0"/>
              <w:adjustRightInd w:val="0"/>
              <w:spacing w:after="0" w:line="240" w:lineRule="auto"/>
              <w:jc w:val="center"/>
              <w:rPr>
                <w:rFonts w:eastAsia="Calibri"/>
                <w:b/>
                <w:iCs/>
                <w:color w:val="FF0000"/>
                <w:lang w:eastAsia="zh-TW"/>
              </w:rPr>
            </w:pPr>
            <w:proofErr w:type="spellStart"/>
            <w:r w:rsidRPr="002B2631">
              <w:rPr>
                <w:rFonts w:eastAsia="Calibri"/>
                <w:b/>
                <w:iCs/>
                <w:color w:val="FF0000"/>
                <w:lang w:eastAsia="zh-TW"/>
              </w:rPr>
              <w:t>Num</w:t>
            </w:r>
            <w:proofErr w:type="spellEnd"/>
            <w:r w:rsidRPr="002B2631">
              <w:rPr>
                <w:rFonts w:eastAsia="Calibri"/>
                <w:b/>
                <w:iCs/>
                <w:color w:val="FF0000"/>
                <w:lang w:eastAsia="zh-TW"/>
              </w:rPr>
              <w:t>/Den (%)</w:t>
            </w:r>
          </w:p>
        </w:tc>
        <w:tc>
          <w:tcPr>
            <w:tcW w:w="2340" w:type="dxa"/>
            <w:shd w:val="clear" w:color="auto" w:fill="DBE5F1"/>
          </w:tcPr>
          <w:p w14:paraId="4C0CB8C7" w14:textId="77777777" w:rsidR="00534101" w:rsidRPr="002B2631" w:rsidRDefault="00534101" w:rsidP="002B2631">
            <w:pPr>
              <w:autoSpaceDE w:val="0"/>
              <w:autoSpaceDN w:val="0"/>
              <w:adjustRightInd w:val="0"/>
              <w:spacing w:after="0" w:line="240" w:lineRule="auto"/>
              <w:jc w:val="center"/>
              <w:rPr>
                <w:rFonts w:eastAsia="Calibri"/>
                <w:b/>
                <w:iCs/>
                <w:color w:val="FF0000"/>
                <w:lang w:eastAsia="zh-TW"/>
              </w:rPr>
            </w:pPr>
            <w:r w:rsidRPr="002B2631">
              <w:rPr>
                <w:rFonts w:eastAsia="Calibri"/>
                <w:b/>
                <w:iCs/>
                <w:color w:val="FF0000"/>
                <w:lang w:eastAsia="zh-TW"/>
              </w:rPr>
              <w:t>Programmer 2</w:t>
            </w:r>
          </w:p>
          <w:p w14:paraId="1F19936B" w14:textId="77777777" w:rsidR="00534101" w:rsidRPr="002B2631" w:rsidRDefault="00534101" w:rsidP="002B2631">
            <w:pPr>
              <w:autoSpaceDE w:val="0"/>
              <w:autoSpaceDN w:val="0"/>
              <w:adjustRightInd w:val="0"/>
              <w:spacing w:after="0" w:line="240" w:lineRule="auto"/>
              <w:jc w:val="center"/>
              <w:rPr>
                <w:rFonts w:eastAsia="Calibri"/>
                <w:b/>
                <w:iCs/>
                <w:color w:val="FF0000"/>
                <w:lang w:eastAsia="zh-TW"/>
              </w:rPr>
            </w:pPr>
            <w:proofErr w:type="spellStart"/>
            <w:r w:rsidRPr="002B2631">
              <w:rPr>
                <w:rFonts w:eastAsia="Calibri"/>
                <w:b/>
                <w:iCs/>
                <w:color w:val="FF0000"/>
                <w:lang w:eastAsia="zh-TW"/>
              </w:rPr>
              <w:t>Num</w:t>
            </w:r>
            <w:proofErr w:type="spellEnd"/>
            <w:r w:rsidRPr="002B2631">
              <w:rPr>
                <w:rFonts w:eastAsia="Calibri"/>
                <w:b/>
                <w:iCs/>
                <w:color w:val="FF0000"/>
                <w:lang w:eastAsia="zh-TW"/>
              </w:rPr>
              <w:t>/Den (%)</w:t>
            </w:r>
          </w:p>
        </w:tc>
        <w:tc>
          <w:tcPr>
            <w:tcW w:w="2340" w:type="dxa"/>
            <w:shd w:val="clear" w:color="auto" w:fill="DBE5F1"/>
          </w:tcPr>
          <w:p w14:paraId="333943A4" w14:textId="77777777" w:rsidR="00534101" w:rsidRPr="002B2631" w:rsidRDefault="00534101" w:rsidP="002B2631">
            <w:pPr>
              <w:autoSpaceDE w:val="0"/>
              <w:autoSpaceDN w:val="0"/>
              <w:adjustRightInd w:val="0"/>
              <w:spacing w:after="0" w:line="240" w:lineRule="auto"/>
              <w:jc w:val="center"/>
              <w:rPr>
                <w:rFonts w:eastAsia="Calibri"/>
                <w:b/>
                <w:iCs/>
                <w:color w:val="FF0000"/>
                <w:lang w:eastAsia="zh-TW"/>
              </w:rPr>
            </w:pPr>
            <w:r w:rsidRPr="002B2631">
              <w:rPr>
                <w:rFonts w:eastAsia="Calibri"/>
                <w:b/>
                <w:iCs/>
                <w:color w:val="FF0000"/>
                <w:lang w:eastAsia="zh-TW"/>
              </w:rPr>
              <w:t>Final Cohen’s Kappa</w:t>
            </w:r>
          </w:p>
        </w:tc>
      </w:tr>
      <w:tr w:rsidR="00534101" w:rsidRPr="00534101" w14:paraId="0F1C31E4" w14:textId="77777777" w:rsidTr="00534101">
        <w:trPr>
          <w:trHeight w:val="288"/>
        </w:trPr>
        <w:tc>
          <w:tcPr>
            <w:tcW w:w="2430" w:type="dxa"/>
            <w:vAlign w:val="center"/>
          </w:tcPr>
          <w:p w14:paraId="1DEE6944" w14:textId="77777777" w:rsidR="00534101" w:rsidRPr="002B2631" w:rsidRDefault="00534101" w:rsidP="002B2631">
            <w:pPr>
              <w:autoSpaceDE w:val="0"/>
              <w:autoSpaceDN w:val="0"/>
              <w:adjustRightInd w:val="0"/>
              <w:spacing w:after="0" w:line="240" w:lineRule="auto"/>
              <w:rPr>
                <w:rFonts w:eastAsia="Calibri"/>
                <w:b/>
                <w:iCs/>
                <w:color w:val="FF0000"/>
                <w:lang w:eastAsia="zh-TW"/>
              </w:rPr>
            </w:pPr>
            <w:r w:rsidRPr="002B2631">
              <w:rPr>
                <w:rFonts w:eastAsia="Calibri"/>
                <w:b/>
                <w:iCs/>
                <w:color w:val="FF0000"/>
                <w:lang w:eastAsia="zh-TW"/>
              </w:rPr>
              <w:t>Part D Plan 1</w:t>
            </w:r>
          </w:p>
        </w:tc>
        <w:tc>
          <w:tcPr>
            <w:tcW w:w="2340" w:type="dxa"/>
            <w:vAlign w:val="center"/>
          </w:tcPr>
          <w:p w14:paraId="5E4923ED" w14:textId="77777777" w:rsidR="00534101" w:rsidRPr="002B2631" w:rsidRDefault="00534101" w:rsidP="004808F8">
            <w:pPr>
              <w:autoSpaceDE w:val="0"/>
              <w:autoSpaceDN w:val="0"/>
              <w:adjustRightInd w:val="0"/>
              <w:spacing w:after="0" w:line="240" w:lineRule="auto"/>
              <w:jc w:val="center"/>
              <w:rPr>
                <w:rStyle w:val="CommentReference"/>
                <w:color w:val="FF0000"/>
                <w:sz w:val="22"/>
                <w:szCs w:val="22"/>
              </w:rPr>
            </w:pPr>
            <w:r w:rsidRPr="002B2631">
              <w:rPr>
                <w:rStyle w:val="CommentReference"/>
                <w:color w:val="FF0000"/>
                <w:sz w:val="22"/>
                <w:szCs w:val="22"/>
              </w:rPr>
              <w:t>44/75 (58.7%)</w:t>
            </w:r>
          </w:p>
        </w:tc>
        <w:tc>
          <w:tcPr>
            <w:tcW w:w="2340" w:type="dxa"/>
            <w:vAlign w:val="center"/>
          </w:tcPr>
          <w:p w14:paraId="36F42D37" w14:textId="77777777" w:rsidR="00534101" w:rsidRPr="002B2631" w:rsidRDefault="00534101" w:rsidP="004808F8">
            <w:pPr>
              <w:autoSpaceDE w:val="0"/>
              <w:autoSpaceDN w:val="0"/>
              <w:adjustRightInd w:val="0"/>
              <w:spacing w:after="0" w:line="240" w:lineRule="auto"/>
              <w:jc w:val="center"/>
              <w:rPr>
                <w:rStyle w:val="CommentReference"/>
                <w:color w:val="FF0000"/>
                <w:sz w:val="22"/>
                <w:szCs w:val="22"/>
              </w:rPr>
            </w:pPr>
            <w:r w:rsidRPr="002B2631">
              <w:rPr>
                <w:rStyle w:val="CommentReference"/>
                <w:color w:val="FF0000"/>
                <w:sz w:val="22"/>
                <w:szCs w:val="22"/>
              </w:rPr>
              <w:t>45/75 (60.0%)</w:t>
            </w:r>
          </w:p>
        </w:tc>
        <w:tc>
          <w:tcPr>
            <w:tcW w:w="2340" w:type="dxa"/>
          </w:tcPr>
          <w:p w14:paraId="507762F5" w14:textId="77777777" w:rsidR="00534101" w:rsidRPr="002B2631" w:rsidRDefault="00534101" w:rsidP="004808F8">
            <w:pPr>
              <w:autoSpaceDE w:val="0"/>
              <w:autoSpaceDN w:val="0"/>
              <w:adjustRightInd w:val="0"/>
              <w:spacing w:after="0" w:line="240" w:lineRule="auto"/>
              <w:jc w:val="center"/>
              <w:rPr>
                <w:rFonts w:eastAsia="Calibri"/>
                <w:iCs/>
                <w:color w:val="FF0000"/>
                <w:lang w:eastAsia="zh-TW"/>
              </w:rPr>
            </w:pPr>
            <w:r w:rsidRPr="002B2631">
              <w:rPr>
                <w:rFonts w:eastAsia="Calibri"/>
                <w:iCs/>
                <w:color w:val="FF0000"/>
                <w:lang w:eastAsia="zh-TW"/>
              </w:rPr>
              <w:t>0.97</w:t>
            </w:r>
          </w:p>
        </w:tc>
      </w:tr>
      <w:tr w:rsidR="00534101" w:rsidRPr="00534101" w14:paraId="1642D02F" w14:textId="77777777" w:rsidTr="00534101">
        <w:trPr>
          <w:trHeight w:val="288"/>
        </w:trPr>
        <w:tc>
          <w:tcPr>
            <w:tcW w:w="2430" w:type="dxa"/>
            <w:vAlign w:val="center"/>
          </w:tcPr>
          <w:p w14:paraId="47B2A5FC" w14:textId="77777777" w:rsidR="00534101" w:rsidRPr="002B2631" w:rsidRDefault="00534101" w:rsidP="002B2631">
            <w:pPr>
              <w:autoSpaceDE w:val="0"/>
              <w:autoSpaceDN w:val="0"/>
              <w:adjustRightInd w:val="0"/>
              <w:spacing w:after="0" w:line="240" w:lineRule="auto"/>
              <w:rPr>
                <w:rFonts w:eastAsia="Calibri"/>
                <w:b/>
                <w:iCs/>
                <w:color w:val="FF0000"/>
                <w:lang w:eastAsia="zh-TW"/>
              </w:rPr>
            </w:pPr>
            <w:r w:rsidRPr="002B2631">
              <w:rPr>
                <w:rFonts w:eastAsia="Calibri"/>
                <w:b/>
                <w:iCs/>
                <w:color w:val="FF0000"/>
                <w:lang w:eastAsia="zh-TW"/>
              </w:rPr>
              <w:t>Part D Plan 2</w:t>
            </w:r>
          </w:p>
        </w:tc>
        <w:tc>
          <w:tcPr>
            <w:tcW w:w="2340" w:type="dxa"/>
            <w:vAlign w:val="center"/>
          </w:tcPr>
          <w:p w14:paraId="2B968A31" w14:textId="77777777" w:rsidR="00534101" w:rsidRPr="002B2631" w:rsidRDefault="00534101" w:rsidP="004808F8">
            <w:pPr>
              <w:autoSpaceDE w:val="0"/>
              <w:autoSpaceDN w:val="0"/>
              <w:adjustRightInd w:val="0"/>
              <w:spacing w:after="0" w:line="240" w:lineRule="auto"/>
              <w:jc w:val="center"/>
              <w:rPr>
                <w:rStyle w:val="CommentReference"/>
                <w:color w:val="FF0000"/>
                <w:sz w:val="22"/>
                <w:szCs w:val="22"/>
              </w:rPr>
            </w:pPr>
            <w:r w:rsidRPr="002B2631">
              <w:rPr>
                <w:rStyle w:val="CommentReference"/>
                <w:color w:val="FF0000"/>
                <w:sz w:val="22"/>
                <w:szCs w:val="22"/>
              </w:rPr>
              <w:t>478/677 (70.6%)</w:t>
            </w:r>
          </w:p>
        </w:tc>
        <w:tc>
          <w:tcPr>
            <w:tcW w:w="2340" w:type="dxa"/>
            <w:vAlign w:val="center"/>
          </w:tcPr>
          <w:p w14:paraId="494044E1" w14:textId="77777777" w:rsidR="00534101" w:rsidRPr="002B2631" w:rsidRDefault="00534101" w:rsidP="004808F8">
            <w:pPr>
              <w:autoSpaceDE w:val="0"/>
              <w:autoSpaceDN w:val="0"/>
              <w:adjustRightInd w:val="0"/>
              <w:spacing w:after="0" w:line="240" w:lineRule="auto"/>
              <w:jc w:val="center"/>
              <w:rPr>
                <w:rStyle w:val="CommentReference"/>
                <w:color w:val="FF0000"/>
                <w:sz w:val="22"/>
                <w:szCs w:val="22"/>
              </w:rPr>
            </w:pPr>
            <w:r w:rsidRPr="002B2631">
              <w:rPr>
                <w:rStyle w:val="CommentReference"/>
                <w:color w:val="FF0000"/>
                <w:sz w:val="22"/>
                <w:szCs w:val="22"/>
              </w:rPr>
              <w:t>459/675 (68.0%)</w:t>
            </w:r>
          </w:p>
        </w:tc>
        <w:tc>
          <w:tcPr>
            <w:tcW w:w="2340" w:type="dxa"/>
          </w:tcPr>
          <w:p w14:paraId="419F45BA" w14:textId="77777777" w:rsidR="00534101" w:rsidRPr="002B2631" w:rsidRDefault="00534101" w:rsidP="004808F8">
            <w:pPr>
              <w:spacing w:after="0" w:line="240" w:lineRule="auto"/>
              <w:jc w:val="center"/>
              <w:rPr>
                <w:color w:val="FF0000"/>
              </w:rPr>
            </w:pPr>
            <w:r w:rsidRPr="002B2631">
              <w:rPr>
                <w:rFonts w:eastAsia="Calibri"/>
                <w:iCs/>
                <w:color w:val="FF0000"/>
                <w:lang w:eastAsia="zh-TW"/>
              </w:rPr>
              <w:t>0.93</w:t>
            </w:r>
          </w:p>
        </w:tc>
      </w:tr>
      <w:tr w:rsidR="00534101" w:rsidRPr="00534101" w14:paraId="08F69403" w14:textId="77777777" w:rsidTr="00534101">
        <w:trPr>
          <w:trHeight w:val="288"/>
        </w:trPr>
        <w:tc>
          <w:tcPr>
            <w:tcW w:w="2430" w:type="dxa"/>
            <w:vAlign w:val="center"/>
          </w:tcPr>
          <w:p w14:paraId="1C3945DC" w14:textId="77777777" w:rsidR="00534101" w:rsidRPr="002B2631" w:rsidRDefault="00534101" w:rsidP="002B2631">
            <w:pPr>
              <w:autoSpaceDE w:val="0"/>
              <w:autoSpaceDN w:val="0"/>
              <w:adjustRightInd w:val="0"/>
              <w:spacing w:after="0" w:line="240" w:lineRule="auto"/>
              <w:rPr>
                <w:rFonts w:eastAsia="Calibri"/>
                <w:b/>
                <w:iCs/>
                <w:color w:val="FF0000"/>
                <w:lang w:eastAsia="zh-TW"/>
              </w:rPr>
            </w:pPr>
            <w:r w:rsidRPr="002B2631">
              <w:rPr>
                <w:rFonts w:eastAsia="Calibri"/>
                <w:b/>
                <w:iCs/>
                <w:color w:val="FF0000"/>
                <w:lang w:eastAsia="zh-TW"/>
              </w:rPr>
              <w:t>Part D Plan 3</w:t>
            </w:r>
          </w:p>
        </w:tc>
        <w:tc>
          <w:tcPr>
            <w:tcW w:w="2340" w:type="dxa"/>
            <w:vAlign w:val="center"/>
          </w:tcPr>
          <w:p w14:paraId="5C39D7E5" w14:textId="77777777" w:rsidR="00534101" w:rsidRPr="002B2631" w:rsidRDefault="00534101" w:rsidP="004808F8">
            <w:pPr>
              <w:autoSpaceDE w:val="0"/>
              <w:autoSpaceDN w:val="0"/>
              <w:adjustRightInd w:val="0"/>
              <w:spacing w:after="0" w:line="240" w:lineRule="auto"/>
              <w:jc w:val="center"/>
              <w:rPr>
                <w:rStyle w:val="CommentReference"/>
                <w:color w:val="FF0000"/>
                <w:sz w:val="22"/>
                <w:szCs w:val="22"/>
              </w:rPr>
            </w:pPr>
            <w:r w:rsidRPr="002B2631">
              <w:rPr>
                <w:rStyle w:val="CommentReference"/>
                <w:color w:val="FF0000"/>
                <w:sz w:val="22"/>
                <w:szCs w:val="22"/>
              </w:rPr>
              <w:t>74/109 (67.9%)</w:t>
            </w:r>
          </w:p>
        </w:tc>
        <w:tc>
          <w:tcPr>
            <w:tcW w:w="2340" w:type="dxa"/>
            <w:vAlign w:val="center"/>
          </w:tcPr>
          <w:p w14:paraId="321C5744" w14:textId="77777777" w:rsidR="00534101" w:rsidRPr="002B2631" w:rsidRDefault="00534101" w:rsidP="004808F8">
            <w:pPr>
              <w:autoSpaceDE w:val="0"/>
              <w:autoSpaceDN w:val="0"/>
              <w:adjustRightInd w:val="0"/>
              <w:spacing w:after="0" w:line="240" w:lineRule="auto"/>
              <w:jc w:val="center"/>
              <w:rPr>
                <w:rStyle w:val="CommentReference"/>
                <w:color w:val="FF0000"/>
                <w:sz w:val="22"/>
                <w:szCs w:val="22"/>
              </w:rPr>
            </w:pPr>
            <w:r w:rsidRPr="002B2631">
              <w:rPr>
                <w:rStyle w:val="CommentReference"/>
                <w:color w:val="FF0000"/>
                <w:sz w:val="22"/>
                <w:szCs w:val="22"/>
              </w:rPr>
              <w:t>72/109 (66.1%)</w:t>
            </w:r>
          </w:p>
        </w:tc>
        <w:tc>
          <w:tcPr>
            <w:tcW w:w="2340" w:type="dxa"/>
          </w:tcPr>
          <w:p w14:paraId="044C94D6" w14:textId="77777777" w:rsidR="00534101" w:rsidRPr="002B2631" w:rsidRDefault="00534101" w:rsidP="004808F8">
            <w:pPr>
              <w:spacing w:after="0" w:line="240" w:lineRule="auto"/>
              <w:jc w:val="center"/>
              <w:rPr>
                <w:color w:val="FF0000"/>
              </w:rPr>
            </w:pPr>
            <w:r w:rsidRPr="002B2631">
              <w:rPr>
                <w:rFonts w:eastAsia="Calibri"/>
                <w:iCs/>
                <w:color w:val="FF0000"/>
                <w:lang w:eastAsia="zh-TW"/>
              </w:rPr>
              <w:t>0.96</w:t>
            </w:r>
          </w:p>
        </w:tc>
      </w:tr>
      <w:tr w:rsidR="00534101" w:rsidRPr="00534101" w14:paraId="5A3A2A44" w14:textId="77777777" w:rsidTr="00534101">
        <w:trPr>
          <w:trHeight w:val="288"/>
        </w:trPr>
        <w:tc>
          <w:tcPr>
            <w:tcW w:w="2430" w:type="dxa"/>
            <w:vAlign w:val="center"/>
          </w:tcPr>
          <w:p w14:paraId="7698E864" w14:textId="77777777" w:rsidR="00534101" w:rsidRPr="002B2631" w:rsidRDefault="00534101" w:rsidP="002B2631">
            <w:pPr>
              <w:autoSpaceDE w:val="0"/>
              <w:autoSpaceDN w:val="0"/>
              <w:adjustRightInd w:val="0"/>
              <w:spacing w:after="0" w:line="240" w:lineRule="auto"/>
              <w:rPr>
                <w:rFonts w:eastAsia="Calibri"/>
                <w:b/>
                <w:iCs/>
                <w:color w:val="FF0000"/>
                <w:lang w:eastAsia="zh-TW"/>
              </w:rPr>
            </w:pPr>
            <w:r w:rsidRPr="002B2631">
              <w:rPr>
                <w:rFonts w:eastAsia="Calibri"/>
                <w:b/>
                <w:iCs/>
                <w:color w:val="FF0000"/>
                <w:lang w:eastAsia="zh-TW"/>
              </w:rPr>
              <w:t>Part D Plan 4</w:t>
            </w:r>
          </w:p>
        </w:tc>
        <w:tc>
          <w:tcPr>
            <w:tcW w:w="2340" w:type="dxa"/>
            <w:vAlign w:val="center"/>
          </w:tcPr>
          <w:p w14:paraId="63183219" w14:textId="77777777" w:rsidR="00534101" w:rsidRPr="002B2631" w:rsidRDefault="00534101" w:rsidP="004808F8">
            <w:pPr>
              <w:autoSpaceDE w:val="0"/>
              <w:autoSpaceDN w:val="0"/>
              <w:adjustRightInd w:val="0"/>
              <w:spacing w:after="0" w:line="240" w:lineRule="auto"/>
              <w:jc w:val="center"/>
              <w:rPr>
                <w:rStyle w:val="CommentReference"/>
                <w:color w:val="FF0000"/>
                <w:sz w:val="22"/>
                <w:szCs w:val="22"/>
              </w:rPr>
            </w:pPr>
            <w:r w:rsidRPr="002B2631">
              <w:rPr>
                <w:rStyle w:val="CommentReference"/>
                <w:color w:val="FF0000"/>
                <w:sz w:val="22"/>
                <w:szCs w:val="22"/>
              </w:rPr>
              <w:t>49/71 (69.0%)</w:t>
            </w:r>
          </w:p>
        </w:tc>
        <w:tc>
          <w:tcPr>
            <w:tcW w:w="2340" w:type="dxa"/>
            <w:vAlign w:val="center"/>
          </w:tcPr>
          <w:p w14:paraId="3246C6F8" w14:textId="77777777" w:rsidR="00534101" w:rsidRPr="002B2631" w:rsidRDefault="00534101" w:rsidP="004808F8">
            <w:pPr>
              <w:autoSpaceDE w:val="0"/>
              <w:autoSpaceDN w:val="0"/>
              <w:adjustRightInd w:val="0"/>
              <w:spacing w:after="0" w:line="240" w:lineRule="auto"/>
              <w:jc w:val="center"/>
              <w:rPr>
                <w:rStyle w:val="CommentReference"/>
                <w:color w:val="FF0000"/>
                <w:sz w:val="22"/>
                <w:szCs w:val="22"/>
              </w:rPr>
            </w:pPr>
            <w:r w:rsidRPr="002B2631">
              <w:rPr>
                <w:rStyle w:val="CommentReference"/>
                <w:color w:val="FF0000"/>
                <w:sz w:val="22"/>
                <w:szCs w:val="22"/>
              </w:rPr>
              <w:t>48/71 (67.6%)</w:t>
            </w:r>
          </w:p>
        </w:tc>
        <w:tc>
          <w:tcPr>
            <w:tcW w:w="2340" w:type="dxa"/>
          </w:tcPr>
          <w:p w14:paraId="604BE26C" w14:textId="77777777" w:rsidR="00534101" w:rsidRPr="002B2631" w:rsidRDefault="00534101" w:rsidP="004808F8">
            <w:pPr>
              <w:spacing w:after="0" w:line="240" w:lineRule="auto"/>
              <w:jc w:val="center"/>
              <w:rPr>
                <w:color w:val="FF0000"/>
              </w:rPr>
            </w:pPr>
            <w:r w:rsidRPr="002B2631">
              <w:rPr>
                <w:rFonts w:eastAsia="Calibri"/>
                <w:iCs/>
                <w:color w:val="FF0000"/>
                <w:lang w:eastAsia="zh-TW"/>
              </w:rPr>
              <w:t>0.97</w:t>
            </w:r>
          </w:p>
        </w:tc>
      </w:tr>
      <w:tr w:rsidR="00534101" w:rsidRPr="00534101" w14:paraId="6733789C" w14:textId="77777777" w:rsidTr="00534101">
        <w:trPr>
          <w:trHeight w:val="288"/>
        </w:trPr>
        <w:tc>
          <w:tcPr>
            <w:tcW w:w="2430" w:type="dxa"/>
            <w:vAlign w:val="center"/>
          </w:tcPr>
          <w:p w14:paraId="0474552A" w14:textId="77777777" w:rsidR="00534101" w:rsidRPr="002B2631" w:rsidRDefault="00534101" w:rsidP="002B2631">
            <w:pPr>
              <w:autoSpaceDE w:val="0"/>
              <w:autoSpaceDN w:val="0"/>
              <w:adjustRightInd w:val="0"/>
              <w:spacing w:after="0" w:line="240" w:lineRule="auto"/>
              <w:rPr>
                <w:rFonts w:eastAsia="Calibri"/>
                <w:b/>
                <w:iCs/>
                <w:color w:val="FF0000"/>
                <w:lang w:eastAsia="zh-TW"/>
              </w:rPr>
            </w:pPr>
            <w:r w:rsidRPr="002B2631">
              <w:rPr>
                <w:rFonts w:eastAsia="Calibri"/>
                <w:b/>
                <w:iCs/>
                <w:color w:val="FF0000"/>
                <w:lang w:eastAsia="zh-TW"/>
              </w:rPr>
              <w:t>Part D Plan 5</w:t>
            </w:r>
          </w:p>
        </w:tc>
        <w:tc>
          <w:tcPr>
            <w:tcW w:w="2340" w:type="dxa"/>
            <w:vAlign w:val="center"/>
          </w:tcPr>
          <w:p w14:paraId="7DF3D34B" w14:textId="77777777" w:rsidR="00534101" w:rsidRPr="002B2631" w:rsidRDefault="00534101" w:rsidP="004808F8">
            <w:pPr>
              <w:autoSpaceDE w:val="0"/>
              <w:autoSpaceDN w:val="0"/>
              <w:adjustRightInd w:val="0"/>
              <w:spacing w:after="0" w:line="240" w:lineRule="auto"/>
              <w:jc w:val="center"/>
              <w:rPr>
                <w:rStyle w:val="CommentReference"/>
                <w:color w:val="FF0000"/>
                <w:sz w:val="22"/>
                <w:szCs w:val="22"/>
              </w:rPr>
            </w:pPr>
            <w:r w:rsidRPr="002B2631">
              <w:rPr>
                <w:rStyle w:val="CommentReference"/>
                <w:color w:val="FF0000"/>
                <w:sz w:val="22"/>
                <w:szCs w:val="22"/>
              </w:rPr>
              <w:t>49/63 (77.8%)</w:t>
            </w:r>
          </w:p>
        </w:tc>
        <w:tc>
          <w:tcPr>
            <w:tcW w:w="2340" w:type="dxa"/>
            <w:vAlign w:val="center"/>
          </w:tcPr>
          <w:p w14:paraId="0DFDD671" w14:textId="77777777" w:rsidR="00534101" w:rsidRPr="002B2631" w:rsidRDefault="00534101" w:rsidP="004808F8">
            <w:pPr>
              <w:autoSpaceDE w:val="0"/>
              <w:autoSpaceDN w:val="0"/>
              <w:adjustRightInd w:val="0"/>
              <w:spacing w:after="0" w:line="240" w:lineRule="auto"/>
              <w:jc w:val="center"/>
              <w:rPr>
                <w:rStyle w:val="CommentReference"/>
                <w:color w:val="FF0000"/>
                <w:sz w:val="22"/>
                <w:szCs w:val="22"/>
              </w:rPr>
            </w:pPr>
            <w:r w:rsidRPr="002B2631">
              <w:rPr>
                <w:rStyle w:val="CommentReference"/>
                <w:color w:val="FF0000"/>
                <w:sz w:val="22"/>
                <w:szCs w:val="22"/>
              </w:rPr>
              <w:t>48/63 (76.2%)</w:t>
            </w:r>
          </w:p>
        </w:tc>
        <w:tc>
          <w:tcPr>
            <w:tcW w:w="2340" w:type="dxa"/>
          </w:tcPr>
          <w:p w14:paraId="5E1859A2" w14:textId="77777777" w:rsidR="00534101" w:rsidRPr="002B2631" w:rsidRDefault="00534101" w:rsidP="004808F8">
            <w:pPr>
              <w:spacing w:after="0" w:line="240" w:lineRule="auto"/>
              <w:jc w:val="center"/>
              <w:rPr>
                <w:color w:val="FF0000"/>
              </w:rPr>
            </w:pPr>
            <w:r w:rsidRPr="002B2631">
              <w:rPr>
                <w:rFonts w:eastAsia="Calibri"/>
                <w:iCs/>
                <w:color w:val="FF0000"/>
                <w:lang w:eastAsia="zh-TW"/>
              </w:rPr>
              <w:t>0.95</w:t>
            </w:r>
          </w:p>
        </w:tc>
      </w:tr>
    </w:tbl>
    <w:p w14:paraId="791F54ED" w14:textId="77777777" w:rsidR="00B13EE0" w:rsidRPr="00A25024" w:rsidRDefault="00B13EE0" w:rsidP="008C54A9">
      <w:pPr>
        <w:autoSpaceDE w:val="0"/>
        <w:autoSpaceDN w:val="0"/>
        <w:adjustRightInd w:val="0"/>
        <w:spacing w:after="0" w:line="240" w:lineRule="auto"/>
        <w:rPr>
          <w:rFonts w:cstheme="minorHAnsi"/>
          <w:bCs/>
        </w:rPr>
      </w:pPr>
    </w:p>
    <w:p w14:paraId="0CABCFD4" w14:textId="488E3A1D" w:rsidR="007422FD" w:rsidRDefault="00092566" w:rsidP="00DB3627">
      <w:pPr>
        <w:autoSpaceDE w:val="0"/>
        <w:autoSpaceDN w:val="0"/>
        <w:adjustRightInd w:val="0"/>
        <w:spacing w:after="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14:paraId="135845CD" w14:textId="3EA4044A" w:rsidR="00B13EE0" w:rsidRPr="00A5592D" w:rsidRDefault="00A5592D" w:rsidP="00DB3627">
      <w:pPr>
        <w:autoSpaceDE w:val="0"/>
        <w:autoSpaceDN w:val="0"/>
        <w:adjustRightInd w:val="0"/>
        <w:spacing w:after="0" w:line="240" w:lineRule="auto"/>
        <w:rPr>
          <w:rFonts w:cstheme="minorHAnsi"/>
          <w:b/>
          <w:color w:val="1100EE"/>
        </w:rPr>
      </w:pPr>
      <w:r w:rsidRPr="00A5592D">
        <w:rPr>
          <w:rFonts w:cstheme="minorHAnsi"/>
          <w:b/>
          <w:bCs/>
          <w:color w:val="1100EE"/>
        </w:rPr>
        <w:t>State Reliability</w:t>
      </w:r>
    </w:p>
    <w:p w14:paraId="059E8D03" w14:textId="72CB507E" w:rsidR="00B13EE0" w:rsidRDefault="00B13EE0" w:rsidP="00DB3627">
      <w:pPr>
        <w:autoSpaceDE w:val="0"/>
        <w:autoSpaceDN w:val="0"/>
        <w:adjustRightInd w:val="0"/>
        <w:spacing w:after="0" w:line="240" w:lineRule="auto"/>
        <w:rPr>
          <w:rFonts w:cstheme="minorHAnsi"/>
          <w:bCs/>
          <w:color w:val="1100EE"/>
        </w:rPr>
      </w:pPr>
      <w:r w:rsidRPr="00B13EE0">
        <w:rPr>
          <w:rFonts w:cstheme="minorHAnsi"/>
          <w:bCs/>
          <w:color w:val="1100EE"/>
        </w:rPr>
        <w:t>All state-level reliability scores were &gt; 0.9; indicating that the measure would produce reliable scores at the state level.</w:t>
      </w:r>
    </w:p>
    <w:p w14:paraId="7CDBF08C" w14:textId="0551FDB7" w:rsidR="00E91B8D" w:rsidRDefault="00E91B8D" w:rsidP="00DB3627">
      <w:pPr>
        <w:autoSpaceDE w:val="0"/>
        <w:autoSpaceDN w:val="0"/>
        <w:adjustRightInd w:val="0"/>
        <w:spacing w:after="0" w:line="240" w:lineRule="auto"/>
        <w:rPr>
          <w:rFonts w:cstheme="minorHAnsi"/>
          <w:bCs/>
          <w:color w:val="1100EE"/>
        </w:rPr>
      </w:pPr>
    </w:p>
    <w:p w14:paraId="357F0E21" w14:textId="756FD31C" w:rsidR="00E91B8D" w:rsidRPr="00A5592D" w:rsidRDefault="00A5592D" w:rsidP="00DB3627">
      <w:pPr>
        <w:autoSpaceDE w:val="0"/>
        <w:autoSpaceDN w:val="0"/>
        <w:adjustRightInd w:val="0"/>
        <w:spacing w:after="0" w:line="240" w:lineRule="auto"/>
        <w:rPr>
          <w:rFonts w:cstheme="minorHAnsi"/>
          <w:b/>
          <w:color w:val="1100EE"/>
        </w:rPr>
      </w:pPr>
      <w:r w:rsidRPr="00A5592D">
        <w:rPr>
          <w:rFonts w:cstheme="minorHAnsi"/>
          <w:b/>
          <w:bCs/>
          <w:color w:val="1100EE"/>
        </w:rPr>
        <w:t>Physician Group Reliability</w:t>
      </w:r>
    </w:p>
    <w:p w14:paraId="591090F9" w14:textId="39AEA6D6" w:rsidR="00E91B8D" w:rsidRDefault="00E91B8D" w:rsidP="00DB3627">
      <w:pPr>
        <w:autoSpaceDE w:val="0"/>
        <w:autoSpaceDN w:val="0"/>
        <w:adjustRightInd w:val="0"/>
        <w:spacing w:after="0" w:line="240" w:lineRule="auto"/>
        <w:rPr>
          <w:rFonts w:cstheme="minorHAnsi"/>
          <w:bCs/>
          <w:color w:val="1100EE"/>
        </w:rPr>
      </w:pPr>
      <w:r w:rsidRPr="00E91B8D">
        <w:rPr>
          <w:rFonts w:cstheme="minorHAnsi"/>
          <w:bCs/>
          <w:color w:val="1100EE"/>
        </w:rPr>
        <w:t>The original denominator threshold tested was 30 patients, resulting in 53.5% (N=38) of 71 physician groups attributed having reliable scores (defined as 0.7 or greater). Increasing the denominator size to 45 patients resulted in 94.4% (N=34) of 36 physician groups with a reliable score. Among these groups, overall reliability was 0.71, which is within acceptable norms and indicates sufficient signal strength to discriminate performance between physician groups. Therefore, these results suggest that physician groups with 45 patients or more will produce reliable scores.</w:t>
      </w:r>
    </w:p>
    <w:p w14:paraId="3B5BF709" w14:textId="308D199C" w:rsidR="00CC0822" w:rsidRDefault="00CC0822" w:rsidP="00DB3627">
      <w:pPr>
        <w:autoSpaceDE w:val="0"/>
        <w:autoSpaceDN w:val="0"/>
        <w:adjustRightInd w:val="0"/>
        <w:spacing w:after="0" w:line="240" w:lineRule="auto"/>
        <w:rPr>
          <w:rFonts w:cstheme="minorHAnsi"/>
          <w:bCs/>
          <w:color w:val="1100EE"/>
        </w:rPr>
      </w:pPr>
    </w:p>
    <w:p w14:paraId="301C5582" w14:textId="1ECF76A9" w:rsidR="00CC0822" w:rsidRDefault="008840B9" w:rsidP="00DB3627">
      <w:pPr>
        <w:autoSpaceDE w:val="0"/>
        <w:autoSpaceDN w:val="0"/>
        <w:adjustRightInd w:val="0"/>
        <w:spacing w:after="0" w:line="240" w:lineRule="auto"/>
        <w:rPr>
          <w:rFonts w:cstheme="minorHAnsi"/>
          <w:b/>
          <w:bCs/>
          <w:color w:val="FF0000"/>
        </w:rPr>
      </w:pPr>
      <w:r w:rsidRPr="008840B9">
        <w:rPr>
          <w:rFonts w:cstheme="minorHAnsi"/>
          <w:b/>
          <w:bCs/>
          <w:color w:val="FF0000"/>
        </w:rPr>
        <w:t>Health Plan Reliability</w:t>
      </w:r>
    </w:p>
    <w:p w14:paraId="18080637" w14:textId="3161FF6A" w:rsidR="008840B9" w:rsidRDefault="008840B9" w:rsidP="00DB3627">
      <w:pPr>
        <w:autoSpaceDE w:val="0"/>
        <w:autoSpaceDN w:val="0"/>
        <w:adjustRightInd w:val="0"/>
        <w:spacing w:after="0" w:line="240" w:lineRule="auto"/>
        <w:rPr>
          <w:rFonts w:cstheme="minorHAnsi"/>
          <w:bCs/>
          <w:color w:val="FF0000"/>
        </w:rPr>
      </w:pPr>
      <w:r w:rsidRPr="008840B9">
        <w:rPr>
          <w:rFonts w:cstheme="minorHAnsi"/>
          <w:bCs/>
          <w:color w:val="FF0000"/>
        </w:rPr>
        <w:t>Results obtained by the final two independent programmers met the Kappa threshold</w:t>
      </w:r>
      <w:r w:rsidR="00C63A55">
        <w:rPr>
          <w:rFonts w:cstheme="minorHAnsi"/>
          <w:bCs/>
          <w:color w:val="FF0000"/>
        </w:rPr>
        <w:t xml:space="preserve"> of 0.9,</w:t>
      </w:r>
      <w:r w:rsidRPr="008840B9">
        <w:rPr>
          <w:rFonts w:cstheme="minorHAnsi"/>
          <w:bCs/>
          <w:color w:val="FF0000"/>
        </w:rPr>
        <w:t xml:space="preserve"> and no further refinement of measure specification was deemed necessary.</w:t>
      </w:r>
    </w:p>
    <w:p w14:paraId="179046EC" w14:textId="77777777" w:rsidR="00C63A55" w:rsidRPr="008840B9" w:rsidRDefault="00C63A55" w:rsidP="00DB3627">
      <w:pPr>
        <w:autoSpaceDE w:val="0"/>
        <w:autoSpaceDN w:val="0"/>
        <w:adjustRightInd w:val="0"/>
        <w:spacing w:after="0" w:line="240" w:lineRule="auto"/>
        <w:rPr>
          <w:rFonts w:cstheme="minorHAnsi"/>
          <w:bCs/>
          <w:color w:val="FF0000"/>
        </w:rPr>
      </w:pPr>
    </w:p>
    <w:p w14:paraId="0CABCFD5" w14:textId="6A447CA0"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222AE22D"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3F1EC274" w:rsidR="00696262" w:rsidRPr="00A25024" w:rsidRDefault="00466546"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BE1A04">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7E13250D" w:rsidR="000574AB" w:rsidRPr="00A25024" w:rsidRDefault="00466546"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2B741F">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2B741F">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4808F8">
        <w:rPr>
          <w:rFonts w:eastAsia="MS Gothic" w:cstheme="minorHAnsi"/>
          <w:b/>
        </w:rPr>
        <w:t>NOTE</w:t>
      </w:r>
      <w:r w:rsidR="00275563" w:rsidRPr="004808F8">
        <w:rPr>
          <w:rFonts w:eastAsia="MS Gothic" w:cstheme="minorHAnsi"/>
        </w:rPr>
        <w:t>: Empirical validity testing is expected at time of maintenance review; if not possible, justification is required.</w:t>
      </w:r>
    </w:p>
    <w:p w14:paraId="52A0E434" w14:textId="01AA29D7" w:rsidR="007A3CA4" w:rsidRDefault="007A3CA4" w:rsidP="00696262">
      <w:pPr>
        <w:autoSpaceDE w:val="0"/>
        <w:autoSpaceDN w:val="0"/>
        <w:adjustRightInd w:val="0"/>
        <w:spacing w:after="0" w:line="240" w:lineRule="auto"/>
        <w:ind w:left="255"/>
        <w:rPr>
          <w:rFonts w:cstheme="minorHAnsi"/>
          <w:bCs/>
        </w:rPr>
      </w:pPr>
    </w:p>
    <w:p w14:paraId="7795A688" w14:textId="2DAAEE17" w:rsidR="002A65E1" w:rsidRPr="00327BC9" w:rsidRDefault="002A65E1" w:rsidP="00E626E4">
      <w:pPr>
        <w:autoSpaceDE w:val="0"/>
        <w:autoSpaceDN w:val="0"/>
        <w:adjustRightInd w:val="0"/>
        <w:spacing w:after="0" w:line="240" w:lineRule="auto"/>
        <w:rPr>
          <w:rFonts w:cstheme="minorHAnsi"/>
          <w:bCs/>
          <w:color w:val="FF0000"/>
        </w:rPr>
      </w:pPr>
      <w:bookmarkStart w:id="15" w:name="_Hlk500852934"/>
      <w:r w:rsidRPr="00327BC9">
        <w:rPr>
          <w:rFonts w:cstheme="minorHAnsi"/>
          <w:color w:val="FF0000"/>
        </w:rPr>
        <w:t xml:space="preserve">Empirical validity testing is not available for this measure at the time of </w:t>
      </w:r>
      <w:r w:rsidR="007E7E67">
        <w:rPr>
          <w:rFonts w:cstheme="minorHAnsi"/>
          <w:color w:val="FF0000"/>
        </w:rPr>
        <w:t xml:space="preserve">this </w:t>
      </w:r>
      <w:r w:rsidRPr="00327BC9">
        <w:rPr>
          <w:rFonts w:cstheme="minorHAnsi"/>
          <w:color w:val="FF0000"/>
        </w:rPr>
        <w:t>maintenance review. A</w:t>
      </w:r>
      <w:r w:rsidRPr="00327BC9">
        <w:rPr>
          <w:rFonts w:cstheme="minorHAnsi"/>
          <w:bCs/>
          <w:color w:val="FF0000"/>
        </w:rPr>
        <w:t xml:space="preserve">nalysis was not possible in the timeframe from NQF publication of this new evaluation criteria (September 2017) and submission of the testing form (January 2018). </w:t>
      </w:r>
      <w:r w:rsidRPr="00327BC9">
        <w:rPr>
          <w:rFonts w:cstheme="minorHAnsi"/>
          <w:color w:val="FF0000"/>
        </w:rPr>
        <w:t xml:space="preserve">On March 9, 2018, the measure steward, CMS, met with NQF to discuss submission of this measure. NQF requires empiric validity testing at the time of maintenance; however, they recognize the limitations of the timeframe for submission. NQF, CMS, and the contract team agreed that in leu of providing results of testing, it would be suitable to include a detailed plan for testing empiric validity before the next maintenance submission. </w:t>
      </w:r>
    </w:p>
    <w:p w14:paraId="4322B3E1" w14:textId="77777777" w:rsidR="002A65E1" w:rsidRPr="00327BC9" w:rsidRDefault="002A65E1" w:rsidP="00E626E4">
      <w:pPr>
        <w:autoSpaceDE w:val="0"/>
        <w:autoSpaceDN w:val="0"/>
        <w:adjustRightInd w:val="0"/>
        <w:spacing w:after="0" w:line="240" w:lineRule="auto"/>
        <w:rPr>
          <w:rFonts w:cstheme="minorHAnsi"/>
          <w:bCs/>
          <w:color w:val="FF0000"/>
        </w:rPr>
      </w:pPr>
    </w:p>
    <w:p w14:paraId="255B9DF9" w14:textId="37535B88" w:rsidR="002A65E1" w:rsidRPr="00327BC9" w:rsidRDefault="002A65E1" w:rsidP="00E626E4">
      <w:pPr>
        <w:pStyle w:val="NormalSS"/>
        <w:ind w:firstLine="0"/>
        <w:rPr>
          <w:rFonts w:asciiTheme="minorHAnsi" w:hAnsiTheme="minorHAnsi"/>
          <w:color w:val="FF0000"/>
          <w:sz w:val="22"/>
          <w:szCs w:val="22"/>
        </w:rPr>
      </w:pPr>
      <w:r w:rsidRPr="00327BC9">
        <w:rPr>
          <w:rFonts w:asciiTheme="minorHAnsi" w:hAnsiTheme="minorHAnsi" w:cstheme="minorHAnsi"/>
          <w:bCs/>
          <w:color w:val="FF0000"/>
          <w:sz w:val="22"/>
          <w:szCs w:val="22"/>
        </w:rPr>
        <w:t>We will test m</w:t>
      </w:r>
      <w:r w:rsidRPr="00327BC9">
        <w:rPr>
          <w:rFonts w:asciiTheme="minorHAnsi" w:eastAsiaTheme="minorEastAsia" w:hAnsiTheme="minorHAnsi"/>
          <w:color w:val="FF0000"/>
          <w:sz w:val="22"/>
          <w:szCs w:val="22"/>
        </w:rPr>
        <w:t xml:space="preserve">easure performance score validity by examining correlations with meaningful </w:t>
      </w:r>
      <w:r w:rsidR="007E7E67">
        <w:rPr>
          <w:rFonts w:asciiTheme="minorHAnsi" w:eastAsiaTheme="minorEastAsia" w:hAnsiTheme="minorHAnsi"/>
          <w:color w:val="FF0000"/>
          <w:sz w:val="22"/>
          <w:szCs w:val="22"/>
        </w:rPr>
        <w:t>measures of a similar quality construct</w:t>
      </w:r>
      <w:r w:rsidRPr="00327BC9">
        <w:rPr>
          <w:rFonts w:asciiTheme="minorHAnsi" w:eastAsiaTheme="minorEastAsia" w:hAnsiTheme="minorHAnsi"/>
          <w:color w:val="FF0000"/>
          <w:sz w:val="22"/>
          <w:szCs w:val="22"/>
        </w:rPr>
        <w:t xml:space="preserve"> (convergent validity) using t</w:t>
      </w:r>
      <w:r w:rsidRPr="00327BC9">
        <w:rPr>
          <w:rFonts w:asciiTheme="minorHAnsi" w:hAnsiTheme="minorHAnsi"/>
          <w:color w:val="FF0000"/>
          <w:sz w:val="22"/>
          <w:szCs w:val="22"/>
        </w:rPr>
        <w:t>he Spearman’s rank correlation coefficient</w:t>
      </w:r>
      <w:r w:rsidRPr="00327BC9">
        <w:rPr>
          <w:rFonts w:asciiTheme="minorHAnsi" w:eastAsiaTheme="minorEastAsia" w:hAnsiTheme="minorHAnsi"/>
          <w:color w:val="FF0000"/>
          <w:sz w:val="22"/>
          <w:szCs w:val="22"/>
        </w:rPr>
        <w:t xml:space="preserve">. </w:t>
      </w:r>
      <w:r w:rsidRPr="00327BC9">
        <w:rPr>
          <w:rFonts w:asciiTheme="minorHAnsi" w:hAnsiTheme="minorHAnsi"/>
          <w:color w:val="FF0000"/>
          <w:sz w:val="22"/>
          <w:szCs w:val="22"/>
        </w:rPr>
        <w:t xml:space="preserve">We will analyze the convergent validity of the measures, evaluating the extent to which the </w:t>
      </w:r>
      <w:r w:rsidR="00774488">
        <w:rPr>
          <w:rFonts w:asciiTheme="minorHAnsi" w:hAnsiTheme="minorHAnsi"/>
          <w:color w:val="FF0000"/>
          <w:sz w:val="22"/>
          <w:szCs w:val="22"/>
        </w:rPr>
        <w:t xml:space="preserve">measures </w:t>
      </w:r>
      <w:r w:rsidRPr="004808F8">
        <w:rPr>
          <w:rFonts w:asciiTheme="minorHAnsi" w:hAnsiTheme="minorHAnsi"/>
          <w:i/>
          <w:color w:val="FF0000"/>
          <w:sz w:val="22"/>
          <w:szCs w:val="22"/>
        </w:rPr>
        <w:t>Adherence to Antipsychotic</w:t>
      </w:r>
      <w:r w:rsidR="007E7E67" w:rsidRPr="004808F8">
        <w:rPr>
          <w:rFonts w:asciiTheme="minorHAnsi" w:hAnsiTheme="minorHAnsi"/>
          <w:i/>
          <w:color w:val="FF0000"/>
          <w:sz w:val="22"/>
          <w:szCs w:val="22"/>
        </w:rPr>
        <w:t xml:space="preserve"> Medications </w:t>
      </w:r>
      <w:r w:rsidRPr="004808F8">
        <w:rPr>
          <w:rFonts w:asciiTheme="minorHAnsi" w:hAnsiTheme="minorHAnsi"/>
          <w:i/>
          <w:color w:val="FF0000"/>
          <w:sz w:val="22"/>
          <w:szCs w:val="22"/>
        </w:rPr>
        <w:t xml:space="preserve">for Individuals with Schizophrenia </w:t>
      </w:r>
      <w:r w:rsidRPr="00327BC9">
        <w:rPr>
          <w:rFonts w:asciiTheme="minorHAnsi" w:hAnsiTheme="minorHAnsi"/>
          <w:color w:val="FF0000"/>
          <w:sz w:val="22"/>
          <w:szCs w:val="22"/>
        </w:rPr>
        <w:t>(</w:t>
      </w:r>
      <w:r w:rsidR="007E7E67">
        <w:rPr>
          <w:rFonts w:asciiTheme="minorHAnsi" w:hAnsiTheme="minorHAnsi"/>
          <w:color w:val="FF0000"/>
          <w:sz w:val="22"/>
          <w:szCs w:val="22"/>
        </w:rPr>
        <w:t xml:space="preserve">NQF </w:t>
      </w:r>
      <w:r w:rsidRPr="00327BC9">
        <w:rPr>
          <w:rFonts w:asciiTheme="minorHAnsi" w:hAnsiTheme="minorHAnsi"/>
          <w:color w:val="FF0000"/>
          <w:sz w:val="22"/>
          <w:szCs w:val="22"/>
        </w:rPr>
        <w:t>#187</w:t>
      </w:r>
      <w:r w:rsidR="007E7E67">
        <w:rPr>
          <w:rFonts w:asciiTheme="minorHAnsi" w:hAnsiTheme="minorHAnsi"/>
          <w:color w:val="FF0000"/>
          <w:sz w:val="22"/>
          <w:szCs w:val="22"/>
        </w:rPr>
        <w:t>9</w:t>
      </w:r>
      <w:r w:rsidRPr="00327BC9">
        <w:rPr>
          <w:rFonts w:asciiTheme="minorHAnsi" w:hAnsiTheme="minorHAnsi"/>
          <w:color w:val="FF0000"/>
          <w:sz w:val="22"/>
          <w:szCs w:val="22"/>
        </w:rPr>
        <w:t xml:space="preserve">) and </w:t>
      </w:r>
      <w:r w:rsidRPr="004808F8">
        <w:rPr>
          <w:rFonts w:asciiTheme="minorHAnsi" w:hAnsiTheme="minorHAnsi"/>
          <w:i/>
          <w:color w:val="FF0000"/>
          <w:sz w:val="22"/>
          <w:szCs w:val="22"/>
        </w:rPr>
        <w:t>Adherence to Mood Stabilizers for Individuals with Bipolar I Disorder</w:t>
      </w:r>
      <w:r w:rsidRPr="00327BC9">
        <w:rPr>
          <w:rFonts w:asciiTheme="minorHAnsi" w:hAnsiTheme="minorHAnsi"/>
          <w:color w:val="FF0000"/>
          <w:sz w:val="22"/>
          <w:szCs w:val="22"/>
        </w:rPr>
        <w:t xml:space="preserve"> (NQF </w:t>
      </w:r>
      <w:r w:rsidR="007E7E67">
        <w:rPr>
          <w:rFonts w:asciiTheme="minorHAnsi" w:hAnsiTheme="minorHAnsi"/>
          <w:color w:val="FF0000"/>
          <w:sz w:val="22"/>
          <w:szCs w:val="22"/>
        </w:rPr>
        <w:t>#</w:t>
      </w:r>
      <w:r w:rsidRPr="00327BC9">
        <w:rPr>
          <w:rFonts w:asciiTheme="minorHAnsi" w:hAnsiTheme="minorHAnsi"/>
          <w:color w:val="FF0000"/>
          <w:sz w:val="22"/>
          <w:szCs w:val="22"/>
        </w:rPr>
        <w:t xml:space="preserve">1880) correlate. We hypothesize that health plans and provider groups that perform well at helping individuals with schizophrenia remain adherent to antipsychotic medications will also perform well at helping individuals with bipolar </w:t>
      </w:r>
      <w:r w:rsidR="007E7E67">
        <w:rPr>
          <w:rFonts w:asciiTheme="minorHAnsi" w:hAnsiTheme="minorHAnsi"/>
          <w:color w:val="FF0000"/>
          <w:sz w:val="22"/>
          <w:szCs w:val="22"/>
        </w:rPr>
        <w:t xml:space="preserve">I </w:t>
      </w:r>
      <w:r w:rsidRPr="00327BC9">
        <w:rPr>
          <w:rFonts w:asciiTheme="minorHAnsi" w:hAnsiTheme="minorHAnsi"/>
          <w:color w:val="FF0000"/>
          <w:sz w:val="22"/>
          <w:szCs w:val="22"/>
        </w:rPr>
        <w:t>disorder remain adherent to mood stabilizers.</w:t>
      </w:r>
      <w:r w:rsidR="0077259B">
        <w:rPr>
          <w:rFonts w:asciiTheme="minorHAnsi" w:hAnsiTheme="minorHAnsi"/>
          <w:color w:val="FF0000"/>
          <w:sz w:val="22"/>
          <w:szCs w:val="22"/>
        </w:rPr>
        <w:t xml:space="preserve">  </w:t>
      </w:r>
      <w:r w:rsidRPr="00327BC9">
        <w:rPr>
          <w:rFonts w:asciiTheme="minorHAnsi" w:hAnsiTheme="minorHAnsi"/>
          <w:color w:val="FF0000"/>
          <w:sz w:val="22"/>
          <w:szCs w:val="22"/>
        </w:rPr>
        <w:t>Both measures are indicators of overall quality of care for individuals with serious mental illness and should be correlated.</w:t>
      </w:r>
    </w:p>
    <w:p w14:paraId="107739D3" w14:textId="30709FE6" w:rsidR="002A65E1" w:rsidRPr="00327BC9" w:rsidRDefault="002A65E1" w:rsidP="004808F8">
      <w:pPr>
        <w:pStyle w:val="NormalSS"/>
        <w:ind w:firstLine="0"/>
      </w:pPr>
      <w:r w:rsidRPr="00327BC9">
        <w:rPr>
          <w:rFonts w:asciiTheme="minorHAnsi" w:hAnsiTheme="minorHAnsi"/>
          <w:color w:val="FF0000"/>
          <w:sz w:val="22"/>
          <w:szCs w:val="22"/>
        </w:rPr>
        <w:t xml:space="preserve">For health plan level testing, we will evaluate the correlation between </w:t>
      </w:r>
      <w:r w:rsidR="007E7E67" w:rsidRPr="00A7245B">
        <w:rPr>
          <w:rFonts w:asciiTheme="minorHAnsi" w:hAnsiTheme="minorHAnsi"/>
          <w:i/>
          <w:color w:val="FF0000"/>
          <w:sz w:val="22"/>
          <w:szCs w:val="22"/>
        </w:rPr>
        <w:t xml:space="preserve">Adherence to Antipsychotic Medications for Individuals with Schizophrenia </w:t>
      </w:r>
      <w:r w:rsidR="007E7E67" w:rsidRPr="00327BC9">
        <w:rPr>
          <w:rFonts w:asciiTheme="minorHAnsi" w:hAnsiTheme="minorHAnsi"/>
          <w:color w:val="FF0000"/>
          <w:sz w:val="22"/>
          <w:szCs w:val="22"/>
        </w:rPr>
        <w:t>(</w:t>
      </w:r>
      <w:r w:rsidR="007E7E67">
        <w:rPr>
          <w:rFonts w:asciiTheme="minorHAnsi" w:hAnsiTheme="minorHAnsi"/>
          <w:color w:val="FF0000"/>
          <w:sz w:val="22"/>
          <w:szCs w:val="22"/>
        </w:rPr>
        <w:t xml:space="preserve">NQF </w:t>
      </w:r>
      <w:r w:rsidR="007E7E67" w:rsidRPr="00327BC9">
        <w:rPr>
          <w:rFonts w:asciiTheme="minorHAnsi" w:hAnsiTheme="minorHAnsi"/>
          <w:color w:val="FF0000"/>
          <w:sz w:val="22"/>
          <w:szCs w:val="22"/>
        </w:rPr>
        <w:t>#187</w:t>
      </w:r>
      <w:r w:rsidR="007E7E67">
        <w:rPr>
          <w:rFonts w:asciiTheme="minorHAnsi" w:hAnsiTheme="minorHAnsi"/>
          <w:color w:val="FF0000"/>
          <w:sz w:val="22"/>
          <w:szCs w:val="22"/>
        </w:rPr>
        <w:t>9</w:t>
      </w:r>
      <w:r w:rsidR="007E7E67" w:rsidRPr="00327BC9">
        <w:rPr>
          <w:rFonts w:asciiTheme="minorHAnsi" w:hAnsiTheme="minorHAnsi"/>
          <w:color w:val="FF0000"/>
          <w:sz w:val="22"/>
          <w:szCs w:val="22"/>
        </w:rPr>
        <w:t xml:space="preserve">) and </w:t>
      </w:r>
      <w:r w:rsidRPr="004808F8">
        <w:rPr>
          <w:rFonts w:asciiTheme="minorHAnsi" w:hAnsiTheme="minorHAnsi"/>
          <w:i/>
          <w:color w:val="FF0000"/>
          <w:sz w:val="22"/>
          <w:szCs w:val="22"/>
        </w:rPr>
        <w:t>Adherence to Mood Stabilizers for Individuals with Bipolar I Disorder</w:t>
      </w:r>
      <w:r w:rsidRPr="00327BC9">
        <w:rPr>
          <w:rFonts w:asciiTheme="minorHAnsi" w:hAnsiTheme="minorHAnsi"/>
          <w:color w:val="FF0000"/>
          <w:sz w:val="22"/>
          <w:szCs w:val="22"/>
        </w:rPr>
        <w:t xml:space="preserve"> (NQF </w:t>
      </w:r>
      <w:r w:rsidR="007E7E67">
        <w:rPr>
          <w:rFonts w:asciiTheme="minorHAnsi" w:hAnsiTheme="minorHAnsi"/>
          <w:color w:val="FF0000"/>
          <w:sz w:val="22"/>
          <w:szCs w:val="22"/>
        </w:rPr>
        <w:t>#</w:t>
      </w:r>
      <w:r w:rsidRPr="00327BC9">
        <w:rPr>
          <w:rFonts w:asciiTheme="minorHAnsi" w:hAnsiTheme="minorHAnsi"/>
          <w:color w:val="FF0000"/>
          <w:sz w:val="22"/>
          <w:szCs w:val="22"/>
        </w:rPr>
        <w:t>1880) using Medicare-Medicaid Plan (MMP) encounter data. We will begin our initial testing using data already available to us from federal fiscal years 2015 and 2016, covering dates between October 1, 2014, and September 30, 2016. Because of the uncertain quality of the encounter data reported by MMPs, we will conduct an initial series of data checks to examine the quality and volume of encounter data required for the measure</w:t>
      </w:r>
      <w:r w:rsidR="007E7E67">
        <w:rPr>
          <w:rFonts w:asciiTheme="minorHAnsi" w:hAnsiTheme="minorHAnsi"/>
          <w:color w:val="FF0000"/>
          <w:sz w:val="22"/>
          <w:szCs w:val="22"/>
        </w:rPr>
        <w:t>s</w:t>
      </w:r>
      <w:r w:rsidRPr="00327BC9">
        <w:rPr>
          <w:rFonts w:asciiTheme="minorHAnsi" w:hAnsiTheme="minorHAnsi"/>
          <w:color w:val="FF0000"/>
          <w:sz w:val="22"/>
          <w:szCs w:val="22"/>
        </w:rPr>
        <w:t xml:space="preserve"> and include MMPs for which the quality is sufficient for testing purposes. Our initial data checks will examine quality and volume of data at the plan and state levels to ensure sufficient sample sizes for testing the research questions. We anticipate using data elements related to</w:t>
      </w:r>
      <w:r>
        <w:rPr>
          <w:rFonts w:asciiTheme="minorHAnsi" w:hAnsiTheme="minorHAnsi"/>
          <w:color w:val="FF0000"/>
          <w:sz w:val="22"/>
          <w:szCs w:val="22"/>
        </w:rPr>
        <w:t xml:space="preserve"> </w:t>
      </w:r>
      <w:r w:rsidRPr="00656424">
        <w:rPr>
          <w:rFonts w:asciiTheme="minorHAnsi" w:hAnsiTheme="minorHAnsi"/>
          <w:color w:val="FF0000"/>
          <w:sz w:val="22"/>
          <w:szCs w:val="22"/>
        </w:rPr>
        <w:t xml:space="preserve">Medicare and Medicaid enrollment, institutional </w:t>
      </w:r>
      <w:r>
        <w:rPr>
          <w:rFonts w:asciiTheme="minorHAnsi" w:hAnsiTheme="minorHAnsi"/>
          <w:color w:val="FF0000"/>
          <w:sz w:val="22"/>
          <w:szCs w:val="22"/>
        </w:rPr>
        <w:t>encounters</w:t>
      </w:r>
      <w:r w:rsidRPr="00656424">
        <w:rPr>
          <w:rFonts w:asciiTheme="minorHAnsi" w:hAnsiTheme="minorHAnsi"/>
          <w:color w:val="FF0000"/>
          <w:sz w:val="22"/>
          <w:szCs w:val="22"/>
        </w:rPr>
        <w:t>, non-institutional</w:t>
      </w:r>
      <w:r>
        <w:rPr>
          <w:rFonts w:asciiTheme="minorHAnsi" w:hAnsiTheme="minorHAnsi"/>
          <w:color w:val="FF0000"/>
          <w:sz w:val="22"/>
          <w:szCs w:val="22"/>
        </w:rPr>
        <w:t xml:space="preserve"> encounters</w:t>
      </w:r>
      <w:r w:rsidRPr="00656424">
        <w:rPr>
          <w:rFonts w:asciiTheme="minorHAnsi" w:hAnsiTheme="minorHAnsi"/>
          <w:color w:val="FF0000"/>
          <w:sz w:val="22"/>
          <w:szCs w:val="22"/>
        </w:rPr>
        <w:t>, and prescription drug coverage and claims.</w:t>
      </w:r>
    </w:p>
    <w:p w14:paraId="48F20002" w14:textId="1BDEDB36" w:rsidR="002A65E1" w:rsidRPr="00327BC9" w:rsidRDefault="002A65E1" w:rsidP="00E626E4">
      <w:pPr>
        <w:pStyle w:val="NormalSS"/>
        <w:spacing w:after="120"/>
        <w:ind w:firstLine="0"/>
        <w:rPr>
          <w:rFonts w:asciiTheme="minorHAnsi" w:hAnsiTheme="minorHAnsi"/>
          <w:color w:val="FF0000"/>
          <w:sz w:val="22"/>
          <w:szCs w:val="22"/>
        </w:rPr>
      </w:pPr>
      <w:r w:rsidRPr="00327BC9">
        <w:rPr>
          <w:rFonts w:asciiTheme="minorHAnsi" w:hAnsiTheme="minorHAnsi"/>
          <w:color w:val="FF0000"/>
          <w:sz w:val="22"/>
          <w:szCs w:val="22"/>
        </w:rPr>
        <w:t xml:space="preserve">For provider level testing we will evaluate the correlation between </w:t>
      </w:r>
      <w:r w:rsidR="007E7E67" w:rsidRPr="00A7245B">
        <w:rPr>
          <w:rFonts w:asciiTheme="minorHAnsi" w:hAnsiTheme="minorHAnsi"/>
          <w:i/>
          <w:color w:val="FF0000"/>
          <w:sz w:val="22"/>
          <w:szCs w:val="22"/>
        </w:rPr>
        <w:t xml:space="preserve">Adherence to Antipsychotic Medications for Individuals with Schizophrenia </w:t>
      </w:r>
      <w:r w:rsidR="007E7E67" w:rsidRPr="00327BC9">
        <w:rPr>
          <w:rFonts w:asciiTheme="minorHAnsi" w:hAnsiTheme="minorHAnsi"/>
          <w:color w:val="FF0000"/>
          <w:sz w:val="22"/>
          <w:szCs w:val="22"/>
        </w:rPr>
        <w:t>(</w:t>
      </w:r>
      <w:r w:rsidR="007E7E67">
        <w:rPr>
          <w:rFonts w:asciiTheme="minorHAnsi" w:hAnsiTheme="minorHAnsi"/>
          <w:color w:val="FF0000"/>
          <w:sz w:val="22"/>
          <w:szCs w:val="22"/>
        </w:rPr>
        <w:t xml:space="preserve">NQF </w:t>
      </w:r>
      <w:r w:rsidR="007E7E67" w:rsidRPr="00327BC9">
        <w:rPr>
          <w:rFonts w:asciiTheme="minorHAnsi" w:hAnsiTheme="minorHAnsi"/>
          <w:color w:val="FF0000"/>
          <w:sz w:val="22"/>
          <w:szCs w:val="22"/>
        </w:rPr>
        <w:t>#187</w:t>
      </w:r>
      <w:r w:rsidR="007E7E67">
        <w:rPr>
          <w:rFonts w:asciiTheme="minorHAnsi" w:hAnsiTheme="minorHAnsi"/>
          <w:color w:val="FF0000"/>
          <w:sz w:val="22"/>
          <w:szCs w:val="22"/>
        </w:rPr>
        <w:t>9</w:t>
      </w:r>
      <w:r w:rsidR="007E7E67" w:rsidRPr="00327BC9">
        <w:rPr>
          <w:rFonts w:asciiTheme="minorHAnsi" w:hAnsiTheme="minorHAnsi"/>
          <w:color w:val="FF0000"/>
          <w:sz w:val="22"/>
          <w:szCs w:val="22"/>
        </w:rPr>
        <w:t xml:space="preserve">) and </w:t>
      </w:r>
      <w:r w:rsidR="007E7E67" w:rsidRPr="00A7245B">
        <w:rPr>
          <w:rFonts w:asciiTheme="minorHAnsi" w:hAnsiTheme="minorHAnsi"/>
          <w:i/>
          <w:color w:val="FF0000"/>
          <w:sz w:val="22"/>
          <w:szCs w:val="22"/>
        </w:rPr>
        <w:t>Adherence to Mood Stabilizers for Individuals with Bipolar I Disorder</w:t>
      </w:r>
      <w:r w:rsidR="007E7E67" w:rsidRPr="00327BC9">
        <w:rPr>
          <w:rFonts w:asciiTheme="minorHAnsi" w:hAnsiTheme="minorHAnsi"/>
          <w:color w:val="FF0000"/>
          <w:sz w:val="22"/>
          <w:szCs w:val="22"/>
        </w:rPr>
        <w:t xml:space="preserve"> (NQF </w:t>
      </w:r>
      <w:r w:rsidR="007E7E67">
        <w:rPr>
          <w:rFonts w:asciiTheme="minorHAnsi" w:hAnsiTheme="minorHAnsi"/>
          <w:color w:val="FF0000"/>
          <w:sz w:val="22"/>
          <w:szCs w:val="22"/>
        </w:rPr>
        <w:t>#</w:t>
      </w:r>
      <w:r w:rsidR="007E7E67" w:rsidRPr="00327BC9">
        <w:rPr>
          <w:rFonts w:asciiTheme="minorHAnsi" w:hAnsiTheme="minorHAnsi"/>
          <w:color w:val="FF0000"/>
          <w:sz w:val="22"/>
          <w:szCs w:val="22"/>
        </w:rPr>
        <w:t>1880)</w:t>
      </w:r>
      <w:r w:rsidR="007E7E67">
        <w:rPr>
          <w:rFonts w:asciiTheme="minorHAnsi" w:hAnsiTheme="minorHAnsi"/>
          <w:color w:val="FF0000"/>
          <w:sz w:val="22"/>
          <w:szCs w:val="22"/>
        </w:rPr>
        <w:t xml:space="preserve"> </w:t>
      </w:r>
      <w:r w:rsidRPr="00327BC9">
        <w:rPr>
          <w:rFonts w:asciiTheme="minorHAnsi" w:hAnsiTheme="minorHAnsi"/>
          <w:color w:val="FF0000"/>
          <w:sz w:val="22"/>
          <w:szCs w:val="22"/>
        </w:rPr>
        <w:t xml:space="preserve">using Medicare FFS data paired with Medicare Part D claims data. We will pull this Medicare FFS data from the Integrated Data Repository (IDR) to complete testing. No Medicaid data will be used. We anticipate using data elements related to </w:t>
      </w:r>
      <w:r>
        <w:rPr>
          <w:rFonts w:asciiTheme="minorHAnsi" w:hAnsiTheme="minorHAnsi"/>
          <w:color w:val="FF0000"/>
          <w:sz w:val="22"/>
          <w:szCs w:val="22"/>
        </w:rPr>
        <w:t>Medicare and Medicaid enrollment, institutional claims, non-institutional claims, and prescription drug coverage and claims.</w:t>
      </w:r>
    </w:p>
    <w:p w14:paraId="0EAE5A69" w14:textId="77777777" w:rsidR="002A65E1" w:rsidRPr="00327BC9" w:rsidRDefault="002A65E1" w:rsidP="00E626E4">
      <w:pPr>
        <w:pStyle w:val="NormalSS"/>
        <w:ind w:firstLine="0"/>
        <w:rPr>
          <w:rFonts w:asciiTheme="minorHAnsi" w:hAnsiTheme="minorHAnsi"/>
          <w:color w:val="FF0000"/>
          <w:sz w:val="22"/>
          <w:szCs w:val="22"/>
        </w:rPr>
      </w:pPr>
      <w:r w:rsidRPr="00327BC9">
        <w:rPr>
          <w:rFonts w:asciiTheme="minorHAnsi" w:hAnsiTheme="minorHAnsi"/>
          <w:color w:val="FF0000"/>
          <w:sz w:val="22"/>
          <w:szCs w:val="22"/>
        </w:rPr>
        <w:t>We will produce scatter plots comparing the two measures at the provider and health plan level. The Spearman’s rank correlation coefficient (</w:t>
      </w:r>
      <w:proofErr w:type="spellStart"/>
      <w:r w:rsidRPr="00327BC9">
        <w:rPr>
          <w:rFonts w:asciiTheme="minorHAnsi" w:hAnsiTheme="minorHAnsi"/>
          <w:color w:val="FF0000"/>
          <w:sz w:val="22"/>
          <w:szCs w:val="22"/>
        </w:rPr>
        <w:t>r</w:t>
      </w:r>
      <w:r w:rsidRPr="00327BC9">
        <w:rPr>
          <w:rFonts w:asciiTheme="minorHAnsi" w:hAnsiTheme="minorHAnsi"/>
          <w:color w:val="FF0000"/>
          <w:sz w:val="22"/>
          <w:szCs w:val="22"/>
          <w:vertAlign w:val="subscript"/>
        </w:rPr>
        <w:t>s</w:t>
      </w:r>
      <w:proofErr w:type="spellEnd"/>
      <w:r w:rsidRPr="00327BC9">
        <w:rPr>
          <w:rFonts w:asciiTheme="minorHAnsi" w:hAnsiTheme="minorHAnsi"/>
          <w:color w:val="FF0000"/>
          <w:sz w:val="22"/>
          <w:szCs w:val="22"/>
        </w:rPr>
        <w:t xml:space="preserve">) assesses the monotonic relationship in plan rankings for each measure pair. The coefficient ranges from -1 to 1, where </w:t>
      </w:r>
      <w:proofErr w:type="spellStart"/>
      <w:r w:rsidRPr="00327BC9">
        <w:rPr>
          <w:rFonts w:asciiTheme="minorHAnsi" w:hAnsiTheme="minorHAnsi"/>
          <w:color w:val="FF0000"/>
          <w:sz w:val="22"/>
          <w:szCs w:val="22"/>
        </w:rPr>
        <w:t>r</w:t>
      </w:r>
      <w:r w:rsidRPr="00327BC9">
        <w:rPr>
          <w:rFonts w:asciiTheme="minorHAnsi" w:hAnsiTheme="minorHAnsi"/>
          <w:color w:val="FF0000"/>
          <w:sz w:val="22"/>
          <w:szCs w:val="22"/>
          <w:vertAlign w:val="subscript"/>
        </w:rPr>
        <w:t>s</w:t>
      </w:r>
      <w:proofErr w:type="spellEnd"/>
      <w:r w:rsidRPr="00327BC9">
        <w:rPr>
          <w:rFonts w:asciiTheme="minorHAnsi" w:hAnsiTheme="minorHAnsi"/>
          <w:color w:val="FF0000"/>
          <w:sz w:val="22"/>
          <w:szCs w:val="22"/>
        </w:rPr>
        <w:t xml:space="preserve"> = 1 indicates perfect alignment of plan rankings, </w:t>
      </w:r>
      <w:proofErr w:type="spellStart"/>
      <w:r w:rsidRPr="00327BC9">
        <w:rPr>
          <w:rFonts w:asciiTheme="minorHAnsi" w:hAnsiTheme="minorHAnsi"/>
          <w:color w:val="FF0000"/>
          <w:sz w:val="22"/>
          <w:szCs w:val="22"/>
        </w:rPr>
        <w:t>r</w:t>
      </w:r>
      <w:r w:rsidRPr="00327BC9">
        <w:rPr>
          <w:rFonts w:asciiTheme="minorHAnsi" w:hAnsiTheme="minorHAnsi"/>
          <w:color w:val="FF0000"/>
          <w:sz w:val="22"/>
          <w:szCs w:val="22"/>
          <w:vertAlign w:val="subscript"/>
        </w:rPr>
        <w:t>s</w:t>
      </w:r>
      <w:proofErr w:type="spellEnd"/>
      <w:r w:rsidRPr="00327BC9">
        <w:rPr>
          <w:rFonts w:asciiTheme="minorHAnsi" w:hAnsiTheme="minorHAnsi"/>
          <w:color w:val="FF0000"/>
          <w:sz w:val="22"/>
          <w:szCs w:val="22"/>
        </w:rPr>
        <w:t xml:space="preserve"> = – 1 indicates opposite alignment of plan rankings, and </w:t>
      </w:r>
      <w:proofErr w:type="spellStart"/>
      <w:r w:rsidRPr="00327BC9">
        <w:rPr>
          <w:rFonts w:asciiTheme="minorHAnsi" w:hAnsiTheme="minorHAnsi"/>
          <w:color w:val="FF0000"/>
          <w:sz w:val="22"/>
          <w:szCs w:val="22"/>
        </w:rPr>
        <w:t>r</w:t>
      </w:r>
      <w:r w:rsidRPr="00327BC9">
        <w:rPr>
          <w:rFonts w:asciiTheme="minorHAnsi" w:hAnsiTheme="minorHAnsi"/>
          <w:color w:val="FF0000"/>
          <w:sz w:val="22"/>
          <w:szCs w:val="22"/>
          <w:vertAlign w:val="subscript"/>
        </w:rPr>
        <w:t>s</w:t>
      </w:r>
      <w:proofErr w:type="spellEnd"/>
      <w:r w:rsidRPr="00327BC9">
        <w:rPr>
          <w:rFonts w:asciiTheme="minorHAnsi" w:hAnsiTheme="minorHAnsi"/>
          <w:color w:val="FF0000"/>
          <w:sz w:val="22"/>
          <w:szCs w:val="22"/>
        </w:rPr>
        <w:t xml:space="preserve"> = 0 represents no alignment in </w:t>
      </w:r>
      <w:r w:rsidRPr="00327BC9">
        <w:rPr>
          <w:rFonts w:asciiTheme="minorHAnsi" w:hAnsiTheme="minorHAnsi"/>
          <w:color w:val="FF0000"/>
          <w:sz w:val="22"/>
          <w:szCs w:val="22"/>
        </w:rPr>
        <w:lastRenderedPageBreak/>
        <w:t>plan rankings. We will fit a smooth curve using locally weighted scatterplot smoothing (LOWESS) method to visualize any trends in the scatterplots. Because the LOWESS method does not rely on a preconceived model for the distribution of the measures (non-parametric), the LOWESS curve can captured detailed information about the measure relationships that the correlation coefficient does not convey.</w:t>
      </w:r>
    </w:p>
    <w:p w14:paraId="51CF2345" w14:textId="77777777" w:rsidR="002A65E1" w:rsidRPr="00327BC9" w:rsidRDefault="002A65E1" w:rsidP="00E626E4">
      <w:pPr>
        <w:pStyle w:val="NormalSS"/>
        <w:ind w:firstLine="0"/>
        <w:rPr>
          <w:rFonts w:asciiTheme="minorHAnsi" w:hAnsiTheme="minorHAnsi"/>
          <w:color w:val="FF0000"/>
          <w:sz w:val="22"/>
          <w:szCs w:val="22"/>
        </w:rPr>
      </w:pPr>
      <w:r w:rsidRPr="00327BC9">
        <w:rPr>
          <w:rFonts w:asciiTheme="minorHAnsi" w:hAnsiTheme="minorHAnsi"/>
          <w:color w:val="FF0000"/>
          <w:sz w:val="22"/>
          <w:szCs w:val="22"/>
        </w:rPr>
        <w:t>The timeline for this work is described below:</w:t>
      </w:r>
    </w:p>
    <w:p w14:paraId="1288DF97" w14:textId="77777777" w:rsidR="002A65E1" w:rsidRPr="004D6318" w:rsidRDefault="002A65E1" w:rsidP="002A65E1">
      <w:pPr>
        <w:pStyle w:val="ListParagraph"/>
        <w:numPr>
          <w:ilvl w:val="0"/>
          <w:numId w:val="36"/>
        </w:numPr>
        <w:spacing w:after="0" w:line="240" w:lineRule="auto"/>
        <w:rPr>
          <w:color w:val="FF0000"/>
        </w:rPr>
      </w:pPr>
      <w:r w:rsidRPr="004D6318">
        <w:rPr>
          <w:color w:val="FF0000"/>
        </w:rPr>
        <w:t>October – November 2018: Develop analytic file</w:t>
      </w:r>
    </w:p>
    <w:p w14:paraId="27F66F4F" w14:textId="346BFF7F" w:rsidR="002A65E1" w:rsidRPr="004D6318" w:rsidRDefault="002A65E1" w:rsidP="002A65E1">
      <w:pPr>
        <w:pStyle w:val="ListParagraph"/>
        <w:numPr>
          <w:ilvl w:val="0"/>
          <w:numId w:val="36"/>
        </w:numPr>
        <w:spacing w:after="0" w:line="240" w:lineRule="auto"/>
        <w:rPr>
          <w:color w:val="FF0000"/>
        </w:rPr>
      </w:pPr>
      <w:r w:rsidRPr="004D6318">
        <w:rPr>
          <w:color w:val="FF0000"/>
        </w:rPr>
        <w:t xml:space="preserve">November 2018 – </w:t>
      </w:r>
      <w:r w:rsidR="00FA1514">
        <w:rPr>
          <w:color w:val="FF0000"/>
        </w:rPr>
        <w:t>February</w:t>
      </w:r>
      <w:r w:rsidRPr="004D6318">
        <w:rPr>
          <w:color w:val="FF0000"/>
        </w:rPr>
        <w:t xml:space="preserve"> 2019: Conduct validity testing and review results</w:t>
      </w:r>
    </w:p>
    <w:p w14:paraId="3419002B" w14:textId="4BC1C9C8" w:rsidR="002A65E1" w:rsidRPr="004D6318" w:rsidRDefault="00FA1514" w:rsidP="002A65E1">
      <w:pPr>
        <w:pStyle w:val="ListParagraph"/>
        <w:numPr>
          <w:ilvl w:val="0"/>
          <w:numId w:val="36"/>
        </w:numPr>
        <w:spacing w:after="0" w:line="240" w:lineRule="auto"/>
        <w:rPr>
          <w:color w:val="FF0000"/>
        </w:rPr>
      </w:pPr>
      <w:r>
        <w:rPr>
          <w:color w:val="FF0000"/>
        </w:rPr>
        <w:t>March</w:t>
      </w:r>
      <w:r w:rsidR="002A65E1" w:rsidRPr="004D6318">
        <w:rPr>
          <w:color w:val="FF0000"/>
        </w:rPr>
        <w:t xml:space="preserve"> – </w:t>
      </w:r>
      <w:r>
        <w:rPr>
          <w:color w:val="FF0000"/>
        </w:rPr>
        <w:t>April</w:t>
      </w:r>
      <w:r w:rsidR="002A65E1" w:rsidRPr="004D6318">
        <w:rPr>
          <w:color w:val="FF0000"/>
        </w:rPr>
        <w:t xml:space="preserve"> 2019: Summarize results and update measure documentation</w:t>
      </w:r>
    </w:p>
    <w:p w14:paraId="3E283CA0" w14:textId="77777777" w:rsidR="002A65E1" w:rsidRPr="004D6318" w:rsidRDefault="002A65E1" w:rsidP="002A65E1">
      <w:pPr>
        <w:pStyle w:val="ListParagraph"/>
        <w:numPr>
          <w:ilvl w:val="0"/>
          <w:numId w:val="36"/>
        </w:numPr>
        <w:spacing w:after="0" w:line="240" w:lineRule="auto"/>
        <w:rPr>
          <w:color w:val="FF0000"/>
        </w:rPr>
      </w:pPr>
      <w:r w:rsidRPr="004D6318">
        <w:rPr>
          <w:color w:val="FF0000"/>
        </w:rPr>
        <w:t>TBD: Submit updated validity testing to NQF as part of maintenance submission</w:t>
      </w:r>
    </w:p>
    <w:bookmarkEnd w:id="15"/>
    <w:p w14:paraId="60650116" w14:textId="69D3B46E" w:rsidR="00F8230A" w:rsidRPr="00327BC9" w:rsidRDefault="00F8230A" w:rsidP="002A65E1">
      <w:pPr>
        <w:autoSpaceDE w:val="0"/>
        <w:autoSpaceDN w:val="0"/>
        <w:adjustRightInd w:val="0"/>
        <w:spacing w:after="0" w:line="240" w:lineRule="auto"/>
        <w:rPr>
          <w:rFonts w:cstheme="minorHAnsi"/>
          <w:bCs/>
          <w:color w:val="FF0000"/>
        </w:rPr>
      </w:pPr>
    </w:p>
    <w:p w14:paraId="5AD2EDAA" w14:textId="74C43F39" w:rsidR="00F8230A" w:rsidRPr="00327BC9" w:rsidRDefault="00F8230A" w:rsidP="00E626E4">
      <w:pPr>
        <w:shd w:val="clear" w:color="auto" w:fill="FFFFFF"/>
        <w:spacing w:after="0" w:line="240" w:lineRule="auto"/>
        <w:rPr>
          <w:color w:val="FF0000"/>
        </w:rPr>
      </w:pPr>
      <w:bookmarkStart w:id="16" w:name="_Hlk500853308"/>
      <w:r w:rsidRPr="00327BC9">
        <w:rPr>
          <w:rFonts w:cstheme="minorHAnsi"/>
          <w:bCs/>
          <w:color w:val="FF0000"/>
        </w:rPr>
        <w:t xml:space="preserve">Although empiric validity analysis </w:t>
      </w:r>
      <w:r w:rsidR="001D0326">
        <w:rPr>
          <w:rFonts w:cstheme="minorHAnsi"/>
          <w:bCs/>
          <w:color w:val="FF0000"/>
        </w:rPr>
        <w:t>has not</w:t>
      </w:r>
      <w:r w:rsidRPr="00327BC9">
        <w:rPr>
          <w:rFonts w:cstheme="minorHAnsi"/>
          <w:bCs/>
          <w:color w:val="FF0000"/>
        </w:rPr>
        <w:t xml:space="preserve"> </w:t>
      </w:r>
      <w:r w:rsidR="001D0326">
        <w:rPr>
          <w:rFonts w:cstheme="minorHAnsi"/>
          <w:bCs/>
          <w:color w:val="FF0000"/>
        </w:rPr>
        <w:t xml:space="preserve">yet been </w:t>
      </w:r>
      <w:r w:rsidRPr="00327BC9">
        <w:rPr>
          <w:rFonts w:cstheme="minorHAnsi"/>
          <w:bCs/>
          <w:color w:val="FF0000"/>
        </w:rPr>
        <w:t>conducted,</w:t>
      </w:r>
      <w:r w:rsidR="00386E36" w:rsidRPr="00327BC9">
        <w:rPr>
          <w:rFonts w:cstheme="minorHAnsi"/>
          <w:bCs/>
          <w:color w:val="FF0000"/>
        </w:rPr>
        <w:t xml:space="preserve"> this measure uses a definition of adherence (0.8 proportion of days covered) that is harmonized with other </w:t>
      </w:r>
      <w:r w:rsidRPr="00327BC9">
        <w:rPr>
          <w:color w:val="FF0000"/>
        </w:rPr>
        <w:t xml:space="preserve">National Quality Forum (NQF) endorsed adherence measures and is consistent with the threshold of adherence used in the seven studies cited in </w:t>
      </w:r>
      <w:r w:rsidR="00386E36" w:rsidRPr="00327BC9">
        <w:rPr>
          <w:color w:val="FF0000"/>
        </w:rPr>
        <w:t xml:space="preserve">the evidence attachment. These studies demonstrated </w:t>
      </w:r>
      <w:r w:rsidRPr="00327BC9">
        <w:rPr>
          <w:color w:val="FF0000"/>
        </w:rPr>
        <w:t>improved outcomes in schizophrenia</w:t>
      </w:r>
      <w:r w:rsidR="00386E36" w:rsidRPr="00327BC9">
        <w:rPr>
          <w:color w:val="FF0000"/>
        </w:rPr>
        <w:t xml:space="preserve"> associated with adherence to medication</w:t>
      </w:r>
      <w:r w:rsidRPr="00327BC9">
        <w:rPr>
          <w:color w:val="FF0000"/>
        </w:rPr>
        <w:t>. Although many of these studies have used the medication possession ratio (MPR) rather than the proportion of days covered</w:t>
      </w:r>
      <w:r w:rsidR="00386E36" w:rsidRPr="00327BC9">
        <w:rPr>
          <w:color w:val="FF0000"/>
        </w:rPr>
        <w:t xml:space="preserve"> (PDC)</w:t>
      </w:r>
      <w:r w:rsidRPr="00327BC9">
        <w:rPr>
          <w:color w:val="FF0000"/>
        </w:rPr>
        <w:t xml:space="preserve">, CMS and the Pharmacy Quality Alliance </w:t>
      </w:r>
      <w:r w:rsidR="00C342F5" w:rsidRPr="00327BC9">
        <w:rPr>
          <w:color w:val="FF0000"/>
        </w:rPr>
        <w:t xml:space="preserve">(PQA) </w:t>
      </w:r>
      <w:r w:rsidRPr="00327BC9">
        <w:rPr>
          <w:color w:val="FF0000"/>
        </w:rPr>
        <w:t>have evaluated and extensively tested the PDC and the MPR and specifically found that: 1) the PDC and MPR will provide nearly identical results when examining adherence to a single drug; 2) the PDC will provide a more conservative estimate of adherence when examining adherence to a class of drugs that are prone to frequent switching and concomitant therapy with multiple drugs within the class</w:t>
      </w:r>
      <w:r w:rsidR="00386E36" w:rsidRPr="00327BC9">
        <w:rPr>
          <w:color w:val="FF0000"/>
        </w:rPr>
        <w:t xml:space="preserve"> (as with antipsychotic drugs).</w:t>
      </w:r>
      <w:r w:rsidRPr="00327BC9">
        <w:rPr>
          <w:color w:val="FF0000"/>
        </w:rPr>
        <w:t xml:space="preserve"> Therefore, based on NQF’s recommendation that a standard methodology for calculating medication adherence be established across all endorsed adherence measures, CMS and PQA agreed to harmonize the methodology for calculating medication adherence using the PDC, which was approved by the NQF Consensus Standards Approval Committee (CSAC). </w:t>
      </w:r>
    </w:p>
    <w:bookmarkEnd w:id="16"/>
    <w:p w14:paraId="0CABCFDA" w14:textId="77777777" w:rsidR="00CA06D8" w:rsidRPr="00A25024" w:rsidRDefault="00CA06D8" w:rsidP="00DB3627">
      <w:pPr>
        <w:autoSpaceDE w:val="0"/>
        <w:autoSpaceDN w:val="0"/>
        <w:adjustRightInd w:val="0"/>
        <w:spacing w:after="0" w:line="240" w:lineRule="auto"/>
        <w:rPr>
          <w:rFonts w:cstheme="minorHAnsi"/>
        </w:rPr>
      </w:pPr>
    </w:p>
    <w:p w14:paraId="0CABCFDC" w14:textId="0C3193E8" w:rsidR="00833325"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14:paraId="3819CE5B" w14:textId="77777777" w:rsidR="006648D1" w:rsidRPr="005A1F7A" w:rsidRDefault="006648D1" w:rsidP="006648D1">
      <w:pPr>
        <w:autoSpaceDE w:val="0"/>
        <w:autoSpaceDN w:val="0"/>
        <w:adjustRightInd w:val="0"/>
        <w:spacing w:after="0" w:line="240" w:lineRule="auto"/>
        <w:rPr>
          <w:rFonts w:cstheme="minorHAnsi"/>
          <w:b/>
          <w:color w:val="1100EE"/>
        </w:rPr>
      </w:pPr>
      <w:r w:rsidRPr="005A1F7A">
        <w:rPr>
          <w:rFonts w:cstheme="minorHAnsi"/>
          <w:b/>
          <w:bCs/>
          <w:color w:val="1100EE"/>
        </w:rPr>
        <w:t>Face Validity</w:t>
      </w:r>
    </w:p>
    <w:p w14:paraId="510E4569" w14:textId="77777777" w:rsidR="006648D1" w:rsidRPr="00E82648" w:rsidRDefault="006648D1" w:rsidP="006648D1">
      <w:pPr>
        <w:autoSpaceDE w:val="0"/>
        <w:autoSpaceDN w:val="0"/>
        <w:adjustRightInd w:val="0"/>
        <w:spacing w:after="0" w:line="240" w:lineRule="auto"/>
        <w:rPr>
          <w:rFonts w:cstheme="minorHAnsi"/>
          <w:bCs/>
          <w:color w:val="1100EE"/>
        </w:rPr>
      </w:pPr>
      <w:r>
        <w:rPr>
          <w:rFonts w:cstheme="minorHAnsi"/>
          <w:bCs/>
          <w:color w:val="1100EE"/>
        </w:rPr>
        <w:t>A</w:t>
      </w:r>
      <w:r w:rsidRPr="00E82648">
        <w:rPr>
          <w:rFonts w:cstheme="minorHAnsi"/>
          <w:bCs/>
          <w:color w:val="1100EE"/>
        </w:rPr>
        <w:t xml:space="preserve"> Technical Expert Panel (TEP), comprising internal medicine physicians and pharmacists, evaluated the face validity of the measure and measure scores. The following 12 TEP members evaluated the face validity of the measure and measure scores:</w:t>
      </w:r>
    </w:p>
    <w:p w14:paraId="2B89AA82" w14:textId="77777777" w:rsidR="006648D1" w:rsidRPr="00E82648" w:rsidRDefault="006648D1" w:rsidP="006648D1">
      <w:pPr>
        <w:autoSpaceDE w:val="0"/>
        <w:autoSpaceDN w:val="0"/>
        <w:adjustRightInd w:val="0"/>
        <w:spacing w:after="0" w:line="240" w:lineRule="auto"/>
        <w:rPr>
          <w:rFonts w:cstheme="minorHAnsi"/>
          <w:bCs/>
          <w:color w:val="1100EE"/>
        </w:rPr>
      </w:pPr>
    </w:p>
    <w:p w14:paraId="5B5EFD24" w14:textId="77777777" w:rsidR="006648D1" w:rsidRPr="00E82648" w:rsidRDefault="006648D1" w:rsidP="006648D1">
      <w:pPr>
        <w:autoSpaceDE w:val="0"/>
        <w:autoSpaceDN w:val="0"/>
        <w:adjustRightInd w:val="0"/>
        <w:spacing w:after="0" w:line="240" w:lineRule="auto"/>
        <w:rPr>
          <w:rFonts w:cstheme="minorHAnsi"/>
          <w:bCs/>
          <w:color w:val="1100EE"/>
        </w:rPr>
      </w:pPr>
      <w:r w:rsidRPr="00E82648">
        <w:rPr>
          <w:rFonts w:cstheme="minorHAnsi"/>
          <w:bCs/>
          <w:color w:val="1100EE"/>
        </w:rPr>
        <w:t xml:space="preserve">1. Jill S. </w:t>
      </w:r>
      <w:proofErr w:type="spellStart"/>
      <w:r w:rsidRPr="00E82648">
        <w:rPr>
          <w:rFonts w:cstheme="minorHAnsi"/>
          <w:bCs/>
          <w:color w:val="1100EE"/>
        </w:rPr>
        <w:t>Borchert</w:t>
      </w:r>
      <w:proofErr w:type="spellEnd"/>
      <w:r w:rsidRPr="00E82648">
        <w:rPr>
          <w:rFonts w:cstheme="minorHAnsi"/>
          <w:bCs/>
          <w:color w:val="1100EE"/>
        </w:rPr>
        <w:t>, Pharm.D., BCPS, Professor, Pharmacy Practice &amp; PGY1 Residency Program Director, Midwestern University, Chicago College of Pharmacy</w:t>
      </w:r>
    </w:p>
    <w:p w14:paraId="66222598" w14:textId="77777777" w:rsidR="006648D1" w:rsidRPr="00E82648" w:rsidRDefault="006648D1" w:rsidP="006648D1">
      <w:pPr>
        <w:autoSpaceDE w:val="0"/>
        <w:autoSpaceDN w:val="0"/>
        <w:adjustRightInd w:val="0"/>
        <w:spacing w:after="0" w:line="240" w:lineRule="auto"/>
        <w:rPr>
          <w:rFonts w:cstheme="minorHAnsi"/>
          <w:bCs/>
          <w:color w:val="1100EE"/>
        </w:rPr>
      </w:pPr>
      <w:r w:rsidRPr="00E82648">
        <w:rPr>
          <w:rFonts w:cstheme="minorHAnsi"/>
          <w:bCs/>
          <w:color w:val="1100EE"/>
        </w:rPr>
        <w:t xml:space="preserve">2. Anne Burns, </w:t>
      </w:r>
      <w:proofErr w:type="spellStart"/>
      <w:r w:rsidRPr="00E82648">
        <w:rPr>
          <w:rFonts w:cstheme="minorHAnsi"/>
          <w:bCs/>
          <w:color w:val="1100EE"/>
        </w:rPr>
        <w:t>RPh</w:t>
      </w:r>
      <w:proofErr w:type="spellEnd"/>
      <w:r w:rsidRPr="00E82648">
        <w:rPr>
          <w:rFonts w:cstheme="minorHAnsi"/>
          <w:bCs/>
          <w:color w:val="1100EE"/>
        </w:rPr>
        <w:t>, Vice President, Professional Affairs, American Pharmacists Association</w:t>
      </w:r>
    </w:p>
    <w:p w14:paraId="4709180D" w14:textId="77777777" w:rsidR="006648D1" w:rsidRPr="00E82648" w:rsidRDefault="006648D1" w:rsidP="006648D1">
      <w:pPr>
        <w:autoSpaceDE w:val="0"/>
        <w:autoSpaceDN w:val="0"/>
        <w:adjustRightInd w:val="0"/>
        <w:spacing w:after="0" w:line="240" w:lineRule="auto"/>
        <w:rPr>
          <w:rFonts w:cstheme="minorHAnsi"/>
          <w:bCs/>
          <w:color w:val="1100EE"/>
        </w:rPr>
      </w:pPr>
      <w:r w:rsidRPr="00E82648">
        <w:rPr>
          <w:rFonts w:cstheme="minorHAnsi"/>
          <w:bCs/>
          <w:color w:val="1100EE"/>
        </w:rPr>
        <w:t xml:space="preserve">3. </w:t>
      </w:r>
      <w:proofErr w:type="spellStart"/>
      <w:r w:rsidRPr="00E82648">
        <w:rPr>
          <w:rFonts w:cstheme="minorHAnsi"/>
          <w:bCs/>
          <w:color w:val="1100EE"/>
        </w:rPr>
        <w:t>Jannet</w:t>
      </w:r>
      <w:proofErr w:type="spellEnd"/>
      <w:r w:rsidRPr="00E82648">
        <w:rPr>
          <w:rFonts w:cstheme="minorHAnsi"/>
          <w:bCs/>
          <w:color w:val="1100EE"/>
        </w:rPr>
        <w:t xml:space="preserve"> Carmichael, Pharm.D., FCCP, </w:t>
      </w:r>
      <w:proofErr w:type="spellStart"/>
      <w:r w:rsidRPr="00E82648">
        <w:rPr>
          <w:rFonts w:cstheme="minorHAnsi"/>
          <w:bCs/>
          <w:color w:val="1100EE"/>
        </w:rPr>
        <w:t>FAPhA</w:t>
      </w:r>
      <w:proofErr w:type="spellEnd"/>
      <w:r w:rsidRPr="00E82648">
        <w:rPr>
          <w:rFonts w:cstheme="minorHAnsi"/>
          <w:bCs/>
          <w:color w:val="1100EE"/>
        </w:rPr>
        <w:t>, BCPS, VISN 21 Pharmacy Executive, VA Sierra Pacific Network</w:t>
      </w:r>
    </w:p>
    <w:p w14:paraId="42EC90C6" w14:textId="77777777" w:rsidR="006648D1" w:rsidRPr="00E82648" w:rsidRDefault="006648D1" w:rsidP="006648D1">
      <w:pPr>
        <w:autoSpaceDE w:val="0"/>
        <w:autoSpaceDN w:val="0"/>
        <w:adjustRightInd w:val="0"/>
        <w:spacing w:after="0" w:line="240" w:lineRule="auto"/>
        <w:rPr>
          <w:rFonts w:cstheme="minorHAnsi"/>
          <w:bCs/>
          <w:color w:val="1100EE"/>
        </w:rPr>
      </w:pPr>
      <w:r w:rsidRPr="00E82648">
        <w:rPr>
          <w:rFonts w:cstheme="minorHAnsi"/>
          <w:bCs/>
          <w:color w:val="1100EE"/>
        </w:rPr>
        <w:t>4. Marshall H. Chin, MD, MPH, Professor of Medicine, University of Chicago</w:t>
      </w:r>
    </w:p>
    <w:p w14:paraId="087AE4E8" w14:textId="77777777" w:rsidR="006648D1" w:rsidRPr="00E82648" w:rsidRDefault="006648D1" w:rsidP="006648D1">
      <w:pPr>
        <w:autoSpaceDE w:val="0"/>
        <w:autoSpaceDN w:val="0"/>
        <w:adjustRightInd w:val="0"/>
        <w:spacing w:after="0" w:line="240" w:lineRule="auto"/>
        <w:rPr>
          <w:rFonts w:cstheme="minorHAnsi"/>
          <w:bCs/>
          <w:color w:val="1100EE"/>
        </w:rPr>
      </w:pPr>
      <w:r w:rsidRPr="00E82648">
        <w:rPr>
          <w:rFonts w:cstheme="minorHAnsi"/>
          <w:bCs/>
          <w:color w:val="1100EE"/>
        </w:rPr>
        <w:t xml:space="preserve">5. Jay A. Gold, MD, JD, MPH, Senior Vice President and Medicare Chief Medical Officer, </w:t>
      </w:r>
      <w:proofErr w:type="spellStart"/>
      <w:r w:rsidRPr="00E82648">
        <w:rPr>
          <w:rFonts w:cstheme="minorHAnsi"/>
          <w:bCs/>
          <w:color w:val="1100EE"/>
        </w:rPr>
        <w:t>MetaStar</w:t>
      </w:r>
      <w:proofErr w:type="spellEnd"/>
      <w:r w:rsidRPr="00E82648">
        <w:rPr>
          <w:rFonts w:cstheme="minorHAnsi"/>
          <w:bCs/>
          <w:color w:val="1100EE"/>
        </w:rPr>
        <w:t>, Inc.</w:t>
      </w:r>
    </w:p>
    <w:p w14:paraId="6DAC5E1D" w14:textId="77777777" w:rsidR="006648D1" w:rsidRPr="00E82648" w:rsidRDefault="006648D1" w:rsidP="006648D1">
      <w:pPr>
        <w:autoSpaceDE w:val="0"/>
        <w:autoSpaceDN w:val="0"/>
        <w:adjustRightInd w:val="0"/>
        <w:spacing w:after="0" w:line="240" w:lineRule="auto"/>
        <w:rPr>
          <w:rFonts w:cstheme="minorHAnsi"/>
          <w:bCs/>
          <w:color w:val="1100EE"/>
        </w:rPr>
      </w:pPr>
      <w:r w:rsidRPr="00E82648">
        <w:rPr>
          <w:rFonts w:cstheme="minorHAnsi"/>
          <w:bCs/>
          <w:color w:val="1100EE"/>
        </w:rPr>
        <w:t xml:space="preserve">6. David Nau, Ph.D., </w:t>
      </w:r>
      <w:proofErr w:type="spellStart"/>
      <w:r w:rsidRPr="00E82648">
        <w:rPr>
          <w:rFonts w:cstheme="minorHAnsi"/>
          <w:bCs/>
          <w:color w:val="1100EE"/>
        </w:rPr>
        <w:t>R.Ph</w:t>
      </w:r>
      <w:proofErr w:type="spellEnd"/>
      <w:r w:rsidRPr="00E82648">
        <w:rPr>
          <w:rFonts w:cstheme="minorHAnsi"/>
          <w:bCs/>
          <w:color w:val="1100EE"/>
        </w:rPr>
        <w:t>., CPHQ, Senior Director of Research &amp; Performance Measurement, PQA, Inc.</w:t>
      </w:r>
    </w:p>
    <w:p w14:paraId="08A36378" w14:textId="77777777" w:rsidR="006648D1" w:rsidRPr="00E82648" w:rsidRDefault="006648D1" w:rsidP="006648D1">
      <w:pPr>
        <w:autoSpaceDE w:val="0"/>
        <w:autoSpaceDN w:val="0"/>
        <w:adjustRightInd w:val="0"/>
        <w:spacing w:after="0" w:line="240" w:lineRule="auto"/>
        <w:rPr>
          <w:rFonts w:cstheme="minorHAnsi"/>
          <w:bCs/>
          <w:color w:val="1100EE"/>
        </w:rPr>
      </w:pPr>
      <w:r w:rsidRPr="00E82648">
        <w:rPr>
          <w:rFonts w:cstheme="minorHAnsi"/>
          <w:bCs/>
          <w:color w:val="1100EE"/>
        </w:rPr>
        <w:t>7. N. Lee Rucker, M.S.P.H., Senior Strategic Policy Advisor, AARP - Public Policy Institute</w:t>
      </w:r>
    </w:p>
    <w:p w14:paraId="7F2B997A" w14:textId="77777777" w:rsidR="006648D1" w:rsidRPr="00E82648" w:rsidRDefault="006648D1" w:rsidP="006648D1">
      <w:pPr>
        <w:autoSpaceDE w:val="0"/>
        <w:autoSpaceDN w:val="0"/>
        <w:adjustRightInd w:val="0"/>
        <w:spacing w:after="0" w:line="240" w:lineRule="auto"/>
        <w:rPr>
          <w:rFonts w:cstheme="minorHAnsi"/>
          <w:bCs/>
          <w:color w:val="1100EE"/>
        </w:rPr>
      </w:pPr>
      <w:r w:rsidRPr="00E82648">
        <w:rPr>
          <w:rFonts w:cstheme="minorHAnsi"/>
          <w:bCs/>
          <w:color w:val="1100EE"/>
        </w:rPr>
        <w:lastRenderedPageBreak/>
        <w:t xml:space="preserve">8. Marissa </w:t>
      </w:r>
      <w:proofErr w:type="spellStart"/>
      <w:r w:rsidRPr="00E82648">
        <w:rPr>
          <w:rFonts w:cstheme="minorHAnsi"/>
          <w:bCs/>
          <w:color w:val="1100EE"/>
        </w:rPr>
        <w:t>Schlaifer</w:t>
      </w:r>
      <w:proofErr w:type="spellEnd"/>
      <w:r w:rsidRPr="00E82648">
        <w:rPr>
          <w:rFonts w:cstheme="minorHAnsi"/>
          <w:bCs/>
          <w:color w:val="1100EE"/>
        </w:rPr>
        <w:t xml:space="preserve">, MS, </w:t>
      </w:r>
      <w:proofErr w:type="spellStart"/>
      <w:r w:rsidRPr="00E82648">
        <w:rPr>
          <w:rFonts w:cstheme="minorHAnsi"/>
          <w:bCs/>
          <w:color w:val="1100EE"/>
        </w:rPr>
        <w:t>RPh</w:t>
      </w:r>
      <w:proofErr w:type="spellEnd"/>
      <w:r w:rsidRPr="00E82648">
        <w:rPr>
          <w:rFonts w:cstheme="minorHAnsi"/>
          <w:bCs/>
          <w:color w:val="1100EE"/>
        </w:rPr>
        <w:t>, Director of Pharmacy Affairs Academy of Managed Care Pharmacy</w:t>
      </w:r>
    </w:p>
    <w:p w14:paraId="46ABE7F0" w14:textId="77777777" w:rsidR="006648D1" w:rsidRPr="00E82648" w:rsidRDefault="006648D1" w:rsidP="006648D1">
      <w:pPr>
        <w:autoSpaceDE w:val="0"/>
        <w:autoSpaceDN w:val="0"/>
        <w:adjustRightInd w:val="0"/>
        <w:spacing w:after="0" w:line="240" w:lineRule="auto"/>
        <w:rPr>
          <w:rFonts w:cstheme="minorHAnsi"/>
          <w:bCs/>
          <w:color w:val="1100EE"/>
        </w:rPr>
      </w:pPr>
      <w:r w:rsidRPr="00E82648">
        <w:rPr>
          <w:rFonts w:cstheme="minorHAnsi"/>
          <w:bCs/>
          <w:color w:val="1100EE"/>
        </w:rPr>
        <w:t xml:space="preserve">9. Brad Tice, Pharm.D., Chief Clinical Officer, </w:t>
      </w:r>
      <w:proofErr w:type="spellStart"/>
      <w:r w:rsidRPr="00E82648">
        <w:rPr>
          <w:rFonts w:cstheme="minorHAnsi"/>
          <w:bCs/>
          <w:color w:val="1100EE"/>
        </w:rPr>
        <w:t>PharmMD</w:t>
      </w:r>
      <w:proofErr w:type="spellEnd"/>
      <w:r w:rsidRPr="00E82648">
        <w:rPr>
          <w:rFonts w:cstheme="minorHAnsi"/>
          <w:bCs/>
          <w:color w:val="1100EE"/>
        </w:rPr>
        <w:t xml:space="preserve"> Solutions, LLC</w:t>
      </w:r>
    </w:p>
    <w:p w14:paraId="4BEDBD86" w14:textId="77777777" w:rsidR="006648D1" w:rsidRPr="00E82648" w:rsidRDefault="006648D1" w:rsidP="006648D1">
      <w:pPr>
        <w:autoSpaceDE w:val="0"/>
        <w:autoSpaceDN w:val="0"/>
        <w:adjustRightInd w:val="0"/>
        <w:spacing w:after="0" w:line="240" w:lineRule="auto"/>
        <w:rPr>
          <w:rFonts w:cstheme="minorHAnsi"/>
          <w:bCs/>
          <w:color w:val="1100EE"/>
        </w:rPr>
      </w:pPr>
      <w:r w:rsidRPr="00E82648">
        <w:rPr>
          <w:rFonts w:cstheme="minorHAnsi"/>
          <w:bCs/>
          <w:color w:val="1100EE"/>
        </w:rPr>
        <w:t>10. Jennifer K. Thomas, Pharm.D., Manager, Pharmacy Services, Delmarva Foundation for Medical Care/Delmarva Foundation of the District of Columbia</w:t>
      </w:r>
    </w:p>
    <w:p w14:paraId="7A8CA7A0" w14:textId="77777777" w:rsidR="006648D1" w:rsidRPr="00E82648" w:rsidRDefault="006648D1" w:rsidP="006648D1">
      <w:pPr>
        <w:autoSpaceDE w:val="0"/>
        <w:autoSpaceDN w:val="0"/>
        <w:adjustRightInd w:val="0"/>
        <w:spacing w:after="0" w:line="240" w:lineRule="auto"/>
        <w:rPr>
          <w:rFonts w:cstheme="minorHAnsi"/>
          <w:bCs/>
          <w:color w:val="1100EE"/>
        </w:rPr>
      </w:pPr>
      <w:r w:rsidRPr="00E82648">
        <w:rPr>
          <w:rFonts w:cstheme="minorHAnsi"/>
          <w:bCs/>
          <w:color w:val="1100EE"/>
        </w:rPr>
        <w:t xml:space="preserve">11. Darren </w:t>
      </w:r>
      <w:proofErr w:type="spellStart"/>
      <w:r w:rsidRPr="00E82648">
        <w:rPr>
          <w:rFonts w:cstheme="minorHAnsi"/>
          <w:bCs/>
          <w:color w:val="1100EE"/>
        </w:rPr>
        <w:t>Triller</w:t>
      </w:r>
      <w:proofErr w:type="spellEnd"/>
      <w:r w:rsidRPr="00E82648">
        <w:rPr>
          <w:rFonts w:cstheme="minorHAnsi"/>
          <w:bCs/>
          <w:color w:val="1100EE"/>
        </w:rPr>
        <w:t>, Pharm.D., Director, Pharmacy Services, IPRO</w:t>
      </w:r>
    </w:p>
    <w:p w14:paraId="01079F30" w14:textId="77777777" w:rsidR="006648D1" w:rsidRPr="00E82648" w:rsidRDefault="006648D1" w:rsidP="006648D1">
      <w:pPr>
        <w:autoSpaceDE w:val="0"/>
        <w:autoSpaceDN w:val="0"/>
        <w:adjustRightInd w:val="0"/>
        <w:spacing w:after="0" w:line="240" w:lineRule="auto"/>
        <w:rPr>
          <w:rFonts w:cstheme="minorHAnsi"/>
          <w:bCs/>
          <w:color w:val="1100EE"/>
        </w:rPr>
      </w:pPr>
      <w:r w:rsidRPr="00E82648">
        <w:rPr>
          <w:rFonts w:cstheme="minorHAnsi"/>
          <w:bCs/>
          <w:color w:val="1100EE"/>
        </w:rPr>
        <w:t>12. Neil Wenger, MD, Professor of Medicine, UCLA Department of Medicine, Division of General Internal Medicine and Health Services Research</w:t>
      </w:r>
    </w:p>
    <w:p w14:paraId="1C72A3DF" w14:textId="77777777" w:rsidR="006648D1" w:rsidRPr="00E82648" w:rsidRDefault="006648D1" w:rsidP="006648D1">
      <w:pPr>
        <w:autoSpaceDE w:val="0"/>
        <w:autoSpaceDN w:val="0"/>
        <w:adjustRightInd w:val="0"/>
        <w:spacing w:after="0" w:line="240" w:lineRule="auto"/>
        <w:rPr>
          <w:rFonts w:cstheme="minorHAnsi"/>
          <w:bCs/>
          <w:color w:val="1100EE"/>
        </w:rPr>
      </w:pPr>
    </w:p>
    <w:p w14:paraId="750554A9" w14:textId="77777777" w:rsidR="006648D1" w:rsidRPr="00E82648" w:rsidRDefault="006648D1" w:rsidP="006648D1">
      <w:pPr>
        <w:autoSpaceDE w:val="0"/>
        <w:autoSpaceDN w:val="0"/>
        <w:adjustRightInd w:val="0"/>
        <w:spacing w:after="0" w:line="240" w:lineRule="auto"/>
        <w:rPr>
          <w:rFonts w:cstheme="minorHAnsi"/>
          <w:bCs/>
          <w:color w:val="1100EE"/>
        </w:rPr>
      </w:pPr>
      <w:r w:rsidRPr="00E82648">
        <w:rPr>
          <w:rFonts w:cstheme="minorHAnsi"/>
          <w:bCs/>
          <w:color w:val="1100EE"/>
        </w:rPr>
        <w:t>The evaluation of face validity was conducted through an online review process using a web-based questionnaire (developed using Survey Monkey). Face validity of the measure score as an indicator of quality was systematically assessed as follows: After the measure was fully specified and tested, the expert panel members were asked to rate, based on a 5-point Likert scale, their level of agreement with the following statement: "The measure appears to measure what is intended."</w:t>
      </w:r>
    </w:p>
    <w:p w14:paraId="688DDB01" w14:textId="77777777" w:rsidR="006648D1" w:rsidRPr="00E82648" w:rsidRDefault="006648D1" w:rsidP="006648D1">
      <w:pPr>
        <w:autoSpaceDE w:val="0"/>
        <w:autoSpaceDN w:val="0"/>
        <w:adjustRightInd w:val="0"/>
        <w:spacing w:after="0" w:line="240" w:lineRule="auto"/>
        <w:rPr>
          <w:rFonts w:cstheme="minorHAnsi"/>
          <w:bCs/>
          <w:color w:val="1100EE"/>
        </w:rPr>
      </w:pPr>
    </w:p>
    <w:p w14:paraId="2517A47C" w14:textId="77777777" w:rsidR="006648D1" w:rsidRDefault="006648D1" w:rsidP="006648D1">
      <w:pPr>
        <w:autoSpaceDE w:val="0"/>
        <w:autoSpaceDN w:val="0"/>
        <w:adjustRightInd w:val="0"/>
        <w:spacing w:after="0" w:line="240" w:lineRule="auto"/>
        <w:rPr>
          <w:rFonts w:cstheme="minorHAnsi"/>
          <w:bCs/>
          <w:color w:val="1100EE"/>
        </w:rPr>
      </w:pPr>
      <w:r w:rsidRPr="00E82648">
        <w:rPr>
          <w:rFonts w:cstheme="minorHAnsi"/>
          <w:bCs/>
          <w:color w:val="1100EE"/>
        </w:rPr>
        <w:t>The 5-point Likert scale was defined as follows: 1=Strongly Disagree; 2=Disagree; 3=Neutral; 4=Agree; 5=Strongly Agree</w:t>
      </w:r>
    </w:p>
    <w:p w14:paraId="170DEAD6" w14:textId="77777777" w:rsidR="006648D1" w:rsidRDefault="006648D1" w:rsidP="006648D1">
      <w:pPr>
        <w:autoSpaceDE w:val="0"/>
        <w:autoSpaceDN w:val="0"/>
        <w:adjustRightInd w:val="0"/>
        <w:spacing w:after="0" w:line="240" w:lineRule="auto"/>
        <w:rPr>
          <w:rFonts w:cstheme="minorHAnsi"/>
          <w:bCs/>
          <w:color w:val="1100EE"/>
        </w:rPr>
      </w:pPr>
    </w:p>
    <w:p w14:paraId="0BF6D9A7" w14:textId="77777777" w:rsidR="006648D1" w:rsidRPr="005A1F7A" w:rsidRDefault="006648D1" w:rsidP="006648D1">
      <w:pPr>
        <w:autoSpaceDE w:val="0"/>
        <w:autoSpaceDN w:val="0"/>
        <w:adjustRightInd w:val="0"/>
        <w:spacing w:after="0" w:line="240" w:lineRule="auto"/>
        <w:rPr>
          <w:rFonts w:cstheme="minorHAnsi"/>
          <w:b/>
          <w:color w:val="1100EE"/>
        </w:rPr>
      </w:pPr>
      <w:r w:rsidRPr="005A1F7A">
        <w:rPr>
          <w:rFonts w:cstheme="minorHAnsi"/>
          <w:b/>
          <w:bCs/>
          <w:color w:val="1100EE"/>
        </w:rPr>
        <w:t>ICD-10-CM Conversion Methodology</w:t>
      </w:r>
    </w:p>
    <w:p w14:paraId="1808A134" w14:textId="77777777" w:rsidR="006648D1" w:rsidRPr="006E0E80" w:rsidRDefault="006648D1" w:rsidP="006648D1">
      <w:pPr>
        <w:autoSpaceDE w:val="0"/>
        <w:autoSpaceDN w:val="0"/>
        <w:adjustRightInd w:val="0"/>
        <w:spacing w:after="0" w:line="240" w:lineRule="auto"/>
        <w:rPr>
          <w:rFonts w:cstheme="minorHAnsi"/>
          <w:bCs/>
          <w:color w:val="1100EE"/>
        </w:rPr>
      </w:pPr>
      <w:r w:rsidRPr="006E0E80">
        <w:rPr>
          <w:rFonts w:cstheme="minorHAnsi"/>
          <w:bCs/>
          <w:color w:val="1100EE"/>
        </w:rPr>
        <w:t xml:space="preserve">The conversion of the measure to include ICD-10-CM codes is provided as requested by NQF. The crosswalk is provided as an excel file in Section </w:t>
      </w:r>
      <w:bookmarkStart w:id="17" w:name="_Hlk500853644"/>
      <w:r>
        <w:rPr>
          <w:rFonts w:cstheme="minorHAnsi"/>
          <w:bCs/>
          <w:color w:val="1100EE"/>
        </w:rPr>
        <w:t>S</w:t>
      </w:r>
      <w:proofErr w:type="gramStart"/>
      <w:r>
        <w:rPr>
          <w:rFonts w:cstheme="minorHAnsi"/>
          <w:bCs/>
          <w:color w:val="1100EE"/>
        </w:rPr>
        <w:t>2.b</w:t>
      </w:r>
      <w:proofErr w:type="gramEnd"/>
      <w:r w:rsidRPr="006E0E80">
        <w:rPr>
          <w:rFonts w:cstheme="minorHAnsi"/>
          <w:bCs/>
          <w:color w:val="1100EE"/>
        </w:rPr>
        <w:t xml:space="preserve"> </w:t>
      </w:r>
      <w:bookmarkEnd w:id="17"/>
      <w:r w:rsidRPr="006E0E80">
        <w:rPr>
          <w:rFonts w:cstheme="minorHAnsi"/>
          <w:bCs/>
          <w:color w:val="1100EE"/>
        </w:rPr>
        <w:t xml:space="preserve">Data Dictionary or Code Table. </w:t>
      </w:r>
    </w:p>
    <w:p w14:paraId="1E1D10F3" w14:textId="77777777" w:rsidR="006648D1" w:rsidRPr="006E0E80" w:rsidRDefault="006648D1" w:rsidP="006648D1">
      <w:pPr>
        <w:autoSpaceDE w:val="0"/>
        <w:autoSpaceDN w:val="0"/>
        <w:adjustRightInd w:val="0"/>
        <w:spacing w:after="0" w:line="240" w:lineRule="auto"/>
        <w:rPr>
          <w:rFonts w:cstheme="minorHAnsi"/>
          <w:bCs/>
          <w:color w:val="1100EE"/>
        </w:rPr>
      </w:pPr>
    </w:p>
    <w:p w14:paraId="5C1FF193" w14:textId="77777777" w:rsidR="006648D1" w:rsidRPr="005A1F7A" w:rsidRDefault="006648D1" w:rsidP="006648D1">
      <w:pPr>
        <w:autoSpaceDE w:val="0"/>
        <w:autoSpaceDN w:val="0"/>
        <w:adjustRightInd w:val="0"/>
        <w:spacing w:after="0" w:line="240" w:lineRule="auto"/>
        <w:rPr>
          <w:rFonts w:cstheme="minorHAnsi"/>
          <w:color w:val="1100EE"/>
          <w:u w:val="single"/>
        </w:rPr>
      </w:pPr>
      <w:r w:rsidRPr="005A1F7A">
        <w:rPr>
          <w:rFonts w:cstheme="minorHAnsi"/>
          <w:color w:val="1100EE"/>
          <w:u w:val="single"/>
        </w:rPr>
        <w:t>Name and Credentials of Experts Who Assisted in the Process</w:t>
      </w:r>
    </w:p>
    <w:p w14:paraId="50837030" w14:textId="77777777" w:rsidR="006648D1" w:rsidRDefault="006648D1" w:rsidP="006648D1">
      <w:pPr>
        <w:pStyle w:val="ListParagraph"/>
        <w:numPr>
          <w:ilvl w:val="0"/>
          <w:numId w:val="31"/>
        </w:numPr>
        <w:autoSpaceDE w:val="0"/>
        <w:autoSpaceDN w:val="0"/>
        <w:adjustRightInd w:val="0"/>
        <w:spacing w:after="0" w:line="240" w:lineRule="auto"/>
        <w:rPr>
          <w:rFonts w:cstheme="minorHAnsi"/>
          <w:bCs/>
          <w:color w:val="1100EE"/>
        </w:rPr>
      </w:pPr>
      <w:proofErr w:type="spellStart"/>
      <w:r w:rsidRPr="006E0E80">
        <w:rPr>
          <w:rFonts w:cstheme="minorHAnsi"/>
          <w:bCs/>
          <w:color w:val="1100EE"/>
        </w:rPr>
        <w:t>Soeren</w:t>
      </w:r>
      <w:proofErr w:type="spellEnd"/>
      <w:r w:rsidRPr="006E0E80">
        <w:rPr>
          <w:rFonts w:cstheme="minorHAnsi"/>
          <w:bCs/>
          <w:color w:val="1100EE"/>
        </w:rPr>
        <w:t xml:space="preserve"> </w:t>
      </w:r>
      <w:proofErr w:type="spellStart"/>
      <w:r w:rsidRPr="006E0E80">
        <w:rPr>
          <w:rFonts w:cstheme="minorHAnsi"/>
          <w:bCs/>
          <w:color w:val="1100EE"/>
        </w:rPr>
        <w:t>Mattke</w:t>
      </w:r>
      <w:proofErr w:type="spellEnd"/>
      <w:r w:rsidRPr="006E0E80">
        <w:rPr>
          <w:rFonts w:cstheme="minorHAnsi"/>
          <w:bCs/>
          <w:color w:val="1100EE"/>
        </w:rPr>
        <w:t>, MD, DSc, Senior Scientist, RAND Corporation</w:t>
      </w:r>
    </w:p>
    <w:p w14:paraId="5D73CED5" w14:textId="77777777" w:rsidR="006648D1" w:rsidRDefault="006648D1" w:rsidP="006648D1">
      <w:pPr>
        <w:pStyle w:val="ListParagraph"/>
        <w:numPr>
          <w:ilvl w:val="0"/>
          <w:numId w:val="31"/>
        </w:numPr>
        <w:autoSpaceDE w:val="0"/>
        <w:autoSpaceDN w:val="0"/>
        <w:adjustRightInd w:val="0"/>
        <w:spacing w:after="0" w:line="240" w:lineRule="auto"/>
        <w:rPr>
          <w:rFonts w:cstheme="minorHAnsi"/>
          <w:bCs/>
          <w:color w:val="1100EE"/>
        </w:rPr>
      </w:pPr>
      <w:r w:rsidRPr="006E0E80">
        <w:rPr>
          <w:rFonts w:cstheme="minorHAnsi"/>
          <w:bCs/>
          <w:color w:val="1100EE"/>
        </w:rPr>
        <w:t xml:space="preserve">Tim </w:t>
      </w:r>
      <w:proofErr w:type="spellStart"/>
      <w:r w:rsidRPr="006E0E80">
        <w:rPr>
          <w:rFonts w:cstheme="minorHAnsi"/>
          <w:bCs/>
          <w:color w:val="1100EE"/>
        </w:rPr>
        <w:t>Laios</w:t>
      </w:r>
      <w:proofErr w:type="spellEnd"/>
      <w:r w:rsidRPr="006E0E80">
        <w:rPr>
          <w:rFonts w:cstheme="minorHAnsi"/>
          <w:bCs/>
          <w:color w:val="1100EE"/>
        </w:rPr>
        <w:t>, MBA, MPH, Executive Director, Informatics, Health Services Advisory Group (HSAG)</w:t>
      </w:r>
    </w:p>
    <w:p w14:paraId="3ED2A2B6" w14:textId="77777777" w:rsidR="006648D1" w:rsidRDefault="006648D1" w:rsidP="006648D1">
      <w:pPr>
        <w:pStyle w:val="ListParagraph"/>
        <w:numPr>
          <w:ilvl w:val="0"/>
          <w:numId w:val="31"/>
        </w:numPr>
        <w:autoSpaceDE w:val="0"/>
        <w:autoSpaceDN w:val="0"/>
        <w:adjustRightInd w:val="0"/>
        <w:spacing w:after="0" w:line="240" w:lineRule="auto"/>
        <w:rPr>
          <w:rFonts w:cstheme="minorHAnsi"/>
          <w:bCs/>
          <w:color w:val="1100EE"/>
        </w:rPr>
      </w:pPr>
      <w:r w:rsidRPr="006E0E80">
        <w:rPr>
          <w:rFonts w:cstheme="minorHAnsi"/>
          <w:bCs/>
          <w:color w:val="1100EE"/>
        </w:rPr>
        <w:t>Ryan Fair, BS, Director, Informatics, HSAG</w:t>
      </w:r>
    </w:p>
    <w:p w14:paraId="31B8F816" w14:textId="77777777" w:rsidR="006648D1" w:rsidRDefault="006648D1" w:rsidP="006648D1">
      <w:pPr>
        <w:pStyle w:val="ListParagraph"/>
        <w:numPr>
          <w:ilvl w:val="0"/>
          <w:numId w:val="31"/>
        </w:numPr>
        <w:autoSpaceDE w:val="0"/>
        <w:autoSpaceDN w:val="0"/>
        <w:adjustRightInd w:val="0"/>
        <w:spacing w:after="0" w:line="240" w:lineRule="auto"/>
        <w:rPr>
          <w:rFonts w:cstheme="minorHAnsi"/>
          <w:bCs/>
          <w:color w:val="1100EE"/>
        </w:rPr>
      </w:pPr>
      <w:r w:rsidRPr="006E0E80">
        <w:rPr>
          <w:rFonts w:cstheme="minorHAnsi"/>
          <w:bCs/>
          <w:color w:val="1100EE"/>
        </w:rPr>
        <w:t xml:space="preserve">Kerri </w:t>
      </w:r>
      <w:proofErr w:type="spellStart"/>
      <w:r w:rsidRPr="006E0E80">
        <w:rPr>
          <w:rFonts w:cstheme="minorHAnsi"/>
          <w:bCs/>
          <w:color w:val="1100EE"/>
        </w:rPr>
        <w:t>Carlile</w:t>
      </w:r>
      <w:proofErr w:type="spellEnd"/>
      <w:r w:rsidRPr="006E0E80">
        <w:rPr>
          <w:rFonts w:cstheme="minorHAnsi"/>
          <w:bCs/>
          <w:color w:val="1100EE"/>
        </w:rPr>
        <w:t>, MS, Informatics Analyst, HSAG</w:t>
      </w:r>
    </w:p>
    <w:p w14:paraId="201220E9" w14:textId="77777777" w:rsidR="006648D1" w:rsidRPr="006E0E80" w:rsidRDefault="006648D1" w:rsidP="006648D1">
      <w:pPr>
        <w:pStyle w:val="ListParagraph"/>
        <w:numPr>
          <w:ilvl w:val="0"/>
          <w:numId w:val="31"/>
        </w:numPr>
        <w:autoSpaceDE w:val="0"/>
        <w:autoSpaceDN w:val="0"/>
        <w:adjustRightInd w:val="0"/>
        <w:spacing w:after="0" w:line="240" w:lineRule="auto"/>
        <w:rPr>
          <w:rFonts w:cstheme="minorHAnsi"/>
          <w:bCs/>
          <w:color w:val="1100EE"/>
        </w:rPr>
      </w:pPr>
      <w:r w:rsidRPr="006E0E80">
        <w:rPr>
          <w:rFonts w:cstheme="minorHAnsi"/>
          <w:bCs/>
          <w:color w:val="1100EE"/>
        </w:rPr>
        <w:t>Sara Lomeli, BA, Informatics Project Coordinator, HSAG</w:t>
      </w:r>
    </w:p>
    <w:p w14:paraId="728557F8" w14:textId="77777777" w:rsidR="006648D1" w:rsidRPr="006E0E80" w:rsidRDefault="006648D1" w:rsidP="006648D1">
      <w:pPr>
        <w:autoSpaceDE w:val="0"/>
        <w:autoSpaceDN w:val="0"/>
        <w:adjustRightInd w:val="0"/>
        <w:spacing w:after="0" w:line="240" w:lineRule="auto"/>
        <w:rPr>
          <w:rFonts w:cstheme="minorHAnsi"/>
          <w:bCs/>
          <w:color w:val="1100EE"/>
        </w:rPr>
      </w:pPr>
    </w:p>
    <w:p w14:paraId="008CB052" w14:textId="77777777" w:rsidR="006648D1" w:rsidRPr="005A1F7A" w:rsidRDefault="006648D1" w:rsidP="006648D1">
      <w:pPr>
        <w:autoSpaceDE w:val="0"/>
        <w:autoSpaceDN w:val="0"/>
        <w:adjustRightInd w:val="0"/>
        <w:spacing w:after="0" w:line="240" w:lineRule="auto"/>
        <w:rPr>
          <w:rFonts w:cstheme="minorHAnsi"/>
          <w:color w:val="1100EE"/>
          <w:u w:val="single"/>
        </w:rPr>
      </w:pPr>
      <w:r w:rsidRPr="005A1F7A">
        <w:rPr>
          <w:rFonts w:cstheme="minorHAnsi"/>
          <w:color w:val="1100EE"/>
          <w:u w:val="single"/>
        </w:rPr>
        <w:t>Evaluation of ICD-9-CM Changes</w:t>
      </w:r>
    </w:p>
    <w:p w14:paraId="3054EA92" w14:textId="77777777" w:rsidR="006648D1" w:rsidRPr="006E0E80" w:rsidRDefault="006648D1" w:rsidP="006648D1">
      <w:pPr>
        <w:autoSpaceDE w:val="0"/>
        <w:autoSpaceDN w:val="0"/>
        <w:adjustRightInd w:val="0"/>
        <w:spacing w:after="0" w:line="240" w:lineRule="auto"/>
        <w:rPr>
          <w:rFonts w:cstheme="minorHAnsi"/>
          <w:bCs/>
          <w:color w:val="1100EE"/>
        </w:rPr>
      </w:pPr>
      <w:r w:rsidRPr="006E0E80">
        <w:rPr>
          <w:rFonts w:cstheme="minorHAnsi"/>
          <w:bCs/>
          <w:color w:val="1100EE"/>
        </w:rPr>
        <w:t xml:space="preserve">The changes (i.e., deletions and/or additions) made to the ICD-9-CM codes for the measures requiring conversion were reviewed. Additionally, the ICD-9-CM codes were reviewed for any coding updates, using the October 2011 Conversion Table of New ICD-9-CM Codes, published by the National Center for Health Statistics (NCHS) and the Centers for Medicare &amp; Medicaid Services (CMS). </w:t>
      </w:r>
    </w:p>
    <w:p w14:paraId="44B7A008" w14:textId="77777777" w:rsidR="006648D1" w:rsidRPr="006E0E80" w:rsidRDefault="006648D1" w:rsidP="006648D1">
      <w:pPr>
        <w:autoSpaceDE w:val="0"/>
        <w:autoSpaceDN w:val="0"/>
        <w:adjustRightInd w:val="0"/>
        <w:spacing w:after="0" w:line="240" w:lineRule="auto"/>
        <w:rPr>
          <w:rFonts w:cstheme="minorHAnsi"/>
          <w:bCs/>
          <w:color w:val="1100EE"/>
        </w:rPr>
      </w:pPr>
    </w:p>
    <w:p w14:paraId="538332B4" w14:textId="77777777" w:rsidR="006648D1" w:rsidRPr="005A1F7A" w:rsidRDefault="006648D1" w:rsidP="006648D1">
      <w:pPr>
        <w:autoSpaceDE w:val="0"/>
        <w:autoSpaceDN w:val="0"/>
        <w:adjustRightInd w:val="0"/>
        <w:spacing w:after="0" w:line="240" w:lineRule="auto"/>
        <w:rPr>
          <w:rFonts w:cstheme="minorHAnsi"/>
          <w:color w:val="1100EE"/>
          <w:u w:val="single"/>
        </w:rPr>
      </w:pPr>
      <w:r w:rsidRPr="005A1F7A">
        <w:rPr>
          <w:rFonts w:cstheme="minorHAnsi"/>
          <w:color w:val="1100EE"/>
          <w:u w:val="single"/>
        </w:rPr>
        <w:t>ICD-9-CM Code Identification</w:t>
      </w:r>
    </w:p>
    <w:p w14:paraId="6B3CF2D0" w14:textId="77777777" w:rsidR="006648D1" w:rsidRPr="006E0E80" w:rsidRDefault="006648D1" w:rsidP="006648D1">
      <w:pPr>
        <w:autoSpaceDE w:val="0"/>
        <w:autoSpaceDN w:val="0"/>
        <w:adjustRightInd w:val="0"/>
        <w:spacing w:after="0" w:line="240" w:lineRule="auto"/>
        <w:rPr>
          <w:rFonts w:cstheme="minorHAnsi"/>
          <w:bCs/>
          <w:color w:val="1100EE"/>
        </w:rPr>
      </w:pPr>
      <w:r w:rsidRPr="006E0E80">
        <w:rPr>
          <w:rFonts w:cstheme="minorHAnsi"/>
          <w:bCs/>
          <w:color w:val="1100EE"/>
        </w:rPr>
        <w:t xml:space="preserve">For each measure requiring conversion, original tables were used to identify all ICD-9-CM codes included in the measure. Those ICD-9-CM codes and matching descriptions were then extracted from the </w:t>
      </w:r>
      <w:proofErr w:type="spellStart"/>
      <w:r w:rsidRPr="006E0E80">
        <w:rPr>
          <w:rFonts w:cstheme="minorHAnsi"/>
          <w:bCs/>
          <w:color w:val="1100EE"/>
        </w:rPr>
        <w:t>Ingenix</w:t>
      </w:r>
      <w:proofErr w:type="spellEnd"/>
      <w:r w:rsidRPr="006E0E80">
        <w:rPr>
          <w:rFonts w:cstheme="minorHAnsi"/>
          <w:bCs/>
          <w:color w:val="1100EE"/>
        </w:rPr>
        <w:t xml:space="preserve"> 2011 ICD-9-CM Data File. Only valid ICD-9-CM codes were retained and used in the ICD-9-CM to ICD-10-CM conversion process. </w:t>
      </w:r>
    </w:p>
    <w:p w14:paraId="1C3C0416" w14:textId="77777777" w:rsidR="006648D1" w:rsidRPr="006E0E80" w:rsidRDefault="006648D1" w:rsidP="006648D1">
      <w:pPr>
        <w:autoSpaceDE w:val="0"/>
        <w:autoSpaceDN w:val="0"/>
        <w:adjustRightInd w:val="0"/>
        <w:spacing w:after="0" w:line="240" w:lineRule="auto"/>
        <w:rPr>
          <w:rFonts w:cstheme="minorHAnsi"/>
          <w:bCs/>
          <w:color w:val="1100EE"/>
        </w:rPr>
      </w:pPr>
    </w:p>
    <w:p w14:paraId="45757079" w14:textId="77777777" w:rsidR="006648D1" w:rsidRPr="005A1F7A" w:rsidRDefault="006648D1" w:rsidP="006648D1">
      <w:pPr>
        <w:autoSpaceDE w:val="0"/>
        <w:autoSpaceDN w:val="0"/>
        <w:adjustRightInd w:val="0"/>
        <w:spacing w:after="0" w:line="240" w:lineRule="auto"/>
        <w:rPr>
          <w:rFonts w:cstheme="minorHAnsi"/>
          <w:color w:val="1100EE"/>
          <w:u w:val="single"/>
        </w:rPr>
      </w:pPr>
      <w:proofErr w:type="spellStart"/>
      <w:r w:rsidRPr="005A1F7A">
        <w:rPr>
          <w:rFonts w:cstheme="minorHAnsi"/>
          <w:color w:val="1100EE"/>
          <w:u w:val="single"/>
        </w:rPr>
        <w:t>Ingenix</w:t>
      </w:r>
      <w:proofErr w:type="spellEnd"/>
      <w:r w:rsidRPr="005A1F7A">
        <w:rPr>
          <w:rFonts w:cstheme="minorHAnsi"/>
          <w:color w:val="1100EE"/>
          <w:u w:val="single"/>
        </w:rPr>
        <w:t xml:space="preserve"> Extraction</w:t>
      </w:r>
    </w:p>
    <w:p w14:paraId="45689970" w14:textId="77777777" w:rsidR="006648D1" w:rsidRPr="006E0E80" w:rsidRDefault="006648D1" w:rsidP="006648D1">
      <w:pPr>
        <w:autoSpaceDE w:val="0"/>
        <w:autoSpaceDN w:val="0"/>
        <w:adjustRightInd w:val="0"/>
        <w:spacing w:after="0" w:line="240" w:lineRule="auto"/>
        <w:rPr>
          <w:rFonts w:cstheme="minorHAnsi"/>
          <w:bCs/>
          <w:color w:val="1100EE"/>
        </w:rPr>
      </w:pPr>
      <w:r w:rsidRPr="006E0E80">
        <w:rPr>
          <w:rFonts w:cstheme="minorHAnsi"/>
          <w:bCs/>
          <w:color w:val="1100EE"/>
        </w:rPr>
        <w:t xml:space="preserve">When extracting the ICD-9-CM codes from the </w:t>
      </w:r>
      <w:proofErr w:type="spellStart"/>
      <w:r w:rsidRPr="006E0E80">
        <w:rPr>
          <w:rFonts w:cstheme="minorHAnsi"/>
          <w:bCs/>
          <w:color w:val="1100EE"/>
        </w:rPr>
        <w:t>Ingenix</w:t>
      </w:r>
      <w:proofErr w:type="spellEnd"/>
      <w:r w:rsidRPr="006E0E80">
        <w:rPr>
          <w:rFonts w:cstheme="minorHAnsi"/>
          <w:bCs/>
          <w:color w:val="1100EE"/>
        </w:rPr>
        <w:t xml:space="preserve"> Data File, all codes were extracted with two-decimal specificity. For example, for ICD-9-CM code 274.1, all ICD-9-CM codes that had 2741 for the first four digits were extracted (e.g., 274.10, 274.11, and 274.19). For every three-digit ICD-9-CM code used in the measure, all ICD-9-CM codes that began with those first three digits were extracted. For the ICD-9-CM codes listed in ranges, codes with up to two-decimal specificity were extracted within that range. </w:t>
      </w:r>
    </w:p>
    <w:p w14:paraId="58D34277" w14:textId="77777777" w:rsidR="006648D1" w:rsidRPr="006E0E80" w:rsidRDefault="006648D1" w:rsidP="006648D1">
      <w:pPr>
        <w:autoSpaceDE w:val="0"/>
        <w:autoSpaceDN w:val="0"/>
        <w:adjustRightInd w:val="0"/>
        <w:spacing w:after="0" w:line="240" w:lineRule="auto"/>
        <w:rPr>
          <w:rFonts w:cstheme="minorHAnsi"/>
          <w:bCs/>
          <w:color w:val="1100EE"/>
        </w:rPr>
      </w:pPr>
    </w:p>
    <w:p w14:paraId="3BA9B4D5" w14:textId="77777777" w:rsidR="006648D1" w:rsidRPr="005A1F7A" w:rsidRDefault="006648D1" w:rsidP="006648D1">
      <w:pPr>
        <w:autoSpaceDE w:val="0"/>
        <w:autoSpaceDN w:val="0"/>
        <w:adjustRightInd w:val="0"/>
        <w:spacing w:after="0" w:line="240" w:lineRule="auto"/>
        <w:rPr>
          <w:rFonts w:cstheme="minorHAnsi"/>
          <w:color w:val="1100EE"/>
          <w:u w:val="single"/>
        </w:rPr>
      </w:pPr>
      <w:r w:rsidRPr="005A1F7A">
        <w:rPr>
          <w:rFonts w:cstheme="minorHAnsi"/>
          <w:color w:val="1100EE"/>
          <w:u w:val="single"/>
        </w:rPr>
        <w:t>Conversion Process</w:t>
      </w:r>
    </w:p>
    <w:p w14:paraId="788B34E7" w14:textId="77777777" w:rsidR="006648D1" w:rsidRPr="006E0E80" w:rsidRDefault="006648D1" w:rsidP="006648D1">
      <w:pPr>
        <w:autoSpaceDE w:val="0"/>
        <w:autoSpaceDN w:val="0"/>
        <w:adjustRightInd w:val="0"/>
        <w:spacing w:after="0" w:line="240" w:lineRule="auto"/>
        <w:rPr>
          <w:rFonts w:cstheme="minorHAnsi"/>
          <w:bCs/>
          <w:color w:val="1100EE"/>
        </w:rPr>
      </w:pPr>
      <w:r w:rsidRPr="006E0E80">
        <w:rPr>
          <w:rFonts w:cstheme="minorHAnsi"/>
          <w:bCs/>
          <w:color w:val="1100EE"/>
        </w:rPr>
        <w:lastRenderedPageBreak/>
        <w:t xml:space="preserve">The ICD-9-CM and ICD-10-CM General Equivalence Map (GEM) text files and the ICD-10-CM Descriptions text file were imported into SAS and combined into one data file to capture all ICD-9-CM codes, their corresponding ICD-10-CM codes, and the ICD-10-CM code descriptions. The ICD-9-CM codes that were retained from the </w:t>
      </w:r>
      <w:proofErr w:type="spellStart"/>
      <w:r w:rsidRPr="006E0E80">
        <w:rPr>
          <w:rFonts w:cstheme="minorHAnsi"/>
          <w:bCs/>
          <w:color w:val="1100EE"/>
        </w:rPr>
        <w:t>Ingenix</w:t>
      </w:r>
      <w:proofErr w:type="spellEnd"/>
      <w:r w:rsidRPr="006E0E80">
        <w:rPr>
          <w:rFonts w:cstheme="minorHAnsi"/>
          <w:bCs/>
          <w:color w:val="1100EE"/>
        </w:rPr>
        <w:t xml:space="preserve"> 2011 ICD-9-CM Data File described above were then extracted from the combined GEM data file. </w:t>
      </w:r>
    </w:p>
    <w:p w14:paraId="0F7986D8" w14:textId="77777777" w:rsidR="006648D1" w:rsidRPr="006E0E80" w:rsidRDefault="006648D1" w:rsidP="006648D1">
      <w:pPr>
        <w:autoSpaceDE w:val="0"/>
        <w:autoSpaceDN w:val="0"/>
        <w:adjustRightInd w:val="0"/>
        <w:spacing w:after="0" w:line="240" w:lineRule="auto"/>
        <w:rPr>
          <w:rFonts w:cstheme="minorHAnsi"/>
          <w:bCs/>
          <w:color w:val="1100EE"/>
        </w:rPr>
      </w:pPr>
    </w:p>
    <w:p w14:paraId="4436C8F0" w14:textId="77777777" w:rsidR="006648D1" w:rsidRPr="00E82648" w:rsidRDefault="006648D1" w:rsidP="006648D1">
      <w:pPr>
        <w:autoSpaceDE w:val="0"/>
        <w:autoSpaceDN w:val="0"/>
        <w:adjustRightInd w:val="0"/>
        <w:spacing w:after="0" w:line="240" w:lineRule="auto"/>
        <w:rPr>
          <w:rFonts w:cstheme="minorHAnsi"/>
          <w:bCs/>
          <w:color w:val="1100EE"/>
        </w:rPr>
      </w:pPr>
      <w:r w:rsidRPr="006E0E80">
        <w:rPr>
          <w:rFonts w:cstheme="minorHAnsi"/>
          <w:bCs/>
          <w:color w:val="1100EE"/>
        </w:rPr>
        <w:t>The results for each measure were then exported into Excel and validated to ensure that the translation was appropriate (i.e., the crosswalk was correct and applied appropriately and all appropriate ICD-9-CM codes were captured). Since one ICD-9-CM code can have several corresponding ICD-10-CM codes, each ICD-9-CM code can have multiple entries in the final Excel document (i.e., one row for each corresponding ICD-10-CM code).</w:t>
      </w:r>
    </w:p>
    <w:p w14:paraId="0CABCFDD" w14:textId="1EA65C73" w:rsidR="00833325" w:rsidRPr="00A25024" w:rsidRDefault="00833325" w:rsidP="00DB3627">
      <w:pPr>
        <w:autoSpaceDE w:val="0"/>
        <w:autoSpaceDN w:val="0"/>
        <w:adjustRightInd w:val="0"/>
        <w:spacing w:after="0" w:line="240" w:lineRule="auto"/>
        <w:rPr>
          <w:rFonts w:cstheme="minorHAnsi"/>
          <w:bCs/>
        </w:rPr>
      </w:pPr>
    </w:p>
    <w:p w14:paraId="0CABCFDE" w14:textId="1D9E5C79" w:rsidR="007422FD" w:rsidRDefault="009C7513" w:rsidP="00092566">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p>
    <w:p w14:paraId="067880F4" w14:textId="0A384771" w:rsidR="006648D1" w:rsidRPr="005A1F7A" w:rsidRDefault="006648D1" w:rsidP="006648D1">
      <w:pPr>
        <w:autoSpaceDE w:val="0"/>
        <w:autoSpaceDN w:val="0"/>
        <w:adjustRightInd w:val="0"/>
        <w:spacing w:after="0" w:line="240" w:lineRule="auto"/>
        <w:rPr>
          <w:rFonts w:cstheme="minorHAnsi"/>
          <w:b/>
          <w:color w:val="1100EE"/>
        </w:rPr>
      </w:pPr>
      <w:r w:rsidRPr="005A1F7A">
        <w:rPr>
          <w:rFonts w:cstheme="minorHAnsi"/>
          <w:b/>
          <w:bCs/>
          <w:color w:val="1100EE"/>
        </w:rPr>
        <w:t xml:space="preserve">Systematic Assessment </w:t>
      </w:r>
      <w:r w:rsidR="00FE4397">
        <w:rPr>
          <w:rFonts w:cstheme="minorHAnsi"/>
          <w:b/>
          <w:bCs/>
          <w:color w:val="1100EE"/>
        </w:rPr>
        <w:t>o</w:t>
      </w:r>
      <w:r w:rsidRPr="005A1F7A">
        <w:rPr>
          <w:rFonts w:cstheme="minorHAnsi"/>
          <w:b/>
          <w:bCs/>
          <w:color w:val="1100EE"/>
        </w:rPr>
        <w:t>f Face Validity</w:t>
      </w:r>
    </w:p>
    <w:p w14:paraId="57F7BB6C" w14:textId="77777777" w:rsidR="006648D1" w:rsidRPr="00B45C06" w:rsidRDefault="006648D1" w:rsidP="006648D1">
      <w:pPr>
        <w:autoSpaceDE w:val="0"/>
        <w:autoSpaceDN w:val="0"/>
        <w:adjustRightInd w:val="0"/>
        <w:spacing w:after="0" w:line="240" w:lineRule="auto"/>
        <w:rPr>
          <w:rFonts w:cstheme="minorHAnsi"/>
          <w:bCs/>
          <w:color w:val="1100EE"/>
        </w:rPr>
      </w:pPr>
      <w:r w:rsidRPr="00B45C06">
        <w:rPr>
          <w:rFonts w:cstheme="minorHAnsi"/>
          <w:bCs/>
          <w:color w:val="1100EE"/>
        </w:rPr>
        <w:t>The results of the Technical Expert Panel rating of face validity as represented by this statement, "The measure appears to measure what is intended," on a scale of 1 to 5.</w:t>
      </w:r>
    </w:p>
    <w:p w14:paraId="55DE1392" w14:textId="77777777" w:rsidR="006648D1" w:rsidRPr="00B45C06" w:rsidRDefault="006648D1" w:rsidP="006648D1">
      <w:pPr>
        <w:autoSpaceDE w:val="0"/>
        <w:autoSpaceDN w:val="0"/>
        <w:adjustRightInd w:val="0"/>
        <w:spacing w:after="0" w:line="240" w:lineRule="auto"/>
        <w:rPr>
          <w:rFonts w:cstheme="minorHAnsi"/>
          <w:bCs/>
          <w:color w:val="1100EE"/>
        </w:rPr>
      </w:pPr>
      <w:r w:rsidRPr="00B45C06">
        <w:rPr>
          <w:rFonts w:cstheme="minorHAnsi"/>
          <w:bCs/>
          <w:color w:val="1100EE"/>
        </w:rPr>
        <w:t xml:space="preserve">N=12 panel members, Mean Rating=4.33 </w:t>
      </w:r>
    </w:p>
    <w:p w14:paraId="43A1B31D" w14:textId="77777777" w:rsidR="006648D1" w:rsidRPr="00B45C06" w:rsidRDefault="006648D1" w:rsidP="006648D1">
      <w:pPr>
        <w:autoSpaceDE w:val="0"/>
        <w:autoSpaceDN w:val="0"/>
        <w:adjustRightInd w:val="0"/>
        <w:spacing w:after="0" w:line="240" w:lineRule="auto"/>
        <w:rPr>
          <w:rFonts w:cstheme="minorHAnsi"/>
          <w:bCs/>
          <w:color w:val="1100EE"/>
        </w:rPr>
      </w:pPr>
    </w:p>
    <w:p w14:paraId="2D6128AB" w14:textId="77777777" w:rsidR="006648D1" w:rsidRPr="00B45C06" w:rsidRDefault="006648D1" w:rsidP="006648D1">
      <w:pPr>
        <w:autoSpaceDE w:val="0"/>
        <w:autoSpaceDN w:val="0"/>
        <w:adjustRightInd w:val="0"/>
        <w:spacing w:after="0" w:line="240" w:lineRule="auto"/>
        <w:rPr>
          <w:rFonts w:cstheme="minorHAnsi"/>
          <w:bCs/>
          <w:color w:val="1100EE"/>
        </w:rPr>
      </w:pPr>
      <w:r w:rsidRPr="00B45C06">
        <w:rPr>
          <w:rFonts w:cstheme="minorHAnsi"/>
          <w:bCs/>
          <w:color w:val="1100EE"/>
        </w:rPr>
        <w:t>Response / % of TEP / Number of TEP</w:t>
      </w:r>
    </w:p>
    <w:p w14:paraId="0361E664" w14:textId="77777777" w:rsidR="006648D1" w:rsidRPr="00B45C06" w:rsidRDefault="006648D1" w:rsidP="006648D1">
      <w:pPr>
        <w:autoSpaceDE w:val="0"/>
        <w:autoSpaceDN w:val="0"/>
        <w:adjustRightInd w:val="0"/>
        <w:spacing w:after="0" w:line="240" w:lineRule="auto"/>
        <w:rPr>
          <w:rFonts w:cstheme="minorHAnsi"/>
          <w:bCs/>
          <w:color w:val="1100EE"/>
        </w:rPr>
      </w:pPr>
      <w:r w:rsidRPr="00B45C06">
        <w:rPr>
          <w:rFonts w:cstheme="minorHAnsi"/>
          <w:bCs/>
          <w:color w:val="1100EE"/>
        </w:rPr>
        <w:t>Strongly Agree / 33.3% / 4</w:t>
      </w:r>
    </w:p>
    <w:p w14:paraId="5DD03BA1" w14:textId="77777777" w:rsidR="006648D1" w:rsidRPr="00B45C06" w:rsidRDefault="006648D1" w:rsidP="006648D1">
      <w:pPr>
        <w:autoSpaceDE w:val="0"/>
        <w:autoSpaceDN w:val="0"/>
        <w:adjustRightInd w:val="0"/>
        <w:spacing w:after="0" w:line="240" w:lineRule="auto"/>
        <w:rPr>
          <w:rFonts w:cstheme="minorHAnsi"/>
          <w:bCs/>
          <w:color w:val="1100EE"/>
        </w:rPr>
      </w:pPr>
      <w:r w:rsidRPr="00B45C06">
        <w:rPr>
          <w:rFonts w:cstheme="minorHAnsi"/>
          <w:bCs/>
          <w:color w:val="1100EE"/>
        </w:rPr>
        <w:t>Agree / 66.7% / 8</w:t>
      </w:r>
    </w:p>
    <w:p w14:paraId="188C7D43" w14:textId="77777777" w:rsidR="006648D1" w:rsidRPr="00B45C06" w:rsidRDefault="006648D1" w:rsidP="006648D1">
      <w:pPr>
        <w:autoSpaceDE w:val="0"/>
        <w:autoSpaceDN w:val="0"/>
        <w:adjustRightInd w:val="0"/>
        <w:spacing w:after="0" w:line="240" w:lineRule="auto"/>
        <w:rPr>
          <w:rFonts w:cstheme="minorHAnsi"/>
          <w:bCs/>
          <w:color w:val="1100EE"/>
        </w:rPr>
      </w:pPr>
      <w:r w:rsidRPr="00B45C06">
        <w:rPr>
          <w:rFonts w:cstheme="minorHAnsi"/>
          <w:bCs/>
          <w:color w:val="1100EE"/>
        </w:rPr>
        <w:t>Neutral / 0.0% / 0</w:t>
      </w:r>
    </w:p>
    <w:p w14:paraId="60AE2AC9" w14:textId="77777777" w:rsidR="006648D1" w:rsidRPr="00B45C06" w:rsidRDefault="006648D1" w:rsidP="006648D1">
      <w:pPr>
        <w:autoSpaceDE w:val="0"/>
        <w:autoSpaceDN w:val="0"/>
        <w:adjustRightInd w:val="0"/>
        <w:spacing w:after="0" w:line="240" w:lineRule="auto"/>
        <w:rPr>
          <w:rFonts w:cstheme="minorHAnsi"/>
          <w:bCs/>
          <w:color w:val="1100EE"/>
        </w:rPr>
      </w:pPr>
      <w:r w:rsidRPr="00B45C06">
        <w:rPr>
          <w:rFonts w:cstheme="minorHAnsi"/>
          <w:bCs/>
          <w:color w:val="1100EE"/>
        </w:rPr>
        <w:t>Disagree / 0.0% / 0</w:t>
      </w:r>
    </w:p>
    <w:p w14:paraId="12EBD324" w14:textId="41DD6B2E" w:rsidR="00081F49" w:rsidRPr="006648D1" w:rsidRDefault="006648D1" w:rsidP="00B45C06">
      <w:pPr>
        <w:autoSpaceDE w:val="0"/>
        <w:autoSpaceDN w:val="0"/>
        <w:adjustRightInd w:val="0"/>
        <w:spacing w:after="0" w:line="240" w:lineRule="auto"/>
        <w:rPr>
          <w:rFonts w:cstheme="minorHAnsi"/>
          <w:bCs/>
          <w:color w:val="1100EE"/>
        </w:rPr>
      </w:pPr>
      <w:r w:rsidRPr="00B45C06">
        <w:rPr>
          <w:rFonts w:cstheme="minorHAnsi"/>
          <w:bCs/>
          <w:color w:val="1100EE"/>
        </w:rPr>
        <w:t>Strongly Disagree / 0.0% / 0</w:t>
      </w:r>
    </w:p>
    <w:p w14:paraId="4296479D" w14:textId="77777777" w:rsidR="00B45C06" w:rsidRPr="00092566" w:rsidRDefault="00B45C06" w:rsidP="00092566">
      <w:pPr>
        <w:autoSpaceDE w:val="0"/>
        <w:autoSpaceDN w:val="0"/>
        <w:adjustRightInd w:val="0"/>
        <w:spacing w:after="0" w:line="240" w:lineRule="auto"/>
        <w:rPr>
          <w:rFonts w:cstheme="minorHAnsi"/>
          <w:bCs/>
        </w:rPr>
      </w:pPr>
    </w:p>
    <w:p w14:paraId="0CABCFDF" w14:textId="5C43B8A1" w:rsidR="007422FD"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14:paraId="0863B139" w14:textId="77777777" w:rsidR="006648D1" w:rsidRDefault="006648D1" w:rsidP="00081F49">
      <w:pPr>
        <w:autoSpaceDE w:val="0"/>
        <w:autoSpaceDN w:val="0"/>
        <w:adjustRightInd w:val="0"/>
        <w:spacing w:after="0" w:line="240" w:lineRule="auto"/>
        <w:rPr>
          <w:rFonts w:cstheme="minorHAnsi"/>
          <w:b/>
          <w:bCs/>
          <w:color w:val="1100EE"/>
        </w:rPr>
      </w:pPr>
      <w:r w:rsidRPr="004D3DCE">
        <w:rPr>
          <w:rFonts w:cstheme="minorHAnsi"/>
          <w:bCs/>
          <w:color w:val="1100EE"/>
        </w:rPr>
        <w:t>In summary, 100% of the TEP members responded “agree” or “strongly agree” with the statement that the measure, as specified, had face validity.</w:t>
      </w:r>
      <w:r>
        <w:rPr>
          <w:rFonts w:cstheme="minorHAnsi"/>
          <w:bCs/>
          <w:color w:val="1100EE"/>
        </w:rPr>
        <w:t xml:space="preserve"> </w:t>
      </w:r>
      <w:r w:rsidRPr="00B45C06">
        <w:rPr>
          <w:rFonts w:cstheme="minorHAnsi"/>
          <w:bCs/>
          <w:color w:val="1100EE"/>
        </w:rPr>
        <w:t>The results indicate strong support of the face validity of the measure by the Technical Expert Panel.</w:t>
      </w:r>
    </w:p>
    <w:p w14:paraId="57DF2AF8" w14:textId="21B719C0" w:rsidR="00081F49" w:rsidRDefault="00081F49" w:rsidP="00081F49">
      <w:pPr>
        <w:autoSpaceDE w:val="0"/>
        <w:autoSpaceDN w:val="0"/>
        <w:adjustRightInd w:val="0"/>
        <w:spacing w:after="0" w:line="240" w:lineRule="auto"/>
        <w:rPr>
          <w:rFonts w:cstheme="minorHAnsi"/>
          <w:b/>
          <w:bCs/>
          <w:color w:val="1100EE"/>
        </w:rPr>
      </w:pPr>
      <w:r>
        <w:rPr>
          <w:rFonts w:cstheme="minorHAnsi"/>
          <w:b/>
          <w:bCs/>
          <w:color w:val="1100EE"/>
        </w:rPr>
        <w:t xml:space="preserve"> </w:t>
      </w:r>
    </w:p>
    <w:p w14:paraId="0CABCFE0"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3DC2C131"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565946">
          <w:rPr>
            <w:rStyle w:val="Hyperlink"/>
            <w:rFonts w:cstheme="minorHAnsi"/>
            <w:b/>
            <w:bCs/>
            <w:i/>
            <w:highlight w:val="green"/>
          </w:rPr>
          <w:t>3</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0CABCFE4" w14:textId="6EFBE429" w:rsidR="00833325" w:rsidRPr="009D3882" w:rsidRDefault="00092566" w:rsidP="00DB3627">
      <w:pPr>
        <w:autoSpaceDE w:val="0"/>
        <w:autoSpaceDN w:val="0"/>
        <w:adjustRightInd w:val="0"/>
        <w:spacing w:after="0" w:line="240" w:lineRule="auto"/>
        <w:rPr>
          <w:rFonts w:cstheme="minorHAnsi"/>
          <w:bCs/>
          <w:sz w:val="12"/>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14:paraId="5AD89452" w14:textId="21D4801D" w:rsidR="00523857" w:rsidRPr="00523857" w:rsidRDefault="00523857" w:rsidP="00523857">
      <w:pPr>
        <w:autoSpaceDE w:val="0"/>
        <w:autoSpaceDN w:val="0"/>
        <w:adjustRightInd w:val="0"/>
        <w:spacing w:after="0" w:line="240" w:lineRule="auto"/>
        <w:rPr>
          <w:rFonts w:cstheme="minorHAnsi"/>
          <w:b/>
          <w:bCs/>
          <w:color w:val="1100EE"/>
        </w:rPr>
      </w:pPr>
      <w:r w:rsidRPr="00523857">
        <w:rPr>
          <w:rFonts w:cstheme="minorHAnsi"/>
          <w:b/>
          <w:bCs/>
          <w:color w:val="1100EE"/>
        </w:rPr>
        <w:t>Type of analysis</w:t>
      </w:r>
    </w:p>
    <w:p w14:paraId="41BF018E" w14:textId="003FE92C" w:rsidR="00523857" w:rsidRPr="0087135C" w:rsidRDefault="00523857" w:rsidP="00523857">
      <w:pPr>
        <w:autoSpaceDE w:val="0"/>
        <w:autoSpaceDN w:val="0"/>
        <w:adjustRightInd w:val="0"/>
        <w:spacing w:after="0" w:line="240" w:lineRule="auto"/>
        <w:rPr>
          <w:rFonts w:cstheme="minorHAnsi"/>
          <w:bCs/>
          <w:color w:val="1100EE"/>
        </w:rPr>
      </w:pPr>
      <w:r w:rsidRPr="0087135C">
        <w:rPr>
          <w:rFonts w:cstheme="minorHAnsi"/>
          <w:bCs/>
          <w:color w:val="1100EE"/>
        </w:rPr>
        <w:t>A sensitivity analysis was conducted to estimate the effect of the exclusion on the overall measure rate across the eight-state sample.</w:t>
      </w:r>
      <w:r>
        <w:rPr>
          <w:rFonts w:cstheme="minorHAnsi"/>
          <w:bCs/>
          <w:color w:val="1100EE"/>
        </w:rPr>
        <w:t xml:space="preserve"> </w:t>
      </w:r>
      <w:r w:rsidRPr="009A53C3">
        <w:rPr>
          <w:rFonts w:cstheme="minorHAnsi"/>
          <w:bCs/>
          <w:color w:val="FF0000"/>
        </w:rPr>
        <w:t>The overall prevalence of the exclusion was calculated and t</w:t>
      </w:r>
      <w:r w:rsidR="009A53C3" w:rsidRPr="009A53C3">
        <w:rPr>
          <w:rFonts w:cstheme="minorHAnsi"/>
          <w:bCs/>
          <w:color w:val="FF0000"/>
        </w:rPr>
        <w:t>he measure ra</w:t>
      </w:r>
      <w:r w:rsidR="00C262E6">
        <w:rPr>
          <w:rFonts w:cstheme="minorHAnsi"/>
          <w:bCs/>
          <w:color w:val="FF0000"/>
        </w:rPr>
        <w:t>te was calculated two ways: 1) w</w:t>
      </w:r>
      <w:r w:rsidR="009A53C3" w:rsidRPr="009A53C3">
        <w:rPr>
          <w:rFonts w:cstheme="minorHAnsi"/>
          <w:bCs/>
          <w:color w:val="FF0000"/>
        </w:rPr>
        <w:t>ith the exclusion applied and 2</w:t>
      </w:r>
      <w:r w:rsidR="00C262E6">
        <w:rPr>
          <w:rFonts w:cstheme="minorHAnsi"/>
          <w:bCs/>
          <w:color w:val="FF0000"/>
        </w:rPr>
        <w:t>) w</w:t>
      </w:r>
      <w:r w:rsidR="009A53C3" w:rsidRPr="009A53C3">
        <w:rPr>
          <w:rFonts w:cstheme="minorHAnsi"/>
          <w:bCs/>
          <w:color w:val="FF0000"/>
        </w:rPr>
        <w:t>ithout the exclusion applied.</w:t>
      </w:r>
    </w:p>
    <w:p w14:paraId="07008559" w14:textId="77777777" w:rsidR="00523857" w:rsidRDefault="00523857" w:rsidP="0087135C">
      <w:pPr>
        <w:autoSpaceDE w:val="0"/>
        <w:autoSpaceDN w:val="0"/>
        <w:adjustRightInd w:val="0"/>
        <w:spacing w:after="0" w:line="240" w:lineRule="auto"/>
        <w:rPr>
          <w:rFonts w:cstheme="minorHAnsi"/>
          <w:bCs/>
          <w:color w:val="1100EE"/>
        </w:rPr>
      </w:pPr>
    </w:p>
    <w:p w14:paraId="6D9B6D75" w14:textId="05345B79" w:rsidR="0087135C" w:rsidRPr="00523857" w:rsidRDefault="00523857" w:rsidP="0087135C">
      <w:pPr>
        <w:autoSpaceDE w:val="0"/>
        <w:autoSpaceDN w:val="0"/>
        <w:adjustRightInd w:val="0"/>
        <w:spacing w:after="0" w:line="240" w:lineRule="auto"/>
        <w:rPr>
          <w:rFonts w:cstheme="minorHAnsi"/>
          <w:b/>
          <w:color w:val="1100EE"/>
        </w:rPr>
      </w:pPr>
      <w:r w:rsidRPr="00523857">
        <w:rPr>
          <w:rFonts w:cstheme="minorHAnsi"/>
          <w:b/>
          <w:bCs/>
          <w:color w:val="1100EE"/>
        </w:rPr>
        <w:t>Description of exclusion</w:t>
      </w:r>
    </w:p>
    <w:p w14:paraId="5EAF786E" w14:textId="1BD4D00B" w:rsidR="0087135C" w:rsidRPr="0087135C" w:rsidRDefault="0087135C" w:rsidP="0087135C">
      <w:pPr>
        <w:autoSpaceDE w:val="0"/>
        <w:autoSpaceDN w:val="0"/>
        <w:adjustRightInd w:val="0"/>
        <w:spacing w:after="0" w:line="240" w:lineRule="auto"/>
        <w:rPr>
          <w:rFonts w:cstheme="minorHAnsi"/>
          <w:bCs/>
          <w:color w:val="1100EE"/>
        </w:rPr>
      </w:pPr>
      <w:r w:rsidRPr="0087135C">
        <w:rPr>
          <w:rFonts w:cstheme="minorHAnsi"/>
          <w:bCs/>
          <w:color w:val="1100EE"/>
        </w:rPr>
        <w:lastRenderedPageBreak/>
        <w:t>Individuals with a diagnosis of dementia were excluded from the measure denominator.</w:t>
      </w:r>
      <w:r w:rsidR="00523857">
        <w:rPr>
          <w:rFonts w:cstheme="minorHAnsi"/>
          <w:bCs/>
          <w:color w:val="1100EE"/>
        </w:rPr>
        <w:t xml:space="preserve"> </w:t>
      </w:r>
      <w:r w:rsidRPr="0087135C">
        <w:rPr>
          <w:rFonts w:cstheme="minorHAnsi"/>
          <w:bCs/>
          <w:color w:val="1100EE"/>
        </w:rPr>
        <w:t>In April 2005, the Food and Drug Administration (FDA) issued a Public Health Advisory, which warned of the increased risk of mortality associated with the use of atypical antipsychotics in elderly patients with dementia. This warning was based on the findings of a meta-analysis of 17 short-term, randomized, placebo-controlled trials and showed that the risk of death in drug-treated patients was 1.6 to 1.7 times the risk of death in placebo-treated patients (Schneider et al., 2005). In 2008, the FDA Advisory and Black Box Warning was extended to all antipsychotic medications when further studies (</w:t>
      </w:r>
      <w:proofErr w:type="spellStart"/>
      <w:r w:rsidRPr="0087135C">
        <w:rPr>
          <w:rFonts w:cstheme="minorHAnsi"/>
          <w:bCs/>
          <w:color w:val="1100EE"/>
        </w:rPr>
        <w:t>Liperoti</w:t>
      </w:r>
      <w:proofErr w:type="spellEnd"/>
      <w:r w:rsidRPr="0087135C">
        <w:rPr>
          <w:rFonts w:cstheme="minorHAnsi"/>
          <w:bCs/>
          <w:color w:val="1100EE"/>
        </w:rPr>
        <w:t xml:space="preserve"> et al., 2009; </w:t>
      </w:r>
      <w:proofErr w:type="spellStart"/>
      <w:r w:rsidRPr="0087135C">
        <w:rPr>
          <w:rFonts w:cstheme="minorHAnsi"/>
          <w:bCs/>
          <w:color w:val="1100EE"/>
        </w:rPr>
        <w:t>Schneeweiss</w:t>
      </w:r>
      <w:proofErr w:type="spellEnd"/>
      <w:r w:rsidRPr="0087135C">
        <w:rPr>
          <w:rFonts w:cstheme="minorHAnsi"/>
          <w:bCs/>
          <w:color w:val="1100EE"/>
        </w:rPr>
        <w:t xml:space="preserve"> et al., 2007; </w:t>
      </w:r>
      <w:proofErr w:type="spellStart"/>
      <w:r w:rsidRPr="0087135C">
        <w:rPr>
          <w:rFonts w:cstheme="minorHAnsi"/>
          <w:bCs/>
          <w:color w:val="1100EE"/>
        </w:rPr>
        <w:t>Setoguchi</w:t>
      </w:r>
      <w:proofErr w:type="spellEnd"/>
      <w:r w:rsidRPr="0087135C">
        <w:rPr>
          <w:rFonts w:cstheme="minorHAnsi"/>
          <w:bCs/>
          <w:color w:val="1100EE"/>
        </w:rPr>
        <w:t xml:space="preserve"> et al., 2008) showed that conventional antipsychotics were associated with a similar increased risk of death when administered to elderly patients with a diagnosis of dementia.</w:t>
      </w:r>
    </w:p>
    <w:p w14:paraId="3E49D20F" w14:textId="32A836B0" w:rsidR="0087135C" w:rsidRPr="0087135C" w:rsidRDefault="0087135C" w:rsidP="0087135C">
      <w:pPr>
        <w:autoSpaceDE w:val="0"/>
        <w:autoSpaceDN w:val="0"/>
        <w:adjustRightInd w:val="0"/>
        <w:spacing w:after="0" w:line="240" w:lineRule="auto"/>
        <w:rPr>
          <w:rFonts w:cstheme="minorHAnsi"/>
          <w:bCs/>
          <w:color w:val="1100EE"/>
        </w:rPr>
      </w:pPr>
    </w:p>
    <w:p w14:paraId="47E144AA" w14:textId="77777777" w:rsidR="00523857" w:rsidRPr="0087135C" w:rsidRDefault="00523857" w:rsidP="00523857">
      <w:pPr>
        <w:autoSpaceDE w:val="0"/>
        <w:autoSpaceDN w:val="0"/>
        <w:adjustRightInd w:val="0"/>
        <w:spacing w:after="0" w:line="240" w:lineRule="auto"/>
        <w:rPr>
          <w:rFonts w:cstheme="minorHAnsi"/>
          <w:bCs/>
          <w:color w:val="1100EE"/>
        </w:rPr>
      </w:pPr>
      <w:proofErr w:type="spellStart"/>
      <w:r w:rsidRPr="0087135C">
        <w:rPr>
          <w:rFonts w:cstheme="minorHAnsi"/>
          <w:bCs/>
          <w:color w:val="1100EE"/>
        </w:rPr>
        <w:t>Liperoti</w:t>
      </w:r>
      <w:proofErr w:type="spellEnd"/>
      <w:r w:rsidRPr="0087135C">
        <w:rPr>
          <w:rFonts w:cstheme="minorHAnsi"/>
          <w:bCs/>
          <w:color w:val="1100EE"/>
        </w:rPr>
        <w:t xml:space="preserve">, R., </w:t>
      </w:r>
      <w:proofErr w:type="spellStart"/>
      <w:r w:rsidRPr="0087135C">
        <w:rPr>
          <w:rFonts w:cstheme="minorHAnsi"/>
          <w:bCs/>
          <w:color w:val="1100EE"/>
        </w:rPr>
        <w:t>Onder</w:t>
      </w:r>
      <w:proofErr w:type="spellEnd"/>
      <w:r w:rsidRPr="0087135C">
        <w:rPr>
          <w:rFonts w:cstheme="minorHAnsi"/>
          <w:bCs/>
          <w:color w:val="1100EE"/>
        </w:rPr>
        <w:t xml:space="preserve">, G., </w:t>
      </w:r>
      <w:proofErr w:type="spellStart"/>
      <w:r w:rsidRPr="0087135C">
        <w:rPr>
          <w:rFonts w:cstheme="minorHAnsi"/>
          <w:bCs/>
          <w:color w:val="1100EE"/>
        </w:rPr>
        <w:t>Landi</w:t>
      </w:r>
      <w:proofErr w:type="spellEnd"/>
      <w:r w:rsidRPr="0087135C">
        <w:rPr>
          <w:rFonts w:cstheme="minorHAnsi"/>
          <w:bCs/>
          <w:color w:val="1100EE"/>
        </w:rPr>
        <w:t xml:space="preserve">, F., </w:t>
      </w:r>
      <w:proofErr w:type="spellStart"/>
      <w:r w:rsidRPr="0087135C">
        <w:rPr>
          <w:rFonts w:cstheme="minorHAnsi"/>
          <w:bCs/>
          <w:color w:val="1100EE"/>
        </w:rPr>
        <w:t>Lapane</w:t>
      </w:r>
      <w:proofErr w:type="spellEnd"/>
      <w:r w:rsidRPr="0087135C">
        <w:rPr>
          <w:rFonts w:cstheme="minorHAnsi"/>
          <w:bCs/>
          <w:color w:val="1100EE"/>
        </w:rPr>
        <w:t xml:space="preserve">, K. L., </w:t>
      </w:r>
      <w:proofErr w:type="spellStart"/>
      <w:r w:rsidRPr="0087135C">
        <w:rPr>
          <w:rFonts w:cstheme="minorHAnsi"/>
          <w:bCs/>
          <w:color w:val="1100EE"/>
        </w:rPr>
        <w:t>Mor</w:t>
      </w:r>
      <w:proofErr w:type="spellEnd"/>
      <w:r w:rsidRPr="0087135C">
        <w:rPr>
          <w:rFonts w:cstheme="minorHAnsi"/>
          <w:bCs/>
          <w:color w:val="1100EE"/>
        </w:rPr>
        <w:t xml:space="preserve">, V., </w:t>
      </w:r>
      <w:proofErr w:type="spellStart"/>
      <w:r w:rsidRPr="0087135C">
        <w:rPr>
          <w:rFonts w:cstheme="minorHAnsi"/>
          <w:bCs/>
          <w:color w:val="1100EE"/>
        </w:rPr>
        <w:t>Bernabei</w:t>
      </w:r>
      <w:proofErr w:type="spellEnd"/>
      <w:r w:rsidRPr="0087135C">
        <w:rPr>
          <w:rFonts w:cstheme="minorHAnsi"/>
          <w:bCs/>
          <w:color w:val="1100EE"/>
        </w:rPr>
        <w:t xml:space="preserve">, R., &amp; </w:t>
      </w:r>
      <w:proofErr w:type="spellStart"/>
      <w:r w:rsidRPr="0087135C">
        <w:rPr>
          <w:rFonts w:cstheme="minorHAnsi"/>
          <w:bCs/>
          <w:color w:val="1100EE"/>
        </w:rPr>
        <w:t>Gambassi</w:t>
      </w:r>
      <w:proofErr w:type="spellEnd"/>
      <w:r w:rsidRPr="0087135C">
        <w:rPr>
          <w:rFonts w:cstheme="minorHAnsi"/>
          <w:bCs/>
          <w:color w:val="1100EE"/>
        </w:rPr>
        <w:t>, G. (2009). All-cause mortality associated with atypical and conventional antipsychotics among nursing home residents with dementia: A retrospective cohort study. Journal of Clinical Psychiatry, 70(10),1340-1347.</w:t>
      </w:r>
    </w:p>
    <w:p w14:paraId="281419E2" w14:textId="77777777" w:rsidR="00523857" w:rsidRPr="0087135C" w:rsidRDefault="00523857" w:rsidP="00523857">
      <w:pPr>
        <w:autoSpaceDE w:val="0"/>
        <w:autoSpaceDN w:val="0"/>
        <w:adjustRightInd w:val="0"/>
        <w:spacing w:after="0" w:line="240" w:lineRule="auto"/>
        <w:rPr>
          <w:rFonts w:cstheme="minorHAnsi"/>
          <w:bCs/>
          <w:color w:val="1100EE"/>
        </w:rPr>
      </w:pPr>
    </w:p>
    <w:p w14:paraId="2631AAB3" w14:textId="77777777" w:rsidR="00523857" w:rsidRPr="0087135C" w:rsidRDefault="00523857" w:rsidP="00523857">
      <w:pPr>
        <w:autoSpaceDE w:val="0"/>
        <w:autoSpaceDN w:val="0"/>
        <w:adjustRightInd w:val="0"/>
        <w:spacing w:after="0" w:line="240" w:lineRule="auto"/>
        <w:rPr>
          <w:rFonts w:cstheme="minorHAnsi"/>
          <w:bCs/>
          <w:color w:val="1100EE"/>
        </w:rPr>
      </w:pPr>
      <w:proofErr w:type="spellStart"/>
      <w:r w:rsidRPr="0087135C">
        <w:rPr>
          <w:rFonts w:cstheme="minorHAnsi"/>
          <w:bCs/>
          <w:color w:val="1100EE"/>
        </w:rPr>
        <w:t>Schneeweiss</w:t>
      </w:r>
      <w:proofErr w:type="spellEnd"/>
      <w:r w:rsidRPr="0087135C">
        <w:rPr>
          <w:rFonts w:cstheme="minorHAnsi"/>
          <w:bCs/>
          <w:color w:val="1100EE"/>
        </w:rPr>
        <w:t xml:space="preserve">, S., </w:t>
      </w:r>
      <w:proofErr w:type="spellStart"/>
      <w:r w:rsidRPr="0087135C">
        <w:rPr>
          <w:rFonts w:cstheme="minorHAnsi"/>
          <w:bCs/>
          <w:color w:val="1100EE"/>
        </w:rPr>
        <w:t>Setoguchi</w:t>
      </w:r>
      <w:proofErr w:type="spellEnd"/>
      <w:r w:rsidRPr="0087135C">
        <w:rPr>
          <w:rFonts w:cstheme="minorHAnsi"/>
          <w:bCs/>
          <w:color w:val="1100EE"/>
        </w:rPr>
        <w:t xml:space="preserve">, S., Brookhart, A., </w:t>
      </w:r>
      <w:proofErr w:type="spellStart"/>
      <w:r w:rsidRPr="0087135C">
        <w:rPr>
          <w:rFonts w:cstheme="minorHAnsi"/>
          <w:bCs/>
          <w:color w:val="1100EE"/>
        </w:rPr>
        <w:t>Dormuth</w:t>
      </w:r>
      <w:proofErr w:type="spellEnd"/>
      <w:r w:rsidRPr="0087135C">
        <w:rPr>
          <w:rFonts w:cstheme="minorHAnsi"/>
          <w:bCs/>
          <w:color w:val="1100EE"/>
        </w:rPr>
        <w:t>, C., &amp; Wang, P. S. (2007). Risk of death associated with the use of conventional versus atypical antipsychotic drugs among elderly patients. CMAJ, 176, 627–632. [PubMed: 17325327]</w:t>
      </w:r>
    </w:p>
    <w:p w14:paraId="5A6E6653" w14:textId="77777777" w:rsidR="00523857" w:rsidRPr="0087135C" w:rsidRDefault="00523857" w:rsidP="00523857">
      <w:pPr>
        <w:autoSpaceDE w:val="0"/>
        <w:autoSpaceDN w:val="0"/>
        <w:adjustRightInd w:val="0"/>
        <w:spacing w:after="0" w:line="240" w:lineRule="auto"/>
        <w:rPr>
          <w:rFonts w:cstheme="minorHAnsi"/>
          <w:bCs/>
          <w:color w:val="1100EE"/>
        </w:rPr>
      </w:pPr>
    </w:p>
    <w:p w14:paraId="58585B10" w14:textId="77777777" w:rsidR="00523857" w:rsidRPr="0087135C" w:rsidRDefault="00523857" w:rsidP="00523857">
      <w:pPr>
        <w:autoSpaceDE w:val="0"/>
        <w:autoSpaceDN w:val="0"/>
        <w:adjustRightInd w:val="0"/>
        <w:spacing w:after="0" w:line="240" w:lineRule="auto"/>
        <w:rPr>
          <w:rFonts w:cstheme="minorHAnsi"/>
          <w:bCs/>
          <w:color w:val="1100EE"/>
        </w:rPr>
      </w:pPr>
      <w:r w:rsidRPr="0087135C">
        <w:rPr>
          <w:rFonts w:cstheme="minorHAnsi"/>
          <w:bCs/>
          <w:color w:val="1100EE"/>
        </w:rPr>
        <w:t xml:space="preserve">Schneider, L. S., </w:t>
      </w:r>
      <w:proofErr w:type="spellStart"/>
      <w:r w:rsidRPr="0087135C">
        <w:rPr>
          <w:rFonts w:cstheme="minorHAnsi"/>
          <w:bCs/>
          <w:color w:val="1100EE"/>
        </w:rPr>
        <w:t>Dagerman</w:t>
      </w:r>
      <w:proofErr w:type="spellEnd"/>
      <w:r w:rsidRPr="0087135C">
        <w:rPr>
          <w:rFonts w:cstheme="minorHAnsi"/>
          <w:bCs/>
          <w:color w:val="1100EE"/>
        </w:rPr>
        <w:t xml:space="preserve">, K. S., &amp; </w:t>
      </w:r>
      <w:proofErr w:type="spellStart"/>
      <w:r w:rsidRPr="0087135C">
        <w:rPr>
          <w:rFonts w:cstheme="minorHAnsi"/>
          <w:bCs/>
          <w:color w:val="1100EE"/>
        </w:rPr>
        <w:t>Insel</w:t>
      </w:r>
      <w:proofErr w:type="spellEnd"/>
      <w:r w:rsidRPr="0087135C">
        <w:rPr>
          <w:rFonts w:cstheme="minorHAnsi"/>
          <w:bCs/>
          <w:color w:val="1100EE"/>
        </w:rPr>
        <w:t>, P. (2005). Risk of death with atypical antipsychotic drug treatment for dementia: Meta-analysis of randomized placebo-controlled trials. Journal of the American Medical Association, 294, 1934–1943. [PubMed: 16234500]</w:t>
      </w:r>
    </w:p>
    <w:p w14:paraId="50AA57A4" w14:textId="77777777" w:rsidR="00523857" w:rsidRPr="0087135C" w:rsidRDefault="00523857" w:rsidP="00523857">
      <w:pPr>
        <w:autoSpaceDE w:val="0"/>
        <w:autoSpaceDN w:val="0"/>
        <w:adjustRightInd w:val="0"/>
        <w:spacing w:after="0" w:line="240" w:lineRule="auto"/>
        <w:rPr>
          <w:rFonts w:cstheme="minorHAnsi"/>
          <w:bCs/>
          <w:color w:val="1100EE"/>
        </w:rPr>
      </w:pPr>
    </w:p>
    <w:p w14:paraId="31F11ED2" w14:textId="77777777" w:rsidR="00523857" w:rsidRPr="0087135C" w:rsidRDefault="00523857" w:rsidP="00523857">
      <w:pPr>
        <w:autoSpaceDE w:val="0"/>
        <w:autoSpaceDN w:val="0"/>
        <w:adjustRightInd w:val="0"/>
        <w:spacing w:after="0" w:line="240" w:lineRule="auto"/>
        <w:rPr>
          <w:rFonts w:cstheme="minorHAnsi"/>
          <w:bCs/>
          <w:color w:val="1100EE"/>
        </w:rPr>
      </w:pPr>
      <w:proofErr w:type="spellStart"/>
      <w:r w:rsidRPr="0087135C">
        <w:rPr>
          <w:rFonts w:cstheme="minorHAnsi"/>
          <w:bCs/>
          <w:color w:val="1100EE"/>
        </w:rPr>
        <w:t>Setoguchi</w:t>
      </w:r>
      <w:proofErr w:type="spellEnd"/>
      <w:r w:rsidRPr="0087135C">
        <w:rPr>
          <w:rFonts w:cstheme="minorHAnsi"/>
          <w:bCs/>
          <w:color w:val="1100EE"/>
        </w:rPr>
        <w:t xml:space="preserve">, S., Wang, P. S., Brookhart, M., Canning, C. F., Kaci, L., &amp; </w:t>
      </w:r>
      <w:proofErr w:type="spellStart"/>
      <w:r w:rsidRPr="0087135C">
        <w:rPr>
          <w:rFonts w:cstheme="minorHAnsi"/>
          <w:bCs/>
          <w:color w:val="1100EE"/>
        </w:rPr>
        <w:t>Schneeweiss</w:t>
      </w:r>
      <w:proofErr w:type="spellEnd"/>
      <w:r w:rsidRPr="0087135C">
        <w:rPr>
          <w:rFonts w:cstheme="minorHAnsi"/>
          <w:bCs/>
          <w:color w:val="1100EE"/>
        </w:rPr>
        <w:t>, S. (2008). Potential causes of higher mortality in elderly users of conventional and atypical antipsychotic medications. JAGS, 56, 1644–1650.</w:t>
      </w:r>
    </w:p>
    <w:p w14:paraId="2836F312" w14:textId="5C75ADDB" w:rsidR="0087135C" w:rsidRPr="0087135C" w:rsidRDefault="0087135C" w:rsidP="0087135C">
      <w:pPr>
        <w:autoSpaceDE w:val="0"/>
        <w:autoSpaceDN w:val="0"/>
        <w:adjustRightInd w:val="0"/>
        <w:spacing w:after="0" w:line="240" w:lineRule="auto"/>
        <w:rPr>
          <w:rFonts w:cstheme="minorHAnsi"/>
          <w:bCs/>
          <w:color w:val="1100EE"/>
        </w:rPr>
      </w:pPr>
    </w:p>
    <w:p w14:paraId="412EA0FC" w14:textId="105649BD" w:rsidR="0087135C" w:rsidRPr="00A25024" w:rsidRDefault="0087135C" w:rsidP="00DB3627">
      <w:pPr>
        <w:autoSpaceDE w:val="0"/>
        <w:autoSpaceDN w:val="0"/>
        <w:adjustRightInd w:val="0"/>
        <w:spacing w:after="0" w:line="240" w:lineRule="auto"/>
        <w:rPr>
          <w:rFonts w:cstheme="minorHAnsi"/>
          <w:bCs/>
        </w:rPr>
      </w:pPr>
    </w:p>
    <w:p w14:paraId="0CABCFE6" w14:textId="567EE2F4" w:rsidR="007422FD" w:rsidRDefault="00092566" w:rsidP="00092566">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14:paraId="0CABCFE7" w14:textId="1CD8F260" w:rsidR="00092566" w:rsidRPr="00F02424" w:rsidRDefault="00F02424" w:rsidP="00092566">
      <w:pPr>
        <w:autoSpaceDE w:val="0"/>
        <w:autoSpaceDN w:val="0"/>
        <w:adjustRightInd w:val="0"/>
        <w:spacing w:after="0" w:line="240" w:lineRule="auto"/>
        <w:rPr>
          <w:rFonts w:cstheme="minorHAnsi"/>
          <w:bCs/>
          <w:color w:val="1100EE"/>
        </w:rPr>
      </w:pPr>
      <w:r w:rsidRPr="00F02424">
        <w:rPr>
          <w:rFonts w:cstheme="minorHAnsi"/>
          <w:bCs/>
          <w:color w:val="1100EE"/>
        </w:rPr>
        <w:t xml:space="preserve">Individuals with dementia represented approximately 11% of all individuals in the measure denominator. If individuals with dementia were excluded, the measure rate was 74.4% (31,752/42,676) across the eight-state sample; whereas, the measure rate without excluding these individuals was 74.0% (35,416/47,852). </w:t>
      </w:r>
    </w:p>
    <w:p w14:paraId="6DA9FDE7" w14:textId="77777777" w:rsidR="00F02424" w:rsidRPr="00F02424" w:rsidRDefault="00F02424" w:rsidP="00092566">
      <w:pPr>
        <w:autoSpaceDE w:val="0"/>
        <w:autoSpaceDN w:val="0"/>
        <w:adjustRightInd w:val="0"/>
        <w:spacing w:after="0" w:line="240" w:lineRule="auto"/>
        <w:rPr>
          <w:rFonts w:cstheme="minorHAnsi"/>
          <w:bCs/>
        </w:rPr>
      </w:pPr>
    </w:p>
    <w:p w14:paraId="0CABCFE8" w14:textId="6A111830" w:rsidR="007422FD" w:rsidRDefault="00092566" w:rsidP="00DB362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7315154A" w14:textId="437EA1B2" w:rsidR="00653AA2" w:rsidRDefault="00653AA2" w:rsidP="00DB3627">
      <w:pPr>
        <w:autoSpaceDE w:val="0"/>
        <w:autoSpaceDN w:val="0"/>
        <w:adjustRightInd w:val="0"/>
        <w:spacing w:after="0" w:line="240" w:lineRule="auto"/>
        <w:rPr>
          <w:rFonts w:cstheme="minorHAnsi"/>
          <w:bCs/>
          <w:color w:val="1100EE"/>
        </w:rPr>
      </w:pPr>
      <w:r w:rsidRPr="00653AA2">
        <w:rPr>
          <w:rFonts w:cstheme="minorHAnsi"/>
          <w:bCs/>
          <w:color w:val="1100EE"/>
        </w:rPr>
        <w:t>While overall performance across the eight-state sample did not differ, individuals with dementia represent a population where adherence to antipsychotic medications is associated with an increased risk of mortality. Therefore, the Technical Expert Panel recommended excluding this subpopulation.</w:t>
      </w:r>
    </w:p>
    <w:p w14:paraId="75CC1792" w14:textId="77777777" w:rsidR="00653AA2" w:rsidRPr="00653AA2" w:rsidRDefault="00653AA2" w:rsidP="00DB3627">
      <w:pPr>
        <w:autoSpaceDE w:val="0"/>
        <w:autoSpaceDN w:val="0"/>
        <w:adjustRightInd w:val="0"/>
        <w:spacing w:after="0" w:line="240" w:lineRule="auto"/>
        <w:rPr>
          <w:rFonts w:cstheme="minorHAnsi"/>
          <w:bCs/>
          <w:color w:val="1100EE"/>
        </w:rPr>
      </w:pPr>
    </w:p>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A6C3041" w:rsidR="00AC1D8E" w:rsidRPr="0086464B" w:rsidRDefault="00092566" w:rsidP="00AC1D8E">
      <w:pPr>
        <w:autoSpaceDE w:val="0"/>
        <w:autoSpaceDN w:val="0"/>
        <w:adjustRightInd w:val="0"/>
        <w:spacing w:after="0" w:line="240" w:lineRule="auto"/>
        <w:rPr>
          <w:rFonts w:cstheme="minorHAnsi"/>
          <w:b/>
          <w:bCs/>
          <w:i/>
        </w:rPr>
      </w:pPr>
      <w:bookmarkStart w:id="18" w:name="section2b4"/>
      <w:bookmarkEnd w:id="18"/>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w:t>
        </w:r>
        <w:r w:rsidR="00565946">
          <w:rPr>
            <w:rStyle w:val="Hyperlink"/>
            <w:rFonts w:cstheme="minorHAnsi"/>
            <w:b/>
            <w:bCs/>
            <w:i/>
            <w:highlight w:val="green"/>
          </w:rPr>
          <w:t>4</w:t>
        </w:r>
      </w:hyperlink>
      <w:r w:rsidR="00BE592D" w:rsidRPr="00BE592D">
        <w:rPr>
          <w:rFonts w:cstheme="minorHAnsi"/>
          <w:b/>
          <w:bCs/>
          <w:i/>
          <w:highlight w:val="green"/>
        </w:rPr>
        <w:t>.</w:t>
      </w:r>
    </w:p>
    <w:p w14:paraId="0CABCFEB" w14:textId="77777777" w:rsidR="008871A9"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r w:rsidR="00743E46" w:rsidRPr="005232D6">
        <w:rPr>
          <w:rFonts w:cstheme="minorHAnsi"/>
          <w:b/>
          <w:bCs/>
        </w:rPr>
        <w:t>What method of controlling for differences in case mix is used?</w:t>
      </w:r>
    </w:p>
    <w:p w14:paraId="0CABCFED" w14:textId="61556CFE" w:rsidR="00033038" w:rsidRPr="005232D6" w:rsidRDefault="00466546"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653AA2">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77777777" w:rsidR="00743E46" w:rsidRPr="005232D6" w:rsidRDefault="00466546"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466546"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466546"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0CABCFF2" w14:textId="7B192693" w:rsidR="00092566" w:rsidRDefault="000B7D57" w:rsidP="00F34FAB">
      <w:pPr>
        <w:autoSpaceDE w:val="0"/>
        <w:autoSpaceDN w:val="0"/>
        <w:adjustRightInd w:val="0"/>
        <w:spacing w:after="0" w:line="240" w:lineRule="auto"/>
        <w:rPr>
          <w:rFonts w:cstheme="minorHAnsi"/>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0A1E352E" w14:textId="77777777" w:rsidR="00AF2D68" w:rsidRDefault="00AF2D68" w:rsidP="009D3882">
      <w:pPr>
        <w:rPr>
          <w:rFonts w:cs="Calibri"/>
          <w:b/>
          <w:bCs/>
        </w:rPr>
      </w:pPr>
    </w:p>
    <w:p w14:paraId="0CABCFF4" w14:textId="72F05C9F" w:rsidR="009D3882" w:rsidRPr="009D3882" w:rsidRDefault="009C7513" w:rsidP="009D3882">
      <w:pPr>
        <w:rPr>
          <w:rFonts w:cstheme="minorHAnsi"/>
          <w:b/>
          <w:bCs/>
          <w:sz w:val="14"/>
        </w:rPr>
      </w:pPr>
      <w:r>
        <w:rPr>
          <w:rFonts w:cs="Calibri"/>
          <w:b/>
          <w:bCs/>
        </w:rPr>
        <w:t>2b3</w:t>
      </w:r>
      <w:r w:rsidR="009D3882">
        <w:rPr>
          <w:rFonts w:cs="Calibri"/>
          <w:b/>
          <w:bCs/>
        </w:rPr>
        <w:t xml:space="preserve">.2. If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r w:rsidR="009D3882">
        <w:rPr>
          <w:rFonts w:cs="Calibri"/>
          <w:bCs/>
        </w:rPr>
        <w:br/>
      </w:r>
    </w:p>
    <w:p w14:paraId="0CABCFF6" w14:textId="34883449" w:rsidR="00001D73" w:rsidRPr="00AF2D68" w:rsidRDefault="009C7513" w:rsidP="00AF2D68">
      <w:pPr>
        <w:rPr>
          <w:rFonts w:cstheme="minorHAnsi"/>
          <w:bCs/>
          <w:sz w:val="4"/>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re social risk factors added after all clinical factors?</w:t>
      </w:r>
      <w:r w:rsidR="00092566" w:rsidRPr="00A25024">
        <w:rPr>
          <w:rFonts w:cstheme="minorHAnsi"/>
          <w:bCs/>
        </w:rPr>
        <w:br/>
      </w:r>
    </w:p>
    <w:p w14:paraId="4260792A" w14:textId="20B57762" w:rsidR="00275563" w:rsidRDefault="00275563" w:rsidP="00001D73">
      <w:pPr>
        <w:autoSpaceDE w:val="0"/>
        <w:autoSpaceDN w:val="0"/>
        <w:adjustRightInd w:val="0"/>
        <w:spacing w:after="0" w:line="240" w:lineRule="auto"/>
        <w:rPr>
          <w:rFonts w:cstheme="minorHAnsi"/>
          <w:b/>
          <w:bCs/>
        </w:rPr>
      </w:pPr>
      <w:r>
        <w:rPr>
          <w:rFonts w:cstheme="minorHAnsi"/>
          <w:b/>
          <w:bCs/>
        </w:rPr>
        <w:t xml:space="preserve">2b3.3b. How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30659D6E" w:rsidR="00275563" w:rsidRPr="005232D6" w:rsidRDefault="00466546"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6BA683BB" w:rsidR="00275563" w:rsidRPr="005232D6" w:rsidRDefault="00466546"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1489D6C2" w:rsidR="00275563" w:rsidRPr="005232D6" w:rsidRDefault="00466546"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7C5644B4" w14:textId="77777777" w:rsidR="00275563" w:rsidRDefault="00275563" w:rsidP="00001D73">
      <w:pPr>
        <w:autoSpaceDE w:val="0"/>
        <w:autoSpaceDN w:val="0"/>
        <w:adjustRightInd w:val="0"/>
        <w:spacing w:after="0" w:line="240" w:lineRule="auto"/>
        <w:rPr>
          <w:rFonts w:cstheme="minorHAnsi"/>
          <w:b/>
          <w:bCs/>
        </w:rPr>
      </w:pPr>
    </w:p>
    <w:p w14:paraId="0CABCFF7" w14:textId="434655CC" w:rsidR="00092566" w:rsidRDefault="009C7513" w:rsidP="00001D73">
      <w:pPr>
        <w:autoSpaceDE w:val="0"/>
        <w:autoSpaceDN w:val="0"/>
        <w:adjustRightInd w:val="0"/>
        <w:spacing w:after="0" w:line="240" w:lineRule="auto"/>
        <w:rPr>
          <w:rFonts w:cstheme="minorHAnsi"/>
          <w:b/>
          <w:bCs/>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r w:rsidR="00092566" w:rsidRPr="00A25024">
        <w:rPr>
          <w:rFonts w:cstheme="minorHAnsi"/>
          <w:b/>
          <w:bCs/>
        </w:rPr>
        <w:t>What were the statistical results of the analyses used to select risk factors?</w:t>
      </w:r>
      <w:r w:rsidR="00001D73">
        <w:rPr>
          <w:rFonts w:cstheme="minorHAnsi"/>
          <w:b/>
          <w:bCs/>
        </w:rPr>
        <w:br/>
      </w:r>
    </w:p>
    <w:p w14:paraId="0CABCFF8" w14:textId="1EE8D83D" w:rsidR="00001D73" w:rsidRPr="00CE284E" w:rsidRDefault="009C7513" w:rsidP="00001D73">
      <w:pPr>
        <w:autoSpaceDE w:val="0"/>
        <w:autoSpaceDN w:val="0"/>
        <w:adjustRightInd w:val="0"/>
        <w:spacing w:after="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0CABCFF9" w14:textId="77777777" w:rsidR="00C1695E" w:rsidRPr="00001D73" w:rsidRDefault="00C1695E" w:rsidP="00001D73">
      <w:pPr>
        <w:autoSpaceDE w:val="0"/>
        <w:autoSpaceDN w:val="0"/>
        <w:adjustRightInd w:val="0"/>
        <w:spacing w:after="0" w:line="240" w:lineRule="auto"/>
        <w:rPr>
          <w:rFonts w:cstheme="minorHAnsi"/>
          <w:b/>
          <w:bCs/>
        </w:rPr>
      </w:pPr>
    </w:p>
    <w:p w14:paraId="0CABCFFA" w14:textId="5F1D568F"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0CABCFFB" w14:textId="78FCA6D3"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9C7513">
          <w:rPr>
            <w:rStyle w:val="Hyperlink"/>
            <w:rFonts w:cstheme="minorHAnsi"/>
            <w:b/>
            <w:bCs/>
            <w:i/>
            <w:highlight w:val="green"/>
          </w:rPr>
          <w:t>2b3.9</w:t>
        </w:r>
      </w:hyperlink>
    </w:p>
    <w:p w14:paraId="0CABCFFC" w14:textId="77777777" w:rsidR="00743E46" w:rsidRDefault="00743E46" w:rsidP="00092566">
      <w:pPr>
        <w:autoSpaceDE w:val="0"/>
        <w:autoSpaceDN w:val="0"/>
        <w:adjustRightInd w:val="0"/>
        <w:spacing w:after="0" w:line="240" w:lineRule="auto"/>
        <w:rPr>
          <w:rFonts w:cstheme="minorHAnsi"/>
          <w:b/>
          <w:bCs/>
        </w:rPr>
      </w:pPr>
    </w:p>
    <w:p w14:paraId="0CABCFFD" w14:textId="1E71CBEF" w:rsidR="00001D73" w:rsidRPr="00001D73" w:rsidRDefault="00743E46" w:rsidP="00092566">
      <w:pPr>
        <w:autoSpaceDE w:val="0"/>
        <w:autoSpaceDN w:val="0"/>
        <w:adjustRightInd w:val="0"/>
        <w:spacing w:after="0" w:line="240" w:lineRule="auto"/>
        <w:rPr>
          <w:rFonts w:cstheme="minorHAnsi"/>
          <w:b/>
          <w:bCs/>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14:paraId="0CABCFFE" w14:textId="41F7DEC8" w:rsidR="00001D73" w:rsidRDefault="009C7513" w:rsidP="00092566">
      <w:pPr>
        <w:autoSpaceDE w:val="0"/>
        <w:autoSpaceDN w:val="0"/>
        <w:adjustRightInd w:val="0"/>
        <w:spacing w:after="0" w:line="240" w:lineRule="auto"/>
        <w:rPr>
          <w:rFonts w:cstheme="minorHAnsi"/>
          <w:b/>
          <w:bCs/>
        </w:rPr>
      </w:pPr>
      <w:r>
        <w:rPr>
          <w:rFonts w:cstheme="minorHAnsi"/>
          <w:b/>
          <w:bCs/>
        </w:rPr>
        <w:lastRenderedPageBreak/>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w:t>
      </w:r>
      <w:proofErr w:type="spellStart"/>
      <w:r w:rsidR="003605B4" w:rsidRPr="003605B4">
        <w:rPr>
          <w:rFonts w:cstheme="minorHAnsi"/>
          <w:bCs/>
          <w:i/>
        </w:rPr>
        <w:t>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14:paraId="0CABCFFF" w14:textId="7ECFB7AA" w:rsidR="00743E46" w:rsidRDefault="009C7513" w:rsidP="00092566">
      <w:pPr>
        <w:autoSpaceDE w:val="0"/>
        <w:autoSpaceDN w:val="0"/>
        <w:adjustRightInd w:val="0"/>
        <w:spacing w:after="0" w:line="240" w:lineRule="auto"/>
        <w:rPr>
          <w:rFonts w:cstheme="minorHAnsi"/>
          <w:b/>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p>
    <w:p w14:paraId="0CABD000" w14:textId="2BA3579B" w:rsidR="00092566" w:rsidRPr="00A25024" w:rsidRDefault="009C7513" w:rsidP="00092566">
      <w:pPr>
        <w:autoSpaceDE w:val="0"/>
        <w:autoSpaceDN w:val="0"/>
        <w:adjustRightInd w:val="0"/>
        <w:spacing w:after="0" w:line="240" w:lineRule="auto"/>
        <w:rPr>
          <w:rFonts w:cstheme="minorHAnsi"/>
          <w:bCs/>
        </w:rPr>
      </w:pPr>
      <w:bookmarkStart w:id="19" w:name="question2b49"/>
      <w:bookmarkEnd w:id="19"/>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p>
    <w:p w14:paraId="0CABD001" w14:textId="77777777" w:rsidR="00092566" w:rsidRPr="00A25024" w:rsidRDefault="00092566" w:rsidP="00092566">
      <w:pPr>
        <w:pStyle w:val="ListParagraph"/>
        <w:rPr>
          <w:rFonts w:cstheme="minorHAnsi"/>
          <w:bCs/>
        </w:rPr>
      </w:pPr>
    </w:p>
    <w:p w14:paraId="0CABD002" w14:textId="35305BFC"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p>
    <w:p w14:paraId="0CABD003" w14:textId="77777777" w:rsidR="00092566" w:rsidRPr="00A25024" w:rsidRDefault="00092566" w:rsidP="00092566">
      <w:pPr>
        <w:spacing w:after="0" w:line="240" w:lineRule="auto"/>
        <w:rPr>
          <w:rFonts w:cstheme="minorHAnsi"/>
        </w:rPr>
      </w:pPr>
    </w:p>
    <w:p w14:paraId="0CABD004" w14:textId="74D8FEB4" w:rsidR="00021170" w:rsidRPr="009B1A15" w:rsidRDefault="009C7513" w:rsidP="009B1A15">
      <w:pPr>
        <w:spacing w:after="0" w:line="240" w:lineRule="auto"/>
        <w:rPr>
          <w:rFonts w:cstheme="minorHAnsi"/>
        </w:rPr>
      </w:pPr>
      <w:r>
        <w:rPr>
          <w:rFonts w:cstheme="minorHAnsi"/>
          <w:b/>
          <w:highlight w:val="green"/>
        </w:rPr>
        <w:t>2b3</w:t>
      </w:r>
      <w:r w:rsidR="009B1A15" w:rsidRPr="009B1A15">
        <w:rPr>
          <w:rFonts w:cstheme="minorHAnsi"/>
          <w:b/>
          <w:highlight w:val="green"/>
        </w:rPr>
        <w:t>.11.</w:t>
      </w:r>
      <w:r w:rsidR="009B1A15">
        <w:rPr>
          <w:rFonts w:cstheme="minorHAnsi"/>
          <w:highlight w:val="green"/>
        </w:rPr>
        <w:t xml:space="preserve"> </w:t>
      </w:r>
      <w:r w:rsidR="00092566"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0CABD005" w14:textId="77777777" w:rsidR="003755CB" w:rsidRDefault="003755CB" w:rsidP="00D61410">
      <w:pPr>
        <w:autoSpaceDE w:val="0"/>
        <w:autoSpaceDN w:val="0"/>
        <w:adjustRightInd w:val="0"/>
        <w:spacing w:after="0" w:line="240" w:lineRule="auto"/>
        <w:rPr>
          <w:rFonts w:cstheme="minorHAnsi"/>
          <w:b/>
          <w:bCs/>
        </w:rPr>
      </w:pP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20" w:name="section2b5"/>
      <w:bookmarkEnd w:id="20"/>
      <w:r>
        <w:rPr>
          <w:rFonts w:cstheme="minorHAnsi"/>
          <w:b/>
          <w:bCs/>
        </w:rPr>
        <w:t>2b4</w:t>
      </w:r>
      <w:r w:rsidR="00D61410" w:rsidRPr="00A25024">
        <w:rPr>
          <w:rFonts w:cstheme="minorHAnsi"/>
          <w:b/>
          <w:bCs/>
        </w:rPr>
        <w:t>. IDENTIFICATION OF STATISTICALLY SIGNIFICANT &amp; MEANINGFUL DIFFERENCES IN PERFORMANCE</w:t>
      </w:r>
    </w:p>
    <w:p w14:paraId="0CABD008" w14:textId="2D3565CB" w:rsidR="00D61410" w:rsidRPr="00A25024"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D61410" w:rsidRPr="00A25024">
        <w:rPr>
          <w:rFonts w:cstheme="minorHAnsi"/>
          <w:bCs/>
        </w:rPr>
        <w:br/>
        <w:t xml:space="preserve"> </w:t>
      </w:r>
    </w:p>
    <w:p w14:paraId="0CABD009" w14:textId="61D156D5" w:rsidR="00D61410" w:rsidRDefault="006F282F" w:rsidP="006F282F">
      <w:pPr>
        <w:autoSpaceDE w:val="0"/>
        <w:autoSpaceDN w:val="0"/>
        <w:adjustRightInd w:val="0"/>
        <w:spacing w:after="0" w:line="240" w:lineRule="auto"/>
        <w:rPr>
          <w:rFonts w:cstheme="minorHAnsi"/>
          <w:bCs/>
          <w:color w:val="1100EE"/>
        </w:rPr>
      </w:pPr>
      <w:r w:rsidRPr="006F282F">
        <w:rPr>
          <w:rFonts w:cstheme="minorHAnsi"/>
          <w:bCs/>
          <w:color w:val="1100EE"/>
        </w:rPr>
        <w:t>To identify statistically significant differences in performance</w:t>
      </w:r>
      <w:r w:rsidR="00304F04" w:rsidRPr="002B2631">
        <w:rPr>
          <w:rFonts w:cstheme="minorHAnsi"/>
          <w:bCs/>
          <w:color w:val="FF0000"/>
        </w:rPr>
        <w:t xml:space="preserve"> </w:t>
      </w:r>
      <w:r w:rsidR="00304F04" w:rsidRPr="001B3322">
        <w:rPr>
          <w:rFonts w:cstheme="minorHAnsi"/>
          <w:bCs/>
          <w:color w:val="FF0000"/>
        </w:rPr>
        <w:t>for states</w:t>
      </w:r>
      <w:r w:rsidR="001B3322">
        <w:rPr>
          <w:rFonts w:cstheme="minorHAnsi"/>
          <w:bCs/>
          <w:color w:val="FF0000"/>
        </w:rPr>
        <w:t xml:space="preserve"> and physician groups</w:t>
      </w:r>
      <w:r w:rsidRPr="006F282F">
        <w:rPr>
          <w:rFonts w:cstheme="minorHAnsi"/>
          <w:bCs/>
          <w:color w:val="1100EE"/>
        </w:rPr>
        <w:t>, we conducted a comparison of means and percentiles</w:t>
      </w:r>
      <w:r>
        <w:rPr>
          <w:rFonts w:cstheme="minorHAnsi"/>
          <w:bCs/>
          <w:color w:val="1100EE"/>
        </w:rPr>
        <w:t>.</w:t>
      </w:r>
      <w:r w:rsidR="00CC0822">
        <w:rPr>
          <w:rFonts w:cstheme="minorHAnsi"/>
          <w:bCs/>
          <w:color w:val="1100EE"/>
        </w:rPr>
        <w:t xml:space="preserve"> </w:t>
      </w:r>
      <w:r w:rsidRPr="006F282F">
        <w:rPr>
          <w:rFonts w:cstheme="minorHAnsi"/>
          <w:bCs/>
          <w:color w:val="1100EE"/>
        </w:rPr>
        <w:t>Confidence intervals (95%) were calculated around point estimates and then compared to the grand mean of states</w:t>
      </w:r>
      <w:r>
        <w:rPr>
          <w:rFonts w:cstheme="minorHAnsi"/>
          <w:bCs/>
          <w:color w:val="1100EE"/>
        </w:rPr>
        <w:t>.</w:t>
      </w:r>
      <w:r w:rsidR="00CC0822">
        <w:rPr>
          <w:rFonts w:cstheme="minorHAnsi"/>
          <w:bCs/>
          <w:color w:val="1100EE"/>
        </w:rPr>
        <w:t xml:space="preserve"> </w:t>
      </w:r>
      <w:r w:rsidRPr="006F282F">
        <w:rPr>
          <w:rFonts w:cstheme="minorHAnsi"/>
          <w:bCs/>
          <w:color w:val="1100EE"/>
        </w:rPr>
        <w:t>If the confidence intervals did not overlap with the overall grand mean, the comparison was considered statistically significant.</w:t>
      </w:r>
    </w:p>
    <w:p w14:paraId="5D625ADD" w14:textId="21D4C5AB" w:rsidR="00304F04" w:rsidRDefault="00304F04" w:rsidP="006F282F">
      <w:pPr>
        <w:autoSpaceDE w:val="0"/>
        <w:autoSpaceDN w:val="0"/>
        <w:adjustRightInd w:val="0"/>
        <w:spacing w:after="0" w:line="240" w:lineRule="auto"/>
        <w:rPr>
          <w:rFonts w:cstheme="minorHAnsi"/>
          <w:bCs/>
          <w:color w:val="1100EE"/>
        </w:rPr>
      </w:pPr>
    </w:p>
    <w:p w14:paraId="7AAFECC3" w14:textId="61ACC5F6" w:rsidR="00304F04" w:rsidRPr="002B2631" w:rsidRDefault="001B3322" w:rsidP="006F282F">
      <w:pPr>
        <w:autoSpaceDE w:val="0"/>
        <w:autoSpaceDN w:val="0"/>
        <w:adjustRightInd w:val="0"/>
        <w:spacing w:after="0" w:line="240" w:lineRule="auto"/>
        <w:rPr>
          <w:rFonts w:cstheme="minorHAnsi"/>
          <w:bCs/>
          <w:color w:val="FF0000"/>
        </w:rPr>
      </w:pPr>
      <w:r>
        <w:rPr>
          <w:rFonts w:cstheme="minorHAnsi"/>
          <w:bCs/>
          <w:color w:val="FF0000"/>
        </w:rPr>
        <w:t>For physician</w:t>
      </w:r>
      <w:r w:rsidR="00304F04" w:rsidRPr="002B2631">
        <w:rPr>
          <w:rFonts w:cstheme="minorHAnsi"/>
          <w:bCs/>
          <w:color w:val="FF0000"/>
        </w:rPr>
        <w:t xml:space="preserve"> groups and health plan</w:t>
      </w:r>
      <w:r>
        <w:rPr>
          <w:rFonts w:cstheme="minorHAnsi"/>
          <w:bCs/>
          <w:color w:val="FF0000"/>
        </w:rPr>
        <w:t>s</w:t>
      </w:r>
      <w:r w:rsidR="00304F04" w:rsidRPr="002B2631">
        <w:rPr>
          <w:rFonts w:cstheme="minorHAnsi"/>
          <w:bCs/>
          <w:color w:val="FF0000"/>
        </w:rPr>
        <w:t xml:space="preserve">, </w:t>
      </w:r>
      <w:r w:rsidR="00304F04" w:rsidRPr="002B2631">
        <w:rPr>
          <w:rFonts w:eastAsia="Calibri"/>
          <w:color w:val="FF0000"/>
        </w:rPr>
        <w:t>the observed sample sizes of members of each comparison unit were tested empirically to determine whether there was sufficient power to detect statistically significant differences between members (e.g., between plans or between physician groups).</w:t>
      </w:r>
      <w:r w:rsidR="00C42676">
        <w:rPr>
          <w:rFonts w:eastAsia="Calibri"/>
          <w:color w:val="FF0000"/>
        </w:rPr>
        <w:t xml:space="preserve"> </w:t>
      </w:r>
      <w:r w:rsidR="00304F04" w:rsidRPr="002B2631">
        <w:rPr>
          <w:rFonts w:eastAsia="Calibri"/>
          <w:color w:val="FF0000"/>
        </w:rPr>
        <w:t>To do this, all members were divided into quintiles according to their measure score.</w:t>
      </w:r>
      <w:r w:rsidR="00C42676">
        <w:rPr>
          <w:rFonts w:eastAsia="Calibri"/>
          <w:color w:val="FF0000"/>
        </w:rPr>
        <w:t xml:space="preserve"> </w:t>
      </w:r>
      <w:r w:rsidR="00304F04" w:rsidRPr="002B2631">
        <w:rPr>
          <w:rFonts w:eastAsia="Calibri"/>
          <w:color w:val="FF0000"/>
        </w:rPr>
        <w:t>Within each quintile, the member with a denominator closest in size to the median denominator of the quintile and the member with the measure score closest to the median measure score of that quintile were identified.</w:t>
      </w:r>
      <w:r w:rsidR="00C42676">
        <w:rPr>
          <w:rFonts w:eastAsia="Calibri"/>
          <w:color w:val="FF0000"/>
        </w:rPr>
        <w:t xml:space="preserve"> </w:t>
      </w:r>
      <w:r w:rsidR="00304F04" w:rsidRPr="002B2631">
        <w:rPr>
          <w:rFonts w:eastAsia="Calibri"/>
          <w:color w:val="FF0000"/>
        </w:rPr>
        <w:t>Comparison of members based on their median denominator size was made, because a relationship between denominator size and quality cannot be excluded a priori.</w:t>
      </w:r>
      <w:r w:rsidR="00C42676">
        <w:rPr>
          <w:rFonts w:eastAsia="Calibri"/>
          <w:color w:val="FF0000"/>
        </w:rPr>
        <w:t xml:space="preserve"> </w:t>
      </w:r>
      <w:r w:rsidR="00304F04" w:rsidRPr="002B2631">
        <w:rPr>
          <w:rFonts w:eastAsia="Calibri"/>
          <w:color w:val="FF0000"/>
        </w:rPr>
        <w:t>In addition, a “standardized” member of each quintile was simulated by using the median denominator size across all quintiles.</w:t>
      </w:r>
      <w:r w:rsidR="00C42676">
        <w:rPr>
          <w:rFonts w:eastAsia="Calibri"/>
          <w:color w:val="FF0000"/>
        </w:rPr>
        <w:t xml:space="preserve"> </w:t>
      </w:r>
      <w:r w:rsidR="00304F04" w:rsidRPr="002B2631">
        <w:rPr>
          <w:rFonts w:eastAsia="Calibri"/>
          <w:color w:val="FF0000"/>
        </w:rPr>
        <w:t>Binomial (exact) 95% confidence intervals for each of the 10 selected plans or physician groups (i.e., two plans or physician groups per quintile) were calculated around the point estimates.</w:t>
      </w:r>
      <w:r w:rsidR="00C42676">
        <w:rPr>
          <w:rFonts w:eastAsia="Calibri"/>
          <w:color w:val="FF0000"/>
        </w:rPr>
        <w:t xml:space="preserve"> </w:t>
      </w:r>
      <w:r w:rsidR="00304F04" w:rsidRPr="002B2631">
        <w:rPr>
          <w:rFonts w:eastAsia="Calibri"/>
          <w:color w:val="FF0000"/>
        </w:rPr>
        <w:t>Overlapping confidence intervals indicate insufficient statistical power to detect statistically significant differences.</w:t>
      </w:r>
    </w:p>
    <w:p w14:paraId="3A492CCE" w14:textId="77777777" w:rsidR="006F282F" w:rsidRPr="00A25024" w:rsidRDefault="006F282F" w:rsidP="00D61410">
      <w:pPr>
        <w:autoSpaceDE w:val="0"/>
        <w:autoSpaceDN w:val="0"/>
        <w:adjustRightInd w:val="0"/>
        <w:spacing w:after="0" w:line="240" w:lineRule="auto"/>
        <w:rPr>
          <w:rFonts w:cstheme="minorHAnsi"/>
          <w:bCs/>
        </w:rPr>
      </w:pPr>
    </w:p>
    <w:p w14:paraId="0CABD00A" w14:textId="1BA155DB"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r w:rsidR="00D61410" w:rsidRPr="00A25024">
        <w:rPr>
          <w:rFonts w:cstheme="minorHAnsi"/>
          <w:bCs/>
        </w:rPr>
        <w:br/>
      </w:r>
    </w:p>
    <w:p w14:paraId="6C22DF0D" w14:textId="77777777" w:rsidR="00CC0822" w:rsidRPr="00CC0822" w:rsidRDefault="00CC0822" w:rsidP="00CC0822">
      <w:pPr>
        <w:autoSpaceDE w:val="0"/>
        <w:autoSpaceDN w:val="0"/>
        <w:adjustRightInd w:val="0"/>
        <w:spacing w:after="0" w:line="240" w:lineRule="auto"/>
        <w:rPr>
          <w:rFonts w:cstheme="minorHAnsi"/>
          <w:b/>
          <w:bCs/>
          <w:color w:val="1100EE"/>
        </w:rPr>
      </w:pPr>
      <w:r w:rsidRPr="00CC0822">
        <w:rPr>
          <w:rFonts w:cstheme="minorHAnsi"/>
          <w:b/>
          <w:bCs/>
          <w:color w:val="1100EE"/>
        </w:rPr>
        <w:t>Meaningful Differences at the State Level</w:t>
      </w:r>
    </w:p>
    <w:p w14:paraId="754F185E" w14:textId="19748A05" w:rsidR="009B66A9" w:rsidRPr="009B66A9" w:rsidRDefault="009B66A9" w:rsidP="009B66A9">
      <w:pPr>
        <w:shd w:val="clear" w:color="auto" w:fill="FFFFFF"/>
        <w:spacing w:after="0" w:line="240" w:lineRule="auto"/>
        <w:rPr>
          <w:rFonts w:ascii="Trebuchet MS" w:eastAsia="Times New Roman" w:hAnsi="Trebuchet MS"/>
          <w:color w:val="1100EE"/>
          <w:sz w:val="20"/>
          <w:szCs w:val="20"/>
        </w:rPr>
      </w:pPr>
      <w:r w:rsidRPr="009B66A9">
        <w:rPr>
          <w:rFonts w:ascii="Trebuchet MS" w:eastAsia="Times New Roman" w:hAnsi="Trebuchet MS"/>
          <w:color w:val="1100EE"/>
          <w:sz w:val="20"/>
          <w:szCs w:val="20"/>
        </w:rPr>
        <w:lastRenderedPageBreak/>
        <w:t xml:space="preserve">Below we present the measure rate by state, mean, median, and standard deviation. </w:t>
      </w:r>
    </w:p>
    <w:p w14:paraId="4FC66F3F" w14:textId="68EF062E" w:rsidR="009B66A9" w:rsidRPr="009B66A9" w:rsidRDefault="009C6A1F" w:rsidP="009B66A9">
      <w:pPr>
        <w:shd w:val="clear" w:color="auto" w:fill="FFFFFF"/>
        <w:spacing w:after="0" w:line="240" w:lineRule="auto"/>
        <w:rPr>
          <w:rFonts w:ascii="Trebuchet MS" w:eastAsia="Times New Roman" w:hAnsi="Trebuchet MS"/>
          <w:color w:val="1100EE"/>
          <w:sz w:val="20"/>
          <w:szCs w:val="20"/>
        </w:rPr>
      </w:pPr>
      <w:r>
        <w:rPr>
          <w:rFonts w:cstheme="minorHAnsi"/>
          <w:bCs/>
          <w:color w:val="1100EE"/>
        </w:rPr>
        <w:t>State</w:t>
      </w:r>
      <w:r>
        <w:rPr>
          <w:rFonts w:ascii="Trebuchet MS" w:eastAsia="Times New Roman" w:hAnsi="Trebuchet MS"/>
          <w:color w:val="1100EE"/>
          <w:sz w:val="20"/>
          <w:szCs w:val="20"/>
        </w:rPr>
        <w:t xml:space="preserve"> </w:t>
      </w:r>
      <w:r w:rsidR="00C86561">
        <w:rPr>
          <w:rFonts w:ascii="Trebuchet MS" w:eastAsia="Times New Roman" w:hAnsi="Trebuchet MS"/>
          <w:color w:val="1100EE"/>
          <w:sz w:val="20"/>
          <w:szCs w:val="20"/>
        </w:rPr>
        <w:t>A</w:t>
      </w:r>
      <w:r w:rsidR="009B66A9" w:rsidRPr="009B66A9">
        <w:rPr>
          <w:rFonts w:ascii="Trebuchet MS" w:eastAsia="Times New Roman" w:hAnsi="Trebuchet MS"/>
          <w:color w:val="1100EE"/>
          <w:sz w:val="20"/>
          <w:szCs w:val="20"/>
        </w:rPr>
        <w:t xml:space="preserve"> – 67.5%</w:t>
      </w:r>
      <w:r w:rsidR="00CC0822" w:rsidRPr="00CC0822">
        <w:rPr>
          <w:rFonts w:ascii="Trebuchet MS" w:eastAsia="Times New Roman" w:hAnsi="Trebuchet MS"/>
          <w:color w:val="FF0000"/>
          <w:sz w:val="20"/>
          <w:szCs w:val="20"/>
        </w:rPr>
        <w:t>* (statistically significantly lower than the mean)</w:t>
      </w:r>
    </w:p>
    <w:p w14:paraId="0AA6A0A7" w14:textId="523B1E1D" w:rsidR="009B66A9" w:rsidRPr="009B66A9" w:rsidRDefault="009C6A1F" w:rsidP="009B66A9">
      <w:pPr>
        <w:shd w:val="clear" w:color="auto" w:fill="FFFFFF"/>
        <w:spacing w:after="0" w:line="240" w:lineRule="auto"/>
        <w:rPr>
          <w:rFonts w:ascii="Trebuchet MS" w:eastAsia="Times New Roman" w:hAnsi="Trebuchet MS"/>
          <w:color w:val="1100EE"/>
          <w:sz w:val="20"/>
          <w:szCs w:val="20"/>
        </w:rPr>
      </w:pPr>
      <w:r>
        <w:rPr>
          <w:rFonts w:cstheme="minorHAnsi"/>
          <w:bCs/>
          <w:color w:val="1100EE"/>
        </w:rPr>
        <w:t>State</w:t>
      </w:r>
      <w:r>
        <w:rPr>
          <w:rFonts w:ascii="Trebuchet MS" w:eastAsia="Times New Roman" w:hAnsi="Trebuchet MS"/>
          <w:color w:val="1100EE"/>
          <w:sz w:val="20"/>
          <w:szCs w:val="20"/>
        </w:rPr>
        <w:t xml:space="preserve"> </w:t>
      </w:r>
      <w:r w:rsidR="00C86561">
        <w:rPr>
          <w:rFonts w:ascii="Trebuchet MS" w:eastAsia="Times New Roman" w:hAnsi="Trebuchet MS"/>
          <w:color w:val="1100EE"/>
          <w:sz w:val="20"/>
          <w:szCs w:val="20"/>
        </w:rPr>
        <w:t>B</w:t>
      </w:r>
      <w:r w:rsidR="009B66A9" w:rsidRPr="009B66A9">
        <w:rPr>
          <w:rFonts w:ascii="Trebuchet MS" w:eastAsia="Times New Roman" w:hAnsi="Trebuchet MS"/>
          <w:color w:val="1100EE"/>
          <w:sz w:val="20"/>
          <w:szCs w:val="20"/>
        </w:rPr>
        <w:t xml:space="preserve"> – 76.4%</w:t>
      </w:r>
    </w:p>
    <w:p w14:paraId="356DD533" w14:textId="5572EA06" w:rsidR="009B66A9" w:rsidRPr="009B66A9" w:rsidRDefault="009C6A1F" w:rsidP="009B66A9">
      <w:pPr>
        <w:shd w:val="clear" w:color="auto" w:fill="FFFFFF"/>
        <w:spacing w:after="0" w:line="240" w:lineRule="auto"/>
        <w:rPr>
          <w:rFonts w:ascii="Trebuchet MS" w:eastAsia="Times New Roman" w:hAnsi="Trebuchet MS"/>
          <w:color w:val="1100EE"/>
          <w:sz w:val="20"/>
          <w:szCs w:val="20"/>
        </w:rPr>
      </w:pPr>
      <w:r>
        <w:rPr>
          <w:rFonts w:cstheme="minorHAnsi"/>
          <w:bCs/>
          <w:color w:val="1100EE"/>
        </w:rPr>
        <w:t>State</w:t>
      </w:r>
      <w:r>
        <w:rPr>
          <w:rFonts w:ascii="Trebuchet MS" w:eastAsia="Times New Roman" w:hAnsi="Trebuchet MS"/>
          <w:color w:val="1100EE"/>
          <w:sz w:val="20"/>
          <w:szCs w:val="20"/>
        </w:rPr>
        <w:t xml:space="preserve"> </w:t>
      </w:r>
      <w:r w:rsidR="00C86561">
        <w:rPr>
          <w:rFonts w:ascii="Trebuchet MS" w:eastAsia="Times New Roman" w:hAnsi="Trebuchet MS"/>
          <w:color w:val="1100EE"/>
          <w:sz w:val="20"/>
          <w:szCs w:val="20"/>
        </w:rPr>
        <w:t>C</w:t>
      </w:r>
      <w:r w:rsidR="009B66A9" w:rsidRPr="009B66A9">
        <w:rPr>
          <w:rFonts w:ascii="Trebuchet MS" w:eastAsia="Times New Roman" w:hAnsi="Trebuchet MS"/>
          <w:color w:val="1100EE"/>
          <w:sz w:val="20"/>
          <w:szCs w:val="20"/>
        </w:rPr>
        <w:t xml:space="preserve"> – 71.0%</w:t>
      </w:r>
      <w:r w:rsidR="00CC0822" w:rsidRPr="00CC0822">
        <w:rPr>
          <w:rFonts w:ascii="Trebuchet MS" w:eastAsia="Times New Roman" w:hAnsi="Trebuchet MS"/>
          <w:color w:val="FF0000"/>
          <w:sz w:val="20"/>
          <w:szCs w:val="20"/>
        </w:rPr>
        <w:t>* (statistically significantly lower than the mean)</w:t>
      </w:r>
    </w:p>
    <w:p w14:paraId="5198D7A6" w14:textId="581E6573" w:rsidR="009B66A9" w:rsidRPr="009B66A9" w:rsidRDefault="009C6A1F" w:rsidP="009B66A9">
      <w:pPr>
        <w:shd w:val="clear" w:color="auto" w:fill="FFFFFF"/>
        <w:spacing w:after="0" w:line="240" w:lineRule="auto"/>
        <w:rPr>
          <w:rFonts w:ascii="Trebuchet MS" w:eastAsia="Times New Roman" w:hAnsi="Trebuchet MS"/>
          <w:color w:val="1100EE"/>
          <w:sz w:val="20"/>
          <w:szCs w:val="20"/>
        </w:rPr>
      </w:pPr>
      <w:r>
        <w:rPr>
          <w:rFonts w:cstheme="minorHAnsi"/>
          <w:bCs/>
          <w:color w:val="1100EE"/>
        </w:rPr>
        <w:t>State</w:t>
      </w:r>
      <w:r>
        <w:rPr>
          <w:rFonts w:ascii="Trebuchet MS" w:eastAsia="Times New Roman" w:hAnsi="Trebuchet MS"/>
          <w:color w:val="1100EE"/>
          <w:sz w:val="20"/>
          <w:szCs w:val="20"/>
        </w:rPr>
        <w:t xml:space="preserve"> </w:t>
      </w:r>
      <w:r w:rsidR="00C86561">
        <w:rPr>
          <w:rFonts w:ascii="Trebuchet MS" w:eastAsia="Times New Roman" w:hAnsi="Trebuchet MS"/>
          <w:color w:val="1100EE"/>
          <w:sz w:val="20"/>
          <w:szCs w:val="20"/>
        </w:rPr>
        <w:t>D</w:t>
      </w:r>
      <w:r w:rsidR="009B66A9" w:rsidRPr="009B66A9">
        <w:rPr>
          <w:rFonts w:ascii="Trebuchet MS" w:eastAsia="Times New Roman" w:hAnsi="Trebuchet MS"/>
          <w:color w:val="1100EE"/>
          <w:sz w:val="20"/>
          <w:szCs w:val="20"/>
        </w:rPr>
        <w:t xml:space="preserve"> - 84.7%</w:t>
      </w:r>
      <w:bookmarkStart w:id="21" w:name="_Hlk500853766"/>
      <w:r w:rsidR="00CC0822" w:rsidRPr="00CC0822">
        <w:rPr>
          <w:rFonts w:ascii="Trebuchet MS" w:eastAsia="Times New Roman" w:hAnsi="Trebuchet MS"/>
          <w:color w:val="FF0000"/>
          <w:sz w:val="20"/>
          <w:szCs w:val="20"/>
        </w:rPr>
        <w:t xml:space="preserve">* (statistically significantly </w:t>
      </w:r>
      <w:r w:rsidR="00CC0822">
        <w:rPr>
          <w:rFonts w:ascii="Trebuchet MS" w:eastAsia="Times New Roman" w:hAnsi="Trebuchet MS"/>
          <w:color w:val="FF0000"/>
          <w:sz w:val="20"/>
          <w:szCs w:val="20"/>
        </w:rPr>
        <w:t>higher</w:t>
      </w:r>
      <w:r w:rsidR="00CC0822" w:rsidRPr="00CC0822">
        <w:rPr>
          <w:rFonts w:ascii="Trebuchet MS" w:eastAsia="Times New Roman" w:hAnsi="Trebuchet MS"/>
          <w:color w:val="FF0000"/>
          <w:sz w:val="20"/>
          <w:szCs w:val="20"/>
        </w:rPr>
        <w:t xml:space="preserve"> than the mean)</w:t>
      </w:r>
      <w:bookmarkEnd w:id="21"/>
    </w:p>
    <w:p w14:paraId="6F95D823" w14:textId="608FDE89" w:rsidR="009B66A9" w:rsidRPr="009B66A9" w:rsidRDefault="009C6A1F" w:rsidP="009B66A9">
      <w:pPr>
        <w:shd w:val="clear" w:color="auto" w:fill="FFFFFF"/>
        <w:spacing w:after="0" w:line="240" w:lineRule="auto"/>
        <w:rPr>
          <w:rFonts w:ascii="Trebuchet MS" w:eastAsia="Times New Roman" w:hAnsi="Trebuchet MS"/>
          <w:color w:val="1100EE"/>
          <w:sz w:val="20"/>
          <w:szCs w:val="20"/>
        </w:rPr>
      </w:pPr>
      <w:r>
        <w:rPr>
          <w:rFonts w:cstheme="minorHAnsi"/>
          <w:bCs/>
          <w:color w:val="1100EE"/>
        </w:rPr>
        <w:t>State</w:t>
      </w:r>
      <w:r>
        <w:rPr>
          <w:rFonts w:ascii="Trebuchet MS" w:eastAsia="Times New Roman" w:hAnsi="Trebuchet MS"/>
          <w:color w:val="1100EE"/>
          <w:sz w:val="20"/>
          <w:szCs w:val="20"/>
        </w:rPr>
        <w:t xml:space="preserve"> </w:t>
      </w:r>
      <w:r w:rsidR="00C86561">
        <w:rPr>
          <w:rFonts w:ascii="Trebuchet MS" w:eastAsia="Times New Roman" w:hAnsi="Trebuchet MS"/>
          <w:color w:val="1100EE"/>
          <w:sz w:val="20"/>
          <w:szCs w:val="20"/>
        </w:rPr>
        <w:t>E</w:t>
      </w:r>
      <w:r w:rsidR="009B66A9" w:rsidRPr="009B66A9">
        <w:rPr>
          <w:rFonts w:ascii="Trebuchet MS" w:eastAsia="Times New Roman" w:hAnsi="Trebuchet MS"/>
          <w:color w:val="1100EE"/>
          <w:sz w:val="20"/>
          <w:szCs w:val="20"/>
        </w:rPr>
        <w:t xml:space="preserve"> – 80.0%</w:t>
      </w:r>
    </w:p>
    <w:p w14:paraId="6291B8F0" w14:textId="5E1D98BC" w:rsidR="009B66A9" w:rsidRPr="009B66A9" w:rsidRDefault="009C6A1F" w:rsidP="009B66A9">
      <w:pPr>
        <w:shd w:val="clear" w:color="auto" w:fill="FFFFFF"/>
        <w:spacing w:after="0" w:line="240" w:lineRule="auto"/>
        <w:rPr>
          <w:rFonts w:ascii="Trebuchet MS" w:eastAsia="Times New Roman" w:hAnsi="Trebuchet MS"/>
          <w:color w:val="1100EE"/>
          <w:sz w:val="20"/>
          <w:szCs w:val="20"/>
        </w:rPr>
      </w:pPr>
      <w:r>
        <w:rPr>
          <w:rFonts w:cstheme="minorHAnsi"/>
          <w:bCs/>
          <w:color w:val="1100EE"/>
        </w:rPr>
        <w:t>State</w:t>
      </w:r>
      <w:r>
        <w:rPr>
          <w:rFonts w:ascii="Trebuchet MS" w:eastAsia="Times New Roman" w:hAnsi="Trebuchet MS"/>
          <w:color w:val="1100EE"/>
          <w:sz w:val="20"/>
          <w:szCs w:val="20"/>
        </w:rPr>
        <w:t xml:space="preserve"> </w:t>
      </w:r>
      <w:r w:rsidR="00C86561">
        <w:rPr>
          <w:rFonts w:ascii="Trebuchet MS" w:eastAsia="Times New Roman" w:hAnsi="Trebuchet MS"/>
          <w:color w:val="1100EE"/>
          <w:sz w:val="20"/>
          <w:szCs w:val="20"/>
        </w:rPr>
        <w:t>F</w:t>
      </w:r>
      <w:r w:rsidR="009B66A9" w:rsidRPr="009B66A9">
        <w:rPr>
          <w:rFonts w:ascii="Trebuchet MS" w:eastAsia="Times New Roman" w:hAnsi="Trebuchet MS"/>
          <w:color w:val="1100EE"/>
          <w:sz w:val="20"/>
          <w:szCs w:val="20"/>
        </w:rPr>
        <w:t xml:space="preserve"> - 68.5%</w:t>
      </w:r>
      <w:r w:rsidR="00CC0822" w:rsidRPr="00CC0822">
        <w:rPr>
          <w:rFonts w:ascii="Trebuchet MS" w:eastAsia="Times New Roman" w:hAnsi="Trebuchet MS"/>
          <w:color w:val="FF0000"/>
          <w:sz w:val="20"/>
          <w:szCs w:val="20"/>
        </w:rPr>
        <w:t>* (statistically significantly lower than the mean)</w:t>
      </w:r>
    </w:p>
    <w:p w14:paraId="0B70C3B4" w14:textId="5BA795C3" w:rsidR="009B66A9" w:rsidRPr="009B66A9" w:rsidRDefault="009C6A1F" w:rsidP="009B66A9">
      <w:pPr>
        <w:shd w:val="clear" w:color="auto" w:fill="FFFFFF"/>
        <w:spacing w:after="0" w:line="240" w:lineRule="auto"/>
        <w:rPr>
          <w:rFonts w:ascii="Trebuchet MS" w:eastAsia="Times New Roman" w:hAnsi="Trebuchet MS"/>
          <w:color w:val="1100EE"/>
          <w:sz w:val="20"/>
          <w:szCs w:val="20"/>
        </w:rPr>
      </w:pPr>
      <w:r>
        <w:rPr>
          <w:rFonts w:cstheme="minorHAnsi"/>
          <w:bCs/>
          <w:color w:val="1100EE"/>
        </w:rPr>
        <w:t>State</w:t>
      </w:r>
      <w:r>
        <w:rPr>
          <w:rFonts w:ascii="Trebuchet MS" w:eastAsia="Times New Roman" w:hAnsi="Trebuchet MS"/>
          <w:color w:val="1100EE"/>
          <w:sz w:val="20"/>
          <w:szCs w:val="20"/>
        </w:rPr>
        <w:t xml:space="preserve"> </w:t>
      </w:r>
      <w:r w:rsidR="00C86561">
        <w:rPr>
          <w:rFonts w:ascii="Trebuchet MS" w:eastAsia="Times New Roman" w:hAnsi="Trebuchet MS"/>
          <w:color w:val="1100EE"/>
          <w:sz w:val="20"/>
          <w:szCs w:val="20"/>
        </w:rPr>
        <w:t>G</w:t>
      </w:r>
      <w:r w:rsidR="009B66A9" w:rsidRPr="009B66A9">
        <w:rPr>
          <w:rFonts w:ascii="Trebuchet MS" w:eastAsia="Times New Roman" w:hAnsi="Trebuchet MS"/>
          <w:color w:val="1100EE"/>
          <w:sz w:val="20"/>
          <w:szCs w:val="20"/>
        </w:rPr>
        <w:t xml:space="preserve"> - 78.3%</w:t>
      </w:r>
    </w:p>
    <w:p w14:paraId="077B41C5" w14:textId="2957147D" w:rsidR="009B66A9" w:rsidRPr="009B66A9" w:rsidRDefault="009C6A1F" w:rsidP="009B66A9">
      <w:pPr>
        <w:shd w:val="clear" w:color="auto" w:fill="FFFFFF"/>
        <w:spacing w:after="0" w:line="240" w:lineRule="auto"/>
        <w:rPr>
          <w:rFonts w:ascii="Trebuchet MS" w:eastAsia="Times New Roman" w:hAnsi="Trebuchet MS"/>
          <w:color w:val="1100EE"/>
          <w:sz w:val="20"/>
          <w:szCs w:val="20"/>
        </w:rPr>
      </w:pPr>
      <w:r>
        <w:rPr>
          <w:rFonts w:cstheme="minorHAnsi"/>
          <w:bCs/>
          <w:color w:val="1100EE"/>
        </w:rPr>
        <w:t>State</w:t>
      </w:r>
      <w:r>
        <w:rPr>
          <w:rFonts w:ascii="Trebuchet MS" w:eastAsia="Times New Roman" w:hAnsi="Trebuchet MS"/>
          <w:color w:val="1100EE"/>
          <w:sz w:val="20"/>
          <w:szCs w:val="20"/>
        </w:rPr>
        <w:t xml:space="preserve"> </w:t>
      </w:r>
      <w:bookmarkStart w:id="22" w:name="_GoBack"/>
      <w:bookmarkEnd w:id="22"/>
      <w:r w:rsidR="00C86561">
        <w:rPr>
          <w:rFonts w:ascii="Trebuchet MS" w:eastAsia="Times New Roman" w:hAnsi="Trebuchet MS"/>
          <w:color w:val="1100EE"/>
          <w:sz w:val="20"/>
          <w:szCs w:val="20"/>
        </w:rPr>
        <w:t>H</w:t>
      </w:r>
      <w:r w:rsidR="009B66A9" w:rsidRPr="009B66A9">
        <w:rPr>
          <w:rFonts w:ascii="Trebuchet MS" w:eastAsia="Times New Roman" w:hAnsi="Trebuchet MS"/>
          <w:color w:val="1100EE"/>
          <w:sz w:val="20"/>
          <w:szCs w:val="20"/>
        </w:rPr>
        <w:t xml:space="preserve"> - 81.1%</w:t>
      </w:r>
    </w:p>
    <w:p w14:paraId="1737AF73" w14:textId="46D8D54A" w:rsidR="009B66A9" w:rsidRPr="009B66A9" w:rsidRDefault="009B66A9" w:rsidP="009B66A9">
      <w:pPr>
        <w:shd w:val="clear" w:color="auto" w:fill="FFFFFF"/>
        <w:spacing w:after="0" w:line="240" w:lineRule="auto"/>
        <w:rPr>
          <w:rFonts w:ascii="Trebuchet MS" w:eastAsia="Times New Roman" w:hAnsi="Trebuchet MS"/>
          <w:color w:val="1100EE"/>
          <w:sz w:val="20"/>
          <w:szCs w:val="20"/>
        </w:rPr>
      </w:pPr>
      <w:r w:rsidRPr="009B66A9">
        <w:rPr>
          <w:rFonts w:ascii="Trebuchet MS" w:eastAsia="Times New Roman" w:hAnsi="Trebuchet MS"/>
          <w:color w:val="1100EE"/>
          <w:sz w:val="20"/>
          <w:szCs w:val="20"/>
        </w:rPr>
        <w:t>Mean of state scores – 75.9%</w:t>
      </w:r>
    </w:p>
    <w:p w14:paraId="4E5288EC" w14:textId="77777777" w:rsidR="009B66A9" w:rsidRPr="009B66A9" w:rsidRDefault="009B66A9" w:rsidP="009B66A9">
      <w:pPr>
        <w:shd w:val="clear" w:color="auto" w:fill="FFFFFF"/>
        <w:spacing w:after="0" w:line="240" w:lineRule="auto"/>
        <w:rPr>
          <w:rFonts w:ascii="Trebuchet MS" w:eastAsia="Times New Roman" w:hAnsi="Trebuchet MS"/>
          <w:color w:val="1100EE"/>
          <w:sz w:val="20"/>
          <w:szCs w:val="20"/>
        </w:rPr>
      </w:pPr>
      <w:r w:rsidRPr="009B66A9">
        <w:rPr>
          <w:rFonts w:ascii="Trebuchet MS" w:eastAsia="Times New Roman" w:hAnsi="Trebuchet MS"/>
          <w:color w:val="1100EE"/>
          <w:sz w:val="20"/>
          <w:szCs w:val="20"/>
        </w:rPr>
        <w:t>Median of state scores – 77.4%</w:t>
      </w:r>
    </w:p>
    <w:p w14:paraId="4F5BAB6E" w14:textId="77777777" w:rsidR="009B66A9" w:rsidRPr="009B66A9" w:rsidRDefault="009B66A9" w:rsidP="009B66A9">
      <w:pPr>
        <w:shd w:val="clear" w:color="auto" w:fill="FFFFFF"/>
        <w:spacing w:after="0" w:line="240" w:lineRule="auto"/>
        <w:rPr>
          <w:rFonts w:ascii="Trebuchet MS" w:eastAsia="Times New Roman" w:hAnsi="Trebuchet MS"/>
          <w:color w:val="1100EE"/>
          <w:sz w:val="20"/>
          <w:szCs w:val="20"/>
        </w:rPr>
      </w:pPr>
      <w:r w:rsidRPr="009B66A9">
        <w:rPr>
          <w:rFonts w:ascii="Trebuchet MS" w:eastAsia="Times New Roman" w:hAnsi="Trebuchet MS"/>
          <w:color w:val="1100EE"/>
          <w:sz w:val="20"/>
          <w:szCs w:val="20"/>
        </w:rPr>
        <w:t>Standard deviation of state scores – 6.3%</w:t>
      </w:r>
    </w:p>
    <w:p w14:paraId="0CABD00B" w14:textId="64CFF0A9" w:rsidR="00D61410" w:rsidRPr="009B66A9" w:rsidRDefault="00D61410" w:rsidP="00D61410">
      <w:pPr>
        <w:autoSpaceDE w:val="0"/>
        <w:autoSpaceDN w:val="0"/>
        <w:adjustRightInd w:val="0"/>
        <w:spacing w:after="0" w:line="240" w:lineRule="auto"/>
        <w:rPr>
          <w:rFonts w:cstheme="minorHAnsi"/>
          <w:bCs/>
          <w:color w:val="1100EE"/>
        </w:rPr>
      </w:pPr>
    </w:p>
    <w:p w14:paraId="63ED549D" w14:textId="715FE0E8" w:rsidR="00304F04" w:rsidRDefault="00CC0822" w:rsidP="002B2631">
      <w:pPr>
        <w:autoSpaceDE w:val="0"/>
        <w:autoSpaceDN w:val="0"/>
        <w:adjustRightInd w:val="0"/>
        <w:spacing w:after="0" w:line="240" w:lineRule="auto"/>
        <w:rPr>
          <w:rFonts w:cstheme="minorHAnsi"/>
          <w:b/>
          <w:bCs/>
          <w:color w:val="FF0000"/>
        </w:rPr>
      </w:pPr>
      <w:r w:rsidRPr="002B2631">
        <w:rPr>
          <w:rFonts w:cstheme="minorHAnsi"/>
          <w:b/>
          <w:bCs/>
          <w:color w:val="FF0000"/>
        </w:rPr>
        <w:t>Meaningful Differences at the Physician Group Level</w:t>
      </w:r>
    </w:p>
    <w:p w14:paraId="7CE4D621" w14:textId="77777777" w:rsidR="001B3322" w:rsidRPr="009B66A9" w:rsidRDefault="001B3322" w:rsidP="001B3322">
      <w:pPr>
        <w:autoSpaceDE w:val="0"/>
        <w:autoSpaceDN w:val="0"/>
        <w:adjustRightInd w:val="0"/>
        <w:spacing w:after="0" w:line="240" w:lineRule="auto"/>
        <w:rPr>
          <w:rFonts w:cstheme="minorHAnsi"/>
          <w:bCs/>
          <w:color w:val="1100EE"/>
        </w:rPr>
      </w:pPr>
      <w:r w:rsidRPr="009B66A9">
        <w:rPr>
          <w:rFonts w:cstheme="minorHAnsi"/>
          <w:bCs/>
          <w:color w:val="1100EE"/>
        </w:rPr>
        <w:t>Below we present the mean, standard deviation, and percentiles at the physician group level.</w:t>
      </w:r>
    </w:p>
    <w:p w14:paraId="71F7B895" w14:textId="77777777" w:rsidR="001B3322" w:rsidRPr="009B66A9" w:rsidRDefault="001B3322" w:rsidP="001B3322">
      <w:pPr>
        <w:autoSpaceDE w:val="0"/>
        <w:autoSpaceDN w:val="0"/>
        <w:adjustRightInd w:val="0"/>
        <w:spacing w:after="0" w:line="240" w:lineRule="auto"/>
        <w:rPr>
          <w:rFonts w:cstheme="minorHAnsi"/>
          <w:bCs/>
          <w:color w:val="1100EE"/>
        </w:rPr>
      </w:pPr>
      <w:r w:rsidRPr="009B66A9">
        <w:rPr>
          <w:rFonts w:cstheme="minorHAnsi"/>
          <w:bCs/>
          <w:color w:val="1100EE"/>
        </w:rPr>
        <w:t>Number of Physician Groups with at least 45 individuals in measure denominator = 36</w:t>
      </w:r>
    </w:p>
    <w:p w14:paraId="477121FE" w14:textId="77777777" w:rsidR="001B3322" w:rsidRPr="009B66A9" w:rsidRDefault="001B3322" w:rsidP="001B3322">
      <w:pPr>
        <w:autoSpaceDE w:val="0"/>
        <w:autoSpaceDN w:val="0"/>
        <w:adjustRightInd w:val="0"/>
        <w:spacing w:after="0" w:line="240" w:lineRule="auto"/>
        <w:rPr>
          <w:rFonts w:cstheme="minorHAnsi"/>
          <w:bCs/>
          <w:color w:val="1100EE"/>
        </w:rPr>
      </w:pPr>
      <w:r w:rsidRPr="009B66A9">
        <w:rPr>
          <w:rFonts w:cstheme="minorHAnsi"/>
          <w:bCs/>
          <w:color w:val="1100EE"/>
        </w:rPr>
        <w:t>Mean: 81.4%</w:t>
      </w:r>
    </w:p>
    <w:p w14:paraId="5A31DC79" w14:textId="77777777" w:rsidR="001B3322" w:rsidRPr="009B66A9" w:rsidRDefault="001B3322" w:rsidP="001B3322">
      <w:pPr>
        <w:autoSpaceDE w:val="0"/>
        <w:autoSpaceDN w:val="0"/>
        <w:adjustRightInd w:val="0"/>
        <w:spacing w:after="0" w:line="240" w:lineRule="auto"/>
        <w:rPr>
          <w:rFonts w:cstheme="minorHAnsi"/>
          <w:bCs/>
          <w:color w:val="1100EE"/>
        </w:rPr>
      </w:pPr>
      <w:r w:rsidRPr="009B66A9">
        <w:rPr>
          <w:rFonts w:cstheme="minorHAnsi"/>
          <w:bCs/>
          <w:color w:val="1100EE"/>
        </w:rPr>
        <w:t>SD: 10.8%</w:t>
      </w:r>
    </w:p>
    <w:p w14:paraId="45E3E792" w14:textId="77777777" w:rsidR="001B3322" w:rsidRPr="009B66A9" w:rsidRDefault="001B3322" w:rsidP="001B3322">
      <w:pPr>
        <w:autoSpaceDE w:val="0"/>
        <w:autoSpaceDN w:val="0"/>
        <w:adjustRightInd w:val="0"/>
        <w:spacing w:after="0" w:line="240" w:lineRule="auto"/>
        <w:rPr>
          <w:rFonts w:cstheme="minorHAnsi"/>
          <w:bCs/>
          <w:color w:val="1100EE"/>
        </w:rPr>
      </w:pPr>
      <w:r w:rsidRPr="009B66A9">
        <w:rPr>
          <w:rFonts w:cstheme="minorHAnsi"/>
          <w:bCs/>
          <w:color w:val="1100EE"/>
        </w:rPr>
        <w:t>10th Percentile: 68.0%</w:t>
      </w:r>
    </w:p>
    <w:p w14:paraId="5337AF2B" w14:textId="77777777" w:rsidR="001B3322" w:rsidRPr="009B66A9" w:rsidRDefault="001B3322" w:rsidP="001B3322">
      <w:pPr>
        <w:autoSpaceDE w:val="0"/>
        <w:autoSpaceDN w:val="0"/>
        <w:adjustRightInd w:val="0"/>
        <w:spacing w:after="0" w:line="240" w:lineRule="auto"/>
        <w:rPr>
          <w:rFonts w:cstheme="minorHAnsi"/>
          <w:bCs/>
          <w:color w:val="1100EE"/>
        </w:rPr>
      </w:pPr>
      <w:r w:rsidRPr="009B66A9">
        <w:rPr>
          <w:rFonts w:cstheme="minorHAnsi"/>
          <w:bCs/>
          <w:color w:val="1100EE"/>
        </w:rPr>
        <w:t>25th Percentile: 77.9%</w:t>
      </w:r>
    </w:p>
    <w:p w14:paraId="1A47EA60" w14:textId="77777777" w:rsidR="001B3322" w:rsidRPr="009B66A9" w:rsidRDefault="001B3322" w:rsidP="001B3322">
      <w:pPr>
        <w:autoSpaceDE w:val="0"/>
        <w:autoSpaceDN w:val="0"/>
        <w:adjustRightInd w:val="0"/>
        <w:spacing w:after="0" w:line="240" w:lineRule="auto"/>
        <w:rPr>
          <w:rFonts w:cstheme="minorHAnsi"/>
          <w:bCs/>
          <w:color w:val="1100EE"/>
        </w:rPr>
      </w:pPr>
      <w:r w:rsidRPr="009B66A9">
        <w:rPr>
          <w:rFonts w:cstheme="minorHAnsi"/>
          <w:bCs/>
          <w:color w:val="1100EE"/>
        </w:rPr>
        <w:t>50th Percentile: 82.6%</w:t>
      </w:r>
    </w:p>
    <w:p w14:paraId="53F731FA" w14:textId="77777777" w:rsidR="001B3322" w:rsidRPr="009B66A9" w:rsidRDefault="001B3322" w:rsidP="001B3322">
      <w:pPr>
        <w:autoSpaceDE w:val="0"/>
        <w:autoSpaceDN w:val="0"/>
        <w:adjustRightInd w:val="0"/>
        <w:spacing w:after="0" w:line="240" w:lineRule="auto"/>
        <w:rPr>
          <w:rFonts w:cstheme="minorHAnsi"/>
          <w:bCs/>
          <w:color w:val="1100EE"/>
        </w:rPr>
      </w:pPr>
      <w:r w:rsidRPr="009B66A9">
        <w:rPr>
          <w:rFonts w:cstheme="minorHAnsi"/>
          <w:bCs/>
          <w:color w:val="1100EE"/>
        </w:rPr>
        <w:t>75th Percentile: 89.0%</w:t>
      </w:r>
    </w:p>
    <w:p w14:paraId="4D451A23" w14:textId="77777777" w:rsidR="001B3322" w:rsidRPr="009B66A9" w:rsidRDefault="001B3322" w:rsidP="001B3322">
      <w:pPr>
        <w:autoSpaceDE w:val="0"/>
        <w:autoSpaceDN w:val="0"/>
        <w:adjustRightInd w:val="0"/>
        <w:spacing w:after="0" w:line="240" w:lineRule="auto"/>
        <w:rPr>
          <w:rFonts w:cstheme="minorHAnsi"/>
          <w:bCs/>
          <w:color w:val="1100EE"/>
        </w:rPr>
      </w:pPr>
      <w:r w:rsidRPr="009B66A9">
        <w:rPr>
          <w:rFonts w:cstheme="minorHAnsi"/>
          <w:bCs/>
          <w:color w:val="1100EE"/>
        </w:rPr>
        <w:t>90th Percentile: 92.3%</w:t>
      </w:r>
    </w:p>
    <w:p w14:paraId="06440A1D" w14:textId="13ABE72D" w:rsidR="001B3322" w:rsidRDefault="001B3322" w:rsidP="001B3322">
      <w:pPr>
        <w:autoSpaceDE w:val="0"/>
        <w:autoSpaceDN w:val="0"/>
        <w:adjustRightInd w:val="0"/>
        <w:spacing w:after="0" w:line="240" w:lineRule="auto"/>
        <w:rPr>
          <w:rFonts w:cstheme="minorHAnsi"/>
          <w:bCs/>
          <w:color w:val="1100EE"/>
        </w:rPr>
      </w:pPr>
      <w:r w:rsidRPr="009B66A9">
        <w:rPr>
          <w:rFonts w:cstheme="minorHAnsi"/>
          <w:bCs/>
          <w:color w:val="1100EE"/>
        </w:rPr>
        <w:t>Of physician group scores, 8.3% were statistically significantly lower than the mean, and 33.3% of physician group scores were statistically significantly higher than the mean, indicating a wide range of scores.</w:t>
      </w:r>
    </w:p>
    <w:p w14:paraId="44D064B1" w14:textId="77777777" w:rsidR="00E4739A" w:rsidRPr="002B2631" w:rsidRDefault="00E4739A" w:rsidP="001B3322">
      <w:pPr>
        <w:autoSpaceDE w:val="0"/>
        <w:autoSpaceDN w:val="0"/>
        <w:adjustRightInd w:val="0"/>
        <w:spacing w:after="0" w:line="240" w:lineRule="auto"/>
        <w:rPr>
          <w:rFonts w:cstheme="minorHAnsi"/>
          <w:b/>
          <w:bCs/>
          <w:color w:val="FF0000"/>
        </w:rPr>
      </w:pPr>
    </w:p>
    <w:tbl>
      <w:tblPr>
        <w:tblW w:w="9423"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2102"/>
        <w:gridCol w:w="1530"/>
        <w:gridCol w:w="1440"/>
        <w:gridCol w:w="1440"/>
        <w:gridCol w:w="1440"/>
        <w:gridCol w:w="1471"/>
      </w:tblGrid>
      <w:tr w:rsidR="00304F04" w:rsidRPr="00304F04" w14:paraId="4825412B" w14:textId="77777777" w:rsidTr="00CD05A3">
        <w:trPr>
          <w:trHeight w:val="288"/>
          <w:tblHeader/>
          <w:jc w:val="center"/>
        </w:trPr>
        <w:tc>
          <w:tcPr>
            <w:tcW w:w="2102" w:type="dxa"/>
            <w:shd w:val="clear" w:color="auto" w:fill="DBE5F1"/>
            <w:vAlign w:val="center"/>
          </w:tcPr>
          <w:p w14:paraId="22D3F3F0" w14:textId="77777777" w:rsidR="00304F04" w:rsidRPr="002B2631" w:rsidRDefault="00304F04" w:rsidP="002B2631">
            <w:pPr>
              <w:spacing w:after="0" w:line="240" w:lineRule="auto"/>
              <w:jc w:val="center"/>
              <w:rPr>
                <w:rFonts w:eastAsia="Calibri"/>
                <w:b/>
                <w:color w:val="FF0000"/>
              </w:rPr>
            </w:pPr>
            <w:r w:rsidRPr="002B2631">
              <w:rPr>
                <w:rFonts w:eastAsia="Calibri"/>
                <w:b/>
                <w:color w:val="FF0000"/>
              </w:rPr>
              <w:t>Across Physician Groups with ≥ 30 Beneficiaries</w:t>
            </w:r>
          </w:p>
        </w:tc>
        <w:tc>
          <w:tcPr>
            <w:tcW w:w="1530" w:type="dxa"/>
            <w:shd w:val="clear" w:color="auto" w:fill="DBE5F1"/>
            <w:vAlign w:val="center"/>
          </w:tcPr>
          <w:p w14:paraId="3841FD0E" w14:textId="77777777" w:rsidR="00304F04" w:rsidRPr="002B2631" w:rsidRDefault="00304F04" w:rsidP="002B2631">
            <w:pPr>
              <w:spacing w:after="0" w:line="240" w:lineRule="auto"/>
              <w:jc w:val="center"/>
              <w:rPr>
                <w:rFonts w:eastAsia="Calibri"/>
                <w:b/>
                <w:color w:val="FF0000"/>
              </w:rPr>
            </w:pPr>
            <w:r w:rsidRPr="002B2631">
              <w:rPr>
                <w:rFonts w:eastAsia="Calibri"/>
                <w:b/>
                <w:color w:val="FF0000"/>
              </w:rPr>
              <w:t>Quintile 1</w:t>
            </w:r>
          </w:p>
        </w:tc>
        <w:tc>
          <w:tcPr>
            <w:tcW w:w="1440" w:type="dxa"/>
            <w:shd w:val="clear" w:color="auto" w:fill="DBE5F1"/>
            <w:vAlign w:val="center"/>
          </w:tcPr>
          <w:p w14:paraId="5695C4C5" w14:textId="77777777" w:rsidR="00304F04" w:rsidRPr="002B2631" w:rsidRDefault="00304F04" w:rsidP="002B2631">
            <w:pPr>
              <w:spacing w:after="0" w:line="240" w:lineRule="auto"/>
              <w:jc w:val="center"/>
              <w:rPr>
                <w:rFonts w:eastAsia="Calibri"/>
                <w:b/>
                <w:color w:val="FF0000"/>
              </w:rPr>
            </w:pPr>
            <w:r w:rsidRPr="002B2631">
              <w:rPr>
                <w:rFonts w:eastAsia="Calibri"/>
                <w:b/>
                <w:color w:val="FF0000"/>
              </w:rPr>
              <w:t>Quintile 2</w:t>
            </w:r>
          </w:p>
        </w:tc>
        <w:tc>
          <w:tcPr>
            <w:tcW w:w="1440" w:type="dxa"/>
            <w:shd w:val="clear" w:color="auto" w:fill="DBE5F1"/>
            <w:vAlign w:val="center"/>
          </w:tcPr>
          <w:p w14:paraId="4AAAACBB" w14:textId="77777777" w:rsidR="00304F04" w:rsidRPr="002B2631" w:rsidRDefault="00304F04" w:rsidP="002B2631">
            <w:pPr>
              <w:spacing w:after="0" w:line="240" w:lineRule="auto"/>
              <w:jc w:val="center"/>
              <w:rPr>
                <w:rFonts w:eastAsia="Calibri"/>
                <w:b/>
                <w:color w:val="FF0000"/>
              </w:rPr>
            </w:pPr>
            <w:r w:rsidRPr="002B2631">
              <w:rPr>
                <w:rFonts w:eastAsia="Calibri"/>
                <w:b/>
                <w:color w:val="FF0000"/>
              </w:rPr>
              <w:t>Quintile 3</w:t>
            </w:r>
          </w:p>
        </w:tc>
        <w:tc>
          <w:tcPr>
            <w:tcW w:w="1440" w:type="dxa"/>
            <w:shd w:val="clear" w:color="auto" w:fill="DBE5F1"/>
            <w:vAlign w:val="center"/>
          </w:tcPr>
          <w:p w14:paraId="10B162BF" w14:textId="77777777" w:rsidR="00304F04" w:rsidRPr="002B2631" w:rsidRDefault="00304F04" w:rsidP="002B2631">
            <w:pPr>
              <w:spacing w:after="0" w:line="240" w:lineRule="auto"/>
              <w:jc w:val="center"/>
              <w:rPr>
                <w:rFonts w:eastAsia="Calibri"/>
                <w:b/>
                <w:color w:val="FF0000"/>
              </w:rPr>
            </w:pPr>
            <w:r w:rsidRPr="002B2631">
              <w:rPr>
                <w:rFonts w:eastAsia="Calibri"/>
                <w:b/>
                <w:color w:val="FF0000"/>
              </w:rPr>
              <w:t>Quintile 4</w:t>
            </w:r>
          </w:p>
        </w:tc>
        <w:tc>
          <w:tcPr>
            <w:tcW w:w="1471" w:type="dxa"/>
            <w:shd w:val="clear" w:color="auto" w:fill="DBE5F1"/>
            <w:vAlign w:val="center"/>
          </w:tcPr>
          <w:p w14:paraId="0025E094" w14:textId="77777777" w:rsidR="00304F04" w:rsidRPr="002B2631" w:rsidRDefault="00304F04" w:rsidP="002B2631">
            <w:pPr>
              <w:spacing w:after="0" w:line="240" w:lineRule="auto"/>
              <w:jc w:val="center"/>
              <w:rPr>
                <w:rFonts w:eastAsia="Calibri"/>
                <w:b/>
                <w:color w:val="FF0000"/>
              </w:rPr>
            </w:pPr>
            <w:r w:rsidRPr="002B2631">
              <w:rPr>
                <w:rFonts w:eastAsia="Calibri"/>
                <w:b/>
                <w:color w:val="FF0000"/>
              </w:rPr>
              <w:t>Quintile 5</w:t>
            </w:r>
          </w:p>
        </w:tc>
      </w:tr>
      <w:tr w:rsidR="00304F04" w:rsidRPr="00304F04" w14:paraId="560F7ACF" w14:textId="77777777" w:rsidTr="00CD05A3">
        <w:trPr>
          <w:trHeight w:val="288"/>
          <w:jc w:val="center"/>
        </w:trPr>
        <w:tc>
          <w:tcPr>
            <w:tcW w:w="2102" w:type="dxa"/>
            <w:vAlign w:val="center"/>
          </w:tcPr>
          <w:p w14:paraId="5841D953" w14:textId="77777777" w:rsidR="00304F04" w:rsidRPr="002B2631" w:rsidRDefault="00304F04" w:rsidP="002B2631">
            <w:pPr>
              <w:spacing w:after="0" w:line="240" w:lineRule="auto"/>
              <w:rPr>
                <w:rFonts w:eastAsia="Calibri"/>
                <w:b/>
                <w:color w:val="FF0000"/>
              </w:rPr>
            </w:pPr>
            <w:r w:rsidRPr="002B2631">
              <w:rPr>
                <w:rFonts w:eastAsia="Calibri"/>
                <w:b/>
                <w:color w:val="FF0000"/>
              </w:rPr>
              <w:t>Number of physician groups</w:t>
            </w:r>
          </w:p>
        </w:tc>
        <w:tc>
          <w:tcPr>
            <w:tcW w:w="1530" w:type="dxa"/>
            <w:vAlign w:val="center"/>
          </w:tcPr>
          <w:p w14:paraId="713B310C" w14:textId="77777777" w:rsidR="00304F04" w:rsidRPr="002B2631" w:rsidRDefault="00304F04" w:rsidP="002B2631">
            <w:pPr>
              <w:spacing w:after="0" w:line="240" w:lineRule="auto"/>
              <w:jc w:val="center"/>
              <w:rPr>
                <w:color w:val="FF0000"/>
              </w:rPr>
            </w:pPr>
            <w:r w:rsidRPr="002B2631">
              <w:rPr>
                <w:color w:val="FF0000"/>
              </w:rPr>
              <w:t>6</w:t>
            </w:r>
          </w:p>
        </w:tc>
        <w:tc>
          <w:tcPr>
            <w:tcW w:w="1440" w:type="dxa"/>
            <w:vAlign w:val="center"/>
          </w:tcPr>
          <w:p w14:paraId="06D588C8" w14:textId="77777777" w:rsidR="00304F04" w:rsidRPr="002B2631" w:rsidRDefault="00304F04" w:rsidP="002B2631">
            <w:pPr>
              <w:spacing w:after="0" w:line="240" w:lineRule="auto"/>
              <w:jc w:val="center"/>
              <w:rPr>
                <w:color w:val="FF0000"/>
              </w:rPr>
            </w:pPr>
            <w:r w:rsidRPr="002B2631">
              <w:rPr>
                <w:color w:val="FF0000"/>
              </w:rPr>
              <w:t>5</w:t>
            </w:r>
          </w:p>
        </w:tc>
        <w:tc>
          <w:tcPr>
            <w:tcW w:w="1440" w:type="dxa"/>
            <w:vAlign w:val="center"/>
          </w:tcPr>
          <w:p w14:paraId="48ED1807" w14:textId="77777777" w:rsidR="00304F04" w:rsidRPr="002B2631" w:rsidRDefault="00304F04" w:rsidP="002B2631">
            <w:pPr>
              <w:spacing w:after="0" w:line="240" w:lineRule="auto"/>
              <w:jc w:val="center"/>
              <w:rPr>
                <w:color w:val="FF0000"/>
              </w:rPr>
            </w:pPr>
            <w:r w:rsidRPr="002B2631">
              <w:rPr>
                <w:color w:val="FF0000"/>
              </w:rPr>
              <w:t>6</w:t>
            </w:r>
          </w:p>
        </w:tc>
        <w:tc>
          <w:tcPr>
            <w:tcW w:w="1440" w:type="dxa"/>
            <w:vAlign w:val="center"/>
          </w:tcPr>
          <w:p w14:paraId="4ABFA74C" w14:textId="77777777" w:rsidR="00304F04" w:rsidRPr="002B2631" w:rsidRDefault="00304F04" w:rsidP="002B2631">
            <w:pPr>
              <w:spacing w:after="0" w:line="240" w:lineRule="auto"/>
              <w:jc w:val="center"/>
              <w:rPr>
                <w:color w:val="FF0000"/>
              </w:rPr>
            </w:pPr>
            <w:r w:rsidRPr="002B2631">
              <w:rPr>
                <w:color w:val="FF0000"/>
              </w:rPr>
              <w:t>6</w:t>
            </w:r>
          </w:p>
        </w:tc>
        <w:tc>
          <w:tcPr>
            <w:tcW w:w="1471" w:type="dxa"/>
            <w:vAlign w:val="center"/>
          </w:tcPr>
          <w:p w14:paraId="3581F7E2" w14:textId="77777777" w:rsidR="00304F04" w:rsidRPr="002B2631" w:rsidRDefault="00304F04" w:rsidP="002B2631">
            <w:pPr>
              <w:spacing w:after="0" w:line="240" w:lineRule="auto"/>
              <w:jc w:val="center"/>
              <w:rPr>
                <w:color w:val="FF0000"/>
              </w:rPr>
            </w:pPr>
            <w:r w:rsidRPr="002B2631">
              <w:rPr>
                <w:color w:val="FF0000"/>
              </w:rPr>
              <w:t>5</w:t>
            </w:r>
          </w:p>
        </w:tc>
      </w:tr>
      <w:tr w:rsidR="00304F04" w:rsidRPr="00304F04" w14:paraId="3588E5FD" w14:textId="77777777" w:rsidTr="00CD05A3">
        <w:trPr>
          <w:trHeight w:val="288"/>
          <w:jc w:val="center"/>
        </w:trPr>
        <w:tc>
          <w:tcPr>
            <w:tcW w:w="2102" w:type="dxa"/>
            <w:vAlign w:val="center"/>
          </w:tcPr>
          <w:p w14:paraId="2AE72BA5" w14:textId="77777777" w:rsidR="00304F04" w:rsidRPr="002B2631" w:rsidRDefault="00304F04" w:rsidP="002B2631">
            <w:pPr>
              <w:spacing w:after="0" w:line="240" w:lineRule="auto"/>
              <w:rPr>
                <w:rFonts w:eastAsia="Calibri"/>
                <w:b/>
                <w:color w:val="FF0000"/>
              </w:rPr>
            </w:pPr>
            <w:r w:rsidRPr="002B2631">
              <w:rPr>
                <w:rFonts w:eastAsia="Calibri"/>
                <w:b/>
                <w:color w:val="FF0000"/>
              </w:rPr>
              <w:t xml:space="preserve">Denominator range across physician groups </w:t>
            </w:r>
          </w:p>
          <w:p w14:paraId="0182279F" w14:textId="77777777" w:rsidR="00304F04" w:rsidRPr="002B2631" w:rsidRDefault="00304F04" w:rsidP="002B2631">
            <w:pPr>
              <w:spacing w:after="0" w:line="240" w:lineRule="auto"/>
              <w:rPr>
                <w:rFonts w:eastAsia="Calibri"/>
                <w:b/>
                <w:color w:val="FF0000"/>
              </w:rPr>
            </w:pPr>
            <w:r w:rsidRPr="002B2631">
              <w:rPr>
                <w:rFonts w:eastAsia="Calibri"/>
                <w:b/>
                <w:color w:val="FF0000"/>
              </w:rPr>
              <w:t>(minimum-maximum)</w:t>
            </w:r>
          </w:p>
        </w:tc>
        <w:tc>
          <w:tcPr>
            <w:tcW w:w="1530" w:type="dxa"/>
            <w:vAlign w:val="center"/>
          </w:tcPr>
          <w:p w14:paraId="7936A798" w14:textId="77777777" w:rsidR="00304F04" w:rsidRPr="002B2631" w:rsidRDefault="00304F04" w:rsidP="002B2631">
            <w:pPr>
              <w:spacing w:after="0" w:line="240" w:lineRule="auto"/>
              <w:jc w:val="center"/>
              <w:rPr>
                <w:color w:val="FF0000"/>
              </w:rPr>
            </w:pPr>
            <w:r w:rsidRPr="002B2631">
              <w:rPr>
                <w:color w:val="FF0000"/>
              </w:rPr>
              <w:t>30-140</w:t>
            </w:r>
          </w:p>
        </w:tc>
        <w:tc>
          <w:tcPr>
            <w:tcW w:w="1440" w:type="dxa"/>
            <w:vAlign w:val="center"/>
          </w:tcPr>
          <w:p w14:paraId="40C87233" w14:textId="77777777" w:rsidR="00304F04" w:rsidRPr="002B2631" w:rsidRDefault="00304F04" w:rsidP="002B2631">
            <w:pPr>
              <w:spacing w:after="0" w:line="240" w:lineRule="auto"/>
              <w:jc w:val="center"/>
              <w:rPr>
                <w:color w:val="FF0000"/>
              </w:rPr>
            </w:pPr>
            <w:r w:rsidRPr="002B2631">
              <w:rPr>
                <w:color w:val="FF0000"/>
              </w:rPr>
              <w:t>30-37</w:t>
            </w:r>
          </w:p>
        </w:tc>
        <w:tc>
          <w:tcPr>
            <w:tcW w:w="1440" w:type="dxa"/>
            <w:vAlign w:val="center"/>
          </w:tcPr>
          <w:p w14:paraId="64D1D6D5" w14:textId="77777777" w:rsidR="00304F04" w:rsidRPr="002B2631" w:rsidRDefault="00304F04" w:rsidP="002B2631">
            <w:pPr>
              <w:spacing w:after="0" w:line="240" w:lineRule="auto"/>
              <w:jc w:val="center"/>
              <w:rPr>
                <w:color w:val="FF0000"/>
              </w:rPr>
            </w:pPr>
            <w:r w:rsidRPr="002B2631">
              <w:rPr>
                <w:color w:val="FF0000"/>
              </w:rPr>
              <w:t>31-73</w:t>
            </w:r>
          </w:p>
        </w:tc>
        <w:tc>
          <w:tcPr>
            <w:tcW w:w="1440" w:type="dxa"/>
            <w:vAlign w:val="center"/>
          </w:tcPr>
          <w:p w14:paraId="612B8E15" w14:textId="77777777" w:rsidR="00304F04" w:rsidRPr="002B2631" w:rsidRDefault="00304F04" w:rsidP="002B2631">
            <w:pPr>
              <w:spacing w:after="0" w:line="240" w:lineRule="auto"/>
              <w:jc w:val="center"/>
              <w:rPr>
                <w:color w:val="FF0000"/>
              </w:rPr>
            </w:pPr>
            <w:r w:rsidRPr="002B2631">
              <w:rPr>
                <w:color w:val="FF0000"/>
              </w:rPr>
              <w:t>39-143</w:t>
            </w:r>
          </w:p>
        </w:tc>
        <w:tc>
          <w:tcPr>
            <w:tcW w:w="1471" w:type="dxa"/>
            <w:vAlign w:val="center"/>
          </w:tcPr>
          <w:p w14:paraId="5EF69A43" w14:textId="77777777" w:rsidR="00304F04" w:rsidRPr="002B2631" w:rsidRDefault="00304F04" w:rsidP="002B2631">
            <w:pPr>
              <w:spacing w:after="0" w:line="240" w:lineRule="auto"/>
              <w:jc w:val="center"/>
              <w:rPr>
                <w:color w:val="FF0000"/>
              </w:rPr>
            </w:pPr>
            <w:r w:rsidRPr="002B2631">
              <w:rPr>
                <w:color w:val="FF0000"/>
              </w:rPr>
              <w:t>30-46</w:t>
            </w:r>
          </w:p>
        </w:tc>
      </w:tr>
      <w:tr w:rsidR="00304F04" w:rsidRPr="00304F04" w14:paraId="4E79C828" w14:textId="77777777" w:rsidTr="00CD05A3">
        <w:trPr>
          <w:trHeight w:val="288"/>
          <w:jc w:val="center"/>
        </w:trPr>
        <w:tc>
          <w:tcPr>
            <w:tcW w:w="2102" w:type="dxa"/>
            <w:vAlign w:val="center"/>
          </w:tcPr>
          <w:p w14:paraId="5FEBF918" w14:textId="77777777" w:rsidR="00304F04" w:rsidRPr="002B2631" w:rsidRDefault="00304F04" w:rsidP="002B2631">
            <w:pPr>
              <w:spacing w:after="0" w:line="240" w:lineRule="auto"/>
              <w:rPr>
                <w:rFonts w:eastAsia="Calibri"/>
                <w:b/>
                <w:color w:val="FF0000"/>
              </w:rPr>
            </w:pPr>
            <w:r w:rsidRPr="002B2631">
              <w:rPr>
                <w:rFonts w:eastAsia="Calibri"/>
                <w:b/>
                <w:color w:val="FF0000"/>
              </w:rPr>
              <w:t xml:space="preserve">Median denominator size </w:t>
            </w:r>
          </w:p>
        </w:tc>
        <w:tc>
          <w:tcPr>
            <w:tcW w:w="1530" w:type="dxa"/>
            <w:vAlign w:val="center"/>
          </w:tcPr>
          <w:p w14:paraId="7ABFF3EB" w14:textId="77777777" w:rsidR="00304F04" w:rsidRPr="002B2631" w:rsidRDefault="00304F04" w:rsidP="002B2631">
            <w:pPr>
              <w:spacing w:after="0" w:line="240" w:lineRule="auto"/>
              <w:jc w:val="center"/>
              <w:rPr>
                <w:color w:val="FF0000"/>
              </w:rPr>
            </w:pPr>
            <w:r w:rsidRPr="002B2631">
              <w:rPr>
                <w:color w:val="FF0000"/>
              </w:rPr>
              <w:t>50</w:t>
            </w:r>
          </w:p>
        </w:tc>
        <w:tc>
          <w:tcPr>
            <w:tcW w:w="1440" w:type="dxa"/>
            <w:vAlign w:val="center"/>
          </w:tcPr>
          <w:p w14:paraId="30FD7549" w14:textId="77777777" w:rsidR="00304F04" w:rsidRPr="002B2631" w:rsidRDefault="00304F04" w:rsidP="002B2631">
            <w:pPr>
              <w:spacing w:after="0" w:line="240" w:lineRule="auto"/>
              <w:jc w:val="center"/>
              <w:rPr>
                <w:color w:val="FF0000"/>
              </w:rPr>
            </w:pPr>
            <w:r w:rsidRPr="002B2631">
              <w:rPr>
                <w:color w:val="FF0000"/>
              </w:rPr>
              <w:t>34</w:t>
            </w:r>
          </w:p>
        </w:tc>
        <w:tc>
          <w:tcPr>
            <w:tcW w:w="1440" w:type="dxa"/>
            <w:vAlign w:val="center"/>
          </w:tcPr>
          <w:p w14:paraId="06892F30" w14:textId="77777777" w:rsidR="00304F04" w:rsidRPr="002B2631" w:rsidRDefault="00304F04" w:rsidP="002B2631">
            <w:pPr>
              <w:spacing w:after="0" w:line="240" w:lineRule="auto"/>
              <w:jc w:val="center"/>
              <w:rPr>
                <w:color w:val="FF0000"/>
              </w:rPr>
            </w:pPr>
            <w:r w:rsidRPr="002B2631">
              <w:rPr>
                <w:color w:val="FF0000"/>
              </w:rPr>
              <w:t>37</w:t>
            </w:r>
          </w:p>
        </w:tc>
        <w:tc>
          <w:tcPr>
            <w:tcW w:w="1440" w:type="dxa"/>
            <w:vAlign w:val="center"/>
          </w:tcPr>
          <w:p w14:paraId="57E40AB8" w14:textId="77777777" w:rsidR="00304F04" w:rsidRPr="002B2631" w:rsidRDefault="00304F04" w:rsidP="002B2631">
            <w:pPr>
              <w:spacing w:after="0" w:line="240" w:lineRule="auto"/>
              <w:jc w:val="center"/>
              <w:rPr>
                <w:color w:val="FF0000"/>
              </w:rPr>
            </w:pPr>
            <w:r w:rsidRPr="002B2631">
              <w:rPr>
                <w:color w:val="FF0000"/>
              </w:rPr>
              <w:t>55</w:t>
            </w:r>
          </w:p>
        </w:tc>
        <w:tc>
          <w:tcPr>
            <w:tcW w:w="1471" w:type="dxa"/>
            <w:vAlign w:val="center"/>
          </w:tcPr>
          <w:p w14:paraId="627C1D38" w14:textId="77777777" w:rsidR="00304F04" w:rsidRPr="002B2631" w:rsidRDefault="00304F04" w:rsidP="002B2631">
            <w:pPr>
              <w:spacing w:after="0" w:line="240" w:lineRule="auto"/>
              <w:jc w:val="center"/>
              <w:rPr>
                <w:color w:val="FF0000"/>
              </w:rPr>
            </w:pPr>
            <w:r w:rsidRPr="002B2631">
              <w:rPr>
                <w:color w:val="FF0000"/>
              </w:rPr>
              <w:t>42</w:t>
            </w:r>
          </w:p>
        </w:tc>
      </w:tr>
      <w:tr w:rsidR="00304F04" w:rsidRPr="00304F04" w14:paraId="24A6CAFA" w14:textId="77777777" w:rsidTr="00CD05A3">
        <w:trPr>
          <w:trHeight w:val="288"/>
          <w:jc w:val="center"/>
        </w:trPr>
        <w:tc>
          <w:tcPr>
            <w:tcW w:w="2102" w:type="dxa"/>
            <w:tcBorders>
              <w:bottom w:val="single" w:sz="4" w:space="0" w:color="auto"/>
            </w:tcBorders>
            <w:shd w:val="clear" w:color="auto" w:fill="D9D9D9"/>
            <w:vAlign w:val="center"/>
          </w:tcPr>
          <w:p w14:paraId="31008611" w14:textId="77777777" w:rsidR="00304F04" w:rsidRPr="002B2631" w:rsidRDefault="00304F04" w:rsidP="002B2631">
            <w:pPr>
              <w:spacing w:after="0" w:line="240" w:lineRule="auto"/>
              <w:rPr>
                <w:rFonts w:eastAsia="Calibri"/>
                <w:b/>
                <w:color w:val="FF0000"/>
              </w:rPr>
            </w:pPr>
            <w:r w:rsidRPr="002B2631">
              <w:rPr>
                <w:rFonts w:eastAsia="Calibri"/>
                <w:b/>
                <w:color w:val="FF0000"/>
              </w:rPr>
              <w:t>Measure score (95% CI) of the physician group with a denominator size closest to the median denominator size</w:t>
            </w:r>
          </w:p>
        </w:tc>
        <w:tc>
          <w:tcPr>
            <w:tcW w:w="1530" w:type="dxa"/>
            <w:tcBorders>
              <w:bottom w:val="single" w:sz="4" w:space="0" w:color="auto"/>
            </w:tcBorders>
            <w:shd w:val="clear" w:color="auto" w:fill="D9D9D9"/>
            <w:vAlign w:val="center"/>
          </w:tcPr>
          <w:p w14:paraId="7C24045A" w14:textId="77777777" w:rsidR="00304F04" w:rsidRPr="002B2631" w:rsidRDefault="00304F04" w:rsidP="002B2631">
            <w:pPr>
              <w:spacing w:after="0" w:line="240" w:lineRule="auto"/>
              <w:jc w:val="center"/>
              <w:rPr>
                <w:color w:val="FF0000"/>
              </w:rPr>
            </w:pPr>
            <w:r w:rsidRPr="002B2631">
              <w:rPr>
                <w:color w:val="FF0000"/>
              </w:rPr>
              <w:t>66.7%</w:t>
            </w:r>
          </w:p>
          <w:p w14:paraId="0CC7EA28" w14:textId="77777777" w:rsidR="00304F04" w:rsidRPr="002B2631" w:rsidRDefault="00304F04" w:rsidP="002B2631">
            <w:pPr>
              <w:spacing w:after="0" w:line="240" w:lineRule="auto"/>
              <w:jc w:val="center"/>
              <w:rPr>
                <w:color w:val="FF0000"/>
              </w:rPr>
            </w:pPr>
            <w:r w:rsidRPr="002B2631">
              <w:rPr>
                <w:color w:val="FF0000"/>
              </w:rPr>
              <w:t>(53.9-80.0)</w:t>
            </w:r>
          </w:p>
        </w:tc>
        <w:tc>
          <w:tcPr>
            <w:tcW w:w="1440" w:type="dxa"/>
            <w:tcBorders>
              <w:bottom w:val="single" w:sz="4" w:space="0" w:color="auto"/>
            </w:tcBorders>
            <w:shd w:val="clear" w:color="auto" w:fill="D9D9D9"/>
            <w:vAlign w:val="center"/>
          </w:tcPr>
          <w:p w14:paraId="6C6EC4F0" w14:textId="77777777" w:rsidR="00304F04" w:rsidRPr="002B2631" w:rsidRDefault="00304F04" w:rsidP="002B2631">
            <w:pPr>
              <w:spacing w:after="0" w:line="240" w:lineRule="auto"/>
              <w:jc w:val="center"/>
              <w:rPr>
                <w:color w:val="FF0000"/>
              </w:rPr>
            </w:pPr>
            <w:r w:rsidRPr="002B2631">
              <w:rPr>
                <w:color w:val="FF0000"/>
              </w:rPr>
              <w:t>73.5%</w:t>
            </w:r>
          </w:p>
          <w:p w14:paraId="7086252B" w14:textId="77777777" w:rsidR="00304F04" w:rsidRPr="002B2631" w:rsidRDefault="00304F04" w:rsidP="002B2631">
            <w:pPr>
              <w:spacing w:after="0" w:line="240" w:lineRule="auto"/>
              <w:jc w:val="center"/>
              <w:rPr>
                <w:color w:val="FF0000"/>
              </w:rPr>
            </w:pPr>
            <w:r w:rsidRPr="002B2631">
              <w:rPr>
                <w:color w:val="FF0000"/>
              </w:rPr>
              <w:t>(60.0-87.1)</w:t>
            </w:r>
          </w:p>
        </w:tc>
        <w:tc>
          <w:tcPr>
            <w:tcW w:w="1440" w:type="dxa"/>
            <w:tcBorders>
              <w:bottom w:val="single" w:sz="4" w:space="0" w:color="auto"/>
            </w:tcBorders>
            <w:shd w:val="clear" w:color="auto" w:fill="D9D9D9"/>
            <w:vAlign w:val="center"/>
          </w:tcPr>
          <w:p w14:paraId="654CD7BB" w14:textId="77777777" w:rsidR="00304F04" w:rsidRPr="002B2631" w:rsidRDefault="00304F04" w:rsidP="002B2631">
            <w:pPr>
              <w:spacing w:after="0" w:line="240" w:lineRule="auto"/>
              <w:jc w:val="center"/>
              <w:rPr>
                <w:color w:val="FF0000"/>
              </w:rPr>
            </w:pPr>
            <w:r w:rsidRPr="002B2631">
              <w:rPr>
                <w:color w:val="FF0000"/>
              </w:rPr>
              <w:t>75.8%</w:t>
            </w:r>
          </w:p>
          <w:p w14:paraId="4FFD1D8A" w14:textId="77777777" w:rsidR="00304F04" w:rsidRPr="002B2631" w:rsidRDefault="00304F04" w:rsidP="002B2631">
            <w:pPr>
              <w:spacing w:after="0" w:line="240" w:lineRule="auto"/>
              <w:jc w:val="center"/>
              <w:rPr>
                <w:color w:val="FF0000"/>
              </w:rPr>
            </w:pPr>
            <w:r w:rsidRPr="002B2631">
              <w:rPr>
                <w:color w:val="FF0000"/>
              </w:rPr>
              <w:t>(62.5-88.9)</w:t>
            </w:r>
          </w:p>
        </w:tc>
        <w:tc>
          <w:tcPr>
            <w:tcW w:w="1440" w:type="dxa"/>
            <w:tcBorders>
              <w:bottom w:val="single" w:sz="4" w:space="0" w:color="auto"/>
            </w:tcBorders>
            <w:shd w:val="clear" w:color="auto" w:fill="D9D9D9"/>
            <w:vAlign w:val="center"/>
          </w:tcPr>
          <w:p w14:paraId="3C631398" w14:textId="77777777" w:rsidR="00304F04" w:rsidRPr="002B2631" w:rsidRDefault="00304F04" w:rsidP="002B2631">
            <w:pPr>
              <w:spacing w:after="0" w:line="240" w:lineRule="auto"/>
              <w:jc w:val="center"/>
              <w:rPr>
                <w:color w:val="FF0000"/>
              </w:rPr>
            </w:pPr>
            <w:r w:rsidRPr="002B2631">
              <w:rPr>
                <w:color w:val="FF0000"/>
              </w:rPr>
              <w:t>81.5%</w:t>
            </w:r>
          </w:p>
          <w:p w14:paraId="3FF38D9A" w14:textId="77777777" w:rsidR="00304F04" w:rsidRPr="002B2631" w:rsidRDefault="00304F04" w:rsidP="002B2631">
            <w:pPr>
              <w:spacing w:after="0" w:line="240" w:lineRule="auto"/>
              <w:jc w:val="center"/>
              <w:rPr>
                <w:color w:val="FF0000"/>
              </w:rPr>
            </w:pPr>
            <w:r w:rsidRPr="002B2631">
              <w:rPr>
                <w:color w:val="FF0000"/>
              </w:rPr>
              <w:t>(71.9-90.7)</w:t>
            </w:r>
          </w:p>
        </w:tc>
        <w:tc>
          <w:tcPr>
            <w:tcW w:w="1471" w:type="dxa"/>
            <w:tcBorders>
              <w:bottom w:val="single" w:sz="4" w:space="0" w:color="auto"/>
            </w:tcBorders>
            <w:shd w:val="clear" w:color="auto" w:fill="D9D9D9"/>
            <w:vAlign w:val="center"/>
          </w:tcPr>
          <w:p w14:paraId="7D8C2F8C" w14:textId="77777777" w:rsidR="00304F04" w:rsidRPr="002B2631" w:rsidRDefault="00304F04" w:rsidP="002B2631">
            <w:pPr>
              <w:spacing w:after="0" w:line="240" w:lineRule="auto"/>
              <w:jc w:val="center"/>
              <w:rPr>
                <w:color w:val="FF0000"/>
              </w:rPr>
            </w:pPr>
            <w:r w:rsidRPr="002B2631">
              <w:rPr>
                <w:color w:val="FF0000"/>
              </w:rPr>
              <w:t>88.1%</w:t>
            </w:r>
          </w:p>
          <w:p w14:paraId="06090F90" w14:textId="77777777" w:rsidR="00304F04" w:rsidRPr="002B2631" w:rsidRDefault="00304F04" w:rsidP="002B2631">
            <w:pPr>
              <w:spacing w:after="0" w:line="240" w:lineRule="auto"/>
              <w:jc w:val="center"/>
              <w:rPr>
                <w:color w:val="FF0000"/>
              </w:rPr>
            </w:pPr>
            <w:r w:rsidRPr="002B2631">
              <w:rPr>
                <w:color w:val="FF0000"/>
              </w:rPr>
              <w:t>(79.6-96.0)</w:t>
            </w:r>
          </w:p>
        </w:tc>
      </w:tr>
      <w:tr w:rsidR="00304F04" w:rsidRPr="00304F04" w14:paraId="1D1C91CC" w14:textId="77777777" w:rsidTr="00CD05A3">
        <w:trPr>
          <w:trHeight w:val="288"/>
          <w:jc w:val="center"/>
        </w:trPr>
        <w:tc>
          <w:tcPr>
            <w:tcW w:w="2102" w:type="dxa"/>
            <w:tcBorders>
              <w:top w:val="single" w:sz="4" w:space="0" w:color="auto"/>
              <w:bottom w:val="single" w:sz="4" w:space="0" w:color="auto"/>
            </w:tcBorders>
            <w:shd w:val="clear" w:color="auto" w:fill="FFFFFF"/>
            <w:vAlign w:val="center"/>
          </w:tcPr>
          <w:p w14:paraId="2DC58D1F" w14:textId="77777777" w:rsidR="00304F04" w:rsidRPr="002B2631" w:rsidRDefault="00304F04" w:rsidP="002B2631">
            <w:pPr>
              <w:spacing w:after="0" w:line="240" w:lineRule="auto"/>
              <w:rPr>
                <w:rFonts w:eastAsia="Calibri"/>
                <w:b/>
                <w:color w:val="FF0000"/>
              </w:rPr>
            </w:pPr>
            <w:r w:rsidRPr="002B2631">
              <w:rPr>
                <w:rFonts w:eastAsia="Calibri"/>
                <w:b/>
                <w:color w:val="FF0000"/>
              </w:rPr>
              <w:t xml:space="preserve">Measure score range across physician groups </w:t>
            </w:r>
          </w:p>
          <w:p w14:paraId="0EC3AFDD" w14:textId="77777777" w:rsidR="00304F04" w:rsidRPr="002B2631" w:rsidRDefault="00304F04" w:rsidP="002B2631">
            <w:pPr>
              <w:spacing w:after="0" w:line="240" w:lineRule="auto"/>
              <w:rPr>
                <w:rFonts w:eastAsia="Calibri"/>
                <w:b/>
                <w:color w:val="FF0000"/>
              </w:rPr>
            </w:pPr>
            <w:r w:rsidRPr="002B2631">
              <w:rPr>
                <w:rFonts w:eastAsia="Calibri"/>
                <w:b/>
                <w:color w:val="FF0000"/>
              </w:rPr>
              <w:lastRenderedPageBreak/>
              <w:t>(minimum-maximum)</w:t>
            </w:r>
          </w:p>
        </w:tc>
        <w:tc>
          <w:tcPr>
            <w:tcW w:w="1530" w:type="dxa"/>
            <w:tcBorders>
              <w:top w:val="single" w:sz="4" w:space="0" w:color="auto"/>
              <w:bottom w:val="single" w:sz="4" w:space="0" w:color="auto"/>
            </w:tcBorders>
            <w:shd w:val="clear" w:color="auto" w:fill="FFFFFF"/>
            <w:vAlign w:val="center"/>
          </w:tcPr>
          <w:p w14:paraId="043E5D59" w14:textId="77777777" w:rsidR="00304F04" w:rsidRPr="002B2631" w:rsidRDefault="00304F04" w:rsidP="002B2631">
            <w:pPr>
              <w:spacing w:after="0" w:line="240" w:lineRule="auto"/>
              <w:jc w:val="center"/>
              <w:rPr>
                <w:color w:val="FF0000"/>
              </w:rPr>
            </w:pPr>
            <w:r w:rsidRPr="002B2631">
              <w:rPr>
                <w:color w:val="FF0000"/>
              </w:rPr>
              <w:lastRenderedPageBreak/>
              <w:t>37.9%-66.7%</w:t>
            </w:r>
          </w:p>
        </w:tc>
        <w:tc>
          <w:tcPr>
            <w:tcW w:w="1440" w:type="dxa"/>
            <w:tcBorders>
              <w:top w:val="single" w:sz="4" w:space="0" w:color="auto"/>
              <w:bottom w:val="single" w:sz="4" w:space="0" w:color="auto"/>
            </w:tcBorders>
            <w:shd w:val="clear" w:color="auto" w:fill="FFFFFF"/>
            <w:vAlign w:val="center"/>
          </w:tcPr>
          <w:p w14:paraId="678FCB50" w14:textId="77777777" w:rsidR="00304F04" w:rsidRPr="002B2631" w:rsidRDefault="00304F04" w:rsidP="002B2631">
            <w:pPr>
              <w:spacing w:after="0" w:line="240" w:lineRule="auto"/>
              <w:jc w:val="center"/>
              <w:rPr>
                <w:color w:val="FF0000"/>
              </w:rPr>
            </w:pPr>
            <w:r w:rsidRPr="002B2631">
              <w:rPr>
                <w:color w:val="FF0000"/>
              </w:rPr>
              <w:t>69.7%-73.5%</w:t>
            </w:r>
          </w:p>
        </w:tc>
        <w:tc>
          <w:tcPr>
            <w:tcW w:w="1440" w:type="dxa"/>
            <w:tcBorders>
              <w:top w:val="single" w:sz="4" w:space="0" w:color="auto"/>
              <w:bottom w:val="single" w:sz="4" w:space="0" w:color="auto"/>
            </w:tcBorders>
            <w:shd w:val="clear" w:color="auto" w:fill="FFFFFF"/>
            <w:vAlign w:val="center"/>
          </w:tcPr>
          <w:p w14:paraId="1277ADCF" w14:textId="77777777" w:rsidR="00304F04" w:rsidRPr="002B2631" w:rsidRDefault="00304F04" w:rsidP="002B2631">
            <w:pPr>
              <w:spacing w:after="0" w:line="240" w:lineRule="auto"/>
              <w:jc w:val="center"/>
              <w:rPr>
                <w:color w:val="FF0000"/>
              </w:rPr>
            </w:pPr>
            <w:r w:rsidRPr="002B2631">
              <w:rPr>
                <w:color w:val="FF0000"/>
              </w:rPr>
              <w:t>75.0%-77.6%</w:t>
            </w:r>
          </w:p>
        </w:tc>
        <w:tc>
          <w:tcPr>
            <w:tcW w:w="1440" w:type="dxa"/>
            <w:tcBorders>
              <w:top w:val="single" w:sz="4" w:space="0" w:color="auto"/>
              <w:bottom w:val="single" w:sz="4" w:space="0" w:color="auto"/>
            </w:tcBorders>
            <w:shd w:val="clear" w:color="auto" w:fill="FFFFFF"/>
            <w:vAlign w:val="center"/>
          </w:tcPr>
          <w:p w14:paraId="14538756" w14:textId="77777777" w:rsidR="00304F04" w:rsidRPr="002B2631" w:rsidRDefault="00304F04" w:rsidP="002B2631">
            <w:pPr>
              <w:spacing w:after="0" w:line="240" w:lineRule="auto"/>
              <w:jc w:val="center"/>
              <w:rPr>
                <w:color w:val="FF0000"/>
              </w:rPr>
            </w:pPr>
            <w:r w:rsidRPr="002B2631">
              <w:rPr>
                <w:color w:val="FF0000"/>
              </w:rPr>
              <w:t>79.5%-83.6%</w:t>
            </w:r>
          </w:p>
        </w:tc>
        <w:tc>
          <w:tcPr>
            <w:tcW w:w="1471" w:type="dxa"/>
            <w:tcBorders>
              <w:top w:val="single" w:sz="4" w:space="0" w:color="auto"/>
              <w:bottom w:val="single" w:sz="4" w:space="0" w:color="auto"/>
            </w:tcBorders>
            <w:shd w:val="clear" w:color="auto" w:fill="FFFFFF"/>
            <w:vAlign w:val="center"/>
          </w:tcPr>
          <w:p w14:paraId="637BBD5D" w14:textId="77777777" w:rsidR="00304F04" w:rsidRPr="002B2631" w:rsidRDefault="00304F04" w:rsidP="002B2631">
            <w:pPr>
              <w:spacing w:after="0" w:line="240" w:lineRule="auto"/>
              <w:jc w:val="center"/>
              <w:rPr>
                <w:color w:val="FF0000"/>
              </w:rPr>
            </w:pPr>
            <w:r w:rsidRPr="002B2631">
              <w:rPr>
                <w:color w:val="FF0000"/>
              </w:rPr>
              <w:t>85.7%-93.5%</w:t>
            </w:r>
          </w:p>
        </w:tc>
      </w:tr>
      <w:tr w:rsidR="00304F04" w:rsidRPr="00304F04" w14:paraId="74BECBE8" w14:textId="77777777" w:rsidTr="00CD05A3">
        <w:trPr>
          <w:trHeight w:val="288"/>
          <w:jc w:val="center"/>
        </w:trPr>
        <w:tc>
          <w:tcPr>
            <w:tcW w:w="2102" w:type="dxa"/>
            <w:tcBorders>
              <w:top w:val="single" w:sz="4" w:space="0" w:color="auto"/>
              <w:bottom w:val="single" w:sz="4" w:space="0" w:color="auto"/>
            </w:tcBorders>
            <w:vAlign w:val="center"/>
          </w:tcPr>
          <w:p w14:paraId="6C11FFFF" w14:textId="77777777" w:rsidR="00304F04" w:rsidRPr="002B2631" w:rsidRDefault="00304F04" w:rsidP="002B2631">
            <w:pPr>
              <w:spacing w:after="0" w:line="240" w:lineRule="auto"/>
              <w:rPr>
                <w:rFonts w:eastAsia="Calibri"/>
                <w:b/>
                <w:color w:val="FF0000"/>
              </w:rPr>
            </w:pPr>
            <w:r w:rsidRPr="002B2631">
              <w:rPr>
                <w:rFonts w:eastAsia="Calibri"/>
                <w:b/>
                <w:color w:val="FF0000"/>
              </w:rPr>
              <w:t xml:space="preserve">Median measure score </w:t>
            </w:r>
          </w:p>
        </w:tc>
        <w:tc>
          <w:tcPr>
            <w:tcW w:w="1530" w:type="dxa"/>
            <w:tcBorders>
              <w:top w:val="single" w:sz="4" w:space="0" w:color="auto"/>
              <w:bottom w:val="single" w:sz="4" w:space="0" w:color="auto"/>
            </w:tcBorders>
            <w:vAlign w:val="center"/>
          </w:tcPr>
          <w:p w14:paraId="0996BF05" w14:textId="77777777" w:rsidR="00304F04" w:rsidRPr="002B2631" w:rsidRDefault="00304F04" w:rsidP="002B2631">
            <w:pPr>
              <w:spacing w:after="0" w:line="240" w:lineRule="auto"/>
              <w:jc w:val="center"/>
              <w:rPr>
                <w:color w:val="FF0000"/>
              </w:rPr>
            </w:pPr>
            <w:r w:rsidRPr="002B2631">
              <w:rPr>
                <w:color w:val="FF0000"/>
              </w:rPr>
              <w:t>61.2%</w:t>
            </w:r>
          </w:p>
        </w:tc>
        <w:tc>
          <w:tcPr>
            <w:tcW w:w="1440" w:type="dxa"/>
            <w:tcBorders>
              <w:top w:val="single" w:sz="4" w:space="0" w:color="auto"/>
              <w:bottom w:val="single" w:sz="4" w:space="0" w:color="auto"/>
            </w:tcBorders>
            <w:vAlign w:val="center"/>
          </w:tcPr>
          <w:p w14:paraId="772ACD26" w14:textId="77777777" w:rsidR="00304F04" w:rsidRPr="002B2631" w:rsidRDefault="00304F04" w:rsidP="002B2631">
            <w:pPr>
              <w:spacing w:after="0" w:line="240" w:lineRule="auto"/>
              <w:jc w:val="center"/>
              <w:rPr>
                <w:color w:val="FF0000"/>
              </w:rPr>
            </w:pPr>
            <w:r w:rsidRPr="002B2631">
              <w:rPr>
                <w:color w:val="FF0000"/>
              </w:rPr>
              <w:t>73.0%</w:t>
            </w:r>
          </w:p>
        </w:tc>
        <w:tc>
          <w:tcPr>
            <w:tcW w:w="1440" w:type="dxa"/>
            <w:tcBorders>
              <w:top w:val="single" w:sz="4" w:space="0" w:color="auto"/>
              <w:bottom w:val="single" w:sz="4" w:space="0" w:color="auto"/>
            </w:tcBorders>
            <w:vAlign w:val="center"/>
          </w:tcPr>
          <w:p w14:paraId="400D1CB2" w14:textId="77777777" w:rsidR="00304F04" w:rsidRPr="002B2631" w:rsidRDefault="00304F04" w:rsidP="002B2631">
            <w:pPr>
              <w:spacing w:after="0" w:line="240" w:lineRule="auto"/>
              <w:jc w:val="center"/>
              <w:rPr>
                <w:color w:val="FF0000"/>
              </w:rPr>
            </w:pPr>
            <w:r w:rsidRPr="002B2631">
              <w:rPr>
                <w:color w:val="FF0000"/>
              </w:rPr>
              <w:t>77.1%</w:t>
            </w:r>
          </w:p>
        </w:tc>
        <w:tc>
          <w:tcPr>
            <w:tcW w:w="1440" w:type="dxa"/>
            <w:tcBorders>
              <w:top w:val="single" w:sz="4" w:space="0" w:color="auto"/>
              <w:bottom w:val="single" w:sz="4" w:space="0" w:color="auto"/>
            </w:tcBorders>
            <w:vAlign w:val="center"/>
          </w:tcPr>
          <w:p w14:paraId="5212B619" w14:textId="77777777" w:rsidR="00304F04" w:rsidRPr="002B2631" w:rsidRDefault="00304F04" w:rsidP="002B2631">
            <w:pPr>
              <w:spacing w:after="0" w:line="240" w:lineRule="auto"/>
              <w:jc w:val="center"/>
              <w:rPr>
                <w:color w:val="FF0000"/>
              </w:rPr>
            </w:pPr>
            <w:r w:rsidRPr="002B2631">
              <w:rPr>
                <w:color w:val="FF0000"/>
              </w:rPr>
              <w:t>81.7%</w:t>
            </w:r>
          </w:p>
        </w:tc>
        <w:tc>
          <w:tcPr>
            <w:tcW w:w="1471" w:type="dxa"/>
            <w:tcBorders>
              <w:top w:val="single" w:sz="4" w:space="0" w:color="auto"/>
              <w:bottom w:val="single" w:sz="4" w:space="0" w:color="auto"/>
            </w:tcBorders>
            <w:vAlign w:val="center"/>
          </w:tcPr>
          <w:p w14:paraId="32E0CA54" w14:textId="77777777" w:rsidR="00304F04" w:rsidRPr="002B2631" w:rsidRDefault="00304F04" w:rsidP="002B2631">
            <w:pPr>
              <w:spacing w:after="0" w:line="240" w:lineRule="auto"/>
              <w:jc w:val="center"/>
              <w:rPr>
                <w:color w:val="FF0000"/>
              </w:rPr>
            </w:pPr>
            <w:r w:rsidRPr="002B2631">
              <w:rPr>
                <w:color w:val="FF0000"/>
              </w:rPr>
              <w:t>88.1%</w:t>
            </w:r>
          </w:p>
        </w:tc>
      </w:tr>
      <w:tr w:rsidR="00304F04" w:rsidRPr="00304F04" w14:paraId="132693BF" w14:textId="77777777" w:rsidTr="00CD05A3">
        <w:trPr>
          <w:trHeight w:val="288"/>
          <w:jc w:val="center"/>
        </w:trPr>
        <w:tc>
          <w:tcPr>
            <w:tcW w:w="2102" w:type="dxa"/>
            <w:tcBorders>
              <w:top w:val="single" w:sz="4" w:space="0" w:color="auto"/>
              <w:bottom w:val="single" w:sz="4" w:space="0" w:color="auto"/>
            </w:tcBorders>
            <w:shd w:val="pct10" w:color="auto" w:fill="auto"/>
            <w:vAlign w:val="center"/>
          </w:tcPr>
          <w:p w14:paraId="56A189DA" w14:textId="77777777" w:rsidR="00304F04" w:rsidRPr="002B2631" w:rsidRDefault="00304F04" w:rsidP="002B2631">
            <w:pPr>
              <w:spacing w:after="0" w:line="240" w:lineRule="auto"/>
              <w:rPr>
                <w:rFonts w:eastAsia="Calibri"/>
                <w:b/>
                <w:color w:val="FF0000"/>
              </w:rPr>
            </w:pPr>
            <w:r w:rsidRPr="002B2631">
              <w:rPr>
                <w:rFonts w:eastAsia="Calibri"/>
                <w:b/>
                <w:color w:val="FF0000"/>
              </w:rPr>
              <w:t>Measure score (95% CI) of the group with a score closest to the median score</w:t>
            </w:r>
          </w:p>
        </w:tc>
        <w:tc>
          <w:tcPr>
            <w:tcW w:w="1530" w:type="dxa"/>
            <w:tcBorders>
              <w:top w:val="single" w:sz="4" w:space="0" w:color="auto"/>
              <w:bottom w:val="single" w:sz="4" w:space="0" w:color="auto"/>
            </w:tcBorders>
            <w:shd w:val="pct10" w:color="auto" w:fill="auto"/>
            <w:vAlign w:val="center"/>
          </w:tcPr>
          <w:p w14:paraId="0E3252BB" w14:textId="77777777" w:rsidR="00304F04" w:rsidRPr="002B2631" w:rsidRDefault="00304F04" w:rsidP="002B2631">
            <w:pPr>
              <w:spacing w:after="0" w:line="240" w:lineRule="auto"/>
              <w:jc w:val="center"/>
              <w:rPr>
                <w:color w:val="FF0000"/>
              </w:rPr>
            </w:pPr>
            <w:r w:rsidRPr="002B2631">
              <w:rPr>
                <w:color w:val="FF0000"/>
              </w:rPr>
              <w:t>63.1%</w:t>
            </w:r>
          </w:p>
          <w:p w14:paraId="3B9C7DF1" w14:textId="77777777" w:rsidR="00304F04" w:rsidRPr="002B2631" w:rsidRDefault="00304F04" w:rsidP="002B2631">
            <w:pPr>
              <w:spacing w:after="0" w:line="240" w:lineRule="auto"/>
              <w:jc w:val="center"/>
              <w:rPr>
                <w:color w:val="FF0000"/>
              </w:rPr>
            </w:pPr>
            <w:r w:rsidRPr="002B2631">
              <w:rPr>
                <w:color w:val="FF0000"/>
              </w:rPr>
              <w:t>(54.2-72.4)</w:t>
            </w:r>
          </w:p>
        </w:tc>
        <w:tc>
          <w:tcPr>
            <w:tcW w:w="1440" w:type="dxa"/>
            <w:tcBorders>
              <w:top w:val="single" w:sz="4" w:space="0" w:color="auto"/>
              <w:bottom w:val="single" w:sz="4" w:space="0" w:color="auto"/>
            </w:tcBorders>
            <w:shd w:val="pct10" w:color="auto" w:fill="auto"/>
            <w:vAlign w:val="center"/>
          </w:tcPr>
          <w:p w14:paraId="7D984E41" w14:textId="77777777" w:rsidR="00304F04" w:rsidRPr="002B2631" w:rsidRDefault="00304F04" w:rsidP="002B2631">
            <w:pPr>
              <w:spacing w:after="0" w:line="240" w:lineRule="auto"/>
              <w:jc w:val="center"/>
              <w:rPr>
                <w:color w:val="FF0000"/>
              </w:rPr>
            </w:pPr>
            <w:r w:rsidRPr="002B2631">
              <w:rPr>
                <w:color w:val="FF0000"/>
              </w:rPr>
              <w:t>73.0%</w:t>
            </w:r>
          </w:p>
          <w:p w14:paraId="56FF0D4C" w14:textId="77777777" w:rsidR="00304F04" w:rsidRPr="002B2631" w:rsidRDefault="00304F04" w:rsidP="002B2631">
            <w:pPr>
              <w:spacing w:after="0" w:line="240" w:lineRule="auto"/>
              <w:jc w:val="center"/>
              <w:rPr>
                <w:color w:val="FF0000"/>
              </w:rPr>
            </w:pPr>
            <w:r w:rsidRPr="002B2631">
              <w:rPr>
                <w:color w:val="FF0000"/>
              </w:rPr>
              <w:t>(59.9-86.2)</w:t>
            </w:r>
          </w:p>
        </w:tc>
        <w:tc>
          <w:tcPr>
            <w:tcW w:w="1440" w:type="dxa"/>
            <w:tcBorders>
              <w:top w:val="single" w:sz="4" w:space="0" w:color="auto"/>
              <w:bottom w:val="single" w:sz="4" w:space="0" w:color="auto"/>
            </w:tcBorders>
            <w:shd w:val="pct10" w:color="auto" w:fill="auto"/>
            <w:vAlign w:val="center"/>
          </w:tcPr>
          <w:p w14:paraId="11ADF5DA" w14:textId="77777777" w:rsidR="00304F04" w:rsidRPr="002B2631" w:rsidRDefault="00304F04" w:rsidP="002B2631">
            <w:pPr>
              <w:spacing w:after="0" w:line="240" w:lineRule="auto"/>
              <w:jc w:val="center"/>
              <w:rPr>
                <w:color w:val="FF0000"/>
              </w:rPr>
            </w:pPr>
            <w:r w:rsidRPr="002B2631">
              <w:rPr>
                <w:color w:val="FF0000"/>
              </w:rPr>
              <w:t>77.4%</w:t>
            </w:r>
          </w:p>
          <w:p w14:paraId="59BD6C7C" w14:textId="77777777" w:rsidR="00304F04" w:rsidRPr="002B2631" w:rsidRDefault="00304F04" w:rsidP="002B2631">
            <w:pPr>
              <w:spacing w:after="0" w:line="240" w:lineRule="auto"/>
              <w:jc w:val="center"/>
              <w:rPr>
                <w:color w:val="FF0000"/>
              </w:rPr>
            </w:pPr>
            <w:r w:rsidRPr="002B2631">
              <w:rPr>
                <w:color w:val="FF0000"/>
              </w:rPr>
              <w:t>(64.2-90.4)</w:t>
            </w:r>
          </w:p>
        </w:tc>
        <w:tc>
          <w:tcPr>
            <w:tcW w:w="1440" w:type="dxa"/>
            <w:tcBorders>
              <w:top w:val="single" w:sz="4" w:space="0" w:color="auto"/>
              <w:bottom w:val="single" w:sz="4" w:space="0" w:color="auto"/>
            </w:tcBorders>
            <w:shd w:val="pct10" w:color="auto" w:fill="auto"/>
            <w:vAlign w:val="center"/>
          </w:tcPr>
          <w:p w14:paraId="52F7A50A" w14:textId="77777777" w:rsidR="00304F04" w:rsidRPr="002B2631" w:rsidRDefault="00304F04" w:rsidP="002B2631">
            <w:pPr>
              <w:spacing w:after="0" w:line="240" w:lineRule="auto"/>
              <w:jc w:val="center"/>
              <w:rPr>
                <w:color w:val="FF0000"/>
              </w:rPr>
            </w:pPr>
            <w:r w:rsidRPr="002B2631">
              <w:rPr>
                <w:color w:val="FF0000"/>
              </w:rPr>
              <w:t>81.5%</w:t>
            </w:r>
          </w:p>
          <w:p w14:paraId="0183623A" w14:textId="77777777" w:rsidR="00304F04" w:rsidRPr="002B2631" w:rsidRDefault="00304F04" w:rsidP="002B2631">
            <w:pPr>
              <w:spacing w:after="0" w:line="240" w:lineRule="auto"/>
              <w:jc w:val="center"/>
              <w:rPr>
                <w:color w:val="FF0000"/>
              </w:rPr>
            </w:pPr>
            <w:r w:rsidRPr="002B2631">
              <w:rPr>
                <w:color w:val="FF0000"/>
              </w:rPr>
              <w:t>(71.9-90.7)</w:t>
            </w:r>
          </w:p>
        </w:tc>
        <w:tc>
          <w:tcPr>
            <w:tcW w:w="1471" w:type="dxa"/>
            <w:tcBorders>
              <w:top w:val="single" w:sz="4" w:space="0" w:color="auto"/>
              <w:bottom w:val="single" w:sz="4" w:space="0" w:color="auto"/>
            </w:tcBorders>
            <w:shd w:val="pct10" w:color="auto" w:fill="auto"/>
            <w:vAlign w:val="center"/>
          </w:tcPr>
          <w:p w14:paraId="285C0CA2" w14:textId="77777777" w:rsidR="00304F04" w:rsidRPr="002B2631" w:rsidRDefault="00304F04" w:rsidP="002B2631">
            <w:pPr>
              <w:spacing w:after="0" w:line="240" w:lineRule="auto"/>
              <w:jc w:val="center"/>
              <w:rPr>
                <w:color w:val="FF0000"/>
              </w:rPr>
            </w:pPr>
            <w:r w:rsidRPr="002B2631">
              <w:rPr>
                <w:color w:val="FF0000"/>
              </w:rPr>
              <w:t>88.1%</w:t>
            </w:r>
          </w:p>
          <w:p w14:paraId="6E5D7A37" w14:textId="77777777" w:rsidR="00304F04" w:rsidRPr="002B2631" w:rsidRDefault="00304F04" w:rsidP="002B2631">
            <w:pPr>
              <w:spacing w:after="0" w:line="240" w:lineRule="auto"/>
              <w:jc w:val="center"/>
              <w:rPr>
                <w:color w:val="FF0000"/>
              </w:rPr>
            </w:pPr>
            <w:r w:rsidRPr="002B2631">
              <w:rPr>
                <w:color w:val="FF0000"/>
              </w:rPr>
              <w:t>(79.6-96.0)</w:t>
            </w:r>
          </w:p>
        </w:tc>
      </w:tr>
      <w:tr w:rsidR="00304F04" w:rsidRPr="00304F04" w14:paraId="416A4756" w14:textId="77777777" w:rsidTr="00CD05A3">
        <w:trPr>
          <w:trHeight w:val="288"/>
          <w:jc w:val="center"/>
        </w:trPr>
        <w:tc>
          <w:tcPr>
            <w:tcW w:w="2102" w:type="dxa"/>
            <w:tcBorders>
              <w:top w:val="single" w:sz="4" w:space="0" w:color="auto"/>
              <w:bottom w:val="single" w:sz="4" w:space="0" w:color="auto"/>
            </w:tcBorders>
            <w:shd w:val="pct10" w:color="auto" w:fill="auto"/>
            <w:vAlign w:val="center"/>
          </w:tcPr>
          <w:p w14:paraId="49FEB6B7" w14:textId="77777777" w:rsidR="00304F04" w:rsidRPr="002B2631" w:rsidRDefault="00304F04" w:rsidP="002B2631">
            <w:pPr>
              <w:spacing w:after="0" w:line="240" w:lineRule="auto"/>
              <w:rPr>
                <w:rFonts w:eastAsia="Calibri"/>
                <w:b/>
                <w:color w:val="FF0000"/>
              </w:rPr>
            </w:pPr>
            <w:r w:rsidRPr="002B2631">
              <w:rPr>
                <w:rFonts w:eastAsia="Calibri"/>
                <w:b/>
                <w:color w:val="FF0000"/>
              </w:rPr>
              <w:t>95% CI using the overall median denominator N=42</w:t>
            </w:r>
          </w:p>
        </w:tc>
        <w:tc>
          <w:tcPr>
            <w:tcW w:w="1530" w:type="dxa"/>
            <w:tcBorders>
              <w:top w:val="single" w:sz="4" w:space="0" w:color="auto"/>
              <w:bottom w:val="single" w:sz="4" w:space="0" w:color="auto"/>
            </w:tcBorders>
            <w:shd w:val="pct10" w:color="auto" w:fill="auto"/>
            <w:vAlign w:val="center"/>
          </w:tcPr>
          <w:p w14:paraId="4BB46A63" w14:textId="77777777" w:rsidR="00304F04" w:rsidRPr="002B2631" w:rsidRDefault="00304F04" w:rsidP="002B2631">
            <w:pPr>
              <w:spacing w:after="0" w:line="240" w:lineRule="auto"/>
              <w:jc w:val="center"/>
              <w:rPr>
                <w:color w:val="FF0000"/>
              </w:rPr>
            </w:pPr>
            <w:r w:rsidRPr="002B2631">
              <w:rPr>
                <w:color w:val="FF0000"/>
              </w:rPr>
              <w:t>61.2%</w:t>
            </w:r>
          </w:p>
          <w:p w14:paraId="636244FC" w14:textId="77777777" w:rsidR="00304F04" w:rsidRPr="002B2631" w:rsidRDefault="00304F04" w:rsidP="002B2631">
            <w:pPr>
              <w:spacing w:after="0" w:line="240" w:lineRule="auto"/>
              <w:jc w:val="center"/>
              <w:rPr>
                <w:color w:val="FF0000"/>
              </w:rPr>
            </w:pPr>
            <w:r w:rsidRPr="002B2631">
              <w:rPr>
                <w:color w:val="FF0000"/>
              </w:rPr>
              <w:t>(47.5-75.8)</w:t>
            </w:r>
          </w:p>
        </w:tc>
        <w:tc>
          <w:tcPr>
            <w:tcW w:w="1440" w:type="dxa"/>
            <w:tcBorders>
              <w:top w:val="single" w:sz="4" w:space="0" w:color="auto"/>
              <w:bottom w:val="single" w:sz="4" w:space="0" w:color="auto"/>
            </w:tcBorders>
            <w:shd w:val="pct10" w:color="auto" w:fill="auto"/>
            <w:vAlign w:val="center"/>
          </w:tcPr>
          <w:p w14:paraId="4BFD5C66" w14:textId="77777777" w:rsidR="00304F04" w:rsidRPr="002B2631" w:rsidRDefault="00304F04" w:rsidP="002B2631">
            <w:pPr>
              <w:spacing w:after="0" w:line="240" w:lineRule="auto"/>
              <w:jc w:val="center"/>
              <w:rPr>
                <w:color w:val="FF0000"/>
              </w:rPr>
            </w:pPr>
            <w:r w:rsidRPr="002B2631">
              <w:rPr>
                <w:color w:val="FF0000"/>
              </w:rPr>
              <w:t>73.0%</w:t>
            </w:r>
          </w:p>
          <w:p w14:paraId="51CEA1A0" w14:textId="77777777" w:rsidR="00304F04" w:rsidRPr="002B2631" w:rsidRDefault="00304F04" w:rsidP="002B2631">
            <w:pPr>
              <w:spacing w:after="0" w:line="240" w:lineRule="auto"/>
              <w:jc w:val="center"/>
              <w:rPr>
                <w:color w:val="FF0000"/>
              </w:rPr>
            </w:pPr>
            <w:r w:rsidRPr="002B2631">
              <w:rPr>
                <w:color w:val="FF0000"/>
              </w:rPr>
              <w:t>(60.6-85.5)</w:t>
            </w:r>
          </w:p>
        </w:tc>
        <w:tc>
          <w:tcPr>
            <w:tcW w:w="1440" w:type="dxa"/>
            <w:tcBorders>
              <w:top w:val="single" w:sz="4" w:space="0" w:color="auto"/>
              <w:bottom w:val="single" w:sz="4" w:space="0" w:color="auto"/>
            </w:tcBorders>
            <w:shd w:val="pct10" w:color="auto" w:fill="auto"/>
            <w:vAlign w:val="center"/>
          </w:tcPr>
          <w:p w14:paraId="7F1B5887" w14:textId="77777777" w:rsidR="00304F04" w:rsidRPr="002B2631" w:rsidRDefault="00304F04" w:rsidP="002B2631">
            <w:pPr>
              <w:spacing w:after="0" w:line="240" w:lineRule="auto"/>
              <w:jc w:val="center"/>
              <w:rPr>
                <w:color w:val="FF0000"/>
              </w:rPr>
            </w:pPr>
            <w:r w:rsidRPr="002B2631">
              <w:rPr>
                <w:color w:val="FF0000"/>
              </w:rPr>
              <w:t>77.1%</w:t>
            </w:r>
          </w:p>
          <w:p w14:paraId="57203857" w14:textId="77777777" w:rsidR="00304F04" w:rsidRPr="002B2631" w:rsidRDefault="00304F04" w:rsidP="002B2631">
            <w:pPr>
              <w:spacing w:after="0" w:line="240" w:lineRule="auto"/>
              <w:jc w:val="center"/>
              <w:rPr>
                <w:color w:val="FF0000"/>
              </w:rPr>
            </w:pPr>
            <w:r w:rsidRPr="002B2631">
              <w:rPr>
                <w:color w:val="FF0000"/>
              </w:rPr>
              <w:t>(65.4-88.6)</w:t>
            </w:r>
          </w:p>
        </w:tc>
        <w:tc>
          <w:tcPr>
            <w:tcW w:w="1440" w:type="dxa"/>
            <w:tcBorders>
              <w:top w:val="single" w:sz="4" w:space="0" w:color="auto"/>
              <w:bottom w:val="single" w:sz="4" w:space="0" w:color="auto"/>
            </w:tcBorders>
            <w:shd w:val="pct10" w:color="auto" w:fill="auto"/>
            <w:vAlign w:val="center"/>
          </w:tcPr>
          <w:p w14:paraId="0A1E40D8" w14:textId="77777777" w:rsidR="00304F04" w:rsidRPr="002B2631" w:rsidRDefault="00304F04" w:rsidP="002B2631">
            <w:pPr>
              <w:spacing w:after="0" w:line="240" w:lineRule="auto"/>
              <w:jc w:val="center"/>
              <w:rPr>
                <w:color w:val="FF0000"/>
              </w:rPr>
            </w:pPr>
            <w:r w:rsidRPr="002B2631">
              <w:rPr>
                <w:color w:val="FF0000"/>
              </w:rPr>
              <w:t>81.7%</w:t>
            </w:r>
          </w:p>
          <w:p w14:paraId="45AA4CC6" w14:textId="77777777" w:rsidR="00304F04" w:rsidRPr="002B2631" w:rsidRDefault="00304F04" w:rsidP="002B2631">
            <w:pPr>
              <w:spacing w:after="0" w:line="240" w:lineRule="auto"/>
              <w:jc w:val="center"/>
              <w:rPr>
                <w:color w:val="FF0000"/>
              </w:rPr>
            </w:pPr>
            <w:r w:rsidRPr="002B2631">
              <w:rPr>
                <w:color w:val="FF0000"/>
              </w:rPr>
              <w:t>(71.0-91.9)</w:t>
            </w:r>
          </w:p>
        </w:tc>
        <w:tc>
          <w:tcPr>
            <w:tcW w:w="1471" w:type="dxa"/>
            <w:tcBorders>
              <w:top w:val="single" w:sz="4" w:space="0" w:color="auto"/>
              <w:bottom w:val="single" w:sz="4" w:space="0" w:color="auto"/>
            </w:tcBorders>
            <w:shd w:val="pct10" w:color="auto" w:fill="auto"/>
            <w:vAlign w:val="center"/>
          </w:tcPr>
          <w:p w14:paraId="31502B83" w14:textId="77777777" w:rsidR="00304F04" w:rsidRPr="002B2631" w:rsidRDefault="00304F04" w:rsidP="002B2631">
            <w:pPr>
              <w:spacing w:after="0" w:line="240" w:lineRule="auto"/>
              <w:jc w:val="center"/>
              <w:rPr>
                <w:color w:val="FF0000"/>
              </w:rPr>
            </w:pPr>
            <w:r w:rsidRPr="002B2631">
              <w:rPr>
                <w:color w:val="FF0000"/>
              </w:rPr>
              <w:t>88.1%</w:t>
            </w:r>
          </w:p>
          <w:p w14:paraId="6BA2036C" w14:textId="77777777" w:rsidR="00304F04" w:rsidRPr="002B2631" w:rsidRDefault="00304F04" w:rsidP="002B2631">
            <w:pPr>
              <w:spacing w:after="0" w:line="240" w:lineRule="auto"/>
              <w:jc w:val="center"/>
              <w:rPr>
                <w:color w:val="FF0000"/>
              </w:rPr>
            </w:pPr>
            <w:r w:rsidRPr="002B2631">
              <w:rPr>
                <w:color w:val="FF0000"/>
              </w:rPr>
              <w:t>(79.6-96.0)</w:t>
            </w:r>
          </w:p>
        </w:tc>
      </w:tr>
      <w:tr w:rsidR="00304F04" w:rsidRPr="00304F04" w14:paraId="11266160" w14:textId="77777777" w:rsidTr="00CD05A3">
        <w:tblPrEx>
          <w:tblBorders>
            <w:top w:val="single" w:sz="4" w:space="0" w:color="auto"/>
            <w:left w:val="single" w:sz="4" w:space="0" w:color="auto"/>
            <w:bottom w:val="single" w:sz="4" w:space="0" w:color="auto"/>
            <w:right w:val="single" w:sz="4" w:space="0" w:color="auto"/>
          </w:tblBorders>
        </w:tblPrEx>
        <w:trPr>
          <w:trHeight w:val="288"/>
          <w:jc w:val="center"/>
        </w:trPr>
        <w:tc>
          <w:tcPr>
            <w:tcW w:w="9423" w:type="dxa"/>
            <w:gridSpan w:val="6"/>
            <w:tcBorders>
              <w:top w:val="single" w:sz="4" w:space="0" w:color="auto"/>
              <w:left w:val="double" w:sz="4" w:space="0" w:color="auto"/>
              <w:bottom w:val="double" w:sz="4" w:space="0" w:color="auto"/>
              <w:right w:val="double" w:sz="4" w:space="0" w:color="auto"/>
            </w:tcBorders>
            <w:vAlign w:val="center"/>
          </w:tcPr>
          <w:p w14:paraId="253F86E2" w14:textId="77777777" w:rsidR="00304F04" w:rsidRPr="002B2631" w:rsidRDefault="00304F04" w:rsidP="002B2631">
            <w:pPr>
              <w:spacing w:after="0" w:line="240" w:lineRule="auto"/>
              <w:rPr>
                <w:rFonts w:eastAsia="Calibri"/>
                <w:color w:val="FF0000"/>
              </w:rPr>
            </w:pPr>
            <w:r w:rsidRPr="002B2631">
              <w:rPr>
                <w:rFonts w:eastAsia="Calibri"/>
                <w:color w:val="FF0000"/>
              </w:rPr>
              <w:t>CI = Confidence Interval</w:t>
            </w:r>
          </w:p>
        </w:tc>
      </w:tr>
    </w:tbl>
    <w:p w14:paraId="0872481D" w14:textId="77777777" w:rsidR="00304F04" w:rsidRPr="002E383A" w:rsidRDefault="00304F04" w:rsidP="00304F04">
      <w:pPr>
        <w:rPr>
          <w:rFonts w:eastAsia="Calibri"/>
        </w:rPr>
      </w:pPr>
    </w:p>
    <w:p w14:paraId="3DDAD628" w14:textId="5DAD5158" w:rsidR="00A6100A" w:rsidRDefault="00A6100A" w:rsidP="009B66A9">
      <w:pPr>
        <w:autoSpaceDE w:val="0"/>
        <w:autoSpaceDN w:val="0"/>
        <w:adjustRightInd w:val="0"/>
        <w:spacing w:after="0" w:line="240" w:lineRule="auto"/>
        <w:rPr>
          <w:rFonts w:cstheme="minorHAnsi"/>
          <w:bCs/>
        </w:rPr>
      </w:pPr>
    </w:p>
    <w:p w14:paraId="67B1B305" w14:textId="106C9391" w:rsidR="00036E0B" w:rsidRPr="002B2631" w:rsidRDefault="00534101" w:rsidP="002B2631">
      <w:pPr>
        <w:autoSpaceDE w:val="0"/>
        <w:autoSpaceDN w:val="0"/>
        <w:adjustRightInd w:val="0"/>
        <w:spacing w:after="0" w:line="240" w:lineRule="auto"/>
        <w:rPr>
          <w:rFonts w:cstheme="minorHAnsi"/>
          <w:b/>
          <w:bCs/>
          <w:color w:val="FF0000"/>
        </w:rPr>
      </w:pPr>
      <w:r w:rsidRPr="002B2631">
        <w:rPr>
          <w:rFonts w:cstheme="minorHAnsi"/>
          <w:b/>
          <w:bCs/>
          <w:color w:val="FF0000"/>
        </w:rPr>
        <w:t>Meaningful Differences at the Health Plan Level</w:t>
      </w:r>
    </w:p>
    <w:tbl>
      <w:tblPr>
        <w:tblW w:w="94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2102"/>
        <w:gridCol w:w="1530"/>
        <w:gridCol w:w="1440"/>
        <w:gridCol w:w="1440"/>
        <w:gridCol w:w="1440"/>
        <w:gridCol w:w="1472"/>
      </w:tblGrid>
      <w:tr w:rsidR="00534101" w:rsidRPr="00534101" w14:paraId="7FCD270F" w14:textId="77777777" w:rsidTr="00CD05A3">
        <w:trPr>
          <w:tblHeader/>
          <w:jc w:val="center"/>
        </w:trPr>
        <w:tc>
          <w:tcPr>
            <w:tcW w:w="2102" w:type="dxa"/>
            <w:tcBorders>
              <w:top w:val="double" w:sz="4" w:space="0" w:color="auto"/>
              <w:left w:val="double" w:sz="4" w:space="0" w:color="auto"/>
            </w:tcBorders>
            <w:shd w:val="clear" w:color="auto" w:fill="DBE5F1"/>
            <w:vAlign w:val="center"/>
          </w:tcPr>
          <w:p w14:paraId="74AD6130" w14:textId="77777777" w:rsidR="00534101" w:rsidRPr="002B2631" w:rsidRDefault="00534101" w:rsidP="002B2631">
            <w:pPr>
              <w:spacing w:after="0" w:line="240" w:lineRule="auto"/>
              <w:jc w:val="center"/>
              <w:rPr>
                <w:rFonts w:eastAsia="Calibri"/>
                <w:b/>
                <w:color w:val="FF0000"/>
              </w:rPr>
            </w:pPr>
            <w:r w:rsidRPr="002B2631">
              <w:rPr>
                <w:rFonts w:eastAsia="Calibri"/>
                <w:b/>
                <w:color w:val="FF0000"/>
              </w:rPr>
              <w:t xml:space="preserve">Across Part D </w:t>
            </w:r>
          </w:p>
          <w:p w14:paraId="3A766460" w14:textId="77777777" w:rsidR="00534101" w:rsidRPr="002B2631" w:rsidRDefault="00534101" w:rsidP="002B2631">
            <w:pPr>
              <w:spacing w:after="0" w:line="240" w:lineRule="auto"/>
              <w:jc w:val="center"/>
              <w:rPr>
                <w:rFonts w:eastAsia="Calibri"/>
                <w:color w:val="FF0000"/>
              </w:rPr>
            </w:pPr>
            <w:r w:rsidRPr="002B2631">
              <w:rPr>
                <w:rFonts w:eastAsia="Calibri"/>
                <w:b/>
                <w:color w:val="FF0000"/>
              </w:rPr>
              <w:t>Plan with ≥ 30 Beneficiaries</w:t>
            </w:r>
          </w:p>
        </w:tc>
        <w:tc>
          <w:tcPr>
            <w:tcW w:w="1530" w:type="dxa"/>
            <w:tcBorders>
              <w:top w:val="double" w:sz="4" w:space="0" w:color="auto"/>
            </w:tcBorders>
            <w:shd w:val="clear" w:color="auto" w:fill="DBE5F1"/>
            <w:vAlign w:val="center"/>
          </w:tcPr>
          <w:p w14:paraId="6AF58D1D" w14:textId="77777777" w:rsidR="00534101" w:rsidRPr="002B2631" w:rsidRDefault="00534101" w:rsidP="002B2631">
            <w:pPr>
              <w:spacing w:after="0" w:line="240" w:lineRule="auto"/>
              <w:jc w:val="center"/>
              <w:rPr>
                <w:rFonts w:eastAsia="Calibri"/>
                <w:b/>
                <w:color w:val="FF0000"/>
              </w:rPr>
            </w:pPr>
            <w:r w:rsidRPr="002B2631">
              <w:rPr>
                <w:rFonts w:eastAsia="Calibri"/>
                <w:b/>
                <w:color w:val="FF0000"/>
              </w:rPr>
              <w:t>Quintile 1</w:t>
            </w:r>
          </w:p>
        </w:tc>
        <w:tc>
          <w:tcPr>
            <w:tcW w:w="1440" w:type="dxa"/>
            <w:tcBorders>
              <w:top w:val="double" w:sz="4" w:space="0" w:color="auto"/>
            </w:tcBorders>
            <w:shd w:val="clear" w:color="auto" w:fill="DBE5F1"/>
            <w:vAlign w:val="center"/>
          </w:tcPr>
          <w:p w14:paraId="6933945C" w14:textId="77777777" w:rsidR="00534101" w:rsidRPr="002B2631" w:rsidRDefault="00534101" w:rsidP="002B2631">
            <w:pPr>
              <w:spacing w:after="0" w:line="240" w:lineRule="auto"/>
              <w:jc w:val="center"/>
              <w:rPr>
                <w:rFonts w:eastAsia="Calibri"/>
                <w:b/>
                <w:color w:val="FF0000"/>
              </w:rPr>
            </w:pPr>
            <w:r w:rsidRPr="002B2631">
              <w:rPr>
                <w:rFonts w:eastAsia="Calibri"/>
                <w:b/>
                <w:color w:val="FF0000"/>
              </w:rPr>
              <w:t>Quintile 2</w:t>
            </w:r>
          </w:p>
        </w:tc>
        <w:tc>
          <w:tcPr>
            <w:tcW w:w="1440" w:type="dxa"/>
            <w:tcBorders>
              <w:top w:val="double" w:sz="4" w:space="0" w:color="auto"/>
            </w:tcBorders>
            <w:shd w:val="clear" w:color="auto" w:fill="DBE5F1"/>
            <w:vAlign w:val="center"/>
          </w:tcPr>
          <w:p w14:paraId="7ACF6CF4" w14:textId="77777777" w:rsidR="00534101" w:rsidRPr="002B2631" w:rsidRDefault="00534101" w:rsidP="002B2631">
            <w:pPr>
              <w:spacing w:after="0" w:line="240" w:lineRule="auto"/>
              <w:jc w:val="center"/>
              <w:rPr>
                <w:rFonts w:eastAsia="Calibri"/>
                <w:b/>
                <w:color w:val="FF0000"/>
              </w:rPr>
            </w:pPr>
            <w:r w:rsidRPr="002B2631">
              <w:rPr>
                <w:rFonts w:eastAsia="Calibri"/>
                <w:b/>
                <w:color w:val="FF0000"/>
              </w:rPr>
              <w:t>Quintile 3</w:t>
            </w:r>
          </w:p>
        </w:tc>
        <w:tc>
          <w:tcPr>
            <w:tcW w:w="1440" w:type="dxa"/>
            <w:tcBorders>
              <w:top w:val="double" w:sz="4" w:space="0" w:color="auto"/>
            </w:tcBorders>
            <w:shd w:val="clear" w:color="auto" w:fill="DBE5F1"/>
            <w:vAlign w:val="center"/>
          </w:tcPr>
          <w:p w14:paraId="0293BD30" w14:textId="77777777" w:rsidR="00534101" w:rsidRPr="002B2631" w:rsidRDefault="00534101" w:rsidP="002B2631">
            <w:pPr>
              <w:spacing w:after="0" w:line="240" w:lineRule="auto"/>
              <w:jc w:val="center"/>
              <w:rPr>
                <w:rFonts w:eastAsia="Calibri"/>
                <w:b/>
                <w:color w:val="FF0000"/>
              </w:rPr>
            </w:pPr>
            <w:r w:rsidRPr="002B2631">
              <w:rPr>
                <w:rFonts w:eastAsia="Calibri"/>
                <w:b/>
                <w:color w:val="FF0000"/>
              </w:rPr>
              <w:t>Quintile 4</w:t>
            </w:r>
          </w:p>
        </w:tc>
        <w:tc>
          <w:tcPr>
            <w:tcW w:w="1472" w:type="dxa"/>
            <w:tcBorders>
              <w:top w:val="double" w:sz="4" w:space="0" w:color="auto"/>
              <w:right w:val="double" w:sz="4" w:space="0" w:color="auto"/>
            </w:tcBorders>
            <w:shd w:val="clear" w:color="auto" w:fill="DBE5F1"/>
            <w:vAlign w:val="center"/>
          </w:tcPr>
          <w:p w14:paraId="78CD8751" w14:textId="77777777" w:rsidR="00534101" w:rsidRPr="002B2631" w:rsidRDefault="00534101" w:rsidP="002B2631">
            <w:pPr>
              <w:spacing w:after="0" w:line="240" w:lineRule="auto"/>
              <w:jc w:val="center"/>
              <w:rPr>
                <w:rFonts w:eastAsia="Calibri"/>
                <w:b/>
                <w:color w:val="FF0000"/>
              </w:rPr>
            </w:pPr>
            <w:r w:rsidRPr="002B2631">
              <w:rPr>
                <w:rFonts w:eastAsia="Calibri"/>
                <w:b/>
                <w:color w:val="FF0000"/>
              </w:rPr>
              <w:t>Quintile 5</w:t>
            </w:r>
          </w:p>
        </w:tc>
      </w:tr>
      <w:tr w:rsidR="00534101" w:rsidRPr="00534101" w14:paraId="0777C03B" w14:textId="77777777" w:rsidTr="00CD05A3">
        <w:trPr>
          <w:trHeight w:val="288"/>
          <w:jc w:val="center"/>
        </w:trPr>
        <w:tc>
          <w:tcPr>
            <w:tcW w:w="2102" w:type="dxa"/>
            <w:tcBorders>
              <w:left w:val="double" w:sz="4" w:space="0" w:color="auto"/>
            </w:tcBorders>
            <w:vAlign w:val="center"/>
          </w:tcPr>
          <w:p w14:paraId="7C606C4C" w14:textId="77777777" w:rsidR="00534101" w:rsidRPr="002B2631" w:rsidRDefault="00534101" w:rsidP="002B2631">
            <w:pPr>
              <w:spacing w:after="0" w:line="240" w:lineRule="auto"/>
              <w:rPr>
                <w:rFonts w:eastAsia="Calibri"/>
                <w:b/>
                <w:color w:val="FF0000"/>
              </w:rPr>
            </w:pPr>
            <w:r w:rsidRPr="002B2631">
              <w:rPr>
                <w:rFonts w:eastAsia="Calibri"/>
                <w:b/>
                <w:color w:val="FF0000"/>
              </w:rPr>
              <w:t>Number of plans</w:t>
            </w:r>
          </w:p>
        </w:tc>
        <w:tc>
          <w:tcPr>
            <w:tcW w:w="1530" w:type="dxa"/>
            <w:vAlign w:val="center"/>
          </w:tcPr>
          <w:p w14:paraId="1A279792" w14:textId="77777777" w:rsidR="00534101" w:rsidRPr="002B2631" w:rsidRDefault="00534101" w:rsidP="002B2631">
            <w:pPr>
              <w:spacing w:after="0" w:line="240" w:lineRule="auto"/>
              <w:jc w:val="center"/>
              <w:rPr>
                <w:color w:val="FF0000"/>
              </w:rPr>
            </w:pPr>
            <w:r w:rsidRPr="002B2631">
              <w:rPr>
                <w:color w:val="FF0000"/>
              </w:rPr>
              <w:t>4</w:t>
            </w:r>
          </w:p>
        </w:tc>
        <w:tc>
          <w:tcPr>
            <w:tcW w:w="1440" w:type="dxa"/>
            <w:vAlign w:val="center"/>
          </w:tcPr>
          <w:p w14:paraId="7BEE8E88" w14:textId="77777777" w:rsidR="00534101" w:rsidRPr="002B2631" w:rsidRDefault="00534101" w:rsidP="002B2631">
            <w:pPr>
              <w:spacing w:after="0" w:line="240" w:lineRule="auto"/>
              <w:jc w:val="center"/>
              <w:rPr>
                <w:color w:val="FF0000"/>
              </w:rPr>
            </w:pPr>
            <w:r w:rsidRPr="002B2631">
              <w:rPr>
                <w:color w:val="FF0000"/>
              </w:rPr>
              <w:t>5</w:t>
            </w:r>
          </w:p>
        </w:tc>
        <w:tc>
          <w:tcPr>
            <w:tcW w:w="1440" w:type="dxa"/>
            <w:vAlign w:val="center"/>
          </w:tcPr>
          <w:p w14:paraId="09DEF716" w14:textId="77777777" w:rsidR="00534101" w:rsidRPr="002B2631" w:rsidRDefault="00534101" w:rsidP="002B2631">
            <w:pPr>
              <w:spacing w:after="0" w:line="240" w:lineRule="auto"/>
              <w:jc w:val="center"/>
              <w:rPr>
                <w:color w:val="FF0000"/>
              </w:rPr>
            </w:pPr>
            <w:r w:rsidRPr="002B2631">
              <w:rPr>
                <w:color w:val="FF0000"/>
              </w:rPr>
              <w:t>5</w:t>
            </w:r>
          </w:p>
        </w:tc>
        <w:tc>
          <w:tcPr>
            <w:tcW w:w="1440" w:type="dxa"/>
            <w:vAlign w:val="center"/>
          </w:tcPr>
          <w:p w14:paraId="49B9CE40" w14:textId="77777777" w:rsidR="00534101" w:rsidRPr="002B2631" w:rsidRDefault="00534101" w:rsidP="002B2631">
            <w:pPr>
              <w:spacing w:after="0" w:line="240" w:lineRule="auto"/>
              <w:jc w:val="center"/>
              <w:rPr>
                <w:color w:val="FF0000"/>
              </w:rPr>
            </w:pPr>
            <w:r w:rsidRPr="002B2631">
              <w:rPr>
                <w:color w:val="FF0000"/>
              </w:rPr>
              <w:t>5</w:t>
            </w:r>
          </w:p>
        </w:tc>
        <w:tc>
          <w:tcPr>
            <w:tcW w:w="1472" w:type="dxa"/>
            <w:tcBorders>
              <w:right w:val="double" w:sz="4" w:space="0" w:color="auto"/>
            </w:tcBorders>
            <w:vAlign w:val="center"/>
          </w:tcPr>
          <w:p w14:paraId="782A3D1F" w14:textId="77777777" w:rsidR="00534101" w:rsidRPr="002B2631" w:rsidRDefault="00534101" w:rsidP="002B2631">
            <w:pPr>
              <w:spacing w:after="0" w:line="240" w:lineRule="auto"/>
              <w:jc w:val="center"/>
              <w:rPr>
                <w:color w:val="FF0000"/>
              </w:rPr>
            </w:pPr>
            <w:r w:rsidRPr="002B2631">
              <w:rPr>
                <w:color w:val="FF0000"/>
              </w:rPr>
              <w:t>4</w:t>
            </w:r>
          </w:p>
        </w:tc>
      </w:tr>
      <w:tr w:rsidR="00534101" w:rsidRPr="00534101" w14:paraId="7F6D3EEE" w14:textId="77777777" w:rsidTr="00CD05A3">
        <w:trPr>
          <w:trHeight w:val="288"/>
          <w:jc w:val="center"/>
        </w:trPr>
        <w:tc>
          <w:tcPr>
            <w:tcW w:w="2102" w:type="dxa"/>
            <w:tcBorders>
              <w:left w:val="double" w:sz="4" w:space="0" w:color="auto"/>
            </w:tcBorders>
            <w:vAlign w:val="center"/>
          </w:tcPr>
          <w:p w14:paraId="1816558D" w14:textId="77777777" w:rsidR="00534101" w:rsidRPr="002B2631" w:rsidRDefault="00534101" w:rsidP="002B2631">
            <w:pPr>
              <w:spacing w:after="0" w:line="240" w:lineRule="auto"/>
              <w:ind w:left="14"/>
              <w:rPr>
                <w:rFonts w:eastAsia="Calibri"/>
                <w:b/>
                <w:color w:val="FF0000"/>
              </w:rPr>
            </w:pPr>
            <w:r w:rsidRPr="002B2631">
              <w:rPr>
                <w:rFonts w:eastAsia="Calibri"/>
                <w:b/>
                <w:color w:val="FF0000"/>
              </w:rPr>
              <w:t>Denominator range across plans (minimum-maximum)</w:t>
            </w:r>
          </w:p>
        </w:tc>
        <w:tc>
          <w:tcPr>
            <w:tcW w:w="1530" w:type="dxa"/>
            <w:vAlign w:val="center"/>
          </w:tcPr>
          <w:p w14:paraId="2BDCCBF4" w14:textId="77777777" w:rsidR="00534101" w:rsidRPr="002B2631" w:rsidRDefault="00534101" w:rsidP="002B2631">
            <w:pPr>
              <w:spacing w:after="0" w:line="240" w:lineRule="auto"/>
              <w:jc w:val="center"/>
              <w:rPr>
                <w:color w:val="FF0000"/>
              </w:rPr>
            </w:pPr>
            <w:r w:rsidRPr="002B2631">
              <w:rPr>
                <w:color w:val="FF0000"/>
              </w:rPr>
              <w:t>34-220</w:t>
            </w:r>
          </w:p>
        </w:tc>
        <w:tc>
          <w:tcPr>
            <w:tcW w:w="1440" w:type="dxa"/>
            <w:vAlign w:val="center"/>
          </w:tcPr>
          <w:p w14:paraId="50891F4A" w14:textId="77777777" w:rsidR="00534101" w:rsidRPr="002B2631" w:rsidRDefault="00534101" w:rsidP="002B2631">
            <w:pPr>
              <w:spacing w:after="0" w:line="240" w:lineRule="auto"/>
              <w:jc w:val="center"/>
              <w:rPr>
                <w:color w:val="FF0000"/>
              </w:rPr>
            </w:pPr>
            <w:r w:rsidRPr="002B2631">
              <w:rPr>
                <w:color w:val="FF0000"/>
              </w:rPr>
              <w:t>97-1,267</w:t>
            </w:r>
          </w:p>
        </w:tc>
        <w:tc>
          <w:tcPr>
            <w:tcW w:w="1440" w:type="dxa"/>
            <w:vAlign w:val="center"/>
          </w:tcPr>
          <w:p w14:paraId="378236F2" w14:textId="77777777" w:rsidR="00534101" w:rsidRPr="002B2631" w:rsidRDefault="00534101" w:rsidP="002B2631">
            <w:pPr>
              <w:spacing w:after="0" w:line="240" w:lineRule="auto"/>
              <w:jc w:val="center"/>
              <w:rPr>
                <w:color w:val="FF0000"/>
              </w:rPr>
            </w:pPr>
            <w:r w:rsidRPr="002B2631">
              <w:rPr>
                <w:color w:val="FF0000"/>
              </w:rPr>
              <w:t>238-3,188</w:t>
            </w:r>
          </w:p>
        </w:tc>
        <w:tc>
          <w:tcPr>
            <w:tcW w:w="1440" w:type="dxa"/>
            <w:vAlign w:val="center"/>
          </w:tcPr>
          <w:p w14:paraId="1982AC52" w14:textId="77777777" w:rsidR="00534101" w:rsidRPr="002B2631" w:rsidRDefault="00534101" w:rsidP="002B2631">
            <w:pPr>
              <w:spacing w:after="0" w:line="240" w:lineRule="auto"/>
              <w:jc w:val="center"/>
              <w:rPr>
                <w:color w:val="FF0000"/>
              </w:rPr>
            </w:pPr>
            <w:r w:rsidRPr="002B2631">
              <w:rPr>
                <w:color w:val="FF0000"/>
              </w:rPr>
              <w:t>792-3,304</w:t>
            </w:r>
          </w:p>
        </w:tc>
        <w:tc>
          <w:tcPr>
            <w:tcW w:w="1472" w:type="dxa"/>
            <w:tcBorders>
              <w:right w:val="double" w:sz="4" w:space="0" w:color="auto"/>
            </w:tcBorders>
            <w:vAlign w:val="center"/>
          </w:tcPr>
          <w:p w14:paraId="4519876D" w14:textId="77777777" w:rsidR="00534101" w:rsidRPr="002B2631" w:rsidRDefault="00534101" w:rsidP="002B2631">
            <w:pPr>
              <w:spacing w:after="0" w:line="240" w:lineRule="auto"/>
              <w:jc w:val="center"/>
              <w:rPr>
                <w:color w:val="FF0000"/>
              </w:rPr>
            </w:pPr>
            <w:r w:rsidRPr="002B2631">
              <w:rPr>
                <w:color w:val="FF0000"/>
              </w:rPr>
              <w:t>53-413</w:t>
            </w:r>
          </w:p>
        </w:tc>
      </w:tr>
      <w:tr w:rsidR="00534101" w:rsidRPr="00534101" w14:paraId="536795CB" w14:textId="77777777" w:rsidTr="00CD05A3">
        <w:trPr>
          <w:trHeight w:val="288"/>
          <w:jc w:val="center"/>
        </w:trPr>
        <w:tc>
          <w:tcPr>
            <w:tcW w:w="2102" w:type="dxa"/>
            <w:tcBorders>
              <w:left w:val="double" w:sz="4" w:space="0" w:color="auto"/>
              <w:bottom w:val="single" w:sz="4" w:space="0" w:color="auto"/>
            </w:tcBorders>
            <w:vAlign w:val="center"/>
          </w:tcPr>
          <w:p w14:paraId="1D14249A" w14:textId="77777777" w:rsidR="00534101" w:rsidRPr="002B2631" w:rsidRDefault="00534101" w:rsidP="002B2631">
            <w:pPr>
              <w:spacing w:after="0" w:line="240" w:lineRule="auto"/>
              <w:rPr>
                <w:rFonts w:eastAsia="Calibri"/>
                <w:b/>
                <w:color w:val="FF0000"/>
              </w:rPr>
            </w:pPr>
            <w:r w:rsidRPr="002B2631">
              <w:rPr>
                <w:rFonts w:eastAsia="Calibri"/>
                <w:b/>
                <w:color w:val="FF0000"/>
              </w:rPr>
              <w:t xml:space="preserve">Median denominator size </w:t>
            </w:r>
          </w:p>
        </w:tc>
        <w:tc>
          <w:tcPr>
            <w:tcW w:w="1530" w:type="dxa"/>
            <w:tcBorders>
              <w:bottom w:val="single" w:sz="4" w:space="0" w:color="auto"/>
            </w:tcBorders>
            <w:vAlign w:val="center"/>
          </w:tcPr>
          <w:p w14:paraId="28CCF067" w14:textId="77777777" w:rsidR="00534101" w:rsidRPr="002B2631" w:rsidRDefault="00534101" w:rsidP="002B2631">
            <w:pPr>
              <w:spacing w:after="0" w:line="240" w:lineRule="auto"/>
              <w:jc w:val="center"/>
              <w:rPr>
                <w:color w:val="FF0000"/>
              </w:rPr>
            </w:pPr>
            <w:r w:rsidRPr="002B2631">
              <w:rPr>
                <w:color w:val="FF0000"/>
              </w:rPr>
              <w:t>117</w:t>
            </w:r>
          </w:p>
        </w:tc>
        <w:tc>
          <w:tcPr>
            <w:tcW w:w="1440" w:type="dxa"/>
            <w:tcBorders>
              <w:bottom w:val="single" w:sz="4" w:space="0" w:color="auto"/>
            </w:tcBorders>
            <w:vAlign w:val="center"/>
          </w:tcPr>
          <w:p w14:paraId="592F6BB2" w14:textId="77777777" w:rsidR="00534101" w:rsidRPr="002B2631" w:rsidRDefault="00534101" w:rsidP="002B2631">
            <w:pPr>
              <w:spacing w:after="0" w:line="240" w:lineRule="auto"/>
              <w:jc w:val="center"/>
              <w:rPr>
                <w:color w:val="FF0000"/>
              </w:rPr>
            </w:pPr>
            <w:r w:rsidRPr="002B2631">
              <w:rPr>
                <w:color w:val="FF0000"/>
              </w:rPr>
              <w:t>314</w:t>
            </w:r>
          </w:p>
        </w:tc>
        <w:tc>
          <w:tcPr>
            <w:tcW w:w="1440" w:type="dxa"/>
            <w:tcBorders>
              <w:bottom w:val="single" w:sz="4" w:space="0" w:color="auto"/>
            </w:tcBorders>
            <w:vAlign w:val="center"/>
          </w:tcPr>
          <w:p w14:paraId="0B43620F" w14:textId="77777777" w:rsidR="00534101" w:rsidRPr="002B2631" w:rsidRDefault="00534101" w:rsidP="002B2631">
            <w:pPr>
              <w:spacing w:after="0" w:line="240" w:lineRule="auto"/>
              <w:jc w:val="center"/>
              <w:rPr>
                <w:color w:val="FF0000"/>
              </w:rPr>
            </w:pPr>
            <w:r w:rsidRPr="002B2631">
              <w:rPr>
                <w:color w:val="FF0000"/>
              </w:rPr>
              <w:t>2,234</w:t>
            </w:r>
          </w:p>
        </w:tc>
        <w:tc>
          <w:tcPr>
            <w:tcW w:w="1440" w:type="dxa"/>
            <w:tcBorders>
              <w:bottom w:val="single" w:sz="4" w:space="0" w:color="auto"/>
            </w:tcBorders>
            <w:vAlign w:val="center"/>
          </w:tcPr>
          <w:p w14:paraId="33159D7C" w14:textId="77777777" w:rsidR="00534101" w:rsidRPr="002B2631" w:rsidRDefault="00534101" w:rsidP="002B2631">
            <w:pPr>
              <w:spacing w:after="0" w:line="240" w:lineRule="auto"/>
              <w:jc w:val="center"/>
              <w:rPr>
                <w:color w:val="FF0000"/>
              </w:rPr>
            </w:pPr>
            <w:r w:rsidRPr="002B2631">
              <w:rPr>
                <w:color w:val="FF0000"/>
              </w:rPr>
              <w:t>1,338</w:t>
            </w:r>
          </w:p>
        </w:tc>
        <w:tc>
          <w:tcPr>
            <w:tcW w:w="1472" w:type="dxa"/>
            <w:tcBorders>
              <w:bottom w:val="single" w:sz="4" w:space="0" w:color="auto"/>
              <w:right w:val="double" w:sz="4" w:space="0" w:color="auto"/>
            </w:tcBorders>
            <w:vAlign w:val="center"/>
          </w:tcPr>
          <w:p w14:paraId="5F477530" w14:textId="77777777" w:rsidR="00534101" w:rsidRPr="002B2631" w:rsidRDefault="00534101" w:rsidP="002B2631">
            <w:pPr>
              <w:spacing w:after="0" w:line="240" w:lineRule="auto"/>
              <w:jc w:val="center"/>
              <w:rPr>
                <w:color w:val="FF0000"/>
              </w:rPr>
            </w:pPr>
            <w:r w:rsidRPr="002B2631">
              <w:rPr>
                <w:color w:val="FF0000"/>
              </w:rPr>
              <w:t>212</w:t>
            </w:r>
          </w:p>
        </w:tc>
      </w:tr>
      <w:tr w:rsidR="00534101" w:rsidRPr="00534101" w14:paraId="0245304C" w14:textId="77777777" w:rsidTr="00CD05A3">
        <w:trPr>
          <w:trHeight w:val="288"/>
          <w:jc w:val="center"/>
        </w:trPr>
        <w:tc>
          <w:tcPr>
            <w:tcW w:w="2102" w:type="dxa"/>
            <w:tcBorders>
              <w:left w:val="double" w:sz="4" w:space="0" w:color="auto"/>
            </w:tcBorders>
            <w:shd w:val="pct10" w:color="auto" w:fill="auto"/>
            <w:vAlign w:val="center"/>
          </w:tcPr>
          <w:p w14:paraId="47EA610A" w14:textId="77777777" w:rsidR="00534101" w:rsidRPr="002B2631" w:rsidRDefault="00534101" w:rsidP="002B2631">
            <w:pPr>
              <w:spacing w:after="0" w:line="240" w:lineRule="auto"/>
              <w:rPr>
                <w:rFonts w:eastAsia="Calibri"/>
                <w:b/>
                <w:color w:val="FF0000"/>
              </w:rPr>
            </w:pPr>
            <w:r w:rsidRPr="002B2631">
              <w:rPr>
                <w:rFonts w:eastAsia="Calibri"/>
                <w:b/>
                <w:color w:val="FF0000"/>
              </w:rPr>
              <w:t xml:space="preserve">Measure score (95% CI) of the plan with a denominator size closest to the median denominator size </w:t>
            </w:r>
          </w:p>
        </w:tc>
        <w:tc>
          <w:tcPr>
            <w:tcW w:w="1530" w:type="dxa"/>
            <w:shd w:val="pct10" w:color="auto" w:fill="auto"/>
            <w:vAlign w:val="center"/>
          </w:tcPr>
          <w:p w14:paraId="0599A3BD" w14:textId="77777777" w:rsidR="00534101" w:rsidRPr="002B2631" w:rsidRDefault="00534101" w:rsidP="002B2631">
            <w:pPr>
              <w:spacing w:after="0" w:line="240" w:lineRule="auto"/>
              <w:jc w:val="center"/>
              <w:rPr>
                <w:color w:val="FF0000"/>
              </w:rPr>
            </w:pPr>
            <w:r w:rsidRPr="002B2631">
              <w:rPr>
                <w:color w:val="FF0000"/>
              </w:rPr>
              <w:t>63.3%</w:t>
            </w:r>
          </w:p>
          <w:p w14:paraId="722B3ABC" w14:textId="77777777" w:rsidR="00534101" w:rsidRPr="002B2631" w:rsidRDefault="00534101" w:rsidP="002B2631">
            <w:pPr>
              <w:spacing w:after="0" w:line="240" w:lineRule="auto"/>
              <w:jc w:val="center"/>
              <w:rPr>
                <w:color w:val="FF0000"/>
              </w:rPr>
            </w:pPr>
            <w:r w:rsidRPr="002B2631">
              <w:rPr>
                <w:color w:val="FF0000"/>
              </w:rPr>
              <w:t>(55.6-71.3)</w:t>
            </w:r>
          </w:p>
        </w:tc>
        <w:tc>
          <w:tcPr>
            <w:tcW w:w="1440" w:type="dxa"/>
            <w:shd w:val="pct10" w:color="auto" w:fill="auto"/>
            <w:vAlign w:val="center"/>
          </w:tcPr>
          <w:p w14:paraId="7F793D86" w14:textId="77777777" w:rsidR="00534101" w:rsidRPr="002B2631" w:rsidRDefault="00534101" w:rsidP="002B2631">
            <w:pPr>
              <w:spacing w:after="0" w:line="240" w:lineRule="auto"/>
              <w:jc w:val="center"/>
              <w:rPr>
                <w:color w:val="FF0000"/>
              </w:rPr>
            </w:pPr>
            <w:r w:rsidRPr="002B2631">
              <w:rPr>
                <w:color w:val="FF0000"/>
              </w:rPr>
              <w:t>67.8%</w:t>
            </w:r>
          </w:p>
          <w:p w14:paraId="693A2800" w14:textId="77777777" w:rsidR="00534101" w:rsidRPr="002B2631" w:rsidRDefault="00534101" w:rsidP="002B2631">
            <w:pPr>
              <w:spacing w:after="0" w:line="240" w:lineRule="auto"/>
              <w:jc w:val="center"/>
              <w:rPr>
                <w:color w:val="FF0000"/>
              </w:rPr>
            </w:pPr>
            <w:r w:rsidRPr="002B2631">
              <w:rPr>
                <w:color w:val="FF0000"/>
              </w:rPr>
              <w:t>(62.8-73.0)</w:t>
            </w:r>
          </w:p>
        </w:tc>
        <w:tc>
          <w:tcPr>
            <w:tcW w:w="1440" w:type="dxa"/>
            <w:shd w:val="pct10" w:color="auto" w:fill="auto"/>
            <w:vAlign w:val="center"/>
          </w:tcPr>
          <w:p w14:paraId="771D7E9C" w14:textId="77777777" w:rsidR="00534101" w:rsidRPr="002B2631" w:rsidRDefault="00534101" w:rsidP="002B2631">
            <w:pPr>
              <w:spacing w:after="0" w:line="240" w:lineRule="auto"/>
              <w:jc w:val="center"/>
              <w:rPr>
                <w:color w:val="FF0000"/>
              </w:rPr>
            </w:pPr>
            <w:r w:rsidRPr="002B2631">
              <w:rPr>
                <w:color w:val="FF0000"/>
              </w:rPr>
              <w:t>70.5%</w:t>
            </w:r>
          </w:p>
          <w:p w14:paraId="418F151E" w14:textId="77777777" w:rsidR="00534101" w:rsidRPr="002B2631" w:rsidRDefault="00534101" w:rsidP="002B2631">
            <w:pPr>
              <w:spacing w:after="0" w:line="240" w:lineRule="auto"/>
              <w:jc w:val="center"/>
              <w:rPr>
                <w:color w:val="FF0000"/>
              </w:rPr>
            </w:pPr>
            <w:r w:rsidRPr="002B2631">
              <w:rPr>
                <w:color w:val="FF0000"/>
              </w:rPr>
              <w:t>(68.7-72.4)</w:t>
            </w:r>
          </w:p>
        </w:tc>
        <w:tc>
          <w:tcPr>
            <w:tcW w:w="1440" w:type="dxa"/>
            <w:shd w:val="pct10" w:color="auto" w:fill="auto"/>
            <w:vAlign w:val="center"/>
          </w:tcPr>
          <w:p w14:paraId="2929EFD9" w14:textId="77777777" w:rsidR="00534101" w:rsidRPr="002B2631" w:rsidRDefault="00534101" w:rsidP="002B2631">
            <w:pPr>
              <w:spacing w:after="0" w:line="240" w:lineRule="auto"/>
              <w:jc w:val="center"/>
              <w:rPr>
                <w:color w:val="FF0000"/>
              </w:rPr>
            </w:pPr>
            <w:r w:rsidRPr="002B2631">
              <w:rPr>
                <w:color w:val="FF0000"/>
              </w:rPr>
              <w:t>74.0%</w:t>
            </w:r>
          </w:p>
          <w:p w14:paraId="48E32A67" w14:textId="77777777" w:rsidR="00534101" w:rsidRPr="002B2631" w:rsidRDefault="00534101" w:rsidP="002B2631">
            <w:pPr>
              <w:spacing w:after="0" w:line="240" w:lineRule="auto"/>
              <w:jc w:val="center"/>
              <w:rPr>
                <w:color w:val="FF0000"/>
              </w:rPr>
            </w:pPr>
            <w:r w:rsidRPr="002B2631">
              <w:rPr>
                <w:color w:val="FF0000"/>
              </w:rPr>
              <w:t>(71.7-76.3)</w:t>
            </w:r>
          </w:p>
        </w:tc>
        <w:tc>
          <w:tcPr>
            <w:tcW w:w="1472" w:type="dxa"/>
            <w:tcBorders>
              <w:right w:val="double" w:sz="4" w:space="0" w:color="auto"/>
            </w:tcBorders>
            <w:shd w:val="pct10" w:color="auto" w:fill="auto"/>
            <w:vAlign w:val="center"/>
          </w:tcPr>
          <w:p w14:paraId="4DDE91B3" w14:textId="77777777" w:rsidR="00534101" w:rsidRPr="002B2631" w:rsidRDefault="00534101" w:rsidP="002B2631">
            <w:pPr>
              <w:spacing w:after="0" w:line="240" w:lineRule="auto"/>
              <w:jc w:val="center"/>
              <w:rPr>
                <w:color w:val="FF0000"/>
              </w:rPr>
            </w:pPr>
            <w:r w:rsidRPr="002B2631">
              <w:rPr>
                <w:color w:val="FF0000"/>
              </w:rPr>
              <w:t>78.5%</w:t>
            </w:r>
          </w:p>
          <w:p w14:paraId="6E886986" w14:textId="77777777" w:rsidR="00534101" w:rsidRPr="002B2631" w:rsidRDefault="00534101" w:rsidP="002B2631">
            <w:pPr>
              <w:spacing w:after="0" w:line="240" w:lineRule="auto"/>
              <w:jc w:val="center"/>
              <w:rPr>
                <w:color w:val="FF0000"/>
              </w:rPr>
            </w:pPr>
            <w:r w:rsidRPr="002B2631">
              <w:rPr>
                <w:color w:val="FF0000"/>
              </w:rPr>
              <w:t>(73.1-83.8)</w:t>
            </w:r>
          </w:p>
        </w:tc>
      </w:tr>
      <w:tr w:rsidR="00534101" w:rsidRPr="00534101" w14:paraId="6F9B3B39" w14:textId="77777777" w:rsidTr="00CD05A3">
        <w:trPr>
          <w:trHeight w:val="288"/>
          <w:jc w:val="center"/>
        </w:trPr>
        <w:tc>
          <w:tcPr>
            <w:tcW w:w="2102" w:type="dxa"/>
            <w:tcBorders>
              <w:left w:val="double" w:sz="4" w:space="0" w:color="auto"/>
            </w:tcBorders>
            <w:vAlign w:val="center"/>
          </w:tcPr>
          <w:p w14:paraId="335A7567" w14:textId="77777777" w:rsidR="00534101" w:rsidRPr="002B2631" w:rsidRDefault="00534101" w:rsidP="002B2631">
            <w:pPr>
              <w:spacing w:after="0" w:line="240" w:lineRule="auto"/>
              <w:rPr>
                <w:rFonts w:eastAsia="Calibri"/>
                <w:b/>
                <w:color w:val="FF0000"/>
              </w:rPr>
            </w:pPr>
            <w:r w:rsidRPr="002B2631">
              <w:rPr>
                <w:rFonts w:eastAsia="Calibri"/>
                <w:b/>
                <w:color w:val="FF0000"/>
              </w:rPr>
              <w:t xml:space="preserve">Measure score range across plans </w:t>
            </w:r>
          </w:p>
        </w:tc>
        <w:tc>
          <w:tcPr>
            <w:tcW w:w="1530" w:type="dxa"/>
            <w:vAlign w:val="center"/>
          </w:tcPr>
          <w:p w14:paraId="3056C730" w14:textId="77777777" w:rsidR="00534101" w:rsidRPr="002B2631" w:rsidRDefault="00534101" w:rsidP="002B2631">
            <w:pPr>
              <w:spacing w:after="0" w:line="240" w:lineRule="auto"/>
              <w:jc w:val="center"/>
              <w:rPr>
                <w:color w:val="FF0000"/>
              </w:rPr>
            </w:pPr>
            <w:r w:rsidRPr="002B2631">
              <w:rPr>
                <w:color w:val="FF0000"/>
              </w:rPr>
              <w:t>58.8%-64.1%</w:t>
            </w:r>
          </w:p>
        </w:tc>
        <w:tc>
          <w:tcPr>
            <w:tcW w:w="1440" w:type="dxa"/>
            <w:vAlign w:val="center"/>
          </w:tcPr>
          <w:p w14:paraId="0C2453F5" w14:textId="77777777" w:rsidR="00534101" w:rsidRPr="002B2631" w:rsidRDefault="00534101" w:rsidP="002B2631">
            <w:pPr>
              <w:spacing w:after="0" w:line="240" w:lineRule="auto"/>
              <w:jc w:val="center"/>
              <w:rPr>
                <w:color w:val="FF0000"/>
              </w:rPr>
            </w:pPr>
            <w:r w:rsidRPr="002B2631">
              <w:rPr>
                <w:color w:val="FF0000"/>
              </w:rPr>
              <w:t>66.0%-67.8%</w:t>
            </w:r>
          </w:p>
        </w:tc>
        <w:tc>
          <w:tcPr>
            <w:tcW w:w="1440" w:type="dxa"/>
            <w:vAlign w:val="center"/>
          </w:tcPr>
          <w:p w14:paraId="68B59779" w14:textId="77777777" w:rsidR="00534101" w:rsidRPr="002B2631" w:rsidRDefault="00534101" w:rsidP="002B2631">
            <w:pPr>
              <w:spacing w:after="0" w:line="240" w:lineRule="auto"/>
              <w:jc w:val="center"/>
              <w:rPr>
                <w:color w:val="FF0000"/>
              </w:rPr>
            </w:pPr>
            <w:r w:rsidRPr="002B2631">
              <w:rPr>
                <w:color w:val="FF0000"/>
              </w:rPr>
              <w:t>69.4%-71.4%</w:t>
            </w:r>
          </w:p>
        </w:tc>
        <w:tc>
          <w:tcPr>
            <w:tcW w:w="1440" w:type="dxa"/>
            <w:vAlign w:val="center"/>
          </w:tcPr>
          <w:p w14:paraId="1980E303" w14:textId="77777777" w:rsidR="00534101" w:rsidRPr="002B2631" w:rsidRDefault="00534101" w:rsidP="002B2631">
            <w:pPr>
              <w:spacing w:after="0" w:line="240" w:lineRule="auto"/>
              <w:jc w:val="center"/>
              <w:rPr>
                <w:color w:val="FF0000"/>
              </w:rPr>
            </w:pPr>
            <w:r w:rsidRPr="002B2631">
              <w:rPr>
                <w:color w:val="FF0000"/>
              </w:rPr>
              <w:t>72.5%-75.6%</w:t>
            </w:r>
          </w:p>
        </w:tc>
        <w:tc>
          <w:tcPr>
            <w:tcW w:w="1472" w:type="dxa"/>
            <w:tcBorders>
              <w:right w:val="double" w:sz="4" w:space="0" w:color="auto"/>
            </w:tcBorders>
            <w:vAlign w:val="center"/>
          </w:tcPr>
          <w:p w14:paraId="0091ACB5" w14:textId="77777777" w:rsidR="00534101" w:rsidRPr="002B2631" w:rsidRDefault="00534101" w:rsidP="002B2631">
            <w:pPr>
              <w:spacing w:after="0" w:line="240" w:lineRule="auto"/>
              <w:jc w:val="center"/>
              <w:rPr>
                <w:color w:val="FF0000"/>
              </w:rPr>
            </w:pPr>
            <w:r w:rsidRPr="002B2631">
              <w:rPr>
                <w:color w:val="FF0000"/>
              </w:rPr>
              <w:t>77.4%-81.8%</w:t>
            </w:r>
          </w:p>
        </w:tc>
      </w:tr>
      <w:tr w:rsidR="00534101" w:rsidRPr="00534101" w14:paraId="7A78742A" w14:textId="77777777" w:rsidTr="00CD05A3">
        <w:trPr>
          <w:trHeight w:val="288"/>
          <w:jc w:val="center"/>
        </w:trPr>
        <w:tc>
          <w:tcPr>
            <w:tcW w:w="2102" w:type="dxa"/>
            <w:tcBorders>
              <w:left w:val="double" w:sz="4" w:space="0" w:color="auto"/>
              <w:bottom w:val="single" w:sz="4" w:space="0" w:color="auto"/>
            </w:tcBorders>
            <w:vAlign w:val="center"/>
          </w:tcPr>
          <w:p w14:paraId="313BDEA3" w14:textId="77777777" w:rsidR="00534101" w:rsidRPr="002B2631" w:rsidRDefault="00534101" w:rsidP="002B2631">
            <w:pPr>
              <w:spacing w:after="0" w:line="240" w:lineRule="auto"/>
              <w:rPr>
                <w:rFonts w:eastAsia="Calibri"/>
                <w:b/>
                <w:color w:val="FF0000"/>
              </w:rPr>
            </w:pPr>
            <w:r w:rsidRPr="002B2631">
              <w:rPr>
                <w:rFonts w:eastAsia="Calibri"/>
                <w:b/>
                <w:color w:val="FF0000"/>
              </w:rPr>
              <w:t xml:space="preserve">Median measure score </w:t>
            </w:r>
          </w:p>
        </w:tc>
        <w:tc>
          <w:tcPr>
            <w:tcW w:w="1530" w:type="dxa"/>
            <w:tcBorders>
              <w:bottom w:val="single" w:sz="4" w:space="0" w:color="auto"/>
            </w:tcBorders>
            <w:vAlign w:val="center"/>
          </w:tcPr>
          <w:p w14:paraId="60D8EC01" w14:textId="77777777" w:rsidR="00534101" w:rsidRPr="002B2631" w:rsidRDefault="00534101" w:rsidP="002B2631">
            <w:pPr>
              <w:spacing w:after="0" w:line="240" w:lineRule="auto"/>
              <w:jc w:val="center"/>
              <w:rPr>
                <w:color w:val="FF0000"/>
              </w:rPr>
            </w:pPr>
            <w:r w:rsidRPr="002B2631">
              <w:rPr>
                <w:color w:val="FF0000"/>
              </w:rPr>
              <w:t>63.6%</w:t>
            </w:r>
          </w:p>
        </w:tc>
        <w:tc>
          <w:tcPr>
            <w:tcW w:w="1440" w:type="dxa"/>
            <w:tcBorders>
              <w:bottom w:val="single" w:sz="4" w:space="0" w:color="auto"/>
            </w:tcBorders>
            <w:vAlign w:val="center"/>
          </w:tcPr>
          <w:p w14:paraId="7CE2C591" w14:textId="77777777" w:rsidR="00534101" w:rsidRPr="002B2631" w:rsidRDefault="00534101" w:rsidP="002B2631">
            <w:pPr>
              <w:spacing w:after="0" w:line="240" w:lineRule="auto"/>
              <w:jc w:val="center"/>
              <w:rPr>
                <w:color w:val="FF0000"/>
              </w:rPr>
            </w:pPr>
            <w:r w:rsidRPr="002B2631">
              <w:rPr>
                <w:color w:val="FF0000"/>
              </w:rPr>
              <w:t>66.1%</w:t>
            </w:r>
          </w:p>
        </w:tc>
        <w:tc>
          <w:tcPr>
            <w:tcW w:w="1440" w:type="dxa"/>
            <w:tcBorders>
              <w:bottom w:val="single" w:sz="4" w:space="0" w:color="auto"/>
            </w:tcBorders>
            <w:vAlign w:val="center"/>
          </w:tcPr>
          <w:p w14:paraId="22C23866" w14:textId="77777777" w:rsidR="00534101" w:rsidRPr="002B2631" w:rsidRDefault="00534101" w:rsidP="002B2631">
            <w:pPr>
              <w:spacing w:after="0" w:line="240" w:lineRule="auto"/>
              <w:jc w:val="center"/>
              <w:rPr>
                <w:color w:val="FF0000"/>
              </w:rPr>
            </w:pPr>
            <w:r w:rsidRPr="002B2631">
              <w:rPr>
                <w:color w:val="FF0000"/>
              </w:rPr>
              <w:t>69.7%</w:t>
            </w:r>
          </w:p>
        </w:tc>
        <w:tc>
          <w:tcPr>
            <w:tcW w:w="1440" w:type="dxa"/>
            <w:tcBorders>
              <w:bottom w:val="single" w:sz="4" w:space="0" w:color="auto"/>
            </w:tcBorders>
            <w:vAlign w:val="center"/>
          </w:tcPr>
          <w:p w14:paraId="0FFA6A1D" w14:textId="77777777" w:rsidR="00534101" w:rsidRPr="002B2631" w:rsidRDefault="00534101" w:rsidP="002B2631">
            <w:pPr>
              <w:spacing w:after="0" w:line="240" w:lineRule="auto"/>
              <w:jc w:val="center"/>
              <w:rPr>
                <w:color w:val="FF0000"/>
              </w:rPr>
            </w:pPr>
            <w:r w:rsidRPr="002B2631">
              <w:rPr>
                <w:color w:val="FF0000"/>
              </w:rPr>
              <w:t>74.0%</w:t>
            </w:r>
          </w:p>
        </w:tc>
        <w:tc>
          <w:tcPr>
            <w:tcW w:w="1472" w:type="dxa"/>
            <w:tcBorders>
              <w:bottom w:val="single" w:sz="4" w:space="0" w:color="auto"/>
              <w:right w:val="double" w:sz="4" w:space="0" w:color="auto"/>
            </w:tcBorders>
            <w:vAlign w:val="center"/>
          </w:tcPr>
          <w:p w14:paraId="14C591D6" w14:textId="77777777" w:rsidR="00534101" w:rsidRPr="002B2631" w:rsidRDefault="00534101" w:rsidP="002B2631">
            <w:pPr>
              <w:spacing w:after="0" w:line="240" w:lineRule="auto"/>
              <w:jc w:val="center"/>
              <w:rPr>
                <w:color w:val="FF0000"/>
              </w:rPr>
            </w:pPr>
            <w:r w:rsidRPr="002B2631">
              <w:rPr>
                <w:color w:val="FF0000"/>
              </w:rPr>
              <w:t>78.0%</w:t>
            </w:r>
          </w:p>
        </w:tc>
      </w:tr>
      <w:tr w:rsidR="00534101" w:rsidRPr="00534101" w14:paraId="49D6F5B5" w14:textId="77777777" w:rsidTr="00CD05A3">
        <w:trPr>
          <w:trHeight w:val="288"/>
          <w:jc w:val="center"/>
        </w:trPr>
        <w:tc>
          <w:tcPr>
            <w:tcW w:w="2102" w:type="dxa"/>
            <w:tcBorders>
              <w:left w:val="double" w:sz="4" w:space="0" w:color="auto"/>
              <w:bottom w:val="single" w:sz="4" w:space="0" w:color="auto"/>
            </w:tcBorders>
            <w:shd w:val="pct10" w:color="auto" w:fill="auto"/>
            <w:vAlign w:val="center"/>
          </w:tcPr>
          <w:p w14:paraId="7A0D5CA6" w14:textId="77777777" w:rsidR="00534101" w:rsidRPr="002B2631" w:rsidRDefault="00534101" w:rsidP="002B2631">
            <w:pPr>
              <w:spacing w:after="0" w:line="240" w:lineRule="auto"/>
              <w:rPr>
                <w:rFonts w:eastAsia="Calibri"/>
                <w:b/>
                <w:color w:val="FF0000"/>
              </w:rPr>
            </w:pPr>
            <w:r w:rsidRPr="002B2631">
              <w:rPr>
                <w:rFonts w:eastAsia="Calibri"/>
                <w:b/>
                <w:color w:val="FF0000"/>
              </w:rPr>
              <w:t>Measure score and 95% CI of the plan with a score closest to the median score</w:t>
            </w:r>
          </w:p>
        </w:tc>
        <w:tc>
          <w:tcPr>
            <w:tcW w:w="1530" w:type="dxa"/>
            <w:tcBorders>
              <w:bottom w:val="single" w:sz="4" w:space="0" w:color="auto"/>
            </w:tcBorders>
            <w:shd w:val="pct10" w:color="auto" w:fill="auto"/>
            <w:vAlign w:val="center"/>
          </w:tcPr>
          <w:p w14:paraId="6DA853FF" w14:textId="77777777" w:rsidR="00534101" w:rsidRPr="002B2631" w:rsidRDefault="00534101" w:rsidP="002B2631">
            <w:pPr>
              <w:spacing w:after="0" w:line="240" w:lineRule="auto"/>
              <w:jc w:val="center"/>
              <w:rPr>
                <w:color w:val="FF0000"/>
              </w:rPr>
            </w:pPr>
            <w:r w:rsidRPr="002B2631">
              <w:rPr>
                <w:color w:val="FF0000"/>
              </w:rPr>
              <w:t>63.3%</w:t>
            </w:r>
          </w:p>
          <w:p w14:paraId="6DAB5C0A" w14:textId="77777777" w:rsidR="00534101" w:rsidRPr="002B2631" w:rsidRDefault="00534101" w:rsidP="002B2631">
            <w:pPr>
              <w:spacing w:after="0" w:line="240" w:lineRule="auto"/>
              <w:jc w:val="center"/>
              <w:rPr>
                <w:color w:val="FF0000"/>
              </w:rPr>
            </w:pPr>
            <w:r w:rsidRPr="002B2631">
              <w:rPr>
                <w:color w:val="FF0000"/>
              </w:rPr>
              <w:t>(55.6-71.3)</w:t>
            </w:r>
          </w:p>
        </w:tc>
        <w:tc>
          <w:tcPr>
            <w:tcW w:w="1440" w:type="dxa"/>
            <w:tcBorders>
              <w:bottom w:val="single" w:sz="4" w:space="0" w:color="auto"/>
            </w:tcBorders>
            <w:shd w:val="pct10" w:color="auto" w:fill="auto"/>
            <w:vAlign w:val="center"/>
          </w:tcPr>
          <w:p w14:paraId="61F6D5F4" w14:textId="77777777" w:rsidR="00534101" w:rsidRPr="002B2631" w:rsidRDefault="00534101" w:rsidP="002B2631">
            <w:pPr>
              <w:spacing w:after="0" w:line="240" w:lineRule="auto"/>
              <w:jc w:val="center"/>
              <w:rPr>
                <w:color w:val="FF0000"/>
              </w:rPr>
            </w:pPr>
            <w:r w:rsidRPr="002B2631">
              <w:rPr>
                <w:color w:val="FF0000"/>
              </w:rPr>
              <w:t>66.1%</w:t>
            </w:r>
          </w:p>
          <w:p w14:paraId="557AE840" w14:textId="77777777" w:rsidR="00534101" w:rsidRPr="002B2631" w:rsidRDefault="00534101" w:rsidP="002B2631">
            <w:pPr>
              <w:spacing w:after="0" w:line="240" w:lineRule="auto"/>
              <w:jc w:val="center"/>
              <w:rPr>
                <w:color w:val="FF0000"/>
              </w:rPr>
            </w:pPr>
            <w:r w:rsidRPr="002B2631">
              <w:rPr>
                <w:color w:val="FF0000"/>
              </w:rPr>
              <w:t>(61.5-70.8)</w:t>
            </w:r>
          </w:p>
        </w:tc>
        <w:tc>
          <w:tcPr>
            <w:tcW w:w="1440" w:type="dxa"/>
            <w:tcBorders>
              <w:bottom w:val="single" w:sz="4" w:space="0" w:color="auto"/>
            </w:tcBorders>
            <w:shd w:val="pct10" w:color="auto" w:fill="auto"/>
            <w:vAlign w:val="center"/>
          </w:tcPr>
          <w:p w14:paraId="672CCDB1" w14:textId="77777777" w:rsidR="00534101" w:rsidRPr="002B2631" w:rsidRDefault="00534101" w:rsidP="002B2631">
            <w:pPr>
              <w:spacing w:after="0" w:line="240" w:lineRule="auto"/>
              <w:jc w:val="center"/>
              <w:rPr>
                <w:color w:val="FF0000"/>
              </w:rPr>
            </w:pPr>
            <w:r w:rsidRPr="002B2631">
              <w:rPr>
                <w:color w:val="FF0000"/>
              </w:rPr>
              <w:t>69.7%</w:t>
            </w:r>
          </w:p>
          <w:p w14:paraId="3CDBF577" w14:textId="77777777" w:rsidR="00534101" w:rsidRPr="002B2631" w:rsidRDefault="00534101" w:rsidP="002B2631">
            <w:pPr>
              <w:spacing w:after="0" w:line="240" w:lineRule="auto"/>
              <w:jc w:val="center"/>
              <w:rPr>
                <w:color w:val="FF0000"/>
              </w:rPr>
            </w:pPr>
            <w:r w:rsidRPr="002B2631">
              <w:rPr>
                <w:color w:val="FF0000"/>
              </w:rPr>
              <w:t>(64.1-75.5)</w:t>
            </w:r>
          </w:p>
        </w:tc>
        <w:tc>
          <w:tcPr>
            <w:tcW w:w="1440" w:type="dxa"/>
            <w:tcBorders>
              <w:bottom w:val="single" w:sz="4" w:space="0" w:color="auto"/>
            </w:tcBorders>
            <w:shd w:val="pct10" w:color="auto" w:fill="auto"/>
            <w:vAlign w:val="center"/>
          </w:tcPr>
          <w:p w14:paraId="5D649ADD" w14:textId="77777777" w:rsidR="00534101" w:rsidRPr="002B2631" w:rsidRDefault="00534101" w:rsidP="002B2631">
            <w:pPr>
              <w:spacing w:after="0" w:line="240" w:lineRule="auto"/>
              <w:jc w:val="center"/>
              <w:rPr>
                <w:color w:val="FF0000"/>
              </w:rPr>
            </w:pPr>
            <w:r w:rsidRPr="002B2631">
              <w:rPr>
                <w:color w:val="FF0000"/>
              </w:rPr>
              <w:t>74.0%</w:t>
            </w:r>
          </w:p>
          <w:p w14:paraId="7795F8CF" w14:textId="77777777" w:rsidR="00534101" w:rsidRPr="002B2631" w:rsidRDefault="00534101" w:rsidP="002B2631">
            <w:pPr>
              <w:spacing w:after="0" w:line="240" w:lineRule="auto"/>
              <w:jc w:val="center"/>
              <w:rPr>
                <w:color w:val="FF0000"/>
              </w:rPr>
            </w:pPr>
            <w:r w:rsidRPr="002B2631">
              <w:rPr>
                <w:color w:val="FF0000"/>
              </w:rPr>
              <w:t>(71.7-76.3)</w:t>
            </w:r>
          </w:p>
        </w:tc>
        <w:tc>
          <w:tcPr>
            <w:tcW w:w="1472" w:type="dxa"/>
            <w:tcBorders>
              <w:bottom w:val="single" w:sz="4" w:space="0" w:color="auto"/>
              <w:right w:val="double" w:sz="4" w:space="0" w:color="auto"/>
            </w:tcBorders>
            <w:shd w:val="pct10" w:color="auto" w:fill="auto"/>
            <w:vAlign w:val="center"/>
          </w:tcPr>
          <w:p w14:paraId="4F7705F3" w14:textId="77777777" w:rsidR="00534101" w:rsidRPr="002B2631" w:rsidRDefault="00534101" w:rsidP="002B2631">
            <w:pPr>
              <w:spacing w:after="0" w:line="240" w:lineRule="auto"/>
              <w:jc w:val="center"/>
              <w:rPr>
                <w:color w:val="FF0000"/>
              </w:rPr>
            </w:pPr>
            <w:r w:rsidRPr="002B2631">
              <w:rPr>
                <w:color w:val="FF0000"/>
              </w:rPr>
              <w:t>78.5%</w:t>
            </w:r>
          </w:p>
          <w:p w14:paraId="242C12B8" w14:textId="77777777" w:rsidR="00534101" w:rsidRPr="002B2631" w:rsidRDefault="00534101" w:rsidP="002B2631">
            <w:pPr>
              <w:spacing w:after="0" w:line="240" w:lineRule="auto"/>
              <w:jc w:val="center"/>
              <w:rPr>
                <w:color w:val="FF0000"/>
              </w:rPr>
            </w:pPr>
            <w:r w:rsidRPr="002B2631">
              <w:rPr>
                <w:color w:val="FF0000"/>
              </w:rPr>
              <w:t>(73.1-83.8)</w:t>
            </w:r>
          </w:p>
        </w:tc>
      </w:tr>
      <w:tr w:rsidR="00534101" w:rsidRPr="00534101" w14:paraId="305AD8C4" w14:textId="77777777" w:rsidTr="00CD05A3">
        <w:trPr>
          <w:trHeight w:val="288"/>
          <w:jc w:val="center"/>
        </w:trPr>
        <w:tc>
          <w:tcPr>
            <w:tcW w:w="2102" w:type="dxa"/>
            <w:tcBorders>
              <w:left w:val="double" w:sz="4" w:space="0" w:color="auto"/>
            </w:tcBorders>
            <w:shd w:val="pct10" w:color="auto" w:fill="auto"/>
            <w:vAlign w:val="center"/>
          </w:tcPr>
          <w:p w14:paraId="569D0AED" w14:textId="0CC9D2A5" w:rsidR="00534101" w:rsidRPr="002B2631" w:rsidRDefault="00534101" w:rsidP="002B2631">
            <w:pPr>
              <w:spacing w:after="0" w:line="240" w:lineRule="auto"/>
              <w:rPr>
                <w:rFonts w:eastAsia="Calibri"/>
                <w:b/>
                <w:color w:val="FF0000"/>
              </w:rPr>
            </w:pPr>
            <w:r w:rsidRPr="002B2631">
              <w:rPr>
                <w:rFonts w:eastAsia="Calibri"/>
                <w:b/>
                <w:color w:val="FF0000"/>
              </w:rPr>
              <w:t>95% CI based on the overall</w:t>
            </w:r>
            <w:r w:rsidR="00C42676">
              <w:rPr>
                <w:rFonts w:eastAsia="Calibri"/>
                <w:b/>
                <w:color w:val="FF0000"/>
              </w:rPr>
              <w:t xml:space="preserve"> </w:t>
            </w:r>
            <w:r w:rsidRPr="002B2631">
              <w:rPr>
                <w:rFonts w:eastAsia="Calibri"/>
                <w:b/>
                <w:color w:val="FF0000"/>
              </w:rPr>
              <w:t>median denominator size N=389</w:t>
            </w:r>
          </w:p>
        </w:tc>
        <w:tc>
          <w:tcPr>
            <w:tcW w:w="1530" w:type="dxa"/>
            <w:shd w:val="pct10" w:color="auto" w:fill="auto"/>
            <w:vAlign w:val="center"/>
          </w:tcPr>
          <w:p w14:paraId="61B90EB2" w14:textId="77777777" w:rsidR="00534101" w:rsidRPr="002B2631" w:rsidRDefault="00534101" w:rsidP="002B2631">
            <w:pPr>
              <w:spacing w:after="0" w:line="240" w:lineRule="auto"/>
              <w:jc w:val="center"/>
              <w:rPr>
                <w:color w:val="FF0000"/>
              </w:rPr>
            </w:pPr>
            <w:r w:rsidRPr="002B2631">
              <w:rPr>
                <w:color w:val="FF0000"/>
              </w:rPr>
              <w:t>63.6%</w:t>
            </w:r>
          </w:p>
          <w:p w14:paraId="1375B263" w14:textId="77777777" w:rsidR="00534101" w:rsidRPr="002B2631" w:rsidRDefault="00534101" w:rsidP="002B2631">
            <w:pPr>
              <w:spacing w:after="0" w:line="240" w:lineRule="auto"/>
              <w:jc w:val="center"/>
              <w:rPr>
                <w:color w:val="FF0000"/>
              </w:rPr>
            </w:pPr>
            <w:r w:rsidRPr="002B2631">
              <w:rPr>
                <w:color w:val="FF0000"/>
              </w:rPr>
              <w:t>(58.9-68.4)</w:t>
            </w:r>
          </w:p>
        </w:tc>
        <w:tc>
          <w:tcPr>
            <w:tcW w:w="1440" w:type="dxa"/>
            <w:shd w:val="pct10" w:color="auto" w:fill="auto"/>
            <w:vAlign w:val="center"/>
          </w:tcPr>
          <w:p w14:paraId="25492CC6" w14:textId="77777777" w:rsidR="00534101" w:rsidRPr="002B2631" w:rsidRDefault="00534101" w:rsidP="002B2631">
            <w:pPr>
              <w:spacing w:after="0" w:line="240" w:lineRule="auto"/>
              <w:jc w:val="center"/>
              <w:rPr>
                <w:color w:val="FF0000"/>
              </w:rPr>
            </w:pPr>
            <w:r w:rsidRPr="002B2631">
              <w:rPr>
                <w:color w:val="FF0000"/>
              </w:rPr>
              <w:t>66.1%</w:t>
            </w:r>
          </w:p>
          <w:p w14:paraId="0347733D" w14:textId="77777777" w:rsidR="00534101" w:rsidRPr="002B2631" w:rsidRDefault="00534101" w:rsidP="002B2631">
            <w:pPr>
              <w:spacing w:after="0" w:line="240" w:lineRule="auto"/>
              <w:jc w:val="center"/>
              <w:rPr>
                <w:color w:val="FF0000"/>
              </w:rPr>
            </w:pPr>
            <w:r w:rsidRPr="002B2631">
              <w:rPr>
                <w:color w:val="FF0000"/>
              </w:rPr>
              <w:t>(61.5-70.8)</w:t>
            </w:r>
          </w:p>
        </w:tc>
        <w:tc>
          <w:tcPr>
            <w:tcW w:w="1440" w:type="dxa"/>
            <w:shd w:val="pct10" w:color="auto" w:fill="auto"/>
            <w:vAlign w:val="center"/>
          </w:tcPr>
          <w:p w14:paraId="671C8D53" w14:textId="77777777" w:rsidR="00534101" w:rsidRPr="002B2631" w:rsidRDefault="00534101" w:rsidP="002B2631">
            <w:pPr>
              <w:spacing w:after="0" w:line="240" w:lineRule="auto"/>
              <w:jc w:val="center"/>
              <w:rPr>
                <w:color w:val="FF0000"/>
              </w:rPr>
            </w:pPr>
            <w:r w:rsidRPr="002B2631">
              <w:rPr>
                <w:color w:val="FF0000"/>
              </w:rPr>
              <w:t>69.7%</w:t>
            </w:r>
          </w:p>
          <w:p w14:paraId="4D66A2C3" w14:textId="77777777" w:rsidR="00534101" w:rsidRPr="002B2631" w:rsidRDefault="00534101" w:rsidP="002B2631">
            <w:pPr>
              <w:spacing w:after="0" w:line="240" w:lineRule="auto"/>
              <w:jc w:val="center"/>
              <w:rPr>
                <w:color w:val="FF0000"/>
              </w:rPr>
            </w:pPr>
            <w:r w:rsidRPr="002B2631">
              <w:rPr>
                <w:color w:val="FF0000"/>
              </w:rPr>
              <w:t>(65.3-74.3)</w:t>
            </w:r>
          </w:p>
        </w:tc>
        <w:tc>
          <w:tcPr>
            <w:tcW w:w="1440" w:type="dxa"/>
            <w:shd w:val="pct10" w:color="auto" w:fill="auto"/>
            <w:vAlign w:val="center"/>
          </w:tcPr>
          <w:p w14:paraId="757EFC1C" w14:textId="77777777" w:rsidR="00534101" w:rsidRPr="002B2631" w:rsidRDefault="00534101" w:rsidP="002B2631">
            <w:pPr>
              <w:spacing w:after="0" w:line="240" w:lineRule="auto"/>
              <w:jc w:val="center"/>
              <w:rPr>
                <w:color w:val="FF0000"/>
              </w:rPr>
            </w:pPr>
            <w:r w:rsidRPr="002B2631">
              <w:rPr>
                <w:color w:val="FF0000"/>
              </w:rPr>
              <w:t>74.0%</w:t>
            </w:r>
          </w:p>
          <w:p w14:paraId="239AC63E" w14:textId="77777777" w:rsidR="00534101" w:rsidRPr="002B2631" w:rsidRDefault="00534101" w:rsidP="002B2631">
            <w:pPr>
              <w:spacing w:after="0" w:line="240" w:lineRule="auto"/>
              <w:jc w:val="center"/>
              <w:rPr>
                <w:color w:val="FF0000"/>
              </w:rPr>
            </w:pPr>
            <w:r w:rsidRPr="002B2631">
              <w:rPr>
                <w:color w:val="FF0000"/>
              </w:rPr>
              <w:t>(69.7-78.3)</w:t>
            </w:r>
          </w:p>
        </w:tc>
        <w:tc>
          <w:tcPr>
            <w:tcW w:w="1472" w:type="dxa"/>
            <w:tcBorders>
              <w:right w:val="double" w:sz="4" w:space="0" w:color="auto"/>
            </w:tcBorders>
            <w:shd w:val="pct10" w:color="auto" w:fill="auto"/>
            <w:vAlign w:val="center"/>
          </w:tcPr>
          <w:p w14:paraId="03B40CF9" w14:textId="77777777" w:rsidR="00534101" w:rsidRPr="002B2631" w:rsidRDefault="00534101" w:rsidP="002B2631">
            <w:pPr>
              <w:spacing w:after="0" w:line="240" w:lineRule="auto"/>
              <w:jc w:val="center"/>
              <w:rPr>
                <w:color w:val="FF0000"/>
              </w:rPr>
            </w:pPr>
            <w:r w:rsidRPr="002B2631">
              <w:rPr>
                <w:color w:val="FF0000"/>
              </w:rPr>
              <w:t>78.0%</w:t>
            </w:r>
          </w:p>
          <w:p w14:paraId="2D6254C5" w14:textId="77777777" w:rsidR="00534101" w:rsidRPr="002B2631" w:rsidRDefault="00534101" w:rsidP="002B2631">
            <w:pPr>
              <w:spacing w:after="0" w:line="240" w:lineRule="auto"/>
              <w:jc w:val="center"/>
              <w:rPr>
                <w:color w:val="FF0000"/>
              </w:rPr>
            </w:pPr>
            <w:r w:rsidRPr="002B2631">
              <w:rPr>
                <w:color w:val="FF0000"/>
              </w:rPr>
              <w:t>(74.0-82.0)</w:t>
            </w:r>
          </w:p>
        </w:tc>
      </w:tr>
      <w:tr w:rsidR="00534101" w:rsidRPr="00534101" w14:paraId="6E9E250E" w14:textId="77777777" w:rsidTr="00CD05A3">
        <w:trPr>
          <w:trHeight w:val="288"/>
          <w:jc w:val="center"/>
        </w:trPr>
        <w:tc>
          <w:tcPr>
            <w:tcW w:w="9424" w:type="dxa"/>
            <w:gridSpan w:val="6"/>
            <w:tcBorders>
              <w:left w:val="double" w:sz="4" w:space="0" w:color="auto"/>
              <w:bottom w:val="double" w:sz="4" w:space="0" w:color="auto"/>
              <w:right w:val="double" w:sz="4" w:space="0" w:color="auto"/>
            </w:tcBorders>
            <w:vAlign w:val="center"/>
          </w:tcPr>
          <w:p w14:paraId="283AB0D2" w14:textId="77777777" w:rsidR="00534101" w:rsidRPr="002B2631" w:rsidRDefault="00534101" w:rsidP="002B2631">
            <w:pPr>
              <w:spacing w:after="0" w:line="240" w:lineRule="auto"/>
              <w:rPr>
                <w:rFonts w:eastAsia="Calibri"/>
                <w:color w:val="FF0000"/>
              </w:rPr>
            </w:pPr>
            <w:r w:rsidRPr="002B2631">
              <w:rPr>
                <w:rFonts w:eastAsia="Calibri"/>
                <w:color w:val="FF0000"/>
              </w:rPr>
              <w:t>CI = Confidence Interval</w:t>
            </w:r>
          </w:p>
        </w:tc>
      </w:tr>
    </w:tbl>
    <w:p w14:paraId="44006FD7" w14:textId="77777777" w:rsidR="00534101" w:rsidRDefault="00534101" w:rsidP="00534101">
      <w:pPr>
        <w:rPr>
          <w:rFonts w:eastAsia="Calibri"/>
        </w:rPr>
      </w:pPr>
    </w:p>
    <w:p w14:paraId="0CABD00C" w14:textId="10884E2F"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r w:rsidR="00D61410" w:rsidRPr="00A25024">
        <w:rPr>
          <w:rFonts w:cstheme="minorHAnsi"/>
          <w:bCs/>
        </w:rPr>
        <w:br/>
      </w:r>
    </w:p>
    <w:p w14:paraId="525A0604" w14:textId="77777777" w:rsidR="009B66A9" w:rsidRPr="00CC0822" w:rsidRDefault="009B66A9" w:rsidP="009B66A9">
      <w:pPr>
        <w:autoSpaceDE w:val="0"/>
        <w:autoSpaceDN w:val="0"/>
        <w:adjustRightInd w:val="0"/>
        <w:spacing w:after="0" w:line="240" w:lineRule="auto"/>
        <w:rPr>
          <w:rFonts w:cstheme="minorHAnsi"/>
          <w:b/>
          <w:color w:val="1100EE"/>
        </w:rPr>
      </w:pPr>
      <w:r w:rsidRPr="00CC0822">
        <w:rPr>
          <w:rFonts w:cstheme="minorHAnsi"/>
          <w:b/>
          <w:color w:val="1100EE"/>
        </w:rPr>
        <w:t>Meaningful Differences at the State Level</w:t>
      </w:r>
    </w:p>
    <w:p w14:paraId="582C088F" w14:textId="442BF703" w:rsidR="009B66A9" w:rsidRPr="009B66A9" w:rsidRDefault="009B66A9" w:rsidP="009B66A9">
      <w:pPr>
        <w:autoSpaceDE w:val="0"/>
        <w:autoSpaceDN w:val="0"/>
        <w:adjustRightInd w:val="0"/>
        <w:spacing w:after="0" w:line="240" w:lineRule="auto"/>
        <w:rPr>
          <w:rFonts w:cstheme="minorHAnsi"/>
          <w:bCs/>
          <w:color w:val="1100EE"/>
        </w:rPr>
      </w:pPr>
      <w:r w:rsidRPr="009B66A9">
        <w:rPr>
          <w:rFonts w:cstheme="minorHAnsi"/>
          <w:bCs/>
          <w:color w:val="1100EE"/>
        </w:rPr>
        <w:t xml:space="preserve">Three states (37.5%) had scores statistically significantly lower than the mean and one state (12.5%) had scores significantly higher than the mean. Measure rates </w:t>
      </w:r>
      <w:r w:rsidR="007271C1">
        <w:rPr>
          <w:rFonts w:cstheme="minorHAnsi"/>
          <w:bCs/>
          <w:color w:val="1100EE"/>
        </w:rPr>
        <w:t>by state ranged from 67.5% in state A to 84.7% in state D</w:t>
      </w:r>
      <w:r w:rsidRPr="009B66A9">
        <w:rPr>
          <w:rFonts w:cstheme="minorHAnsi"/>
          <w:bCs/>
          <w:color w:val="1100EE"/>
        </w:rPr>
        <w:t>, indicating suboptimal performance across all states and variation between high- and low-performing states.</w:t>
      </w:r>
    </w:p>
    <w:p w14:paraId="729FBDF0" w14:textId="39AE6C3C" w:rsidR="009B66A9" w:rsidRPr="009B66A9" w:rsidRDefault="009B66A9" w:rsidP="009B66A9">
      <w:pPr>
        <w:autoSpaceDE w:val="0"/>
        <w:autoSpaceDN w:val="0"/>
        <w:adjustRightInd w:val="0"/>
        <w:spacing w:after="0" w:line="240" w:lineRule="auto"/>
        <w:rPr>
          <w:rFonts w:cstheme="minorHAnsi"/>
          <w:bCs/>
          <w:color w:val="1100EE"/>
        </w:rPr>
      </w:pPr>
    </w:p>
    <w:p w14:paraId="7DA8F60C" w14:textId="77777777" w:rsidR="009B66A9" w:rsidRPr="002B2631" w:rsidRDefault="009B66A9" w:rsidP="009B66A9">
      <w:pPr>
        <w:autoSpaceDE w:val="0"/>
        <w:autoSpaceDN w:val="0"/>
        <w:adjustRightInd w:val="0"/>
        <w:spacing w:after="0" w:line="240" w:lineRule="auto"/>
        <w:rPr>
          <w:rFonts w:cstheme="minorHAnsi"/>
          <w:b/>
          <w:color w:val="FF0000"/>
        </w:rPr>
      </w:pPr>
      <w:r w:rsidRPr="002B2631">
        <w:rPr>
          <w:rFonts w:cstheme="minorHAnsi"/>
          <w:b/>
          <w:color w:val="FF0000"/>
        </w:rPr>
        <w:t>Meaningful Differences at the Physician Group Level</w:t>
      </w:r>
    </w:p>
    <w:p w14:paraId="3C7AEB9B" w14:textId="0577C839" w:rsidR="005A617C" w:rsidRPr="009B66A9" w:rsidRDefault="005A617C" w:rsidP="005A617C">
      <w:pPr>
        <w:autoSpaceDE w:val="0"/>
        <w:autoSpaceDN w:val="0"/>
        <w:adjustRightInd w:val="0"/>
        <w:spacing w:after="0" w:line="240" w:lineRule="auto"/>
        <w:rPr>
          <w:rFonts w:cstheme="minorHAnsi"/>
          <w:bCs/>
          <w:color w:val="1100EE"/>
        </w:rPr>
      </w:pPr>
      <w:r w:rsidRPr="009B66A9">
        <w:rPr>
          <w:rFonts w:cstheme="minorHAnsi"/>
          <w:bCs/>
          <w:color w:val="1100EE"/>
        </w:rPr>
        <w:t xml:space="preserve">The </w:t>
      </w:r>
      <w:r w:rsidR="00FE4397">
        <w:rPr>
          <w:rFonts w:cstheme="minorHAnsi"/>
          <w:bCs/>
          <w:color w:val="1100EE"/>
        </w:rPr>
        <w:t xml:space="preserve">testing </w:t>
      </w:r>
      <w:r w:rsidRPr="009B66A9">
        <w:rPr>
          <w:rFonts w:cstheme="minorHAnsi"/>
          <w:bCs/>
          <w:color w:val="1100EE"/>
        </w:rPr>
        <w:t>results indicate ample room for improvement and meaningful differences in quality of care between the highest and lowest performing physician groups.</w:t>
      </w:r>
      <w:r>
        <w:rPr>
          <w:rFonts w:cstheme="minorHAnsi"/>
          <w:bCs/>
          <w:color w:val="1100EE"/>
        </w:rPr>
        <w:t xml:space="preserve"> Overall 41.6% of physician performance</w:t>
      </w:r>
      <w:r>
        <w:rPr>
          <w:rFonts w:cstheme="minorHAnsi"/>
          <w:color w:val="1100EE"/>
        </w:rPr>
        <w:t xml:space="preserve"> scores were statistically </w:t>
      </w:r>
      <w:r>
        <w:rPr>
          <w:rFonts w:cstheme="minorHAnsi"/>
          <w:bCs/>
          <w:color w:val="1100EE"/>
        </w:rPr>
        <w:t>different from</w:t>
      </w:r>
      <w:r>
        <w:rPr>
          <w:rFonts w:cstheme="minorHAnsi"/>
          <w:color w:val="1100EE"/>
        </w:rPr>
        <w:t xml:space="preserve"> the mean</w:t>
      </w:r>
      <w:r>
        <w:rPr>
          <w:rFonts w:cstheme="minorHAnsi"/>
          <w:bCs/>
          <w:color w:val="1100EE"/>
        </w:rPr>
        <w:t>.</w:t>
      </w:r>
      <w:r w:rsidRPr="009B66A9">
        <w:rPr>
          <w:rFonts w:cstheme="minorHAnsi"/>
          <w:bCs/>
          <w:color w:val="1100EE"/>
        </w:rPr>
        <w:t xml:space="preserve"> For those physician groups with at least 45 eligible individuals, high- (90th percentile) and low- (10th percentile) performing physician groups were 24.3 percentage points apart. </w:t>
      </w:r>
    </w:p>
    <w:p w14:paraId="52AD6D74" w14:textId="77777777" w:rsidR="005A617C" w:rsidRPr="009B66A9" w:rsidRDefault="005A617C" w:rsidP="005A617C">
      <w:pPr>
        <w:autoSpaceDE w:val="0"/>
        <w:autoSpaceDN w:val="0"/>
        <w:adjustRightInd w:val="0"/>
        <w:spacing w:after="0" w:line="240" w:lineRule="auto"/>
        <w:rPr>
          <w:rFonts w:cstheme="minorHAnsi"/>
          <w:bCs/>
          <w:color w:val="1100EE"/>
        </w:rPr>
      </w:pPr>
    </w:p>
    <w:p w14:paraId="3B780A00" w14:textId="274DF9A9" w:rsidR="005A617C" w:rsidRPr="004808F8" w:rsidRDefault="005A617C" w:rsidP="004808F8">
      <w:pPr>
        <w:autoSpaceDE w:val="0"/>
        <w:autoSpaceDN w:val="0"/>
        <w:adjustRightInd w:val="0"/>
        <w:spacing w:after="0" w:line="240" w:lineRule="auto"/>
        <w:rPr>
          <w:rFonts w:cstheme="minorHAnsi"/>
          <w:bCs/>
          <w:color w:val="1100EE"/>
        </w:rPr>
      </w:pPr>
      <w:r w:rsidRPr="009B66A9">
        <w:rPr>
          <w:rFonts w:cstheme="minorHAnsi"/>
          <w:bCs/>
          <w:color w:val="1100EE"/>
        </w:rPr>
        <w:t xml:space="preserve">Please note </w:t>
      </w:r>
      <w:r>
        <w:rPr>
          <w:rFonts w:cstheme="minorHAnsi"/>
          <w:bCs/>
          <w:color w:val="1100EE"/>
        </w:rPr>
        <w:t>after testing was conducted the measure was</w:t>
      </w:r>
      <w:r w:rsidRPr="009B66A9">
        <w:rPr>
          <w:rFonts w:cstheme="minorHAnsi"/>
          <w:bCs/>
          <w:color w:val="1100EE"/>
        </w:rPr>
        <w:t xml:space="preserve"> harmonized to include individuals receiving depot injections (rather than exclude those individuals). The testing data presented above do not yet reflect the change in specification. Our preliminary testing since the addition of individuals receiving depot injections showed that the impact of this inclusion increases the denominator size by approximately 23% and decreases the overall measure rate across the eight-state sample by 2.2 percentage points.</w:t>
      </w:r>
    </w:p>
    <w:p w14:paraId="14DAA6B4" w14:textId="77777777" w:rsidR="005A617C" w:rsidRDefault="005A617C" w:rsidP="002B2631">
      <w:pPr>
        <w:spacing w:after="0" w:line="240" w:lineRule="auto"/>
        <w:rPr>
          <w:rFonts w:eastAsia="Calibri"/>
          <w:color w:val="FF0000"/>
        </w:rPr>
      </w:pPr>
    </w:p>
    <w:p w14:paraId="5450C091" w14:textId="240953A5" w:rsidR="00304F04" w:rsidRPr="002B2631" w:rsidRDefault="00304F04" w:rsidP="002B2631">
      <w:pPr>
        <w:spacing w:after="0" w:line="240" w:lineRule="auto"/>
        <w:rPr>
          <w:rFonts w:eastAsia="Calibri"/>
          <w:color w:val="FF0000"/>
        </w:rPr>
      </w:pPr>
      <w:r w:rsidRPr="002B2631">
        <w:rPr>
          <w:rFonts w:eastAsia="Calibri"/>
          <w:color w:val="FF0000"/>
        </w:rPr>
        <w:t>A total of 28 physician groups with at least 30 beneficiaries were identified and could be distributed across the measure score quintiles.</w:t>
      </w:r>
      <w:r w:rsidR="00C42676">
        <w:rPr>
          <w:rFonts w:eastAsia="Calibri"/>
          <w:color w:val="FF0000"/>
        </w:rPr>
        <w:t xml:space="preserve"> </w:t>
      </w:r>
      <w:r w:rsidRPr="002B2631">
        <w:rPr>
          <w:rFonts w:eastAsia="Calibri"/>
          <w:color w:val="FF0000"/>
        </w:rPr>
        <w:t xml:space="preserve">Physician groups showed limited variation in sample size with no </w:t>
      </w:r>
      <w:proofErr w:type="gramStart"/>
      <w:r w:rsidRPr="002B2631">
        <w:rPr>
          <w:rFonts w:eastAsia="Calibri"/>
          <w:color w:val="FF0000"/>
        </w:rPr>
        <w:t>particular pattern</w:t>
      </w:r>
      <w:proofErr w:type="gramEnd"/>
      <w:r w:rsidRPr="002B2631">
        <w:rPr>
          <w:rFonts w:eastAsia="Calibri"/>
          <w:color w:val="FF0000"/>
        </w:rPr>
        <w:t xml:space="preserve"> with respect to measure scores.</w:t>
      </w:r>
      <w:r w:rsidR="00C42676">
        <w:rPr>
          <w:rFonts w:eastAsia="Calibri"/>
          <w:color w:val="FF0000"/>
        </w:rPr>
        <w:t xml:space="preserve"> </w:t>
      </w:r>
      <w:r w:rsidRPr="002B2631">
        <w:rPr>
          <w:rFonts w:eastAsia="Calibri"/>
          <w:color w:val="FF0000"/>
        </w:rPr>
        <w:t>We noted pronounced variation in measure rates across physician groups, ranging from 37.9% to 93.5%, but denominator sizes were consistently small, resulting in wide confidence intervals.</w:t>
      </w:r>
      <w:r w:rsidR="00C42676">
        <w:rPr>
          <w:rFonts w:eastAsia="Calibri"/>
          <w:color w:val="FF0000"/>
        </w:rPr>
        <w:t xml:space="preserve"> </w:t>
      </w:r>
      <w:r w:rsidRPr="002B2631">
        <w:rPr>
          <w:rFonts w:eastAsia="Calibri"/>
          <w:color w:val="FF0000"/>
        </w:rPr>
        <w:t>Comparison of standardized physician groups (calculated based on the score closest to the median measure score or the overall median denominator size) showed sufficient discriminatory ability between physician groups of the highest and lowest quintiles.</w:t>
      </w:r>
      <w:r w:rsidR="00C42676">
        <w:rPr>
          <w:rFonts w:eastAsia="Calibri"/>
          <w:color w:val="FF0000"/>
        </w:rPr>
        <w:t xml:space="preserve"> </w:t>
      </w:r>
    </w:p>
    <w:p w14:paraId="38F85DBB" w14:textId="77777777" w:rsidR="00304F04" w:rsidRPr="002B2631" w:rsidRDefault="00304F04" w:rsidP="002B2631">
      <w:pPr>
        <w:spacing w:after="0" w:line="240" w:lineRule="auto"/>
        <w:rPr>
          <w:rFonts w:eastAsia="Calibri"/>
          <w:color w:val="FF0000"/>
        </w:rPr>
      </w:pPr>
    </w:p>
    <w:p w14:paraId="2B30ADB8" w14:textId="77777777" w:rsidR="00304F04" w:rsidRPr="002B2631" w:rsidRDefault="00304F04" w:rsidP="002B2631">
      <w:pPr>
        <w:spacing w:after="0" w:line="240" w:lineRule="auto"/>
        <w:rPr>
          <w:rFonts w:eastAsia="Calibri"/>
          <w:color w:val="FF0000"/>
        </w:rPr>
      </w:pPr>
      <w:r w:rsidRPr="002B2631">
        <w:rPr>
          <w:rFonts w:eastAsia="Calibri"/>
          <w:color w:val="FF0000"/>
        </w:rPr>
        <w:t>Assuming a median measure rate of 77.1% and a median denominator of 42 beneficiaries, the smallest statistically significant difference that can be detected at the physician group level with a power of 80% and α=0.05 is 18.0%.</w:t>
      </w:r>
    </w:p>
    <w:p w14:paraId="1353C52A" w14:textId="260B7763" w:rsidR="009B66A9" w:rsidRPr="002B2631" w:rsidRDefault="009B66A9" w:rsidP="00304F04">
      <w:pPr>
        <w:pStyle w:val="Caption"/>
        <w:keepNext/>
        <w:rPr>
          <w:rFonts w:cstheme="minorHAnsi"/>
          <w:bCs w:val="0"/>
          <w:color w:val="FF0000"/>
        </w:rPr>
      </w:pPr>
    </w:p>
    <w:p w14:paraId="68A7F499" w14:textId="4D84C3A7" w:rsidR="00304F04" w:rsidRPr="002B2631" w:rsidRDefault="00304F04" w:rsidP="00CC0822">
      <w:pPr>
        <w:autoSpaceDE w:val="0"/>
        <w:autoSpaceDN w:val="0"/>
        <w:adjustRightInd w:val="0"/>
        <w:spacing w:after="0" w:line="240" w:lineRule="auto"/>
        <w:rPr>
          <w:rFonts w:cstheme="minorHAnsi"/>
          <w:b/>
          <w:bCs/>
          <w:color w:val="FF0000"/>
        </w:rPr>
      </w:pPr>
      <w:r w:rsidRPr="002B2631">
        <w:rPr>
          <w:rFonts w:cstheme="minorHAnsi"/>
          <w:b/>
          <w:bCs/>
          <w:color w:val="FF0000"/>
        </w:rPr>
        <w:t>Meaningful Differences at the Health Plan Level</w:t>
      </w:r>
    </w:p>
    <w:p w14:paraId="504872E3" w14:textId="50628522" w:rsidR="00304F04" w:rsidRPr="002B2631" w:rsidRDefault="00304F04" w:rsidP="00304F04">
      <w:pPr>
        <w:pStyle w:val="Caption"/>
        <w:keepNext/>
        <w:rPr>
          <w:rFonts w:asciiTheme="minorHAnsi" w:eastAsia="Calibri" w:hAnsiTheme="minorHAnsi" w:cs="Times New Roman"/>
          <w:b w:val="0"/>
          <w:color w:val="FF0000"/>
          <w:sz w:val="22"/>
          <w:szCs w:val="22"/>
        </w:rPr>
      </w:pPr>
      <w:r w:rsidRPr="002B2631">
        <w:rPr>
          <w:rFonts w:asciiTheme="minorHAnsi" w:eastAsia="Calibri" w:hAnsiTheme="minorHAnsi" w:cs="Times New Roman"/>
          <w:b w:val="0"/>
          <w:color w:val="FF0000"/>
          <w:sz w:val="22"/>
          <w:szCs w:val="22"/>
        </w:rPr>
        <w:t>A total of 23 plans with at least 30 beneficiaries could be distributed across the measure score quintiles.</w:t>
      </w:r>
      <w:r w:rsidR="00C42676">
        <w:rPr>
          <w:rFonts w:asciiTheme="minorHAnsi" w:eastAsia="Calibri" w:hAnsiTheme="minorHAnsi" w:cs="Times New Roman"/>
          <w:b w:val="0"/>
          <w:color w:val="FF0000"/>
          <w:sz w:val="22"/>
          <w:szCs w:val="22"/>
        </w:rPr>
        <w:t xml:space="preserve"> </w:t>
      </w:r>
      <w:r w:rsidRPr="002B2631">
        <w:rPr>
          <w:rFonts w:asciiTheme="minorHAnsi" w:eastAsia="Calibri" w:hAnsiTheme="minorHAnsi" w:cs="Times New Roman"/>
          <w:b w:val="0"/>
          <w:color w:val="FF0000"/>
          <w:sz w:val="22"/>
          <w:szCs w:val="22"/>
        </w:rPr>
        <w:t>Plans showed pronounced variation in sample size with a general pattern in the first 4 quintiles of increasing size</w:t>
      </w:r>
      <w:r w:rsidRPr="002B2631">
        <w:rPr>
          <w:rFonts w:asciiTheme="minorHAnsi" w:eastAsia="Calibri" w:hAnsiTheme="minorHAnsi" w:cs="Times New Roman"/>
          <w:color w:val="FF0000"/>
          <w:sz w:val="22"/>
          <w:szCs w:val="22"/>
        </w:rPr>
        <w:t xml:space="preserve"> </w:t>
      </w:r>
      <w:r w:rsidRPr="002B2631">
        <w:rPr>
          <w:rFonts w:asciiTheme="minorHAnsi" w:eastAsia="Calibri" w:hAnsiTheme="minorHAnsi" w:cs="Times New Roman"/>
          <w:b w:val="0"/>
          <w:color w:val="FF0000"/>
          <w:sz w:val="22"/>
          <w:szCs w:val="22"/>
        </w:rPr>
        <w:t>with respect to measure scores.</w:t>
      </w:r>
      <w:r w:rsidR="00C42676">
        <w:rPr>
          <w:rFonts w:asciiTheme="minorHAnsi" w:eastAsia="Calibri" w:hAnsiTheme="minorHAnsi" w:cs="Times New Roman"/>
          <w:b w:val="0"/>
          <w:color w:val="FF0000"/>
          <w:sz w:val="22"/>
          <w:szCs w:val="22"/>
        </w:rPr>
        <w:t xml:space="preserve"> </w:t>
      </w:r>
      <w:r w:rsidRPr="002B2631">
        <w:rPr>
          <w:rFonts w:asciiTheme="minorHAnsi" w:eastAsia="Calibri" w:hAnsiTheme="minorHAnsi" w:cs="Times New Roman"/>
          <w:b w:val="0"/>
          <w:color w:val="FF0000"/>
          <w:sz w:val="22"/>
          <w:szCs w:val="22"/>
        </w:rPr>
        <w:t>Comparison of individual plans (selected based on the denominator size closest to the median denominator size or score closest to the median measure score) showed sufficient discriminatory ability, based on lack of overlap between the confidence intervals of the lowest and highest performing quintiles and limited discriminatory ability between the lowest quintile and the 4</w:t>
      </w:r>
      <w:r w:rsidRPr="002B2631">
        <w:rPr>
          <w:rFonts w:asciiTheme="minorHAnsi" w:eastAsia="Calibri" w:hAnsiTheme="minorHAnsi" w:cs="Times New Roman"/>
          <w:b w:val="0"/>
          <w:color w:val="FF0000"/>
          <w:sz w:val="22"/>
          <w:szCs w:val="22"/>
          <w:vertAlign w:val="superscript"/>
        </w:rPr>
        <w:t>th</w:t>
      </w:r>
      <w:r w:rsidRPr="002B2631">
        <w:rPr>
          <w:rFonts w:asciiTheme="minorHAnsi" w:eastAsia="Calibri" w:hAnsiTheme="minorHAnsi" w:cs="Times New Roman"/>
          <w:b w:val="0"/>
          <w:color w:val="FF0000"/>
          <w:sz w:val="22"/>
          <w:szCs w:val="22"/>
        </w:rPr>
        <w:t xml:space="preserve"> quintile.</w:t>
      </w:r>
      <w:r w:rsidR="00C42676">
        <w:rPr>
          <w:rFonts w:asciiTheme="minorHAnsi" w:eastAsia="Calibri" w:hAnsiTheme="minorHAnsi" w:cs="Times New Roman"/>
          <w:b w:val="0"/>
          <w:color w:val="FF0000"/>
          <w:sz w:val="22"/>
          <w:szCs w:val="22"/>
        </w:rPr>
        <w:t xml:space="preserve"> </w:t>
      </w:r>
      <w:r w:rsidRPr="002B2631">
        <w:rPr>
          <w:rFonts w:asciiTheme="minorHAnsi" w:eastAsia="Calibri" w:hAnsiTheme="minorHAnsi" w:cs="Times New Roman"/>
          <w:b w:val="0"/>
          <w:color w:val="FF0000"/>
          <w:sz w:val="22"/>
          <w:szCs w:val="22"/>
        </w:rPr>
        <w:t xml:space="preserve">Comparison of standardized plans (with confidence intervals calculated based on the overall median denominator size of the entire sample) showed sufficient discriminatory ability between members of the highest and lowest quintiles, as well as between the lowest quintile and </w:t>
      </w:r>
      <w:r w:rsidRPr="002B2631">
        <w:rPr>
          <w:rFonts w:asciiTheme="minorHAnsi" w:eastAsia="Calibri" w:hAnsiTheme="minorHAnsi" w:cs="Times New Roman"/>
          <w:b w:val="0"/>
          <w:color w:val="FF0000"/>
          <w:sz w:val="22"/>
          <w:szCs w:val="22"/>
        </w:rPr>
        <w:lastRenderedPageBreak/>
        <w:t>the 4</w:t>
      </w:r>
      <w:r w:rsidRPr="002B2631">
        <w:rPr>
          <w:rFonts w:asciiTheme="minorHAnsi" w:eastAsia="Calibri" w:hAnsiTheme="minorHAnsi" w:cs="Times New Roman"/>
          <w:b w:val="0"/>
          <w:color w:val="FF0000"/>
          <w:sz w:val="22"/>
          <w:szCs w:val="22"/>
          <w:vertAlign w:val="superscript"/>
        </w:rPr>
        <w:t>th</w:t>
      </w:r>
      <w:r w:rsidRPr="002B2631">
        <w:rPr>
          <w:rFonts w:asciiTheme="minorHAnsi" w:eastAsia="Calibri" w:hAnsiTheme="minorHAnsi" w:cs="Times New Roman"/>
          <w:b w:val="0"/>
          <w:color w:val="FF0000"/>
          <w:sz w:val="22"/>
          <w:szCs w:val="22"/>
        </w:rPr>
        <w:t xml:space="preserve"> quintile.</w:t>
      </w:r>
      <w:r w:rsidR="00C42676">
        <w:rPr>
          <w:rFonts w:asciiTheme="minorHAnsi" w:eastAsia="Calibri" w:hAnsiTheme="minorHAnsi" w:cs="Times New Roman"/>
          <w:b w:val="0"/>
          <w:color w:val="FF0000"/>
          <w:sz w:val="22"/>
          <w:szCs w:val="22"/>
        </w:rPr>
        <w:t xml:space="preserve"> </w:t>
      </w:r>
      <w:r w:rsidRPr="002B2631">
        <w:rPr>
          <w:rFonts w:asciiTheme="minorHAnsi" w:eastAsia="Calibri" w:hAnsiTheme="minorHAnsi" w:cs="Times New Roman"/>
          <w:b w:val="0"/>
          <w:color w:val="FF0000"/>
          <w:sz w:val="22"/>
          <w:szCs w:val="22"/>
        </w:rPr>
        <w:t>Of note, the sample sizes for plans varied dramatically within each quintile and will result in distinctly different power if two members are compared.</w:t>
      </w:r>
    </w:p>
    <w:p w14:paraId="066C5DD0" w14:textId="77777777" w:rsidR="00304F04" w:rsidRPr="002B2631" w:rsidRDefault="00304F04" w:rsidP="002B2631">
      <w:pPr>
        <w:spacing w:after="0"/>
        <w:rPr>
          <w:rFonts w:eastAsia="Calibri"/>
          <w:color w:val="FF0000"/>
        </w:rPr>
      </w:pPr>
    </w:p>
    <w:p w14:paraId="0657A4E5" w14:textId="77777777" w:rsidR="00304F04" w:rsidRPr="002B2631" w:rsidRDefault="00304F04" w:rsidP="00304F04">
      <w:pPr>
        <w:pStyle w:val="Caption"/>
        <w:keepNext/>
        <w:rPr>
          <w:rFonts w:asciiTheme="minorHAnsi" w:eastAsia="Calibri" w:hAnsiTheme="minorHAnsi" w:cs="Times New Roman"/>
          <w:b w:val="0"/>
          <w:color w:val="FF0000"/>
          <w:sz w:val="22"/>
          <w:szCs w:val="22"/>
        </w:rPr>
      </w:pPr>
      <w:r w:rsidRPr="002B2631">
        <w:rPr>
          <w:rFonts w:asciiTheme="minorHAnsi" w:eastAsia="Calibri" w:hAnsiTheme="minorHAnsi" w:cs="Times New Roman"/>
          <w:b w:val="0"/>
          <w:color w:val="FF0000"/>
          <w:sz w:val="22"/>
          <w:szCs w:val="22"/>
        </w:rPr>
        <w:t>Assuming a median measure rate of 69.7% and a median denominator of 389 beneficiaries, the smallest statistically significant difference in measure rates that can be detected at the plan level with a power of 80% and α=0.05 is 6.9%.</w:t>
      </w:r>
    </w:p>
    <w:p w14:paraId="7952B422" w14:textId="77777777" w:rsidR="00304F04" w:rsidRDefault="00304F04" w:rsidP="00CC0822">
      <w:pPr>
        <w:autoSpaceDE w:val="0"/>
        <w:autoSpaceDN w:val="0"/>
        <w:adjustRightInd w:val="0"/>
        <w:spacing w:after="0" w:line="240" w:lineRule="auto"/>
        <w:rPr>
          <w:rFonts w:cstheme="minorHAnsi"/>
          <w:bCs/>
          <w:color w:val="1100EE"/>
        </w:rPr>
      </w:pPr>
    </w:p>
    <w:p w14:paraId="12961C41" w14:textId="51F96BC3" w:rsidR="00CC0822" w:rsidRPr="009B66A9" w:rsidRDefault="00CC0822" w:rsidP="00CC0822">
      <w:pPr>
        <w:autoSpaceDE w:val="0"/>
        <w:autoSpaceDN w:val="0"/>
        <w:adjustRightInd w:val="0"/>
        <w:spacing w:after="0" w:line="240" w:lineRule="auto"/>
        <w:rPr>
          <w:rFonts w:cstheme="minorHAnsi"/>
          <w:bCs/>
          <w:color w:val="1100EE"/>
        </w:rPr>
      </w:pPr>
      <w:r w:rsidRPr="009B66A9">
        <w:rPr>
          <w:rFonts w:cstheme="minorHAnsi"/>
          <w:bCs/>
          <w:color w:val="1100EE"/>
        </w:rPr>
        <w:t xml:space="preserve">Please note </w:t>
      </w:r>
      <w:r>
        <w:rPr>
          <w:rFonts w:cstheme="minorHAnsi"/>
          <w:bCs/>
          <w:color w:val="1100EE"/>
        </w:rPr>
        <w:t>after testing was conducted the measure was</w:t>
      </w:r>
      <w:r w:rsidRPr="009B66A9">
        <w:rPr>
          <w:rFonts w:cstheme="minorHAnsi"/>
          <w:bCs/>
          <w:color w:val="1100EE"/>
        </w:rPr>
        <w:t xml:space="preserve"> harmonized to include individuals receiving depot injections (rather than exclude those individuals). The testing data presented above do not yet reflect the change in specification. Our preliminary testing since the addition of individuals receiving depot injections showed that the impact of this inclusion increases the denominator size by approximately 23% and decreases the overall measure rate across the eight-state sample by 2.2 percentage points.</w:t>
      </w:r>
    </w:p>
    <w:p w14:paraId="4CE931AF" w14:textId="77777777" w:rsidR="009B66A9" w:rsidRPr="00A25024" w:rsidRDefault="009B66A9" w:rsidP="009B66A9">
      <w:pPr>
        <w:autoSpaceDE w:val="0"/>
        <w:autoSpaceDN w:val="0"/>
        <w:adjustRightInd w:val="0"/>
        <w:spacing w:after="0" w:line="240" w:lineRule="auto"/>
        <w:rPr>
          <w:rFonts w:cstheme="minorHAnsi"/>
          <w:bCs/>
        </w:rPr>
      </w:pP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CABD00F"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0CABD010" w14:textId="77777777" w:rsidR="00567D12" w:rsidRPr="00A25024" w:rsidRDefault="00567D12" w:rsidP="00DB3627">
      <w:pPr>
        <w:autoSpaceDE w:val="0"/>
        <w:autoSpaceDN w:val="0"/>
        <w:adjustRightInd w:val="0"/>
        <w:spacing w:after="0" w:line="240" w:lineRule="auto"/>
        <w:rPr>
          <w:rFonts w:cstheme="minorHAnsi"/>
          <w:b/>
          <w:bCs/>
        </w:rPr>
      </w:pPr>
    </w:p>
    <w:p w14:paraId="0CABD011" w14:textId="65519FF4"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Pr>
          <w:rFonts w:ascii="Calibri-Italic" w:eastAsiaTheme="minorHAnsi" w:hAnsi="Calibri-Italic" w:cs="Calibri-Italic"/>
          <w:i/>
          <w:iCs/>
        </w:rPr>
        <w:t>eMeasures</w:t>
      </w:r>
      <w:proofErr w:type="spellEnd"/>
      <w:r w:rsidR="00F1412B">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77777777" w:rsidR="000F06B5" w:rsidRPr="00A25024" w:rsidRDefault="000F06B5" w:rsidP="00DB3627">
      <w:pPr>
        <w:autoSpaceDE w:val="0"/>
        <w:autoSpaceDN w:val="0"/>
        <w:adjustRightInd w:val="0"/>
        <w:spacing w:after="0" w:line="240" w:lineRule="auto"/>
        <w:rPr>
          <w:rFonts w:cstheme="minorHAnsi"/>
          <w:bCs/>
        </w:rPr>
      </w:pPr>
    </w:p>
    <w:p w14:paraId="0CABD013" w14:textId="050CD570" w:rsidR="000F06B5" w:rsidRPr="009D3882" w:rsidRDefault="009C7513" w:rsidP="00DB3627">
      <w:pPr>
        <w:autoSpaceDE w:val="0"/>
        <w:autoSpaceDN w:val="0"/>
        <w:adjustRightInd w:val="0"/>
        <w:spacing w:after="0" w:line="240" w:lineRule="auto"/>
        <w:rPr>
          <w:rFonts w:cstheme="minorHAnsi"/>
          <w:bCs/>
          <w:sz w:val="14"/>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14:paraId="0CABD014"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0CABD015" w14:textId="377012FB" w:rsidR="00A35F8F" w:rsidRDefault="009C7513" w:rsidP="00E1508F">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0CABD016" w14:textId="77777777" w:rsidR="00E1508F" w:rsidRPr="00E1508F" w:rsidRDefault="00E1508F" w:rsidP="00E1508F">
      <w:pPr>
        <w:autoSpaceDE w:val="0"/>
        <w:autoSpaceDN w:val="0"/>
        <w:adjustRightInd w:val="0"/>
        <w:spacing w:after="0" w:line="240" w:lineRule="auto"/>
        <w:rPr>
          <w:rFonts w:cstheme="minorHAnsi"/>
          <w:bCs/>
        </w:rPr>
      </w:pPr>
    </w:p>
    <w:p w14:paraId="0CABD017" w14:textId="0C9FD55C" w:rsidR="0079180E" w:rsidRDefault="009C7513" w:rsidP="00DB3627">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.3. </w:t>
      </w:r>
      <w:r w:rsidR="002B0C3A" w:rsidRPr="00A25024">
        <w:rPr>
          <w:rFonts w:cstheme="minorHAnsi"/>
          <w:b/>
          <w:bCs/>
        </w:rPr>
        <w:t xml:space="preserve">What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0CABD01B" w14:textId="77B83AFD" w:rsidR="008F7E67"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xml:space="preserve">; what statistical analysis </w:t>
      </w:r>
      <w:r w:rsidR="008F7E67">
        <w:rPr>
          <w:rFonts w:cstheme="minorHAnsi"/>
          <w:bCs/>
          <w:i/>
        </w:rPr>
        <w:lastRenderedPageBreak/>
        <w:t>was used</w:t>
      </w:r>
      <w:r w:rsidR="008F7E67" w:rsidRPr="00A25024">
        <w:rPr>
          <w:rFonts w:cstheme="minorHAnsi"/>
          <w:bCs/>
        </w:rPr>
        <w:t>)</w:t>
      </w:r>
      <w:r w:rsidR="008F7E67" w:rsidRPr="00A25024">
        <w:rPr>
          <w:rFonts w:cstheme="minorHAnsi"/>
          <w:bCs/>
        </w:rPr>
        <w:br/>
        <w:t xml:space="preserve"> </w:t>
      </w:r>
    </w:p>
    <w:p w14:paraId="7783B1B0" w14:textId="3518CC09" w:rsidR="00AC192C" w:rsidRPr="006E0E80" w:rsidRDefault="001C2DEE" w:rsidP="00AC192C">
      <w:pPr>
        <w:autoSpaceDE w:val="0"/>
        <w:autoSpaceDN w:val="0"/>
        <w:adjustRightInd w:val="0"/>
        <w:spacing w:after="0" w:line="240" w:lineRule="auto"/>
        <w:rPr>
          <w:rFonts w:cstheme="minorHAnsi"/>
          <w:bCs/>
          <w:color w:val="1100EE"/>
        </w:rPr>
      </w:pPr>
      <w:r>
        <w:rPr>
          <w:rFonts w:cstheme="minorHAnsi"/>
          <w:bCs/>
          <w:color w:val="1100EE"/>
        </w:rPr>
        <w:t>M</w:t>
      </w:r>
      <w:r w:rsidR="00AC192C" w:rsidRPr="006E0E80">
        <w:rPr>
          <w:rFonts w:cstheme="minorHAnsi"/>
          <w:bCs/>
          <w:color w:val="1100EE"/>
        </w:rPr>
        <w:t xml:space="preserve">issing </w:t>
      </w:r>
      <w:r w:rsidR="000D1BFE">
        <w:rPr>
          <w:rFonts w:cstheme="minorHAnsi"/>
          <w:bCs/>
          <w:color w:val="1100EE"/>
        </w:rPr>
        <w:t xml:space="preserve">days’ supply </w:t>
      </w:r>
      <w:r w:rsidR="00AC192C" w:rsidRPr="006E0E80">
        <w:rPr>
          <w:rFonts w:cstheme="minorHAnsi"/>
          <w:bCs/>
          <w:color w:val="1100EE"/>
        </w:rPr>
        <w:t>data and bias from cash prescriptions</w:t>
      </w:r>
      <w:r>
        <w:rPr>
          <w:rFonts w:cstheme="minorHAnsi"/>
          <w:bCs/>
          <w:color w:val="1100EE"/>
        </w:rPr>
        <w:t xml:space="preserve"> were possible</w:t>
      </w:r>
      <w:r w:rsidRPr="006E0E80">
        <w:rPr>
          <w:rFonts w:cstheme="minorHAnsi"/>
          <w:bCs/>
          <w:color w:val="1100EE"/>
        </w:rPr>
        <w:t xml:space="preserve"> threats to validity</w:t>
      </w:r>
      <w:r w:rsidR="00AC192C" w:rsidRPr="006E0E80">
        <w:rPr>
          <w:rFonts w:cstheme="minorHAnsi"/>
          <w:bCs/>
          <w:color w:val="1100EE"/>
        </w:rPr>
        <w:t>. An empirical assessment of these possible threats was conducted as follows:</w:t>
      </w:r>
    </w:p>
    <w:p w14:paraId="1244A5E0" w14:textId="77777777" w:rsidR="00AC192C" w:rsidRPr="006E0E80" w:rsidRDefault="00AC192C" w:rsidP="00AC192C">
      <w:pPr>
        <w:autoSpaceDE w:val="0"/>
        <w:autoSpaceDN w:val="0"/>
        <w:adjustRightInd w:val="0"/>
        <w:spacing w:after="0" w:line="240" w:lineRule="auto"/>
        <w:rPr>
          <w:rFonts w:cstheme="minorHAnsi"/>
          <w:bCs/>
          <w:color w:val="1100EE"/>
        </w:rPr>
      </w:pPr>
    </w:p>
    <w:p w14:paraId="6E9C3C71" w14:textId="77777777" w:rsidR="00AC192C" w:rsidRPr="006E0E80" w:rsidRDefault="00AC192C" w:rsidP="00AC192C">
      <w:pPr>
        <w:autoSpaceDE w:val="0"/>
        <w:autoSpaceDN w:val="0"/>
        <w:adjustRightInd w:val="0"/>
        <w:spacing w:after="0" w:line="240" w:lineRule="auto"/>
        <w:rPr>
          <w:rFonts w:cstheme="minorHAnsi"/>
          <w:bCs/>
          <w:color w:val="1100EE"/>
        </w:rPr>
      </w:pPr>
      <w:r w:rsidRPr="006E0E80">
        <w:rPr>
          <w:rFonts w:cstheme="minorHAnsi"/>
          <w:bCs/>
          <w:color w:val="1100EE"/>
        </w:rPr>
        <w:t>Threat of Bias from Missing Data</w:t>
      </w:r>
    </w:p>
    <w:p w14:paraId="7AC7B27C" w14:textId="77777777" w:rsidR="00AC192C" w:rsidRPr="006E0E80" w:rsidRDefault="00AC192C" w:rsidP="00AC192C">
      <w:pPr>
        <w:autoSpaceDE w:val="0"/>
        <w:autoSpaceDN w:val="0"/>
        <w:adjustRightInd w:val="0"/>
        <w:spacing w:after="0" w:line="240" w:lineRule="auto"/>
        <w:rPr>
          <w:rFonts w:cstheme="minorHAnsi"/>
          <w:bCs/>
          <w:color w:val="1100EE"/>
        </w:rPr>
      </w:pPr>
      <w:r w:rsidRPr="006E0E80">
        <w:rPr>
          <w:rFonts w:cstheme="minorHAnsi"/>
          <w:bCs/>
          <w:color w:val="1100EE"/>
        </w:rPr>
        <w:t>We have identified two potential scenarios where measure results could be biased by missing data:</w:t>
      </w:r>
    </w:p>
    <w:p w14:paraId="12C68864" w14:textId="77777777" w:rsidR="006E0E80" w:rsidRPr="006E0E80" w:rsidRDefault="00AC192C" w:rsidP="00AC192C">
      <w:pPr>
        <w:pStyle w:val="ListParagraph"/>
        <w:numPr>
          <w:ilvl w:val="0"/>
          <w:numId w:val="30"/>
        </w:numPr>
        <w:autoSpaceDE w:val="0"/>
        <w:autoSpaceDN w:val="0"/>
        <w:adjustRightInd w:val="0"/>
        <w:spacing w:after="0" w:line="240" w:lineRule="auto"/>
        <w:rPr>
          <w:rFonts w:cstheme="minorHAnsi"/>
          <w:bCs/>
          <w:color w:val="1100EE"/>
        </w:rPr>
      </w:pPr>
      <w:r w:rsidRPr="006E0E80">
        <w:rPr>
          <w:rFonts w:cstheme="minorHAnsi"/>
          <w:bCs/>
          <w:color w:val="1100EE"/>
        </w:rPr>
        <w:t>Missing days’ supply within the prescription drug event data, which is a required data element to calculate medication adherence;</w:t>
      </w:r>
    </w:p>
    <w:p w14:paraId="71BBF9DD" w14:textId="13C1F451" w:rsidR="00AC192C" w:rsidRPr="006E0E80" w:rsidRDefault="00AC192C" w:rsidP="00AC192C">
      <w:pPr>
        <w:pStyle w:val="ListParagraph"/>
        <w:numPr>
          <w:ilvl w:val="0"/>
          <w:numId w:val="30"/>
        </w:numPr>
        <w:autoSpaceDE w:val="0"/>
        <w:autoSpaceDN w:val="0"/>
        <w:adjustRightInd w:val="0"/>
        <w:spacing w:after="0" w:line="240" w:lineRule="auto"/>
        <w:rPr>
          <w:rFonts w:cstheme="minorHAnsi"/>
          <w:bCs/>
          <w:color w:val="1100EE"/>
        </w:rPr>
      </w:pPr>
      <w:r w:rsidRPr="006E0E80">
        <w:rPr>
          <w:rFonts w:cstheme="minorHAnsi"/>
          <w:bCs/>
          <w:color w:val="1100EE"/>
        </w:rPr>
        <w:t>Missing drug claims due to individuals using alternative payment sources for prescription drugs, e.g., $4 commercial discount prescription programs and other alternative drug benefits, such as the Veterans Administration (VA)</w:t>
      </w:r>
    </w:p>
    <w:p w14:paraId="0CABD01C" w14:textId="467741A4" w:rsidR="008F7E67" w:rsidRPr="006E0E80" w:rsidRDefault="008F7E67" w:rsidP="008F7E67">
      <w:pPr>
        <w:pStyle w:val="ListParagraph"/>
        <w:autoSpaceDE w:val="0"/>
        <w:autoSpaceDN w:val="0"/>
        <w:adjustRightInd w:val="0"/>
        <w:spacing w:after="0" w:line="240" w:lineRule="auto"/>
        <w:ind w:left="0"/>
        <w:rPr>
          <w:rFonts w:cstheme="minorHAnsi"/>
          <w:bCs/>
          <w:color w:val="1100EE"/>
        </w:rPr>
      </w:pPr>
    </w:p>
    <w:p w14:paraId="1828C8B0" w14:textId="77777777" w:rsidR="006E0E80" w:rsidRPr="006E0E80" w:rsidRDefault="006E0E80" w:rsidP="006E0E80">
      <w:pPr>
        <w:shd w:val="clear" w:color="auto" w:fill="FFFFFF"/>
        <w:spacing w:after="0" w:line="240" w:lineRule="auto"/>
        <w:rPr>
          <w:rFonts w:eastAsia="Times New Roman"/>
          <w:color w:val="1100EE"/>
        </w:rPr>
      </w:pPr>
      <w:r w:rsidRPr="006E0E80">
        <w:rPr>
          <w:rFonts w:eastAsia="Times New Roman"/>
          <w:color w:val="1100EE"/>
        </w:rPr>
        <w:t>For missing days’ supply, we analyzed the number (%) of beneficiaries in the measure denominator with one or more claims that had missing days’ supply.</w:t>
      </w:r>
    </w:p>
    <w:p w14:paraId="6FA7D616" w14:textId="77777777" w:rsidR="006E0E80" w:rsidRPr="006E0E80" w:rsidRDefault="006E0E80" w:rsidP="006E0E80">
      <w:pPr>
        <w:shd w:val="clear" w:color="auto" w:fill="FFFFFF"/>
        <w:spacing w:after="0" w:line="240" w:lineRule="auto"/>
        <w:rPr>
          <w:rFonts w:eastAsia="Times New Roman"/>
          <w:color w:val="1100EE"/>
        </w:rPr>
      </w:pPr>
    </w:p>
    <w:p w14:paraId="681E106E" w14:textId="57DACF94" w:rsidR="006E0E80" w:rsidRPr="006E0E80" w:rsidRDefault="006E0E80" w:rsidP="006E0E80">
      <w:pPr>
        <w:pStyle w:val="ListParagraph"/>
        <w:autoSpaceDE w:val="0"/>
        <w:autoSpaceDN w:val="0"/>
        <w:adjustRightInd w:val="0"/>
        <w:spacing w:after="0" w:line="240" w:lineRule="auto"/>
        <w:ind w:left="0"/>
        <w:rPr>
          <w:rFonts w:cstheme="minorHAnsi"/>
          <w:bCs/>
          <w:color w:val="1100EE"/>
        </w:rPr>
      </w:pPr>
      <w:r w:rsidRPr="006E0E80">
        <w:rPr>
          <w:rFonts w:eastAsia="Times New Roman"/>
          <w:color w:val="1100EE"/>
        </w:rPr>
        <w:t>For bias from cash prescriptions or alternative sources, we conducted a limited sensitivity analysis using a two-state sample (</w:t>
      </w:r>
      <w:r w:rsidR="00D4578F">
        <w:rPr>
          <w:rFonts w:eastAsia="Times New Roman"/>
          <w:color w:val="1100EE"/>
        </w:rPr>
        <w:t>states C and G</w:t>
      </w:r>
      <w:r w:rsidRPr="006E0E80">
        <w:rPr>
          <w:rFonts w:eastAsia="Times New Roman"/>
          <w:color w:val="1100EE"/>
        </w:rPr>
        <w:t xml:space="preserve">) to estimate the potential impact of a commercial cash discount program on measure rates. Specifically, we created a National Drug Code (NDC) list from the formulary of a leading cash discount program to identify those individuals with at least one claim for an antipsychotic on the formulary and no claims for any other Part D drugs on the formulary as a proxy to potentially indicate the individual was filling medications through the cash discount program. We then simulated the effect on measure rates, if each of these individuals’ antipsychotic drug use extended from the last consecutive claim to the end of the measurement period, </w:t>
      </w:r>
      <w:proofErr w:type="gramStart"/>
      <w:r w:rsidRPr="006E0E80">
        <w:rPr>
          <w:rFonts w:eastAsia="Times New Roman"/>
          <w:color w:val="1100EE"/>
        </w:rPr>
        <w:t>assuming that</w:t>
      </w:r>
      <w:proofErr w:type="gramEnd"/>
      <w:r w:rsidRPr="006E0E80">
        <w:rPr>
          <w:rFonts w:eastAsia="Times New Roman"/>
          <w:color w:val="1100EE"/>
        </w:rPr>
        <w:t xml:space="preserve"> individuals had switched to the cash program. We simulated two scenarios: including complete coverage of all remaining </w:t>
      </w:r>
      <w:proofErr w:type="gramStart"/>
      <w:r w:rsidRPr="006E0E80">
        <w:rPr>
          <w:rFonts w:eastAsia="Times New Roman"/>
          <w:color w:val="1100EE"/>
        </w:rPr>
        <w:t>days’</w:t>
      </w:r>
      <w:proofErr w:type="gramEnd"/>
      <w:r w:rsidRPr="006E0E80">
        <w:rPr>
          <w:rFonts w:eastAsia="Times New Roman"/>
          <w:color w:val="1100EE"/>
        </w:rPr>
        <w:t xml:space="preserve"> until the end of the measurement period were 100% or extrapolating the average proportion of days covered from the first prescription in the measurement period to the last prescription in the measurement period.</w:t>
      </w:r>
    </w:p>
    <w:p w14:paraId="39833FE8" w14:textId="77777777" w:rsidR="006E0E80" w:rsidRPr="009D3882" w:rsidRDefault="006E0E80" w:rsidP="008F7E67">
      <w:pPr>
        <w:pStyle w:val="ListParagraph"/>
        <w:autoSpaceDE w:val="0"/>
        <w:autoSpaceDN w:val="0"/>
        <w:adjustRightInd w:val="0"/>
        <w:spacing w:after="0" w:line="240" w:lineRule="auto"/>
        <w:ind w:left="0"/>
        <w:rPr>
          <w:rFonts w:cstheme="minorHAnsi"/>
          <w:bCs/>
          <w:sz w:val="18"/>
        </w:rPr>
      </w:pPr>
    </w:p>
    <w:p w14:paraId="0CABD01D" w14:textId="27F68AF6" w:rsidR="008F7E67" w:rsidRPr="006E0E80"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xml:space="preserve">, identify the approaches </w:t>
      </w:r>
      <w:r w:rsidR="00145D4F" w:rsidRPr="006E0E80">
        <w:rPr>
          <w:rFonts w:cstheme="minorHAnsi"/>
          <w:bCs/>
          <w:i/>
        </w:rPr>
        <w:t>for handling missing data that were considered and pros and cons of each</w:t>
      </w:r>
      <w:r w:rsidR="008F7E67" w:rsidRPr="006E0E80">
        <w:rPr>
          <w:rFonts w:cstheme="minorHAnsi"/>
          <w:bCs/>
        </w:rPr>
        <w:t>)</w:t>
      </w:r>
      <w:r w:rsidR="008F7E67" w:rsidRPr="006E0E80">
        <w:rPr>
          <w:rFonts w:cstheme="minorHAnsi"/>
          <w:bCs/>
        </w:rPr>
        <w:br/>
      </w:r>
    </w:p>
    <w:p w14:paraId="3D81D567" w14:textId="77777777" w:rsidR="006E0E80" w:rsidRPr="00060F32" w:rsidRDefault="006E0E80" w:rsidP="006E0E80">
      <w:pPr>
        <w:shd w:val="clear" w:color="auto" w:fill="FFFFFF"/>
        <w:spacing w:after="0" w:line="240" w:lineRule="auto"/>
        <w:rPr>
          <w:rFonts w:eastAsia="Times New Roman"/>
          <w:b/>
          <w:color w:val="1100EE"/>
        </w:rPr>
      </w:pPr>
      <w:r w:rsidRPr="00060F32">
        <w:rPr>
          <w:rFonts w:eastAsia="Times New Roman"/>
          <w:b/>
          <w:color w:val="1100EE"/>
        </w:rPr>
        <w:t>Missing Data</w:t>
      </w:r>
    </w:p>
    <w:p w14:paraId="38E49414" w14:textId="55F65153" w:rsidR="006E0E80" w:rsidRPr="006E0E80" w:rsidRDefault="003A0C98" w:rsidP="006E0E80">
      <w:pPr>
        <w:shd w:val="clear" w:color="auto" w:fill="FFFFFF"/>
        <w:spacing w:after="0" w:line="240" w:lineRule="auto"/>
        <w:rPr>
          <w:rFonts w:eastAsia="Times New Roman"/>
          <w:color w:val="1100EE"/>
        </w:rPr>
      </w:pPr>
      <w:r>
        <w:rPr>
          <w:rFonts w:eastAsia="Times New Roman"/>
          <w:color w:val="1100EE"/>
        </w:rPr>
        <w:t>Days' Supply: O</w:t>
      </w:r>
      <w:r w:rsidR="006E0E80" w:rsidRPr="006E0E80">
        <w:rPr>
          <w:rFonts w:eastAsia="Times New Roman"/>
          <w:color w:val="1100EE"/>
        </w:rPr>
        <w:t>nly 2 individuals (0.005%) in the overall measure denominator had one or more claims with missing days’</w:t>
      </w:r>
      <w:r w:rsidR="005D5C7E">
        <w:rPr>
          <w:rFonts w:eastAsia="Times New Roman"/>
          <w:color w:val="1100EE"/>
        </w:rPr>
        <w:t xml:space="preserve"> supply.</w:t>
      </w:r>
    </w:p>
    <w:p w14:paraId="34119DEE" w14:textId="77777777" w:rsidR="006E0E80" w:rsidRPr="00060F32" w:rsidRDefault="006E0E80" w:rsidP="006E0E80">
      <w:pPr>
        <w:shd w:val="clear" w:color="auto" w:fill="FFFFFF"/>
        <w:spacing w:after="0" w:line="240" w:lineRule="auto"/>
        <w:rPr>
          <w:rFonts w:eastAsia="Times New Roman"/>
          <w:b/>
          <w:color w:val="1100EE"/>
        </w:rPr>
      </w:pPr>
      <w:r w:rsidRPr="006E0E80">
        <w:rPr>
          <w:rFonts w:eastAsia="Times New Roman"/>
          <w:color w:val="1100EE"/>
        </w:rPr>
        <w:br/>
      </w:r>
      <w:r w:rsidRPr="00060F32">
        <w:rPr>
          <w:rFonts w:eastAsia="Times New Roman"/>
          <w:b/>
          <w:color w:val="1100EE"/>
        </w:rPr>
        <w:t>Cash Prescriptions</w:t>
      </w:r>
    </w:p>
    <w:p w14:paraId="22E4850F" w14:textId="77777777" w:rsidR="006E0E80" w:rsidRPr="006E0E80" w:rsidRDefault="006E0E80" w:rsidP="006E0E80">
      <w:pPr>
        <w:shd w:val="clear" w:color="auto" w:fill="FFFFFF"/>
        <w:spacing w:after="0" w:line="240" w:lineRule="auto"/>
        <w:rPr>
          <w:rFonts w:eastAsia="Times New Roman"/>
          <w:color w:val="1100EE"/>
        </w:rPr>
      </w:pPr>
      <w:r w:rsidRPr="006E0E80">
        <w:rPr>
          <w:rFonts w:eastAsia="Times New Roman"/>
          <w:color w:val="1100EE"/>
        </w:rPr>
        <w:t xml:space="preserve">The percentage of individuals in the denominator with antipsychotic Part D claims on the formulary and no claims for any other drugs on the commercial discount formulary was 0.9% (145/15,874). </w:t>
      </w:r>
    </w:p>
    <w:p w14:paraId="33D162DF" w14:textId="77777777" w:rsidR="006E0E80" w:rsidRPr="006E0E80" w:rsidRDefault="006E0E80" w:rsidP="006E0E80">
      <w:pPr>
        <w:shd w:val="clear" w:color="auto" w:fill="FFFFFF"/>
        <w:spacing w:after="0" w:line="240" w:lineRule="auto"/>
        <w:rPr>
          <w:color w:val="1100EE"/>
        </w:rPr>
      </w:pPr>
    </w:p>
    <w:p w14:paraId="02CAD75D" w14:textId="77777777" w:rsidR="006E0E80" w:rsidRPr="006E0E80" w:rsidRDefault="006E0E80" w:rsidP="006E0E80">
      <w:pPr>
        <w:shd w:val="clear" w:color="auto" w:fill="FFFFFF"/>
        <w:spacing w:after="0" w:line="240" w:lineRule="auto"/>
        <w:rPr>
          <w:color w:val="1100EE"/>
        </w:rPr>
      </w:pPr>
      <w:r w:rsidRPr="006E0E80">
        <w:rPr>
          <w:color w:val="1100EE"/>
        </w:rPr>
        <w:t xml:space="preserve">SCENARIO 1. If individuals with possible cash prescriptions (i.e., those described above) are assumed to have antipsychotic medication for all days from the last day covered to the end of the measurement period (i.e., 100% adherence), the PDC would be 71.6% (11,365/15,874). </w:t>
      </w:r>
    </w:p>
    <w:p w14:paraId="3AB4AFCD" w14:textId="77777777" w:rsidR="006E0E80" w:rsidRPr="006E0E80" w:rsidRDefault="006E0E80" w:rsidP="006E0E80">
      <w:pPr>
        <w:shd w:val="clear" w:color="auto" w:fill="FFFFFF"/>
        <w:spacing w:after="0" w:line="240" w:lineRule="auto"/>
        <w:rPr>
          <w:color w:val="1100EE"/>
        </w:rPr>
      </w:pPr>
    </w:p>
    <w:p w14:paraId="40C91AF9" w14:textId="77777777" w:rsidR="006E0E80" w:rsidRPr="006E0E80" w:rsidRDefault="006E0E80" w:rsidP="006E0E80">
      <w:pPr>
        <w:spacing w:after="0" w:line="240" w:lineRule="auto"/>
        <w:rPr>
          <w:color w:val="1100EE"/>
        </w:rPr>
      </w:pPr>
      <w:r w:rsidRPr="006E0E80">
        <w:rPr>
          <w:color w:val="1100EE"/>
        </w:rPr>
        <w:t xml:space="preserve">SCENARIO 2. If individuals with possible cash prescriptions (i.e., those described above) are assumed to have antipsychotic medication for all days from the last day covered at the same proportion as the PDC </w:t>
      </w:r>
      <w:r w:rsidRPr="006E0E80">
        <w:rPr>
          <w:color w:val="1100EE"/>
        </w:rPr>
        <w:lastRenderedPageBreak/>
        <w:t xml:space="preserve">calculated over the period from first to last claim in the measurement period (i.e., same adherence as the rest of the period), the PDC would be 71.5% (11,353/15,874). </w:t>
      </w:r>
    </w:p>
    <w:p w14:paraId="7E1CA895" w14:textId="77777777" w:rsidR="006E0E80" w:rsidRPr="006E0E80" w:rsidRDefault="006E0E80" w:rsidP="006E0E80">
      <w:pPr>
        <w:shd w:val="clear" w:color="auto" w:fill="FFFFFF"/>
        <w:spacing w:after="0" w:line="240" w:lineRule="auto"/>
        <w:rPr>
          <w:color w:val="1100EE"/>
        </w:rPr>
      </w:pPr>
    </w:p>
    <w:p w14:paraId="0CABD01E" w14:textId="737877A8" w:rsidR="008F7E67" w:rsidRPr="006E0E80" w:rsidRDefault="006E0E80" w:rsidP="006E0E80">
      <w:pPr>
        <w:shd w:val="clear" w:color="auto" w:fill="FFFFFF"/>
        <w:spacing w:after="0" w:line="240" w:lineRule="auto"/>
        <w:rPr>
          <w:rFonts w:eastAsia="Times New Roman"/>
          <w:color w:val="1100EE"/>
        </w:rPr>
      </w:pPr>
      <w:r w:rsidRPr="006E0E80">
        <w:rPr>
          <w:color w:val="1100EE"/>
        </w:rPr>
        <w:t>The actual measure rate was 71.5% (11,348/15,874).</w:t>
      </w:r>
    </w:p>
    <w:p w14:paraId="76796CDB" w14:textId="77777777" w:rsidR="006E0E80" w:rsidRPr="006E0E80" w:rsidRDefault="006E0E80" w:rsidP="008F7E67">
      <w:pPr>
        <w:autoSpaceDE w:val="0"/>
        <w:autoSpaceDN w:val="0"/>
        <w:adjustRightInd w:val="0"/>
        <w:spacing w:after="0" w:line="240" w:lineRule="auto"/>
        <w:rPr>
          <w:rFonts w:cstheme="minorHAnsi"/>
          <w:bCs/>
        </w:rPr>
      </w:pPr>
    </w:p>
    <w:p w14:paraId="0CABD01F" w14:textId="1851BD9F" w:rsidR="008B604D" w:rsidRDefault="009C7513">
      <w:pPr>
        <w:autoSpaceDE w:val="0"/>
        <w:autoSpaceDN w:val="0"/>
        <w:adjustRightInd w:val="0"/>
        <w:spacing w:after="0" w:line="240" w:lineRule="auto"/>
        <w:rPr>
          <w:rFonts w:cstheme="minorHAnsi"/>
          <w:bCs/>
        </w:rPr>
      </w:pPr>
      <w:r w:rsidRPr="006E0E80">
        <w:rPr>
          <w:rFonts w:cstheme="minorHAnsi"/>
          <w:b/>
          <w:bCs/>
        </w:rPr>
        <w:t>2b6</w:t>
      </w:r>
      <w:r w:rsidR="008F7E67" w:rsidRPr="006E0E80">
        <w:rPr>
          <w:rFonts w:cstheme="minorHAnsi"/>
          <w:b/>
          <w:bCs/>
        </w:rPr>
        <w:t>.3. What is your interpretation of the results in terms of demonstrating</w:t>
      </w:r>
      <w:r w:rsidR="00771B2A" w:rsidRPr="006E0E80">
        <w:rPr>
          <w:rFonts w:cstheme="minorHAnsi"/>
          <w:b/>
          <w:bCs/>
        </w:rPr>
        <w:t xml:space="preserve"> that </w:t>
      </w:r>
      <w:r w:rsidR="00771B2A" w:rsidRPr="006E0E80">
        <w:rPr>
          <w:rFonts w:ascii="Calibri" w:eastAsia="Calibri" w:hAnsi="Calibri" w:cs="Calibri"/>
          <w:b/>
        </w:rPr>
        <w:t>performance results are not biased</w:t>
      </w:r>
      <w:r w:rsidR="00771B2A" w:rsidRPr="006E0E80">
        <w:rPr>
          <w:rFonts w:ascii="Calibri" w:eastAsia="Calibri" w:hAnsi="Calibri" w:cs="Calibri"/>
        </w:rPr>
        <w:t xml:space="preserve"> due to systematic missing data (or differences</w:t>
      </w:r>
      <w:r w:rsidR="00771B2A" w:rsidRPr="006A028C">
        <w:rPr>
          <w:rFonts w:ascii="Calibri" w:eastAsia="Calibri" w:hAnsi="Calibri" w:cs="Calibri"/>
        </w:rPr>
        <w:t xml:space="preserve">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0CABD020" w14:textId="67329AA3" w:rsidR="00BA053B" w:rsidRDefault="00BA053B">
      <w:pPr>
        <w:autoSpaceDE w:val="0"/>
        <w:autoSpaceDN w:val="0"/>
        <w:adjustRightInd w:val="0"/>
        <w:spacing w:after="0" w:line="240" w:lineRule="auto"/>
        <w:rPr>
          <w:rFonts w:cstheme="minorHAnsi"/>
          <w:bCs/>
        </w:rPr>
      </w:pPr>
    </w:p>
    <w:p w14:paraId="7485A899" w14:textId="77777777" w:rsidR="005D5C7E" w:rsidRPr="00060F32" w:rsidRDefault="005D5C7E" w:rsidP="005D5C7E">
      <w:pPr>
        <w:shd w:val="clear" w:color="auto" w:fill="FFFFFF"/>
        <w:spacing w:after="0" w:line="240" w:lineRule="auto"/>
        <w:rPr>
          <w:rFonts w:eastAsia="Times New Roman"/>
          <w:b/>
          <w:color w:val="1100EE"/>
        </w:rPr>
      </w:pPr>
      <w:r w:rsidRPr="00060F32">
        <w:rPr>
          <w:rFonts w:eastAsia="Times New Roman"/>
          <w:b/>
          <w:color w:val="1100EE"/>
        </w:rPr>
        <w:t>Missing Data</w:t>
      </w:r>
    </w:p>
    <w:p w14:paraId="6F16DB45" w14:textId="740D794B" w:rsidR="005D5C7E" w:rsidRPr="005D5C7E" w:rsidRDefault="00C20CA6" w:rsidP="005D5C7E">
      <w:pPr>
        <w:shd w:val="clear" w:color="auto" w:fill="FFFFFF"/>
        <w:spacing w:after="0" w:line="240" w:lineRule="auto"/>
        <w:rPr>
          <w:rFonts w:eastAsia="Times New Roman"/>
          <w:color w:val="1100EE"/>
        </w:rPr>
      </w:pPr>
      <w:r>
        <w:rPr>
          <w:rFonts w:eastAsia="Times New Roman"/>
          <w:color w:val="1100EE"/>
        </w:rPr>
        <w:t>O</w:t>
      </w:r>
      <w:r w:rsidRPr="006E0E80">
        <w:rPr>
          <w:rFonts w:eastAsia="Times New Roman"/>
          <w:color w:val="1100EE"/>
        </w:rPr>
        <w:t>nly 2 individuals (0.005%) in the overall measure denominator had one or more claims with missing days’</w:t>
      </w:r>
      <w:r>
        <w:rPr>
          <w:rFonts w:eastAsia="Times New Roman"/>
          <w:color w:val="1100EE"/>
        </w:rPr>
        <w:t xml:space="preserve"> supply. This small number</w:t>
      </w:r>
      <w:r w:rsidR="005D5C7E" w:rsidRPr="006E0E80">
        <w:rPr>
          <w:rFonts w:eastAsia="Times New Roman"/>
          <w:color w:val="1100EE"/>
        </w:rPr>
        <w:t xml:space="preserve"> indicates that missing data do not pose a threat to the validity of the measure.</w:t>
      </w:r>
    </w:p>
    <w:p w14:paraId="24C0A641" w14:textId="1948F104" w:rsidR="005D5C7E" w:rsidRDefault="005D5C7E" w:rsidP="005D5C7E">
      <w:pPr>
        <w:shd w:val="clear" w:color="auto" w:fill="FFFFFF"/>
        <w:spacing w:after="0" w:line="240" w:lineRule="auto"/>
        <w:rPr>
          <w:color w:val="1100EE"/>
        </w:rPr>
      </w:pPr>
    </w:p>
    <w:p w14:paraId="1E52E88B" w14:textId="73D56EED" w:rsidR="005D5C7E" w:rsidRPr="00060F32" w:rsidRDefault="005D5C7E" w:rsidP="005D5C7E">
      <w:pPr>
        <w:shd w:val="clear" w:color="auto" w:fill="FFFFFF"/>
        <w:spacing w:after="0" w:line="240" w:lineRule="auto"/>
        <w:rPr>
          <w:b/>
          <w:color w:val="1100EE"/>
        </w:rPr>
      </w:pPr>
      <w:r w:rsidRPr="00060F32">
        <w:rPr>
          <w:b/>
          <w:color w:val="1100EE"/>
        </w:rPr>
        <w:t>Cash Prescriptions</w:t>
      </w:r>
    </w:p>
    <w:p w14:paraId="404D8A51" w14:textId="05EAE6FD" w:rsidR="006E0E80" w:rsidRPr="005D5C7E" w:rsidRDefault="00C20CA6" w:rsidP="005D5C7E">
      <w:pPr>
        <w:shd w:val="clear" w:color="auto" w:fill="FFFFFF"/>
        <w:spacing w:after="0" w:line="240" w:lineRule="auto"/>
        <w:rPr>
          <w:rFonts w:eastAsia="Times New Roman"/>
          <w:color w:val="1100EE"/>
        </w:rPr>
      </w:pPr>
      <w:r w:rsidRPr="006E0E80">
        <w:rPr>
          <w:color w:val="1100EE"/>
        </w:rPr>
        <w:t>The actual measure rate was 71.5% (11,348/15,874).</w:t>
      </w:r>
      <w:r>
        <w:rPr>
          <w:color w:val="1100EE"/>
        </w:rPr>
        <w:t xml:space="preserve"> Therefore, t</w:t>
      </w:r>
      <w:r w:rsidR="005D5C7E">
        <w:rPr>
          <w:color w:val="1100EE"/>
        </w:rPr>
        <w:t>he</w:t>
      </w:r>
      <w:r w:rsidR="005D5C7E" w:rsidRPr="006E0E80">
        <w:rPr>
          <w:rFonts w:eastAsia="Times New Roman"/>
          <w:color w:val="1100EE"/>
        </w:rPr>
        <w:t xml:space="preserve"> findings suggest that very little impact on measure rates would be expected from utilization of the cash discount program. In addition, since the most prevalent antipsychotic medications are not included in the commercial discount program due to their cost, it is unlikely that commercial discount programs will have an impact on measure rates in the near-term. Of note, this analysis is exploratory in nature and assumes that individuals were not switched to a drug on the commercial discount formulary, and if they were utilizing the discount program, they were obtaining </w:t>
      </w:r>
      <w:proofErr w:type="gramStart"/>
      <w:r w:rsidR="005D5C7E" w:rsidRPr="006E0E80">
        <w:rPr>
          <w:rFonts w:eastAsia="Times New Roman"/>
          <w:color w:val="1100EE"/>
        </w:rPr>
        <w:t>all of</w:t>
      </w:r>
      <w:proofErr w:type="gramEnd"/>
      <w:r w:rsidR="005D5C7E" w:rsidRPr="006E0E80">
        <w:rPr>
          <w:rFonts w:eastAsia="Times New Roman"/>
          <w:color w:val="1100EE"/>
        </w:rPr>
        <w:t xml:space="preserve"> their medications at a cash discount program. Additional limitations include prescriptions filled with other benefits (e.g., VA), and the extent to which this measure might underestimate antipsychotic use due to those factors is unknown.</w:t>
      </w:r>
    </w:p>
    <w:sectPr w:rsidR="006E0E80" w:rsidRPr="005D5C7E" w:rsidSect="008505D1">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D9F230" w14:textId="77777777" w:rsidR="00466546" w:rsidRDefault="00466546" w:rsidP="005C73CA">
      <w:pPr>
        <w:spacing w:after="0" w:line="240" w:lineRule="auto"/>
      </w:pPr>
      <w:r>
        <w:separator/>
      </w:r>
    </w:p>
  </w:endnote>
  <w:endnote w:type="continuationSeparator" w:id="0">
    <w:p w14:paraId="5CFAD1BC" w14:textId="77777777" w:rsidR="00466546" w:rsidRDefault="00466546" w:rsidP="005C73CA">
      <w:pPr>
        <w:spacing w:after="0" w:line="240" w:lineRule="auto"/>
      </w:pPr>
      <w:r>
        <w:continuationSeparator/>
      </w:r>
    </w:p>
  </w:endnote>
  <w:endnote w:type="continuationNotice" w:id="1">
    <w:p w14:paraId="2EDB7793" w14:textId="77777777" w:rsidR="00466546" w:rsidRDefault="004665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6" w14:textId="2BCD31A7" w:rsidR="007271C1" w:rsidRDefault="007271C1">
    <w:pPr>
      <w:pStyle w:val="Footer"/>
    </w:pPr>
    <w:r>
      <w:t>Version 7.1 9/6/2017</w:t>
    </w:r>
    <w:r>
      <w:ptab w:relativeTo="margin" w:alignment="right" w:leader="none"/>
    </w:r>
    <w:r>
      <w:fldChar w:fldCharType="begin"/>
    </w:r>
    <w:r>
      <w:instrText xml:space="preserve"> PAGE   \* MERGEFORMAT </w:instrText>
    </w:r>
    <w:r>
      <w:fldChar w:fldCharType="separate"/>
    </w:r>
    <w:r w:rsidR="009C6A1F">
      <w:rPr>
        <w:noProof/>
      </w:rPr>
      <w:t>20</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BF1740" w14:textId="77777777" w:rsidR="00466546" w:rsidRDefault="00466546" w:rsidP="005C73CA">
      <w:pPr>
        <w:spacing w:after="0" w:line="240" w:lineRule="auto"/>
      </w:pPr>
      <w:r>
        <w:separator/>
      </w:r>
    </w:p>
  </w:footnote>
  <w:footnote w:type="continuationSeparator" w:id="0">
    <w:p w14:paraId="56CFD456" w14:textId="77777777" w:rsidR="00466546" w:rsidRDefault="00466546" w:rsidP="005C73CA">
      <w:pPr>
        <w:spacing w:after="0" w:line="240" w:lineRule="auto"/>
      </w:pPr>
      <w:r>
        <w:continuationSeparator/>
      </w:r>
    </w:p>
  </w:footnote>
  <w:footnote w:type="continuationNotice" w:id="1">
    <w:p w14:paraId="09CA3892" w14:textId="77777777" w:rsidR="00466546" w:rsidRDefault="0046654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5" w14:textId="77777777" w:rsidR="007271C1" w:rsidRPr="00105D8B" w:rsidRDefault="007271C1"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0EB3CAC"/>
    <w:multiLevelType w:val="hybridMultilevel"/>
    <w:tmpl w:val="BB24D7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45974BE"/>
    <w:multiLevelType w:val="hybridMultilevel"/>
    <w:tmpl w:val="E364F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597F58"/>
    <w:multiLevelType w:val="hybridMultilevel"/>
    <w:tmpl w:val="684A3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B55711B"/>
    <w:multiLevelType w:val="hybridMultilevel"/>
    <w:tmpl w:val="C32CF0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0F65A65"/>
    <w:multiLevelType w:val="hybridMultilevel"/>
    <w:tmpl w:val="48929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B6B7986"/>
    <w:multiLevelType w:val="hybridMultilevel"/>
    <w:tmpl w:val="431CEACA"/>
    <w:lvl w:ilvl="0" w:tplc="04090001">
      <w:start w:val="1"/>
      <w:numFmt w:val="bullet"/>
      <w:lvlText w:val=""/>
      <w:lvlJc w:val="left"/>
      <w:pPr>
        <w:ind w:left="720" w:hanging="360"/>
      </w:pPr>
      <w:rPr>
        <w:rFonts w:ascii="Symbol" w:hAnsi="Symbol" w:hint="default"/>
      </w:rPr>
    </w:lvl>
    <w:lvl w:ilvl="1" w:tplc="C9C66B92">
      <w:numFmt w:val="bullet"/>
      <w:lvlText w:val="•"/>
      <w:lvlJc w:val="left"/>
      <w:pPr>
        <w:ind w:left="1440" w:hanging="360"/>
      </w:pPr>
      <w:rPr>
        <w:rFonts w:ascii="Calibri" w:eastAsia="Times New Roman"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CD14279"/>
    <w:multiLevelType w:val="hybridMultilevel"/>
    <w:tmpl w:val="BBB6C680"/>
    <w:lvl w:ilvl="0" w:tplc="1994ABB2">
      <w:numFmt w:val="bullet"/>
      <w:lvlText w:val="•"/>
      <w:lvlJc w:val="left"/>
      <w:pPr>
        <w:ind w:left="1296" w:hanging="432"/>
      </w:pPr>
      <w:rPr>
        <w:rFonts w:ascii="Times New Roman" w:eastAsia="Times New Roman" w:hAnsi="Times New Roman" w:cs="Times New Roman"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1"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2"/>
  </w:num>
  <w:num w:numId="3">
    <w:abstractNumId w:val="3"/>
  </w:num>
  <w:num w:numId="4">
    <w:abstractNumId w:val="7"/>
  </w:num>
  <w:num w:numId="5">
    <w:abstractNumId w:val="2"/>
  </w:num>
  <w:num w:numId="6">
    <w:abstractNumId w:val="1"/>
  </w:num>
  <w:num w:numId="7">
    <w:abstractNumId w:val="4"/>
  </w:num>
  <w:num w:numId="8">
    <w:abstractNumId w:val="26"/>
  </w:num>
  <w:num w:numId="9">
    <w:abstractNumId w:val="11"/>
  </w:num>
  <w:num w:numId="10">
    <w:abstractNumId w:val="33"/>
  </w:num>
  <w:num w:numId="11">
    <w:abstractNumId w:val="13"/>
  </w:num>
  <w:num w:numId="12">
    <w:abstractNumId w:val="31"/>
  </w:num>
  <w:num w:numId="13">
    <w:abstractNumId w:val="23"/>
  </w:num>
  <w:num w:numId="14">
    <w:abstractNumId w:val="23"/>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2"/>
  </w:num>
  <w:num w:numId="16">
    <w:abstractNumId w:val="9"/>
  </w:num>
  <w:num w:numId="17">
    <w:abstractNumId w:val="32"/>
  </w:num>
  <w:num w:numId="18">
    <w:abstractNumId w:val="29"/>
  </w:num>
  <w:num w:numId="19">
    <w:abstractNumId w:val="27"/>
  </w:num>
  <w:num w:numId="20">
    <w:abstractNumId w:val="19"/>
  </w:num>
  <w:num w:numId="21">
    <w:abstractNumId w:val="25"/>
  </w:num>
  <w:num w:numId="22">
    <w:abstractNumId w:val="17"/>
  </w:num>
  <w:num w:numId="23">
    <w:abstractNumId w:val="8"/>
  </w:num>
  <w:num w:numId="24">
    <w:abstractNumId w:val="15"/>
  </w:num>
  <w:num w:numId="25">
    <w:abstractNumId w:val="14"/>
  </w:num>
  <w:num w:numId="26">
    <w:abstractNumId w:val="34"/>
  </w:num>
  <w:num w:numId="27">
    <w:abstractNumId w:val="0"/>
  </w:num>
  <w:num w:numId="28">
    <w:abstractNumId w:val="10"/>
  </w:num>
  <w:num w:numId="29">
    <w:abstractNumId w:val="21"/>
  </w:num>
  <w:num w:numId="30">
    <w:abstractNumId w:val="6"/>
  </w:num>
  <w:num w:numId="31">
    <w:abstractNumId w:val="18"/>
  </w:num>
  <w:num w:numId="32">
    <w:abstractNumId w:val="16"/>
  </w:num>
  <w:num w:numId="33">
    <w:abstractNumId w:val="28"/>
  </w:num>
  <w:num w:numId="34">
    <w:abstractNumId w:val="30"/>
  </w:num>
  <w:num w:numId="35">
    <w:abstractNumId w:val="2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04599"/>
    <w:rsid w:val="0001094F"/>
    <w:rsid w:val="00021170"/>
    <w:rsid w:val="0002128B"/>
    <w:rsid w:val="00024DFD"/>
    <w:rsid w:val="00027AB8"/>
    <w:rsid w:val="000309DD"/>
    <w:rsid w:val="00031414"/>
    <w:rsid w:val="000317AB"/>
    <w:rsid w:val="00033038"/>
    <w:rsid w:val="00033D63"/>
    <w:rsid w:val="0003436F"/>
    <w:rsid w:val="00036E0B"/>
    <w:rsid w:val="000414E8"/>
    <w:rsid w:val="0004593A"/>
    <w:rsid w:val="00050A3E"/>
    <w:rsid w:val="00052A6F"/>
    <w:rsid w:val="00053F02"/>
    <w:rsid w:val="000559D4"/>
    <w:rsid w:val="0005612B"/>
    <w:rsid w:val="000574AB"/>
    <w:rsid w:val="00060F32"/>
    <w:rsid w:val="0006147A"/>
    <w:rsid w:val="0006234F"/>
    <w:rsid w:val="0007344D"/>
    <w:rsid w:val="0007430C"/>
    <w:rsid w:val="000775F8"/>
    <w:rsid w:val="00080CF7"/>
    <w:rsid w:val="00081F49"/>
    <w:rsid w:val="000851B2"/>
    <w:rsid w:val="00085971"/>
    <w:rsid w:val="00086BB7"/>
    <w:rsid w:val="00092566"/>
    <w:rsid w:val="00095B6F"/>
    <w:rsid w:val="000968F8"/>
    <w:rsid w:val="00096B3B"/>
    <w:rsid w:val="00097012"/>
    <w:rsid w:val="000A21BD"/>
    <w:rsid w:val="000B0254"/>
    <w:rsid w:val="000B032A"/>
    <w:rsid w:val="000B2DF7"/>
    <w:rsid w:val="000B3880"/>
    <w:rsid w:val="000B7D57"/>
    <w:rsid w:val="000C036D"/>
    <w:rsid w:val="000C0FF8"/>
    <w:rsid w:val="000C3AD6"/>
    <w:rsid w:val="000D1BFE"/>
    <w:rsid w:val="000D2722"/>
    <w:rsid w:val="000D7948"/>
    <w:rsid w:val="000D7C84"/>
    <w:rsid w:val="000E3C17"/>
    <w:rsid w:val="000E4E13"/>
    <w:rsid w:val="000E78F6"/>
    <w:rsid w:val="000F034A"/>
    <w:rsid w:val="000F06B5"/>
    <w:rsid w:val="000F1B7A"/>
    <w:rsid w:val="000F39E9"/>
    <w:rsid w:val="000F7812"/>
    <w:rsid w:val="0010000D"/>
    <w:rsid w:val="00104B45"/>
    <w:rsid w:val="00105D8B"/>
    <w:rsid w:val="0011342F"/>
    <w:rsid w:val="001202E9"/>
    <w:rsid w:val="001208E6"/>
    <w:rsid w:val="0012454F"/>
    <w:rsid w:val="00125273"/>
    <w:rsid w:val="0012575E"/>
    <w:rsid w:val="00127C06"/>
    <w:rsid w:val="001379F2"/>
    <w:rsid w:val="00137F66"/>
    <w:rsid w:val="0014419D"/>
    <w:rsid w:val="00144366"/>
    <w:rsid w:val="00145149"/>
    <w:rsid w:val="00145D4F"/>
    <w:rsid w:val="0014773C"/>
    <w:rsid w:val="001509C1"/>
    <w:rsid w:val="0017696D"/>
    <w:rsid w:val="00181919"/>
    <w:rsid w:val="001848FC"/>
    <w:rsid w:val="00193F21"/>
    <w:rsid w:val="001969C5"/>
    <w:rsid w:val="001A6CDD"/>
    <w:rsid w:val="001B026A"/>
    <w:rsid w:val="001B3209"/>
    <w:rsid w:val="001B3322"/>
    <w:rsid w:val="001B64C2"/>
    <w:rsid w:val="001C12EE"/>
    <w:rsid w:val="001C2DEE"/>
    <w:rsid w:val="001C3B22"/>
    <w:rsid w:val="001C7B02"/>
    <w:rsid w:val="001D0326"/>
    <w:rsid w:val="001E4DD4"/>
    <w:rsid w:val="001E69DC"/>
    <w:rsid w:val="001F169D"/>
    <w:rsid w:val="001F1DA1"/>
    <w:rsid w:val="001F6F93"/>
    <w:rsid w:val="001F7A20"/>
    <w:rsid w:val="0021054A"/>
    <w:rsid w:val="0021195A"/>
    <w:rsid w:val="00213383"/>
    <w:rsid w:val="00215DDD"/>
    <w:rsid w:val="00220250"/>
    <w:rsid w:val="00222444"/>
    <w:rsid w:val="0022329B"/>
    <w:rsid w:val="00223C64"/>
    <w:rsid w:val="0022691B"/>
    <w:rsid w:val="00232163"/>
    <w:rsid w:val="00236857"/>
    <w:rsid w:val="002376F8"/>
    <w:rsid w:val="002408E4"/>
    <w:rsid w:val="00241591"/>
    <w:rsid w:val="00244358"/>
    <w:rsid w:val="00250B4F"/>
    <w:rsid w:val="00252AF2"/>
    <w:rsid w:val="0025762F"/>
    <w:rsid w:val="00257975"/>
    <w:rsid w:val="00257FAF"/>
    <w:rsid w:val="0027397B"/>
    <w:rsid w:val="00274710"/>
    <w:rsid w:val="00275563"/>
    <w:rsid w:val="0028114D"/>
    <w:rsid w:val="00281413"/>
    <w:rsid w:val="00287649"/>
    <w:rsid w:val="00287E84"/>
    <w:rsid w:val="00291870"/>
    <w:rsid w:val="0029286C"/>
    <w:rsid w:val="0029300E"/>
    <w:rsid w:val="002A3D1C"/>
    <w:rsid w:val="002A65E1"/>
    <w:rsid w:val="002B0C3A"/>
    <w:rsid w:val="002B1582"/>
    <w:rsid w:val="002B2116"/>
    <w:rsid w:val="002B2631"/>
    <w:rsid w:val="002B2D9B"/>
    <w:rsid w:val="002B5016"/>
    <w:rsid w:val="002B5431"/>
    <w:rsid w:val="002B6F4B"/>
    <w:rsid w:val="002B741F"/>
    <w:rsid w:val="002B742C"/>
    <w:rsid w:val="002B7F4D"/>
    <w:rsid w:val="002C285C"/>
    <w:rsid w:val="002C7BE4"/>
    <w:rsid w:val="002D417D"/>
    <w:rsid w:val="002D5E5D"/>
    <w:rsid w:val="002E78A0"/>
    <w:rsid w:val="002F2687"/>
    <w:rsid w:val="002F48E1"/>
    <w:rsid w:val="002F4F3B"/>
    <w:rsid w:val="002F6737"/>
    <w:rsid w:val="003028B1"/>
    <w:rsid w:val="00302E15"/>
    <w:rsid w:val="00304C86"/>
    <w:rsid w:val="00304F04"/>
    <w:rsid w:val="003059EB"/>
    <w:rsid w:val="003116AC"/>
    <w:rsid w:val="00315567"/>
    <w:rsid w:val="0032544C"/>
    <w:rsid w:val="00326653"/>
    <w:rsid w:val="00327BC9"/>
    <w:rsid w:val="00330144"/>
    <w:rsid w:val="00334329"/>
    <w:rsid w:val="00334457"/>
    <w:rsid w:val="00340E2B"/>
    <w:rsid w:val="00342FC3"/>
    <w:rsid w:val="00343419"/>
    <w:rsid w:val="00345CBA"/>
    <w:rsid w:val="00346245"/>
    <w:rsid w:val="00356267"/>
    <w:rsid w:val="00356BAD"/>
    <w:rsid w:val="003605B4"/>
    <w:rsid w:val="003627AC"/>
    <w:rsid w:val="00366914"/>
    <w:rsid w:val="00372FE3"/>
    <w:rsid w:val="00373EDE"/>
    <w:rsid w:val="003755CB"/>
    <w:rsid w:val="00383F85"/>
    <w:rsid w:val="00386E36"/>
    <w:rsid w:val="00387BA1"/>
    <w:rsid w:val="003A0C98"/>
    <w:rsid w:val="003A149B"/>
    <w:rsid w:val="003A306C"/>
    <w:rsid w:val="003A7DE7"/>
    <w:rsid w:val="003B1006"/>
    <w:rsid w:val="003B71BC"/>
    <w:rsid w:val="003C5F11"/>
    <w:rsid w:val="003C5FD7"/>
    <w:rsid w:val="003D294B"/>
    <w:rsid w:val="003D6401"/>
    <w:rsid w:val="003E1863"/>
    <w:rsid w:val="003E52C9"/>
    <w:rsid w:val="003F41FC"/>
    <w:rsid w:val="004046C5"/>
    <w:rsid w:val="00405D71"/>
    <w:rsid w:val="0041606D"/>
    <w:rsid w:val="00416962"/>
    <w:rsid w:val="004206A8"/>
    <w:rsid w:val="004233EC"/>
    <w:rsid w:val="004265F0"/>
    <w:rsid w:val="004348CC"/>
    <w:rsid w:val="00435CAF"/>
    <w:rsid w:val="00437258"/>
    <w:rsid w:val="00450C58"/>
    <w:rsid w:val="004658FF"/>
    <w:rsid w:val="00466546"/>
    <w:rsid w:val="0047057D"/>
    <w:rsid w:val="00474ED7"/>
    <w:rsid w:val="004756E1"/>
    <w:rsid w:val="0048008A"/>
    <w:rsid w:val="004808F8"/>
    <w:rsid w:val="00483E94"/>
    <w:rsid w:val="00484120"/>
    <w:rsid w:val="00484EE8"/>
    <w:rsid w:val="004853A0"/>
    <w:rsid w:val="00485AC3"/>
    <w:rsid w:val="00496B5F"/>
    <w:rsid w:val="004A2E10"/>
    <w:rsid w:val="004A38DF"/>
    <w:rsid w:val="004A3CBD"/>
    <w:rsid w:val="004A47B7"/>
    <w:rsid w:val="004B17FF"/>
    <w:rsid w:val="004B1BA0"/>
    <w:rsid w:val="004B30CA"/>
    <w:rsid w:val="004B6CEE"/>
    <w:rsid w:val="004C2443"/>
    <w:rsid w:val="004C34E9"/>
    <w:rsid w:val="004C498F"/>
    <w:rsid w:val="004C5D29"/>
    <w:rsid w:val="004C681A"/>
    <w:rsid w:val="004D3DCE"/>
    <w:rsid w:val="004D4D8A"/>
    <w:rsid w:val="004E0AE8"/>
    <w:rsid w:val="004F68EE"/>
    <w:rsid w:val="005038D5"/>
    <w:rsid w:val="00504346"/>
    <w:rsid w:val="00507652"/>
    <w:rsid w:val="00511BA4"/>
    <w:rsid w:val="005149E7"/>
    <w:rsid w:val="00514B9C"/>
    <w:rsid w:val="00515D60"/>
    <w:rsid w:val="005232D6"/>
    <w:rsid w:val="00523857"/>
    <w:rsid w:val="005333CC"/>
    <w:rsid w:val="00534101"/>
    <w:rsid w:val="005363F1"/>
    <w:rsid w:val="00537C1B"/>
    <w:rsid w:val="0055007C"/>
    <w:rsid w:val="00554922"/>
    <w:rsid w:val="00555282"/>
    <w:rsid w:val="005560E7"/>
    <w:rsid w:val="00556110"/>
    <w:rsid w:val="005612CC"/>
    <w:rsid w:val="00563029"/>
    <w:rsid w:val="00565946"/>
    <w:rsid w:val="00567441"/>
    <w:rsid w:val="00567D12"/>
    <w:rsid w:val="00576062"/>
    <w:rsid w:val="00592937"/>
    <w:rsid w:val="0059559F"/>
    <w:rsid w:val="005A199C"/>
    <w:rsid w:val="005A1F7A"/>
    <w:rsid w:val="005A49FF"/>
    <w:rsid w:val="005A617C"/>
    <w:rsid w:val="005A7634"/>
    <w:rsid w:val="005B5876"/>
    <w:rsid w:val="005B6F04"/>
    <w:rsid w:val="005C0447"/>
    <w:rsid w:val="005C739F"/>
    <w:rsid w:val="005C73CA"/>
    <w:rsid w:val="005C7730"/>
    <w:rsid w:val="005D4768"/>
    <w:rsid w:val="005D5C7E"/>
    <w:rsid w:val="005E2CAB"/>
    <w:rsid w:val="005E3620"/>
    <w:rsid w:val="005E429E"/>
    <w:rsid w:val="005E6892"/>
    <w:rsid w:val="005F06CD"/>
    <w:rsid w:val="005F3612"/>
    <w:rsid w:val="00601ED4"/>
    <w:rsid w:val="006030BC"/>
    <w:rsid w:val="00612866"/>
    <w:rsid w:val="00616EB5"/>
    <w:rsid w:val="0062225C"/>
    <w:rsid w:val="00626309"/>
    <w:rsid w:val="006269D4"/>
    <w:rsid w:val="006327D8"/>
    <w:rsid w:val="0064070A"/>
    <w:rsid w:val="0064322C"/>
    <w:rsid w:val="00643A01"/>
    <w:rsid w:val="00651D44"/>
    <w:rsid w:val="00653AA2"/>
    <w:rsid w:val="00656424"/>
    <w:rsid w:val="006574D2"/>
    <w:rsid w:val="00660599"/>
    <w:rsid w:val="00663563"/>
    <w:rsid w:val="006648D1"/>
    <w:rsid w:val="006676D4"/>
    <w:rsid w:val="006746F8"/>
    <w:rsid w:val="00675535"/>
    <w:rsid w:val="00681359"/>
    <w:rsid w:val="0068434B"/>
    <w:rsid w:val="00684634"/>
    <w:rsid w:val="0069157C"/>
    <w:rsid w:val="00691C15"/>
    <w:rsid w:val="00696262"/>
    <w:rsid w:val="006A55EA"/>
    <w:rsid w:val="006C3A4F"/>
    <w:rsid w:val="006C4845"/>
    <w:rsid w:val="006D1FAE"/>
    <w:rsid w:val="006D4672"/>
    <w:rsid w:val="006D6576"/>
    <w:rsid w:val="006D6BC1"/>
    <w:rsid w:val="006E0E80"/>
    <w:rsid w:val="006E2BFC"/>
    <w:rsid w:val="006E5C57"/>
    <w:rsid w:val="006F22A5"/>
    <w:rsid w:val="006F282F"/>
    <w:rsid w:val="00702C73"/>
    <w:rsid w:val="00712348"/>
    <w:rsid w:val="00713394"/>
    <w:rsid w:val="00713A2B"/>
    <w:rsid w:val="00724677"/>
    <w:rsid w:val="00725AC2"/>
    <w:rsid w:val="007271C1"/>
    <w:rsid w:val="00732880"/>
    <w:rsid w:val="007416B9"/>
    <w:rsid w:val="007422FD"/>
    <w:rsid w:val="00743E46"/>
    <w:rsid w:val="007479D3"/>
    <w:rsid w:val="00747C45"/>
    <w:rsid w:val="00756FDB"/>
    <w:rsid w:val="007629B6"/>
    <w:rsid w:val="007665BF"/>
    <w:rsid w:val="00770A1B"/>
    <w:rsid w:val="00771B2A"/>
    <w:rsid w:val="0077259B"/>
    <w:rsid w:val="00774488"/>
    <w:rsid w:val="007757CE"/>
    <w:rsid w:val="00775800"/>
    <w:rsid w:val="0079180E"/>
    <w:rsid w:val="007950CC"/>
    <w:rsid w:val="0079538B"/>
    <w:rsid w:val="007955F3"/>
    <w:rsid w:val="007961B8"/>
    <w:rsid w:val="00797624"/>
    <w:rsid w:val="007A3CA4"/>
    <w:rsid w:val="007A4828"/>
    <w:rsid w:val="007A6E21"/>
    <w:rsid w:val="007B093D"/>
    <w:rsid w:val="007B2069"/>
    <w:rsid w:val="007C04A1"/>
    <w:rsid w:val="007C21FA"/>
    <w:rsid w:val="007D13B1"/>
    <w:rsid w:val="007D364A"/>
    <w:rsid w:val="007D4351"/>
    <w:rsid w:val="007D68CA"/>
    <w:rsid w:val="007D6FDD"/>
    <w:rsid w:val="007D7019"/>
    <w:rsid w:val="007D7C84"/>
    <w:rsid w:val="007E18DB"/>
    <w:rsid w:val="007E6F1C"/>
    <w:rsid w:val="007E7E67"/>
    <w:rsid w:val="00804C69"/>
    <w:rsid w:val="008070E1"/>
    <w:rsid w:val="0080711D"/>
    <w:rsid w:val="0080747B"/>
    <w:rsid w:val="008148AC"/>
    <w:rsid w:val="008155CD"/>
    <w:rsid w:val="0082544F"/>
    <w:rsid w:val="0082580D"/>
    <w:rsid w:val="00833325"/>
    <w:rsid w:val="00840A41"/>
    <w:rsid w:val="00842669"/>
    <w:rsid w:val="00842F3C"/>
    <w:rsid w:val="008505D1"/>
    <w:rsid w:val="00855158"/>
    <w:rsid w:val="00857EE8"/>
    <w:rsid w:val="00861525"/>
    <w:rsid w:val="0086464B"/>
    <w:rsid w:val="008647FC"/>
    <w:rsid w:val="00864CA8"/>
    <w:rsid w:val="00865E2D"/>
    <w:rsid w:val="00870E6C"/>
    <w:rsid w:val="0087135C"/>
    <w:rsid w:val="00875846"/>
    <w:rsid w:val="00883C93"/>
    <w:rsid w:val="008840B9"/>
    <w:rsid w:val="00884486"/>
    <w:rsid w:val="008871A9"/>
    <w:rsid w:val="008916BA"/>
    <w:rsid w:val="00892176"/>
    <w:rsid w:val="00896AAE"/>
    <w:rsid w:val="008A1DB7"/>
    <w:rsid w:val="008A403A"/>
    <w:rsid w:val="008A4C13"/>
    <w:rsid w:val="008A7642"/>
    <w:rsid w:val="008B604D"/>
    <w:rsid w:val="008C54A9"/>
    <w:rsid w:val="008D04C2"/>
    <w:rsid w:val="008E67C3"/>
    <w:rsid w:val="008F09B2"/>
    <w:rsid w:val="008F589F"/>
    <w:rsid w:val="008F76A9"/>
    <w:rsid w:val="008F7E67"/>
    <w:rsid w:val="00900688"/>
    <w:rsid w:val="00900DBF"/>
    <w:rsid w:val="009048B9"/>
    <w:rsid w:val="00904E91"/>
    <w:rsid w:val="00906803"/>
    <w:rsid w:val="00915886"/>
    <w:rsid w:val="009214DC"/>
    <w:rsid w:val="00927027"/>
    <w:rsid w:val="0093004E"/>
    <w:rsid w:val="009344BA"/>
    <w:rsid w:val="00946E61"/>
    <w:rsid w:val="00947F78"/>
    <w:rsid w:val="00950727"/>
    <w:rsid w:val="00953234"/>
    <w:rsid w:val="00961EAF"/>
    <w:rsid w:val="0096278F"/>
    <w:rsid w:val="009726E1"/>
    <w:rsid w:val="00972A04"/>
    <w:rsid w:val="00977591"/>
    <w:rsid w:val="00980E75"/>
    <w:rsid w:val="00994BE0"/>
    <w:rsid w:val="009A25B1"/>
    <w:rsid w:val="009A4608"/>
    <w:rsid w:val="009A53C3"/>
    <w:rsid w:val="009A53CA"/>
    <w:rsid w:val="009A6A57"/>
    <w:rsid w:val="009A70BF"/>
    <w:rsid w:val="009A7B8F"/>
    <w:rsid w:val="009B1A15"/>
    <w:rsid w:val="009B66A9"/>
    <w:rsid w:val="009C0852"/>
    <w:rsid w:val="009C13CA"/>
    <w:rsid w:val="009C32C6"/>
    <w:rsid w:val="009C4CBA"/>
    <w:rsid w:val="009C665F"/>
    <w:rsid w:val="009C6A1F"/>
    <w:rsid w:val="009C7513"/>
    <w:rsid w:val="009D2E8B"/>
    <w:rsid w:val="009D3882"/>
    <w:rsid w:val="009D7E38"/>
    <w:rsid w:val="009E03F0"/>
    <w:rsid w:val="009E095B"/>
    <w:rsid w:val="009E1846"/>
    <w:rsid w:val="009E78FF"/>
    <w:rsid w:val="009E7CFF"/>
    <w:rsid w:val="009F7FC1"/>
    <w:rsid w:val="00A01494"/>
    <w:rsid w:val="00A10B01"/>
    <w:rsid w:val="00A22FA9"/>
    <w:rsid w:val="00A23504"/>
    <w:rsid w:val="00A25024"/>
    <w:rsid w:val="00A35F8F"/>
    <w:rsid w:val="00A4072C"/>
    <w:rsid w:val="00A41377"/>
    <w:rsid w:val="00A4263D"/>
    <w:rsid w:val="00A42C55"/>
    <w:rsid w:val="00A509B8"/>
    <w:rsid w:val="00A51E5D"/>
    <w:rsid w:val="00A52AB9"/>
    <w:rsid w:val="00A557F6"/>
    <w:rsid w:val="00A5592D"/>
    <w:rsid w:val="00A6100A"/>
    <w:rsid w:val="00A6210B"/>
    <w:rsid w:val="00A6265B"/>
    <w:rsid w:val="00A64EBF"/>
    <w:rsid w:val="00A66A96"/>
    <w:rsid w:val="00A71200"/>
    <w:rsid w:val="00A72C70"/>
    <w:rsid w:val="00A7323A"/>
    <w:rsid w:val="00A751E3"/>
    <w:rsid w:val="00A7731C"/>
    <w:rsid w:val="00A818A3"/>
    <w:rsid w:val="00A831B4"/>
    <w:rsid w:val="00A97798"/>
    <w:rsid w:val="00AA5213"/>
    <w:rsid w:val="00AA65A6"/>
    <w:rsid w:val="00AB5B15"/>
    <w:rsid w:val="00AC0AA6"/>
    <w:rsid w:val="00AC192C"/>
    <w:rsid w:val="00AC1D8E"/>
    <w:rsid w:val="00AC3095"/>
    <w:rsid w:val="00AC48FA"/>
    <w:rsid w:val="00AD0240"/>
    <w:rsid w:val="00AD4137"/>
    <w:rsid w:val="00AD7A08"/>
    <w:rsid w:val="00AE0DF2"/>
    <w:rsid w:val="00AE57C1"/>
    <w:rsid w:val="00AF2D68"/>
    <w:rsid w:val="00B037BA"/>
    <w:rsid w:val="00B13EE0"/>
    <w:rsid w:val="00B20139"/>
    <w:rsid w:val="00B218DA"/>
    <w:rsid w:val="00B21CEF"/>
    <w:rsid w:val="00B342FA"/>
    <w:rsid w:val="00B41190"/>
    <w:rsid w:val="00B45C06"/>
    <w:rsid w:val="00B50EF9"/>
    <w:rsid w:val="00B53E8B"/>
    <w:rsid w:val="00B61DE4"/>
    <w:rsid w:val="00B774D2"/>
    <w:rsid w:val="00B8015A"/>
    <w:rsid w:val="00B81FFE"/>
    <w:rsid w:val="00B82A57"/>
    <w:rsid w:val="00B8477C"/>
    <w:rsid w:val="00BA053B"/>
    <w:rsid w:val="00BB35AE"/>
    <w:rsid w:val="00BC03A1"/>
    <w:rsid w:val="00BC0D25"/>
    <w:rsid w:val="00BC2EA2"/>
    <w:rsid w:val="00BD2505"/>
    <w:rsid w:val="00BD27E6"/>
    <w:rsid w:val="00BD289E"/>
    <w:rsid w:val="00BE1A04"/>
    <w:rsid w:val="00BE1C18"/>
    <w:rsid w:val="00BE592D"/>
    <w:rsid w:val="00BF52B0"/>
    <w:rsid w:val="00BF5697"/>
    <w:rsid w:val="00C01C4A"/>
    <w:rsid w:val="00C14CCC"/>
    <w:rsid w:val="00C1695E"/>
    <w:rsid w:val="00C20CA6"/>
    <w:rsid w:val="00C22C1C"/>
    <w:rsid w:val="00C23F2F"/>
    <w:rsid w:val="00C262E6"/>
    <w:rsid w:val="00C33F2E"/>
    <w:rsid w:val="00C342F5"/>
    <w:rsid w:val="00C34936"/>
    <w:rsid w:val="00C34C14"/>
    <w:rsid w:val="00C355B9"/>
    <w:rsid w:val="00C37EF1"/>
    <w:rsid w:val="00C401C4"/>
    <w:rsid w:val="00C41680"/>
    <w:rsid w:val="00C42676"/>
    <w:rsid w:val="00C42F3C"/>
    <w:rsid w:val="00C544DD"/>
    <w:rsid w:val="00C60A25"/>
    <w:rsid w:val="00C63A55"/>
    <w:rsid w:val="00C700D8"/>
    <w:rsid w:val="00C7130B"/>
    <w:rsid w:val="00C765C5"/>
    <w:rsid w:val="00C775CE"/>
    <w:rsid w:val="00C82479"/>
    <w:rsid w:val="00C830DA"/>
    <w:rsid w:val="00C86561"/>
    <w:rsid w:val="00C865A7"/>
    <w:rsid w:val="00C867F0"/>
    <w:rsid w:val="00C928B2"/>
    <w:rsid w:val="00C936BE"/>
    <w:rsid w:val="00CA06D8"/>
    <w:rsid w:val="00CA345A"/>
    <w:rsid w:val="00CB49FF"/>
    <w:rsid w:val="00CC02CF"/>
    <w:rsid w:val="00CC0822"/>
    <w:rsid w:val="00CC086A"/>
    <w:rsid w:val="00CC7A80"/>
    <w:rsid w:val="00CD05A3"/>
    <w:rsid w:val="00CD0E24"/>
    <w:rsid w:val="00CD0F66"/>
    <w:rsid w:val="00CD2A95"/>
    <w:rsid w:val="00CD364B"/>
    <w:rsid w:val="00CE163A"/>
    <w:rsid w:val="00CE23B8"/>
    <w:rsid w:val="00CE284E"/>
    <w:rsid w:val="00CE50D7"/>
    <w:rsid w:val="00CE7EE4"/>
    <w:rsid w:val="00CF4CBE"/>
    <w:rsid w:val="00D00344"/>
    <w:rsid w:val="00D0679F"/>
    <w:rsid w:val="00D1754D"/>
    <w:rsid w:val="00D2223F"/>
    <w:rsid w:val="00D22CAD"/>
    <w:rsid w:val="00D25D5C"/>
    <w:rsid w:val="00D274A4"/>
    <w:rsid w:val="00D277AF"/>
    <w:rsid w:val="00D31163"/>
    <w:rsid w:val="00D320B1"/>
    <w:rsid w:val="00D33AFD"/>
    <w:rsid w:val="00D36489"/>
    <w:rsid w:val="00D369E9"/>
    <w:rsid w:val="00D42195"/>
    <w:rsid w:val="00D4578F"/>
    <w:rsid w:val="00D46703"/>
    <w:rsid w:val="00D50704"/>
    <w:rsid w:val="00D5760A"/>
    <w:rsid w:val="00D61410"/>
    <w:rsid w:val="00D6145B"/>
    <w:rsid w:val="00D73058"/>
    <w:rsid w:val="00D8181D"/>
    <w:rsid w:val="00D968D8"/>
    <w:rsid w:val="00D97980"/>
    <w:rsid w:val="00DA563D"/>
    <w:rsid w:val="00DA7277"/>
    <w:rsid w:val="00DB3627"/>
    <w:rsid w:val="00DB4724"/>
    <w:rsid w:val="00DB6944"/>
    <w:rsid w:val="00DC2C6F"/>
    <w:rsid w:val="00DC4746"/>
    <w:rsid w:val="00DE3104"/>
    <w:rsid w:val="00DE7149"/>
    <w:rsid w:val="00DE764A"/>
    <w:rsid w:val="00DF2B08"/>
    <w:rsid w:val="00DF6140"/>
    <w:rsid w:val="00DF7392"/>
    <w:rsid w:val="00E0314C"/>
    <w:rsid w:val="00E1508F"/>
    <w:rsid w:val="00E261DF"/>
    <w:rsid w:val="00E27240"/>
    <w:rsid w:val="00E274CB"/>
    <w:rsid w:val="00E27EDD"/>
    <w:rsid w:val="00E30584"/>
    <w:rsid w:val="00E310B9"/>
    <w:rsid w:val="00E366D1"/>
    <w:rsid w:val="00E37E1B"/>
    <w:rsid w:val="00E41BE0"/>
    <w:rsid w:val="00E4438B"/>
    <w:rsid w:val="00E4739A"/>
    <w:rsid w:val="00E52CE5"/>
    <w:rsid w:val="00E54CBC"/>
    <w:rsid w:val="00E562C0"/>
    <w:rsid w:val="00E57FAF"/>
    <w:rsid w:val="00E626E4"/>
    <w:rsid w:val="00E672D6"/>
    <w:rsid w:val="00E73AA3"/>
    <w:rsid w:val="00E76024"/>
    <w:rsid w:val="00E767B2"/>
    <w:rsid w:val="00E82648"/>
    <w:rsid w:val="00E856A2"/>
    <w:rsid w:val="00E91B8D"/>
    <w:rsid w:val="00E967AD"/>
    <w:rsid w:val="00E96884"/>
    <w:rsid w:val="00EA5435"/>
    <w:rsid w:val="00EA5F47"/>
    <w:rsid w:val="00EB0424"/>
    <w:rsid w:val="00EB455E"/>
    <w:rsid w:val="00EC012E"/>
    <w:rsid w:val="00EC0DFE"/>
    <w:rsid w:val="00EC181D"/>
    <w:rsid w:val="00EC79DE"/>
    <w:rsid w:val="00ED4ACE"/>
    <w:rsid w:val="00EE4D35"/>
    <w:rsid w:val="00EF1A71"/>
    <w:rsid w:val="00EF2DA7"/>
    <w:rsid w:val="00F02424"/>
    <w:rsid w:val="00F1412B"/>
    <w:rsid w:val="00F15BFA"/>
    <w:rsid w:val="00F3022A"/>
    <w:rsid w:val="00F34FAB"/>
    <w:rsid w:val="00F40CD5"/>
    <w:rsid w:val="00F435AA"/>
    <w:rsid w:val="00F43B4E"/>
    <w:rsid w:val="00F50C7E"/>
    <w:rsid w:val="00F5738A"/>
    <w:rsid w:val="00F612D4"/>
    <w:rsid w:val="00F7389E"/>
    <w:rsid w:val="00F754C0"/>
    <w:rsid w:val="00F77F1D"/>
    <w:rsid w:val="00F8230A"/>
    <w:rsid w:val="00F82A46"/>
    <w:rsid w:val="00F87AE7"/>
    <w:rsid w:val="00F87CCB"/>
    <w:rsid w:val="00FA1514"/>
    <w:rsid w:val="00FA48C7"/>
    <w:rsid w:val="00FB1C2D"/>
    <w:rsid w:val="00FB51FB"/>
    <w:rsid w:val="00FB6A68"/>
    <w:rsid w:val="00FB73C1"/>
    <w:rsid w:val="00FD6B50"/>
    <w:rsid w:val="00FE33F0"/>
    <w:rsid w:val="00FE4397"/>
    <w:rsid w:val="00FE65FF"/>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ed List Level 1"/>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aliases w:val="t"/>
    <w:basedOn w:val="Normal"/>
    <w:link w:val="CommentTextChar"/>
    <w:uiPriority w:val="99"/>
    <w:unhideWhenUsed/>
    <w:rsid w:val="002376F8"/>
    <w:pPr>
      <w:spacing w:line="240" w:lineRule="auto"/>
    </w:pPr>
    <w:rPr>
      <w:sz w:val="20"/>
      <w:szCs w:val="20"/>
    </w:rPr>
  </w:style>
  <w:style w:type="character" w:customStyle="1" w:styleId="CommentTextChar">
    <w:name w:val="Comment Text Char"/>
    <w:aliases w:val="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aliases w:val="Bulleted List Level 1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styleId="Caption">
    <w:name w:val="caption"/>
    <w:basedOn w:val="Normal"/>
    <w:next w:val="Normal"/>
    <w:qFormat/>
    <w:rsid w:val="00304F04"/>
    <w:pPr>
      <w:spacing w:after="0" w:line="240" w:lineRule="auto"/>
    </w:pPr>
    <w:rPr>
      <w:rFonts w:ascii="Arial" w:eastAsia="Times New Roman" w:hAnsi="Arial" w:cs="Arial"/>
      <w:b/>
      <w:bCs/>
      <w:sz w:val="24"/>
      <w:szCs w:val="24"/>
    </w:rPr>
  </w:style>
  <w:style w:type="character" w:customStyle="1" w:styleId="UnresolvedMention1">
    <w:name w:val="Unresolved Mention1"/>
    <w:basedOn w:val="DefaultParagraphFont"/>
    <w:uiPriority w:val="99"/>
    <w:semiHidden/>
    <w:unhideWhenUsed/>
    <w:rsid w:val="00AD7A08"/>
    <w:rPr>
      <w:color w:val="808080"/>
      <w:shd w:val="clear" w:color="auto" w:fill="E6E6E6"/>
    </w:rPr>
  </w:style>
  <w:style w:type="paragraph" w:customStyle="1" w:styleId="NormalSS">
    <w:name w:val="NormalSS"/>
    <w:basedOn w:val="Normal"/>
    <w:link w:val="NormalSSChar"/>
    <w:qFormat/>
    <w:rsid w:val="00CD2A95"/>
    <w:pPr>
      <w:spacing w:after="240" w:line="240" w:lineRule="auto"/>
      <w:ind w:firstLine="432"/>
    </w:pPr>
    <w:rPr>
      <w:rFonts w:ascii="Times New Roman" w:eastAsia="Times New Roman" w:hAnsi="Times New Roman" w:cs="Times New Roman"/>
      <w:sz w:val="24"/>
      <w:szCs w:val="20"/>
    </w:rPr>
  </w:style>
  <w:style w:type="character" w:customStyle="1" w:styleId="NormalSSChar">
    <w:name w:val="NormalSS Char"/>
    <w:basedOn w:val="DefaultParagraphFont"/>
    <w:link w:val="NormalSS"/>
    <w:locked/>
    <w:rsid w:val="00CD2A95"/>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615911661">
      <w:bodyDiv w:val="1"/>
      <w:marLeft w:val="0"/>
      <w:marRight w:val="0"/>
      <w:marTop w:val="0"/>
      <w:marBottom w:val="0"/>
      <w:divBdr>
        <w:top w:val="none" w:sz="0" w:space="0" w:color="auto"/>
        <w:left w:val="none" w:sz="0" w:space="0" w:color="auto"/>
        <w:bottom w:val="none" w:sz="0" w:space="0" w:color="auto"/>
        <w:right w:val="none" w:sz="0" w:space="0" w:color="auto"/>
      </w:divBdr>
    </w:div>
    <w:div w:id="635068003">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541550739">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 w:id="1939482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Yu Mincho">
    <w:charset w:val="80"/>
    <w:family w:val="roman"/>
    <w:pitch w:val="variable"/>
    <w:sig w:usb0="800002E7" w:usb1="2AC7FCFF" w:usb2="00000012" w:usb3="00000000" w:csb0="0002009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022693"/>
    <w:rsid w:val="00032CA7"/>
    <w:rsid w:val="00037F98"/>
    <w:rsid w:val="000A56C7"/>
    <w:rsid w:val="0010560B"/>
    <w:rsid w:val="00127222"/>
    <w:rsid w:val="001736D7"/>
    <w:rsid w:val="00185553"/>
    <w:rsid w:val="00190AF4"/>
    <w:rsid w:val="0020774A"/>
    <w:rsid w:val="00223FA3"/>
    <w:rsid w:val="0025210A"/>
    <w:rsid w:val="002A288F"/>
    <w:rsid w:val="002C65A7"/>
    <w:rsid w:val="002F052A"/>
    <w:rsid w:val="00350176"/>
    <w:rsid w:val="003840F0"/>
    <w:rsid w:val="00437537"/>
    <w:rsid w:val="004D785E"/>
    <w:rsid w:val="00513FC9"/>
    <w:rsid w:val="00533D73"/>
    <w:rsid w:val="0053654E"/>
    <w:rsid w:val="00610196"/>
    <w:rsid w:val="00632A7E"/>
    <w:rsid w:val="00632AB6"/>
    <w:rsid w:val="00730B33"/>
    <w:rsid w:val="00772B2A"/>
    <w:rsid w:val="007C672A"/>
    <w:rsid w:val="007D4368"/>
    <w:rsid w:val="00822666"/>
    <w:rsid w:val="00823ECC"/>
    <w:rsid w:val="00826796"/>
    <w:rsid w:val="00863BCE"/>
    <w:rsid w:val="00866C97"/>
    <w:rsid w:val="008935E5"/>
    <w:rsid w:val="009017AE"/>
    <w:rsid w:val="00915553"/>
    <w:rsid w:val="00930C8C"/>
    <w:rsid w:val="009578C1"/>
    <w:rsid w:val="009916A1"/>
    <w:rsid w:val="009C542D"/>
    <w:rsid w:val="00A01A18"/>
    <w:rsid w:val="00A95183"/>
    <w:rsid w:val="00AB4AF7"/>
    <w:rsid w:val="00AD7C4F"/>
    <w:rsid w:val="00AF44BC"/>
    <w:rsid w:val="00B445F5"/>
    <w:rsid w:val="00BD40CB"/>
    <w:rsid w:val="00C362A2"/>
    <w:rsid w:val="00C90121"/>
    <w:rsid w:val="00C96E73"/>
    <w:rsid w:val="00CA1FE8"/>
    <w:rsid w:val="00CA344F"/>
    <w:rsid w:val="00CA660C"/>
    <w:rsid w:val="00D1252B"/>
    <w:rsid w:val="00D1676E"/>
    <w:rsid w:val="00D47AE8"/>
    <w:rsid w:val="00DC0246"/>
    <w:rsid w:val="00DE66F5"/>
    <w:rsid w:val="00E45EFD"/>
    <w:rsid w:val="00E6518A"/>
    <w:rsid w:val="00E90470"/>
    <w:rsid w:val="00F22195"/>
    <w:rsid w:val="00F540AB"/>
    <w:rsid w:val="00F915BA"/>
    <w:rsid w:val="00FE6788"/>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FEBF882BC8624788382D97AE25826D" ma:contentTypeVersion="6" ma:contentTypeDescription="Create a new document." ma:contentTypeScope="" ma:versionID="0470c51e2f9a57dbecb718c684d0e3a5">
  <xsd:schema xmlns:xsd="http://www.w3.org/2001/XMLSchema" xmlns:xs="http://www.w3.org/2001/XMLSchema" xmlns:p="http://schemas.microsoft.com/office/2006/metadata/properties" xmlns:ns2="6fa9b19c-491d-46f8-b26f-37ea675d2041" xmlns:ns3="d4d02dbe-c0a8-4490-b3b1-185567f8410f" targetNamespace="http://schemas.microsoft.com/office/2006/metadata/properties" ma:root="true" ma:fieldsID="ea6879d336e9f0d70de60b0d89873b82" ns2:_="" ns3:_="">
    <xsd:import namespace="6fa9b19c-491d-46f8-b26f-37ea675d2041"/>
    <xsd:import namespace="d4d02dbe-c0a8-4490-b3b1-185567f8410f"/>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a9b19c-491d-46f8-b26f-37ea675d20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4d02dbe-c0a8-4490-b3b1-185567f8410f"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947B9-ADA7-417D-A518-71BEFB6B4F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a9b19c-491d-46f8-b26f-37ea675d2041"/>
    <ds:schemaRef ds:uri="d4d02dbe-c0a8-4490-b3b1-185567f841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3.xml><?xml version="1.0" encoding="utf-8"?>
<ds:datastoreItem xmlns:ds="http://schemas.openxmlformats.org/officeDocument/2006/customXml" ds:itemID="{D700C901-3C40-4C03-AF30-8401D54B355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910A8B1-4CEC-4CD8-918A-ADA0A1E0F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20</Pages>
  <Words>8594</Words>
  <Characters>48988</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57468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Lyndsey Nguyen</cp:lastModifiedBy>
  <cp:revision>6</cp:revision>
  <dcterms:created xsi:type="dcterms:W3CDTF">2018-04-02T15:47:00Z</dcterms:created>
  <dcterms:modified xsi:type="dcterms:W3CDTF">2018-04-02T16:08:00Z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0x01010012FEBF882BC8624788382D97AE25826D</vt:lpwstr>
  </property>
  <property fmtid="{D5CDD505-2E9C-101B-9397-08002B2CF9AE}" pid="3" name="_NewReviewCycle">
    <vt:lpwstr/>
  </property>
  <property fmtid="{D5CDD505-2E9C-101B-9397-08002B2CF9AE}" pid="4" name="_AdHocReviewCycleID">
    <vt:i4>1866535647</vt:i4>
  </property>
  <property fmtid="{D5CDD505-2E9C-101B-9397-08002B2CF9AE}" pid="5" name="_EmailSubject">
    <vt:lpwstr>NQF materials for #1879 and #1880 - REVIEWED BY CMS</vt:lpwstr>
  </property>
  <property fmtid="{D5CDD505-2E9C-101B-9397-08002B2CF9AE}" pid="6" name="_AuthorEmail">
    <vt:lpwstr>Elizabeth.Ricksecker@cms.hhs.gov</vt:lpwstr>
  </property>
  <property fmtid="{D5CDD505-2E9C-101B-9397-08002B2CF9AE}" pid="7" name="_AuthorEmailDisplayName">
    <vt:lpwstr>Ricksecker, Elizabeth G. (CMS/FCHCO)</vt:lpwstr>
  </property>
  <property fmtid="{D5CDD505-2E9C-101B-9397-08002B2CF9AE}" pid="8" name="_ReviewingToolsShownOnce">
    <vt:lpwstr/>
  </property>
</Properties>
</file>