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1CEB58C"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D6D92">
            <w:rPr>
              <w:rStyle w:val="Style1"/>
            </w:rPr>
            <w:t>1879</w:t>
          </w:r>
        </w:sdtContent>
      </w:sdt>
    </w:p>
    <w:p w14:paraId="55B8DA2F" w14:textId="3F295D5F"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D6D92">
            <w:rPr>
              <w:rStyle w:val="Style1"/>
            </w:rPr>
            <w:t>Adherence to Antipsychotic</w:t>
          </w:r>
          <w:r w:rsidR="00E05199">
            <w:rPr>
              <w:rStyle w:val="Style1"/>
            </w:rPr>
            <w:t xml:space="preserve"> </w:t>
          </w:r>
          <w:r w:rsidR="00B55640">
            <w:rPr>
              <w:rStyle w:val="Style1"/>
            </w:rPr>
            <w:t>Medications</w:t>
          </w:r>
          <w:r w:rsidR="002D6D92">
            <w:rPr>
              <w:rStyle w:val="Style1"/>
            </w:rPr>
            <w:t xml:space="preserve"> for Individuals with Schizophrenia</w:t>
          </w:r>
        </w:sdtContent>
      </w:sdt>
    </w:p>
    <w:p w14:paraId="55B8DA30" w14:textId="31616391"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62F67721" w:rsidR="00496AF8" w:rsidRPr="003B1CC5" w:rsidRDefault="00496AF8" w:rsidP="002E2177">
      <w:pPr>
        <w:ind w:left="0" w:firstLine="0"/>
        <w:rPr>
          <w:rStyle w:val="Style2"/>
        </w:rPr>
      </w:pPr>
      <w:r w:rsidRPr="003B1CC5">
        <w:rPr>
          <w:b/>
          <w:noProof/>
        </w:rPr>
        <w:t xml:space="preserve">Date of </w:t>
      </w:r>
      <w:r w:rsidRPr="00102C02">
        <w:rPr>
          <w:b/>
          <w:noProof/>
        </w:rPr>
        <w:t>Submission</w:t>
      </w:r>
      <w:r w:rsidRPr="00102C02">
        <w:rPr>
          <w:noProof/>
        </w:rPr>
        <w:t xml:space="preserve">: </w:t>
      </w:r>
      <w:sdt>
        <w:sdtPr>
          <w:rPr>
            <w:rStyle w:val="Style2"/>
          </w:rPr>
          <w:id w:val="-1689821638"/>
          <w:placeholder>
            <w:docPart w:val="6A100845774148B09AFD987423307E3B"/>
          </w:placeholder>
          <w:date w:fullDate="2018-04-02T00:00:00Z">
            <w:dateFormat w:val="M/d/yyyy"/>
            <w:lid w:val="en-US"/>
            <w:storeMappedDataAs w:val="dateTime"/>
            <w:calendar w:val="gregorian"/>
          </w:date>
        </w:sdtPr>
        <w:sdtEndPr>
          <w:rPr>
            <w:rStyle w:val="DefaultParagraphFont"/>
            <w:noProof/>
            <w:color w:val="auto"/>
            <w:u w:val="none"/>
          </w:rPr>
        </w:sdtEndPr>
        <w:sdtContent>
          <w:r w:rsidR="009618A2">
            <w:rPr>
              <w:rStyle w:val="Style2"/>
            </w:rPr>
            <w:t>4/2/2018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09718B9E"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00835EFB">
              <w:t xml:space="preserve"> must be in this form. </w:t>
            </w:r>
            <w:r w:rsidRPr="003B1CC5">
              <w:t xml:space="preserve">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443C9AF5"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Empirical data demonstrate a relationship between the outcome and at least one healthcare structure, process, inter</w:t>
            </w:r>
            <w:r w:rsidR="00835EFB">
              <w:rPr>
                <w:rFonts w:eastAsia="Calibri" w:cs="Calibri"/>
                <w:sz w:val="20"/>
                <w:szCs w:val="20"/>
              </w:rPr>
              <w:t>vention, or service.</w:t>
            </w:r>
            <w:r w:rsidRPr="00B35C5F">
              <w:rPr>
                <w:rFonts w:eastAsia="Calibri" w:cs="Calibri"/>
                <w:sz w:val="20"/>
                <w:szCs w:val="20"/>
              </w:rPr>
              <w:t xml:space="preserv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1D701646"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w:t>
            </w:r>
            <w:r w:rsidR="00835EFB">
              <w:rPr>
                <w:rFonts w:eastAsia="Calibri" w:cs="Calibri"/>
                <w:sz w:val="20"/>
                <w:szCs w:val="20"/>
              </w:rPr>
              <w:t xml:space="preserve">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31A0FB6E" w:rsidR="00496AF8" w:rsidRPr="003B1CC5" w:rsidRDefault="0037136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44E501DC" w:rsidR="00236F87" w:rsidRPr="003B1CC5" w:rsidRDefault="0037136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43173EEC" w:rsidR="00496AF8" w:rsidRPr="003B1CC5" w:rsidRDefault="0037136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593241E3" w:rsidR="00D73685" w:rsidRDefault="0037136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D6B56">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39CCE99B"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2AF10F91" w:rsidR="00496AF8" w:rsidRPr="003B1CC5" w:rsidRDefault="0037136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02FE269E" w:rsidR="00496AF8" w:rsidRPr="003B1CC5" w:rsidRDefault="0037136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7841CB9"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624EABB6" w14:textId="77777777" w:rsidR="003A6235" w:rsidRPr="00676BD4" w:rsidRDefault="003A6235" w:rsidP="002B06BD">
      <w:pPr>
        <w:ind w:left="432" w:hanging="432"/>
        <w:rPr>
          <w:iCs/>
        </w:rPr>
      </w:pPr>
    </w:p>
    <w:p w14:paraId="55B8DA5B" w14:textId="0A0747C2" w:rsidR="002B06BD" w:rsidRPr="003B1CC5" w:rsidRDefault="00C70596" w:rsidP="002E2177">
      <w:pPr>
        <w:ind w:left="432" w:hanging="432"/>
        <w:rPr>
          <w:color w:val="0000FF"/>
        </w:rPr>
      </w:pPr>
      <w:bookmarkStart w:id="5" w:name="_GoBack"/>
      <w:r>
        <w:rPr>
          <w:noProof/>
          <w:color w:val="0000FF"/>
        </w:rPr>
        <w:drawing>
          <wp:inline distT="0" distB="0" distL="0" distR="0" wp14:anchorId="5458820B" wp14:editId="76CC1F8E">
            <wp:extent cx="5859780" cy="2076450"/>
            <wp:effectExtent l="0" t="38100" r="45720" b="571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bookmarkEnd w:id="5"/>
    </w:p>
    <w:p w14:paraId="55B8DA5C" w14:textId="47993695" w:rsidR="00676BD4" w:rsidRDefault="00676BD4" w:rsidP="002E2177">
      <w:pPr>
        <w:ind w:left="432" w:hanging="432"/>
        <w:rPr>
          <w:b/>
          <w:color w:val="0000FF"/>
        </w:rPr>
      </w:pPr>
    </w:p>
    <w:p w14:paraId="33C7741B" w14:textId="5735E2FA"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662DC52F" w14:textId="1C716A53" w:rsidR="00BE2774" w:rsidRPr="00133D61" w:rsidRDefault="00BE2774" w:rsidP="004922E4">
      <w:pPr>
        <w:ind w:right="140"/>
        <w:rPr>
          <w:iCs/>
          <w:color w:val="FF0000"/>
        </w:rPr>
      </w:pPr>
      <w:r w:rsidRPr="00133D61">
        <w:rPr>
          <w:bCs/>
          <w:color w:val="FF0000"/>
        </w:rPr>
        <w:t xml:space="preserve">Not </w:t>
      </w:r>
      <w:r w:rsidR="0055063A">
        <w:rPr>
          <w:bCs/>
          <w:color w:val="FF0000"/>
        </w:rPr>
        <w:t>A</w:t>
      </w:r>
      <w:r w:rsidRPr="00133D61">
        <w:rPr>
          <w:bCs/>
          <w:color w:val="FF0000"/>
        </w:rPr>
        <w:t>pplicable. This is not a patient-reported measure.</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219D3357"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w:t>
      </w:r>
      <w:r w:rsidR="00AB4ECE" w:rsidRPr="00605A9A">
        <w:rPr>
          <w:b/>
          <w:iCs/>
          <w:highlight w:val="yellow"/>
        </w:rPr>
        <w:t xml:space="preserve">If you wish to include more than one systematic review, add </w:t>
      </w:r>
      <w:r w:rsidR="000F4A7F" w:rsidRPr="00605A9A">
        <w:rPr>
          <w:b/>
          <w:iCs/>
          <w:highlight w:val="yellow"/>
        </w:rPr>
        <w:t>additional tables.</w:t>
      </w:r>
      <w:r w:rsidR="00AB4ECE">
        <w:rPr>
          <w:b/>
          <w:iCs/>
        </w:rPr>
        <w:t xml:space="preserve"> </w:t>
      </w:r>
    </w:p>
    <w:p w14:paraId="55B8DA67" w14:textId="77777777" w:rsidR="00496AF8" w:rsidRDefault="00496AF8" w:rsidP="002E2177">
      <w:pPr>
        <w:ind w:left="0" w:firstLine="0"/>
        <w:rPr>
          <w:i/>
          <w:iCs/>
        </w:rPr>
      </w:pPr>
    </w:p>
    <w:p w14:paraId="55B8DA68" w14:textId="2C5E7042"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A3BB81B" w:rsidR="00A9011D" w:rsidRPr="00A9011D" w:rsidRDefault="00E57B47"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Clinical Practice Guideline recommendation</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22AD394" w:rsidR="00A9011D" w:rsidRPr="000F4A7F" w:rsidRDefault="00C837B5" w:rsidP="002E2177">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 xml:space="preserve">X </w:t>
      </w:r>
      <w:r w:rsidR="00A9011D" w:rsidRPr="00A9011D">
        <w:rPr>
          <w:rFonts w:ascii="Calibri" w:eastAsia="Calibri" w:hAnsi="Calibri" w:cs="Times New Roman"/>
        </w:rPr>
        <w:t xml:space="preserve">Other </w:t>
      </w:r>
      <w:r w:rsidR="00605A9A">
        <w:rPr>
          <w:rFonts w:ascii="Calibri" w:eastAsia="Calibri" w:hAnsi="Calibri" w:cs="Times New Roman"/>
        </w:rPr>
        <w:t xml:space="preserve">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3505"/>
        <w:gridCol w:w="5825"/>
      </w:tblGrid>
      <w:tr w:rsidR="00AB4ECE" w14:paraId="55B8DA76" w14:textId="77777777" w:rsidTr="00120908">
        <w:tc>
          <w:tcPr>
            <w:tcW w:w="350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825" w:type="dxa"/>
          </w:tcPr>
          <w:p w14:paraId="1730E243" w14:textId="0F6732E7" w:rsidR="00AD5313" w:rsidRPr="00AF4B69" w:rsidRDefault="00C82374" w:rsidP="002E2177">
            <w:pPr>
              <w:ind w:left="0" w:firstLine="0"/>
              <w:rPr>
                <w:color w:val="FF0000"/>
              </w:rPr>
            </w:pPr>
            <w:r w:rsidRPr="00F4038F">
              <w:rPr>
                <w:color w:val="FF0000"/>
              </w:rPr>
              <w:t>National Institute for</w:t>
            </w:r>
            <w:r>
              <w:rPr>
                <w:color w:val="FF0000"/>
              </w:rPr>
              <w:t xml:space="preserve"> Clinical Excellence- </w:t>
            </w:r>
            <w:r w:rsidR="00AD5313" w:rsidRPr="00AF4B69">
              <w:rPr>
                <w:color w:val="FF0000"/>
              </w:rPr>
              <w:t>Psychosis and Schizophrenia in Adults: The NICE Guideline on Treatment and Management</w:t>
            </w:r>
          </w:p>
          <w:p w14:paraId="36584844" w14:textId="77777777" w:rsidR="00AD5313" w:rsidRPr="00AF4B69" w:rsidRDefault="00AD5313" w:rsidP="002E2177">
            <w:pPr>
              <w:ind w:left="0" w:firstLine="0"/>
              <w:rPr>
                <w:color w:val="FF0000"/>
              </w:rPr>
            </w:pPr>
          </w:p>
          <w:p w14:paraId="48EC8269" w14:textId="6606DE97" w:rsidR="00AD5313" w:rsidRPr="00AF4B69" w:rsidRDefault="00AD5313" w:rsidP="002E2177">
            <w:pPr>
              <w:ind w:left="0" w:firstLine="0"/>
              <w:rPr>
                <w:color w:val="FF0000"/>
              </w:rPr>
            </w:pPr>
            <w:r w:rsidRPr="00AF4B69">
              <w:rPr>
                <w:color w:val="FF0000"/>
              </w:rPr>
              <w:t>National Collaborating Centre for Mental Health</w:t>
            </w:r>
          </w:p>
          <w:p w14:paraId="309643B0" w14:textId="525D4D3B" w:rsidR="00AD5313" w:rsidRPr="00AF4B69" w:rsidRDefault="00AD5313" w:rsidP="002E2177">
            <w:pPr>
              <w:ind w:left="0" w:firstLine="0"/>
              <w:rPr>
                <w:color w:val="FF0000"/>
              </w:rPr>
            </w:pPr>
            <w:r w:rsidRPr="00AF4B69">
              <w:rPr>
                <w:color w:val="FF0000"/>
              </w:rPr>
              <w:t>2014</w:t>
            </w:r>
          </w:p>
          <w:p w14:paraId="7DD62EAC" w14:textId="77777777" w:rsidR="00AD5313" w:rsidRPr="00AF4B69" w:rsidRDefault="00AD5313" w:rsidP="002E2177">
            <w:pPr>
              <w:ind w:left="0" w:firstLine="0"/>
              <w:rPr>
                <w:color w:val="FF0000"/>
              </w:rPr>
            </w:pPr>
          </w:p>
          <w:p w14:paraId="55B8DA75" w14:textId="7B9FA2B1" w:rsidR="00AB4ECE" w:rsidRPr="00AF4B69" w:rsidRDefault="00AD5313" w:rsidP="002E2177">
            <w:pPr>
              <w:ind w:left="0" w:firstLine="0"/>
              <w:rPr>
                <w:b/>
                <w:color w:val="FF0000"/>
              </w:rPr>
            </w:pPr>
            <w:r w:rsidRPr="00AF4B69">
              <w:rPr>
                <w:color w:val="FF0000"/>
              </w:rPr>
              <w:t xml:space="preserve">The National Institute for Clinical Excellence and the National Collaborating Centre for Mental health. Psychosis and Schizophrenia in Adults: Prevention and Management. </w:t>
            </w:r>
            <w:r w:rsidR="003E48F2" w:rsidRPr="00AF4B69">
              <w:rPr>
                <w:color w:val="FF0000"/>
              </w:rPr>
              <w:t xml:space="preserve">Pages 301-379. </w:t>
            </w:r>
            <w:r w:rsidRPr="00AF4B69">
              <w:rPr>
                <w:color w:val="FF0000"/>
              </w:rPr>
              <w:t>Retrieved from https://www.nice.org.uk/guidance/cg178/evidence/full-guideline-pdf-490503565</w:t>
            </w:r>
          </w:p>
        </w:tc>
      </w:tr>
      <w:tr w:rsidR="00AB4ECE" w14:paraId="55B8DA79" w14:textId="77777777" w:rsidTr="00120908">
        <w:tc>
          <w:tcPr>
            <w:tcW w:w="350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825" w:type="dxa"/>
          </w:tcPr>
          <w:p w14:paraId="3CE002FE" w14:textId="77777777" w:rsidR="00AD1AE4" w:rsidRPr="00AF4B69" w:rsidRDefault="003E48F2" w:rsidP="002E2177">
            <w:pPr>
              <w:ind w:left="0" w:firstLine="0"/>
              <w:rPr>
                <w:color w:val="FF0000"/>
              </w:rPr>
            </w:pPr>
            <w:r w:rsidRPr="00AF4B69">
              <w:rPr>
                <w:color w:val="FF0000"/>
              </w:rPr>
              <w:t xml:space="preserve">For people with first episode psychosis offer: </w:t>
            </w:r>
          </w:p>
          <w:p w14:paraId="762ED90B" w14:textId="313F32EB" w:rsidR="00AD1AE4" w:rsidRPr="002D6D92" w:rsidRDefault="003E48F2" w:rsidP="00835EFB">
            <w:pPr>
              <w:pStyle w:val="ListParagraph"/>
              <w:numPr>
                <w:ilvl w:val="0"/>
                <w:numId w:val="12"/>
              </w:numPr>
              <w:spacing w:after="0"/>
              <w:rPr>
                <w:color w:val="FF0000"/>
              </w:rPr>
            </w:pPr>
            <w:r w:rsidRPr="002D6D92">
              <w:rPr>
                <w:color w:val="FF0000"/>
              </w:rPr>
              <w:t xml:space="preserve">oral antipsychotic medication in conjunction with psychological interventions (family intervention and individual </w:t>
            </w:r>
            <w:r w:rsidR="00304788">
              <w:rPr>
                <w:color w:val="FF0000"/>
              </w:rPr>
              <w:t>cognitive behavioral therapy</w:t>
            </w:r>
            <w:r w:rsidR="00BE2774">
              <w:rPr>
                <w:color w:val="FF0000"/>
              </w:rPr>
              <w:t>)</w:t>
            </w:r>
            <w:r w:rsidRPr="002D6D92">
              <w:rPr>
                <w:color w:val="FF0000"/>
              </w:rPr>
              <w:t xml:space="preserve">. </w:t>
            </w:r>
          </w:p>
          <w:p w14:paraId="4CE71EAD" w14:textId="77777777" w:rsidR="00AD1AE4" w:rsidRPr="00AF4B69" w:rsidRDefault="00AD1AE4" w:rsidP="002E2177">
            <w:pPr>
              <w:ind w:left="0" w:firstLine="0"/>
              <w:rPr>
                <w:color w:val="FF0000"/>
              </w:rPr>
            </w:pPr>
          </w:p>
          <w:p w14:paraId="46B567FA" w14:textId="77777777" w:rsidR="00AD1AE4" w:rsidRPr="00AF4B69" w:rsidRDefault="00AD1AE4" w:rsidP="002E2177">
            <w:pPr>
              <w:ind w:left="0" w:firstLine="0"/>
              <w:rPr>
                <w:color w:val="FF0000"/>
              </w:rPr>
            </w:pPr>
            <w:r w:rsidRPr="00AF4B69">
              <w:rPr>
                <w:color w:val="FF0000"/>
              </w:rPr>
              <w:t xml:space="preserve">For people with an acute exacerbation or recurrence of psychosis or schizophrenia, offer: </w:t>
            </w:r>
          </w:p>
          <w:p w14:paraId="4DE7B610" w14:textId="795299D6" w:rsidR="00AB4ECE" w:rsidRPr="002D6D92" w:rsidRDefault="00AD1AE4" w:rsidP="00835EFB">
            <w:pPr>
              <w:pStyle w:val="ListParagraph"/>
              <w:numPr>
                <w:ilvl w:val="0"/>
                <w:numId w:val="14"/>
              </w:numPr>
              <w:spacing w:after="0"/>
              <w:rPr>
                <w:color w:val="FF0000"/>
              </w:rPr>
            </w:pPr>
            <w:r w:rsidRPr="002D6D92">
              <w:rPr>
                <w:color w:val="FF0000"/>
              </w:rPr>
              <w:t xml:space="preserve">oral antipsychotic medication in conjunction with psychological interventions (family intervention and individual </w:t>
            </w:r>
            <w:r w:rsidR="00304788">
              <w:rPr>
                <w:color w:val="FF0000"/>
              </w:rPr>
              <w:t>cognitive behavioral therapy</w:t>
            </w:r>
            <w:r w:rsidR="00BE2774">
              <w:rPr>
                <w:color w:val="FF0000"/>
              </w:rPr>
              <w:t>)</w:t>
            </w:r>
            <w:r w:rsidRPr="002D6D92">
              <w:rPr>
                <w:color w:val="FF0000"/>
              </w:rPr>
              <w:t xml:space="preserve">. </w:t>
            </w:r>
          </w:p>
          <w:p w14:paraId="77F94399" w14:textId="77777777" w:rsidR="002F4289" w:rsidRDefault="002F4289" w:rsidP="002E2177">
            <w:pPr>
              <w:ind w:left="0" w:firstLine="0"/>
              <w:rPr>
                <w:color w:val="FF0000"/>
              </w:rPr>
            </w:pPr>
          </w:p>
          <w:p w14:paraId="3DE72E63" w14:textId="77777777" w:rsidR="0082642A" w:rsidRPr="0082642A" w:rsidRDefault="002F4289" w:rsidP="002E2177">
            <w:pPr>
              <w:ind w:left="0" w:firstLine="0"/>
              <w:rPr>
                <w:color w:val="FF0000"/>
              </w:rPr>
            </w:pPr>
            <w:r w:rsidRPr="0082642A">
              <w:rPr>
                <w:color w:val="FF0000"/>
              </w:rPr>
              <w:t xml:space="preserve">Consider offering depot /long-acting injectable antipsychotic medication to people with psychosis or schizophrenia: </w:t>
            </w:r>
          </w:p>
          <w:p w14:paraId="0EAE507F" w14:textId="2409F2BA" w:rsidR="0082642A" w:rsidRPr="002D6D92" w:rsidRDefault="002F4289" w:rsidP="002D6D92">
            <w:pPr>
              <w:pStyle w:val="ListParagraph"/>
              <w:numPr>
                <w:ilvl w:val="0"/>
                <w:numId w:val="14"/>
              </w:numPr>
              <w:rPr>
                <w:color w:val="FF0000"/>
              </w:rPr>
            </w:pPr>
            <w:r w:rsidRPr="002D6D92">
              <w:rPr>
                <w:color w:val="FF0000"/>
              </w:rPr>
              <w:t xml:space="preserve">who would prefer such treatment after an acute </w:t>
            </w:r>
            <w:proofErr w:type="gramStart"/>
            <w:r w:rsidRPr="002D6D92">
              <w:rPr>
                <w:color w:val="FF0000"/>
              </w:rPr>
              <w:t>episode</w:t>
            </w:r>
            <w:r w:rsidR="009E6F9C">
              <w:rPr>
                <w:color w:val="FF0000"/>
              </w:rPr>
              <w:t>.</w:t>
            </w:r>
            <w:proofErr w:type="gramEnd"/>
            <w:r w:rsidRPr="002D6D92">
              <w:rPr>
                <w:color w:val="FF0000"/>
              </w:rPr>
              <w:t xml:space="preserve"> </w:t>
            </w:r>
          </w:p>
          <w:p w14:paraId="55B8DA78" w14:textId="3905FF11" w:rsidR="002F4289" w:rsidRPr="002D6D92" w:rsidRDefault="002F4289" w:rsidP="002D6D92">
            <w:pPr>
              <w:pStyle w:val="ListParagraph"/>
              <w:numPr>
                <w:ilvl w:val="0"/>
                <w:numId w:val="15"/>
              </w:numPr>
              <w:rPr>
                <w:color w:val="FF0000"/>
              </w:rPr>
            </w:pPr>
            <w:r w:rsidRPr="002D6D92">
              <w:rPr>
                <w:color w:val="FF0000"/>
              </w:rPr>
              <w:t xml:space="preserve">where avoiding covert non-adherence (either intentional or unintentional) to antipsychotic medication is a clinical priority within the treatment plan. </w:t>
            </w:r>
          </w:p>
        </w:tc>
      </w:tr>
      <w:tr w:rsidR="00AB4ECE" w14:paraId="55B8DA7C" w14:textId="77777777" w:rsidTr="00120908">
        <w:tc>
          <w:tcPr>
            <w:tcW w:w="350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825" w:type="dxa"/>
          </w:tcPr>
          <w:p w14:paraId="55B8DA7B" w14:textId="51DC20CE" w:rsidR="00AB4ECE" w:rsidRDefault="00BF2A9F" w:rsidP="002E2177">
            <w:pPr>
              <w:ind w:left="0" w:firstLine="0"/>
            </w:pPr>
            <w:r w:rsidRPr="00BF2A9F">
              <w:rPr>
                <w:color w:val="FF0000"/>
              </w:rPr>
              <w:t>The guideline developers used the GRADE system but did not provide independent grades for each recommendation’s evidence. The recommendations rely on randomized control trials and meta-analyses, suggesting a high level of quality.</w:t>
            </w:r>
          </w:p>
        </w:tc>
      </w:tr>
      <w:tr w:rsidR="00AB4ECE" w14:paraId="55B8DA7F" w14:textId="77777777" w:rsidTr="00120908">
        <w:tc>
          <w:tcPr>
            <w:tcW w:w="3505" w:type="dxa"/>
          </w:tcPr>
          <w:p w14:paraId="55B8DA7D" w14:textId="77777777" w:rsidR="00AB4ECE" w:rsidRDefault="00AB4ECE" w:rsidP="00E42FAA">
            <w:pPr>
              <w:ind w:left="0" w:firstLine="0"/>
            </w:pPr>
            <w:r>
              <w:t>Provide all other grades and definitions from the evidence grading system</w:t>
            </w:r>
          </w:p>
        </w:tc>
        <w:tc>
          <w:tcPr>
            <w:tcW w:w="5825" w:type="dxa"/>
          </w:tcPr>
          <w:p w14:paraId="333C86F1" w14:textId="036626AA" w:rsidR="0082642A" w:rsidRDefault="0082642A" w:rsidP="002E2177">
            <w:pPr>
              <w:ind w:left="0" w:firstLine="0"/>
              <w:rPr>
                <w:color w:val="FF0000"/>
              </w:rPr>
            </w:pPr>
            <w:r w:rsidRPr="0082642A">
              <w:rPr>
                <w:color w:val="FF0000"/>
              </w:rPr>
              <w:t>R</w:t>
            </w:r>
            <w:r w:rsidR="002D6D92">
              <w:rPr>
                <w:color w:val="FF0000"/>
              </w:rPr>
              <w:t>andomized control trials (R</w:t>
            </w:r>
            <w:r w:rsidRPr="0082642A">
              <w:rPr>
                <w:color w:val="FF0000"/>
              </w:rPr>
              <w:t>CT</w:t>
            </w:r>
            <w:r w:rsidR="002D6D92">
              <w:rPr>
                <w:color w:val="FF0000"/>
              </w:rPr>
              <w:t>)</w:t>
            </w:r>
            <w:r w:rsidRPr="0082642A">
              <w:rPr>
                <w:color w:val="FF0000"/>
              </w:rPr>
              <w:t xml:space="preserve"> without important limitations provide high quality evidence.</w:t>
            </w:r>
          </w:p>
          <w:p w14:paraId="42C39264" w14:textId="77777777" w:rsidR="00C82374" w:rsidRPr="0082642A" w:rsidRDefault="00C82374" w:rsidP="002E2177">
            <w:pPr>
              <w:ind w:left="0" w:firstLine="0"/>
              <w:rPr>
                <w:color w:val="FF0000"/>
              </w:rPr>
            </w:pPr>
          </w:p>
          <w:p w14:paraId="0870DAA5" w14:textId="77777777" w:rsidR="0082642A" w:rsidRPr="0082642A" w:rsidRDefault="0082642A" w:rsidP="002E2177">
            <w:pPr>
              <w:ind w:left="0" w:firstLine="0"/>
              <w:rPr>
                <w:color w:val="FF0000"/>
              </w:rPr>
            </w:pPr>
            <w:r w:rsidRPr="0082642A">
              <w:rPr>
                <w:color w:val="FF0000"/>
              </w:rPr>
              <w:t>Observational studies without special strengths or important limitations provide low quality evidence.</w:t>
            </w:r>
          </w:p>
          <w:p w14:paraId="32DA1AE3" w14:textId="77777777" w:rsidR="0082642A" w:rsidRPr="0082642A" w:rsidRDefault="0082642A" w:rsidP="002E2177">
            <w:pPr>
              <w:ind w:left="0" w:firstLine="0"/>
              <w:rPr>
                <w:color w:val="FF0000"/>
              </w:rPr>
            </w:pPr>
          </w:p>
          <w:p w14:paraId="55B8DA7E" w14:textId="4E7A2643" w:rsidR="00AB4ECE" w:rsidRDefault="0082642A" w:rsidP="0082642A">
            <w:pPr>
              <w:ind w:left="0" w:firstLine="0"/>
            </w:pPr>
            <w:r w:rsidRPr="0082642A">
              <w:rPr>
                <w:color w:val="FF0000"/>
              </w:rPr>
              <w:t>For each outcome, quality may be reduced depending on five factors:</w:t>
            </w:r>
            <w:r w:rsidR="00C82374">
              <w:rPr>
                <w:color w:val="FF0000"/>
              </w:rPr>
              <w:t xml:space="preserve"> </w:t>
            </w:r>
            <w:r w:rsidRPr="0082642A">
              <w:rPr>
                <w:color w:val="FF0000"/>
              </w:rPr>
              <w:t>methodological limitations, inconsistency, indirectness, imprecision and publication</w:t>
            </w:r>
            <w:r w:rsidR="00C82374">
              <w:rPr>
                <w:color w:val="FF0000"/>
              </w:rPr>
              <w:t xml:space="preserve"> </w:t>
            </w:r>
            <w:r w:rsidRPr="0082642A">
              <w:rPr>
                <w:color w:val="FF0000"/>
              </w:rPr>
              <w:t>bias.</w:t>
            </w:r>
          </w:p>
        </w:tc>
      </w:tr>
      <w:tr w:rsidR="00AB4ECE" w14:paraId="55B8DA82" w14:textId="77777777" w:rsidTr="00120908">
        <w:tc>
          <w:tcPr>
            <w:tcW w:w="350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825" w:type="dxa"/>
          </w:tcPr>
          <w:p w14:paraId="55B8DA81" w14:textId="0F96AE00" w:rsidR="00AB4ECE" w:rsidRPr="00BF2A9F" w:rsidRDefault="00BF2A9F" w:rsidP="002E2177">
            <w:pPr>
              <w:ind w:left="0" w:firstLine="0"/>
              <w:rPr>
                <w:color w:val="FF0000"/>
              </w:rPr>
            </w:pPr>
            <w:r w:rsidRPr="00BF2A9F">
              <w:rPr>
                <w:color w:val="FF0000"/>
              </w:rPr>
              <w:t xml:space="preserve">The Guidelines did not provide independent grades to each recommendation. </w:t>
            </w:r>
          </w:p>
        </w:tc>
      </w:tr>
      <w:tr w:rsidR="00AB4ECE" w14:paraId="55B8DA85" w14:textId="77777777" w:rsidTr="00120908">
        <w:tc>
          <w:tcPr>
            <w:tcW w:w="3505" w:type="dxa"/>
          </w:tcPr>
          <w:p w14:paraId="55B8DA83" w14:textId="77777777" w:rsidR="00AB4ECE" w:rsidRDefault="00AB4ECE" w:rsidP="00E42FAA">
            <w:pPr>
              <w:ind w:left="0" w:firstLine="0"/>
            </w:pPr>
            <w:r>
              <w:t>Provide all other grades and definitions from the recommendation grading system</w:t>
            </w:r>
          </w:p>
        </w:tc>
        <w:tc>
          <w:tcPr>
            <w:tcW w:w="5825" w:type="dxa"/>
          </w:tcPr>
          <w:p w14:paraId="55B8DA84" w14:textId="481BF501" w:rsidR="00AB4ECE" w:rsidRPr="00BF2A9F" w:rsidRDefault="00BF2A9F" w:rsidP="002E2177">
            <w:pPr>
              <w:ind w:left="0" w:firstLine="0"/>
              <w:rPr>
                <w:color w:val="FF0000"/>
              </w:rPr>
            </w:pPr>
            <w:r w:rsidRPr="00BF2A9F">
              <w:rPr>
                <w:color w:val="FF0000"/>
              </w:rPr>
              <w:t>The Guidelines did not provide independent grades to each recommendation.</w:t>
            </w:r>
          </w:p>
        </w:tc>
      </w:tr>
      <w:tr w:rsidR="00AB4ECE" w14:paraId="55B8DA8A" w14:textId="77777777" w:rsidTr="00120908">
        <w:tc>
          <w:tcPr>
            <w:tcW w:w="350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825" w:type="dxa"/>
          </w:tcPr>
          <w:p w14:paraId="7BC9225E" w14:textId="4430EED2" w:rsidR="00E57B47" w:rsidRPr="00AF4B69" w:rsidRDefault="00E57B47" w:rsidP="002E2177">
            <w:pPr>
              <w:ind w:left="0" w:firstLine="0"/>
              <w:rPr>
                <w:color w:val="FF0000"/>
              </w:rPr>
            </w:pPr>
            <w:r w:rsidRPr="00AF4B69">
              <w:rPr>
                <w:color w:val="FF0000"/>
              </w:rPr>
              <w:t xml:space="preserve">For the review of initial treatment with antipsychotic medication: 9 </w:t>
            </w:r>
            <w:r w:rsidR="002D6D92">
              <w:rPr>
                <w:color w:val="FF0000"/>
              </w:rPr>
              <w:t>RCTs</w:t>
            </w:r>
            <w:r w:rsidR="00C82374">
              <w:rPr>
                <w:color w:val="FF0000"/>
              </w:rPr>
              <w:t>.</w:t>
            </w:r>
          </w:p>
          <w:p w14:paraId="33E1886C" w14:textId="77777777" w:rsidR="00E57B47" w:rsidRPr="00AF4B69" w:rsidRDefault="00E57B47" w:rsidP="002E2177">
            <w:pPr>
              <w:ind w:left="0" w:firstLine="0"/>
              <w:rPr>
                <w:color w:val="FF0000"/>
              </w:rPr>
            </w:pPr>
          </w:p>
          <w:p w14:paraId="11BE6643" w14:textId="77BF948F" w:rsidR="00BA4625" w:rsidRPr="00AF4B69" w:rsidRDefault="00AD1AE4" w:rsidP="002E2177">
            <w:pPr>
              <w:ind w:left="0" w:firstLine="0"/>
              <w:rPr>
                <w:color w:val="FF0000"/>
              </w:rPr>
            </w:pPr>
            <w:r w:rsidRPr="00AF4B69">
              <w:rPr>
                <w:color w:val="FF0000"/>
              </w:rPr>
              <w:t xml:space="preserve">For the review of </w:t>
            </w:r>
            <w:r w:rsidR="00E57B47" w:rsidRPr="00AF4B69">
              <w:rPr>
                <w:color w:val="FF0000"/>
              </w:rPr>
              <w:t>treatment with</w:t>
            </w:r>
            <w:r w:rsidRPr="00AF4B69">
              <w:rPr>
                <w:color w:val="FF0000"/>
              </w:rPr>
              <w:t xml:space="preserve"> antipsychotics in </w:t>
            </w:r>
            <w:r w:rsidR="00E57B47" w:rsidRPr="00AF4B69">
              <w:rPr>
                <w:color w:val="FF0000"/>
              </w:rPr>
              <w:t>people with an acute exacerbation of recurrence of schizophrenia</w:t>
            </w:r>
            <w:r w:rsidRPr="00AF4B69">
              <w:rPr>
                <w:color w:val="FF0000"/>
              </w:rPr>
              <w:t xml:space="preserve">: 72 </w:t>
            </w:r>
            <w:r w:rsidR="002D6D92">
              <w:rPr>
                <w:color w:val="FF0000"/>
              </w:rPr>
              <w:t>RCTs</w:t>
            </w:r>
            <w:r w:rsidR="00C82374">
              <w:rPr>
                <w:color w:val="FF0000"/>
              </w:rPr>
              <w:t>.</w:t>
            </w:r>
          </w:p>
          <w:p w14:paraId="30C71200" w14:textId="77777777" w:rsidR="00BA4625" w:rsidRPr="00AF4B69" w:rsidRDefault="00BA4625" w:rsidP="002E2177">
            <w:pPr>
              <w:ind w:left="0" w:firstLine="0"/>
              <w:rPr>
                <w:color w:val="FF0000"/>
              </w:rPr>
            </w:pPr>
          </w:p>
          <w:p w14:paraId="55B8DA89" w14:textId="0B557158" w:rsidR="00AB4ECE" w:rsidRDefault="00BF2A9F" w:rsidP="002E2177">
            <w:pPr>
              <w:ind w:left="0" w:firstLine="0"/>
            </w:pPr>
            <w:r>
              <w:rPr>
                <w:color w:val="FF0000"/>
              </w:rPr>
              <w:t>F</w:t>
            </w:r>
            <w:r w:rsidR="00BA4625" w:rsidRPr="00AF4B69">
              <w:rPr>
                <w:color w:val="FF0000"/>
              </w:rPr>
              <w:t>or the review of depot/long-acting injectable antipsychotics: meta-review of five Cochrane reviews</w:t>
            </w:r>
            <w:r w:rsidR="00ED30C2">
              <w:rPr>
                <w:color w:val="FF0000"/>
              </w:rPr>
              <w:t>.</w:t>
            </w:r>
          </w:p>
        </w:tc>
      </w:tr>
      <w:tr w:rsidR="00AB4ECE" w14:paraId="55B8DA8D" w14:textId="77777777" w:rsidTr="00120908">
        <w:tc>
          <w:tcPr>
            <w:tcW w:w="3505" w:type="dxa"/>
          </w:tcPr>
          <w:p w14:paraId="55B8DA8B" w14:textId="77777777" w:rsidR="00AB4ECE" w:rsidRDefault="000E5C93" w:rsidP="002E2177">
            <w:pPr>
              <w:ind w:left="0" w:firstLine="0"/>
            </w:pPr>
            <w:r>
              <w:t xml:space="preserve">Estimates of benefit and consistency across studies </w:t>
            </w:r>
          </w:p>
        </w:tc>
        <w:tc>
          <w:tcPr>
            <w:tcW w:w="5825" w:type="dxa"/>
          </w:tcPr>
          <w:p w14:paraId="55B8DA8C" w14:textId="0D1B4B9C" w:rsidR="00AB4ECE" w:rsidRDefault="00AF4B69" w:rsidP="002E2177">
            <w:pPr>
              <w:ind w:left="0" w:firstLine="0"/>
            </w:pPr>
            <w:r w:rsidRPr="00AF4B69">
              <w:rPr>
                <w:color w:val="FF0000"/>
              </w:rPr>
              <w:t>There is well-established evidence for the efficacy of antipsychotics in both the treatment of acute psychotic episodes and relapse prevention over time</w:t>
            </w:r>
            <w:r>
              <w:rPr>
                <w:color w:val="FF0000"/>
              </w:rPr>
              <w:t>.</w:t>
            </w:r>
          </w:p>
        </w:tc>
      </w:tr>
      <w:tr w:rsidR="000E5C93" w14:paraId="55B8DA90" w14:textId="77777777" w:rsidTr="00120908">
        <w:tc>
          <w:tcPr>
            <w:tcW w:w="3505" w:type="dxa"/>
          </w:tcPr>
          <w:p w14:paraId="55B8DA8E" w14:textId="77777777" w:rsidR="000E5C93" w:rsidRDefault="000E5C93" w:rsidP="002E2177">
            <w:pPr>
              <w:ind w:left="0" w:firstLine="0"/>
            </w:pPr>
            <w:r>
              <w:t>What harms were identified?</w:t>
            </w:r>
          </w:p>
        </w:tc>
        <w:tc>
          <w:tcPr>
            <w:tcW w:w="5825" w:type="dxa"/>
          </w:tcPr>
          <w:p w14:paraId="55B8DA8F" w14:textId="4A5604D4" w:rsidR="000E5C93" w:rsidRDefault="00AF4B69" w:rsidP="002E2177">
            <w:pPr>
              <w:ind w:left="0" w:firstLine="0"/>
            </w:pPr>
            <w:r w:rsidRPr="00AF4B69">
              <w:rPr>
                <w:color w:val="FF0000"/>
              </w:rPr>
              <w:t xml:space="preserve">Side effects of antipsychotics identified include lethargy, sedation, weight gain, sexual dysfunction, </w:t>
            </w:r>
            <w:r w:rsidR="00ED30C2">
              <w:rPr>
                <w:color w:val="FF0000"/>
              </w:rPr>
              <w:t xml:space="preserve">and </w:t>
            </w:r>
            <w:r w:rsidRPr="00AF4B69">
              <w:rPr>
                <w:color w:val="FF0000"/>
              </w:rPr>
              <w:t>movement disorders.</w:t>
            </w:r>
          </w:p>
        </w:tc>
      </w:tr>
      <w:tr w:rsidR="000E5C93" w14:paraId="55B8DA93" w14:textId="77777777" w:rsidTr="00120908">
        <w:tc>
          <w:tcPr>
            <w:tcW w:w="3505" w:type="dxa"/>
          </w:tcPr>
          <w:p w14:paraId="55B8DA91" w14:textId="77777777" w:rsidR="000E5C93" w:rsidRDefault="000E5C93" w:rsidP="000E5C93">
            <w:pPr>
              <w:ind w:left="0" w:firstLine="0"/>
            </w:pPr>
            <w:r>
              <w:t>Identify any new studies conducted since the SR. Do the new studies change the conclusions from the SR?</w:t>
            </w:r>
          </w:p>
        </w:tc>
        <w:tc>
          <w:tcPr>
            <w:tcW w:w="5825" w:type="dxa"/>
          </w:tcPr>
          <w:p w14:paraId="55B8DA92" w14:textId="4E8BE71D" w:rsidR="000E5C93" w:rsidRDefault="00AF4B69" w:rsidP="002E2177">
            <w:pPr>
              <w:ind w:left="0" w:firstLine="0"/>
            </w:pPr>
            <w:r w:rsidRPr="00AF4B69">
              <w:rPr>
                <w:color w:val="FF0000"/>
              </w:rPr>
              <w:t>N</w:t>
            </w:r>
            <w:r w:rsidR="00D252F1">
              <w:rPr>
                <w:color w:val="FF0000"/>
              </w:rPr>
              <w:t>ot Applicable</w:t>
            </w:r>
          </w:p>
        </w:tc>
      </w:tr>
    </w:tbl>
    <w:p w14:paraId="55B8DA94" w14:textId="059D7759" w:rsidR="007C1887" w:rsidRDefault="007C1887" w:rsidP="002E2177">
      <w:pPr>
        <w:ind w:left="0" w:firstLine="0"/>
      </w:pPr>
    </w:p>
    <w:tbl>
      <w:tblPr>
        <w:tblStyle w:val="TableGrid"/>
        <w:tblW w:w="9355" w:type="dxa"/>
        <w:tblLayout w:type="fixed"/>
        <w:tblLook w:val="04A0" w:firstRow="1" w:lastRow="0" w:firstColumn="1" w:lastColumn="0" w:noHBand="0" w:noVBand="1"/>
      </w:tblPr>
      <w:tblGrid>
        <w:gridCol w:w="3505"/>
        <w:gridCol w:w="5850"/>
      </w:tblGrid>
      <w:tr w:rsidR="00120908" w14:paraId="775556B8" w14:textId="77777777" w:rsidTr="00120908">
        <w:tc>
          <w:tcPr>
            <w:tcW w:w="3505" w:type="dxa"/>
          </w:tcPr>
          <w:p w14:paraId="58AFDAEA" w14:textId="77777777" w:rsidR="00C837B5" w:rsidRPr="00AB4ECE" w:rsidRDefault="00C837B5" w:rsidP="00F06F66">
            <w:pPr>
              <w:ind w:left="0" w:firstLine="0"/>
              <w:rPr>
                <w:b/>
              </w:rPr>
            </w:pPr>
            <w:r w:rsidRPr="00AB4ECE">
              <w:rPr>
                <w:b/>
              </w:rPr>
              <w:t>Source of Systematic Review:</w:t>
            </w:r>
          </w:p>
          <w:p w14:paraId="6D6E3439" w14:textId="77777777" w:rsidR="00C837B5" w:rsidRPr="00AB4ECE" w:rsidRDefault="00C837B5" w:rsidP="00F06F66">
            <w:pPr>
              <w:pStyle w:val="ListParagraph"/>
              <w:numPr>
                <w:ilvl w:val="0"/>
                <w:numId w:val="9"/>
              </w:numPr>
              <w:rPr>
                <w:b/>
              </w:rPr>
            </w:pPr>
            <w:r w:rsidRPr="00AB4ECE">
              <w:rPr>
                <w:b/>
              </w:rPr>
              <w:t>Title</w:t>
            </w:r>
          </w:p>
          <w:p w14:paraId="37D65A28" w14:textId="77777777" w:rsidR="00C837B5" w:rsidRPr="00AB4ECE" w:rsidRDefault="00C837B5" w:rsidP="00F06F66">
            <w:pPr>
              <w:pStyle w:val="ListParagraph"/>
              <w:numPr>
                <w:ilvl w:val="0"/>
                <w:numId w:val="9"/>
              </w:numPr>
              <w:rPr>
                <w:b/>
              </w:rPr>
            </w:pPr>
            <w:r w:rsidRPr="00AB4ECE">
              <w:rPr>
                <w:b/>
              </w:rPr>
              <w:t>Author</w:t>
            </w:r>
          </w:p>
          <w:p w14:paraId="354D764A" w14:textId="77777777" w:rsidR="00C837B5" w:rsidRPr="00AB4ECE" w:rsidRDefault="00C837B5" w:rsidP="00F06F66">
            <w:pPr>
              <w:pStyle w:val="ListParagraph"/>
              <w:numPr>
                <w:ilvl w:val="0"/>
                <w:numId w:val="9"/>
              </w:numPr>
              <w:rPr>
                <w:b/>
              </w:rPr>
            </w:pPr>
            <w:r w:rsidRPr="00AB4ECE">
              <w:rPr>
                <w:b/>
              </w:rPr>
              <w:t>Date</w:t>
            </w:r>
          </w:p>
          <w:p w14:paraId="77BFD2D7" w14:textId="77777777" w:rsidR="00C837B5" w:rsidRPr="00AB4ECE" w:rsidRDefault="00C837B5" w:rsidP="00F06F66">
            <w:pPr>
              <w:pStyle w:val="ListParagraph"/>
              <w:numPr>
                <w:ilvl w:val="0"/>
                <w:numId w:val="9"/>
              </w:numPr>
              <w:rPr>
                <w:b/>
              </w:rPr>
            </w:pPr>
            <w:r w:rsidRPr="00AB4ECE">
              <w:rPr>
                <w:b/>
              </w:rPr>
              <w:t>Citation, including page number</w:t>
            </w:r>
          </w:p>
          <w:p w14:paraId="150879C5" w14:textId="77777777" w:rsidR="00C837B5" w:rsidRPr="00AB4ECE" w:rsidRDefault="00C837B5" w:rsidP="00F06F66">
            <w:pPr>
              <w:pStyle w:val="ListParagraph"/>
              <w:numPr>
                <w:ilvl w:val="0"/>
                <w:numId w:val="9"/>
              </w:numPr>
              <w:rPr>
                <w:b/>
              </w:rPr>
            </w:pPr>
            <w:r w:rsidRPr="00AB4ECE">
              <w:rPr>
                <w:b/>
              </w:rPr>
              <w:t>URL</w:t>
            </w:r>
          </w:p>
        </w:tc>
        <w:tc>
          <w:tcPr>
            <w:tcW w:w="5850" w:type="dxa"/>
          </w:tcPr>
          <w:p w14:paraId="570E8764" w14:textId="77777777" w:rsidR="00ED30C2" w:rsidRDefault="00ED30C2" w:rsidP="00F06F66">
            <w:pPr>
              <w:ind w:left="0" w:firstLine="0"/>
              <w:rPr>
                <w:color w:val="FF0000"/>
              </w:rPr>
            </w:pPr>
            <w:r w:rsidRPr="00ED30C2">
              <w:rPr>
                <w:color w:val="FF0000"/>
              </w:rPr>
              <w:t xml:space="preserve">Practice Guidelines for the Treatment of Patients </w:t>
            </w:r>
            <w:proofErr w:type="gramStart"/>
            <w:r w:rsidRPr="00ED30C2">
              <w:rPr>
                <w:color w:val="FF0000"/>
              </w:rPr>
              <w:t>With</w:t>
            </w:r>
            <w:proofErr w:type="gramEnd"/>
            <w:r w:rsidRPr="00ED30C2">
              <w:rPr>
                <w:color w:val="FF0000"/>
              </w:rPr>
              <w:t xml:space="preserve"> Schizophrenia Second Edition</w:t>
            </w:r>
            <w:r>
              <w:rPr>
                <w:color w:val="FF0000"/>
              </w:rPr>
              <w:t xml:space="preserve"> </w:t>
            </w:r>
          </w:p>
          <w:p w14:paraId="601DE6E2" w14:textId="77777777" w:rsidR="00ED30C2" w:rsidRDefault="00ED30C2" w:rsidP="00F06F66">
            <w:pPr>
              <w:ind w:left="0" w:firstLine="0"/>
              <w:rPr>
                <w:color w:val="FF0000"/>
              </w:rPr>
            </w:pPr>
          </w:p>
          <w:p w14:paraId="47A4BC5C" w14:textId="5A3C8DEF" w:rsidR="0082642A" w:rsidRPr="00A21970" w:rsidRDefault="0082642A" w:rsidP="00F06F66">
            <w:pPr>
              <w:ind w:left="0" w:firstLine="0"/>
              <w:rPr>
                <w:color w:val="FF0000"/>
              </w:rPr>
            </w:pPr>
            <w:r w:rsidRPr="00A21970">
              <w:rPr>
                <w:color w:val="FF0000"/>
              </w:rPr>
              <w:t>American Psychiatric Association</w:t>
            </w:r>
          </w:p>
          <w:p w14:paraId="0CB92DE2" w14:textId="77777777" w:rsidR="0082642A" w:rsidRPr="00A21970" w:rsidRDefault="0082642A" w:rsidP="00F06F66">
            <w:pPr>
              <w:ind w:left="0" w:firstLine="0"/>
              <w:rPr>
                <w:color w:val="FF0000"/>
              </w:rPr>
            </w:pPr>
            <w:r w:rsidRPr="00A21970">
              <w:rPr>
                <w:color w:val="FF0000"/>
              </w:rPr>
              <w:t>2010</w:t>
            </w:r>
          </w:p>
          <w:p w14:paraId="06158E27" w14:textId="77777777" w:rsidR="0082642A" w:rsidRDefault="0082642A" w:rsidP="00F06F66">
            <w:pPr>
              <w:ind w:left="0" w:firstLine="0"/>
            </w:pPr>
          </w:p>
          <w:p w14:paraId="2BD3CC67" w14:textId="19A1F9FD" w:rsidR="00C837B5" w:rsidRPr="00A21970" w:rsidRDefault="00A21970" w:rsidP="00F06F66">
            <w:pPr>
              <w:ind w:left="0" w:firstLine="0"/>
              <w:rPr>
                <w:color w:val="FF0000"/>
              </w:rPr>
            </w:pPr>
            <w:r w:rsidRPr="00A21970">
              <w:rPr>
                <w:color w:val="FF0000"/>
              </w:rPr>
              <w:t xml:space="preserve">Lehman, A. F., Lieberman, J. A., Dixon, L. B., </w:t>
            </w:r>
            <w:proofErr w:type="spellStart"/>
            <w:r w:rsidRPr="00A21970">
              <w:rPr>
                <w:color w:val="FF0000"/>
              </w:rPr>
              <w:t>McGlashan</w:t>
            </w:r>
            <w:proofErr w:type="spellEnd"/>
            <w:r w:rsidRPr="00A21970">
              <w:rPr>
                <w:color w:val="FF0000"/>
              </w:rPr>
              <w:t>, T. H., Miller, A. L., Perkins,</w:t>
            </w:r>
            <w:r w:rsidR="00014FBE">
              <w:rPr>
                <w:color w:val="FF0000"/>
              </w:rPr>
              <w:t xml:space="preserve"> and</w:t>
            </w:r>
            <w:r w:rsidRPr="00A21970">
              <w:rPr>
                <w:color w:val="FF0000"/>
              </w:rPr>
              <w:t xml:space="preserve"> D. O. </w:t>
            </w:r>
            <w:proofErr w:type="spellStart"/>
            <w:r w:rsidRPr="00A21970">
              <w:rPr>
                <w:color w:val="FF0000"/>
              </w:rPr>
              <w:t>Kreyenbuhl</w:t>
            </w:r>
            <w:proofErr w:type="spellEnd"/>
            <w:r w:rsidRPr="00A21970">
              <w:rPr>
                <w:color w:val="FF0000"/>
              </w:rPr>
              <w:t>, J. (2004). Practice Guidelines for the Treatment of Patients with Schizophrenia. American Psychiatric Association. Reprieved from https://psychiatryonline.org/pb/assets/raw/sitewide/practice_guidelines/guidelines/schizophrenia.pdf</w:t>
            </w:r>
          </w:p>
        </w:tc>
      </w:tr>
      <w:tr w:rsidR="00120908" w14:paraId="7B17D151" w14:textId="77777777" w:rsidTr="00120908">
        <w:tc>
          <w:tcPr>
            <w:tcW w:w="3505" w:type="dxa"/>
          </w:tcPr>
          <w:p w14:paraId="1FECCB3E" w14:textId="77777777" w:rsidR="00C837B5" w:rsidRDefault="00C837B5" w:rsidP="00F06F66">
            <w:pPr>
              <w:ind w:left="0" w:firstLine="0"/>
            </w:pPr>
            <w:r>
              <w:t>Quote the guideline or recommendation verbatim about the process, structure or intermediate outcome being measured. If not a guideline, summarize the conclusions from the SR.</w:t>
            </w:r>
          </w:p>
        </w:tc>
        <w:tc>
          <w:tcPr>
            <w:tcW w:w="5850" w:type="dxa"/>
          </w:tcPr>
          <w:p w14:paraId="05F7C23A" w14:textId="693E60B6" w:rsidR="00AD1E55" w:rsidRPr="000A7917" w:rsidRDefault="00AD1E55" w:rsidP="00F06F66">
            <w:pPr>
              <w:ind w:left="0" w:firstLine="0"/>
              <w:rPr>
                <w:color w:val="FF0000"/>
              </w:rPr>
            </w:pPr>
            <w:r w:rsidRPr="000A7917">
              <w:rPr>
                <w:color w:val="FF0000"/>
              </w:rPr>
              <w:t>It is recommended that pharmacological treatment be initiated promptly, provided it will not interfere with diagnostic assessment, because acute psychotic exacerbations are associated with emotional distress, disruption to the patient’s life, and a substantial risk of dangerous behaviors to self, others, or property [</w:t>
            </w:r>
            <w:r w:rsidR="00BE2774">
              <w:rPr>
                <w:color w:val="FF0000"/>
              </w:rPr>
              <w:t xml:space="preserve">Recommendation Grade - </w:t>
            </w:r>
            <w:r w:rsidRPr="000A7917">
              <w:rPr>
                <w:color w:val="FF0000"/>
              </w:rPr>
              <w:t>I].</w:t>
            </w:r>
          </w:p>
          <w:p w14:paraId="32DCE376" w14:textId="77777777" w:rsidR="00AD1E55" w:rsidRPr="000A7917" w:rsidRDefault="00AD1E55" w:rsidP="00F06F66">
            <w:pPr>
              <w:ind w:left="0" w:firstLine="0"/>
              <w:rPr>
                <w:color w:val="FF0000"/>
              </w:rPr>
            </w:pPr>
          </w:p>
          <w:p w14:paraId="23257FBB" w14:textId="0CBEC000" w:rsidR="00AD1E55" w:rsidRPr="000A7917" w:rsidRDefault="00AD1E55" w:rsidP="00F06F66">
            <w:pPr>
              <w:ind w:left="0" w:firstLine="0"/>
              <w:rPr>
                <w:color w:val="FF0000"/>
              </w:rPr>
            </w:pPr>
            <w:r w:rsidRPr="000A7917">
              <w:rPr>
                <w:color w:val="FF0000"/>
              </w:rPr>
              <w:t>While most patients prefer oral medication, patients with recurrent relapses related to nonadherence are candidates for a long-acting injectable antipsychotic medication, as are patients who prefer this mode of administration [</w:t>
            </w:r>
            <w:r w:rsidR="00BE2774">
              <w:rPr>
                <w:color w:val="FF0000"/>
              </w:rPr>
              <w:t xml:space="preserve">Recommendation Grade - </w:t>
            </w:r>
            <w:r w:rsidRPr="000A7917">
              <w:rPr>
                <w:color w:val="FF0000"/>
              </w:rPr>
              <w:t>II]</w:t>
            </w:r>
            <w:r w:rsidR="0048232D">
              <w:rPr>
                <w:color w:val="FF0000"/>
              </w:rPr>
              <w:t>.</w:t>
            </w:r>
          </w:p>
          <w:p w14:paraId="7F68BF50" w14:textId="77777777" w:rsidR="00AD1E55" w:rsidRPr="000A7917" w:rsidRDefault="00AD1E55" w:rsidP="00F06F66">
            <w:pPr>
              <w:ind w:left="0" w:firstLine="0"/>
              <w:rPr>
                <w:color w:val="FF0000"/>
              </w:rPr>
            </w:pPr>
          </w:p>
          <w:p w14:paraId="432B9C4B" w14:textId="35E147A4" w:rsidR="00C837B5" w:rsidRPr="000A7917" w:rsidRDefault="00AD1E55" w:rsidP="00F06F66">
            <w:pPr>
              <w:ind w:left="0" w:firstLine="0"/>
              <w:rPr>
                <w:color w:val="FF0000"/>
              </w:rPr>
            </w:pPr>
            <w:r w:rsidRPr="000A7917">
              <w:rPr>
                <w:color w:val="FF0000"/>
              </w:rPr>
              <w:t>If the patient is not improving, it may be helpful to establish whether the lack of response can be explained by medication nonadherence, rapid medication metabolism, or poor absorption [</w:t>
            </w:r>
            <w:r w:rsidR="00BE2774">
              <w:rPr>
                <w:color w:val="FF0000"/>
              </w:rPr>
              <w:t xml:space="preserve">Recommendation Grade - </w:t>
            </w:r>
            <w:r w:rsidRPr="000A7917">
              <w:rPr>
                <w:color w:val="FF0000"/>
              </w:rPr>
              <w:t>II]</w:t>
            </w:r>
            <w:r w:rsidR="0048232D">
              <w:rPr>
                <w:color w:val="FF0000"/>
              </w:rPr>
              <w:t>.</w:t>
            </w:r>
          </w:p>
        </w:tc>
      </w:tr>
      <w:tr w:rsidR="00120908" w14:paraId="13D2C18F" w14:textId="77777777" w:rsidTr="00120908">
        <w:tc>
          <w:tcPr>
            <w:tcW w:w="3505" w:type="dxa"/>
          </w:tcPr>
          <w:p w14:paraId="5BC61C17" w14:textId="77777777" w:rsidR="00C837B5" w:rsidRDefault="00C837B5" w:rsidP="00F06F66">
            <w:pPr>
              <w:ind w:left="0" w:firstLine="0"/>
            </w:pPr>
            <w:r>
              <w:t xml:space="preserve">Grade assigned to the </w:t>
            </w:r>
            <w:r w:rsidRPr="004E7215">
              <w:rPr>
                <w:b/>
              </w:rPr>
              <w:t>evidence</w:t>
            </w:r>
            <w:r>
              <w:t xml:space="preserve"> associated with the recommendation with the definition of the grade</w:t>
            </w:r>
          </w:p>
        </w:tc>
        <w:tc>
          <w:tcPr>
            <w:tcW w:w="5850" w:type="dxa"/>
          </w:tcPr>
          <w:p w14:paraId="5A308E5F" w14:textId="1D2FF5EC" w:rsidR="00C837B5" w:rsidRPr="000A7917" w:rsidRDefault="00FD0181" w:rsidP="00FD0181">
            <w:pPr>
              <w:ind w:left="0" w:firstLine="0"/>
              <w:rPr>
                <w:color w:val="FF0000"/>
              </w:rPr>
            </w:pPr>
            <w:r w:rsidRPr="000A7917">
              <w:rPr>
                <w:color w:val="FF0000"/>
              </w:rPr>
              <w:t xml:space="preserve">The attributing evidence is not clearly linked to each recommendation. Each rating of clinical confidence considers the strength of the available evidence and is based on the best available data. When evidence is limited, the level of confidence also incorporates clinical consensus </w:t>
            </w:r>
            <w:proofErr w:type="gramStart"/>
            <w:r w:rsidRPr="000A7917">
              <w:rPr>
                <w:color w:val="FF0000"/>
              </w:rPr>
              <w:t>with regard to</w:t>
            </w:r>
            <w:proofErr w:type="gramEnd"/>
            <w:r w:rsidRPr="000A7917">
              <w:rPr>
                <w:color w:val="FF0000"/>
              </w:rPr>
              <w:t xml:space="preserve"> a particular clinical decision.</w:t>
            </w:r>
          </w:p>
        </w:tc>
      </w:tr>
      <w:tr w:rsidR="00120908" w14:paraId="3B7B92BE" w14:textId="77777777" w:rsidTr="00120908">
        <w:tc>
          <w:tcPr>
            <w:tcW w:w="3505" w:type="dxa"/>
          </w:tcPr>
          <w:p w14:paraId="175845C5" w14:textId="77777777" w:rsidR="00C837B5" w:rsidRDefault="00C837B5" w:rsidP="00F06F66">
            <w:pPr>
              <w:ind w:left="0" w:firstLine="0"/>
            </w:pPr>
            <w:r>
              <w:t>Provide all other grades and definitions from the evidence grading system</w:t>
            </w:r>
          </w:p>
        </w:tc>
        <w:tc>
          <w:tcPr>
            <w:tcW w:w="5850" w:type="dxa"/>
          </w:tcPr>
          <w:p w14:paraId="220CD5DD" w14:textId="77777777" w:rsidR="00FD0181" w:rsidRPr="000A7917" w:rsidRDefault="00FD0181" w:rsidP="00F06F66">
            <w:pPr>
              <w:ind w:left="0" w:firstLine="0"/>
              <w:rPr>
                <w:color w:val="FF0000"/>
              </w:rPr>
            </w:pPr>
            <w:r w:rsidRPr="000A7917">
              <w:rPr>
                <w:color w:val="FF0000"/>
              </w:rPr>
              <w:t xml:space="preserve">The following coding system is used to indicate the nature of the supporting evidence in the summary recommendations and references: </w:t>
            </w:r>
          </w:p>
          <w:p w14:paraId="6E6752AB" w14:textId="77777777" w:rsidR="00FD0181" w:rsidRPr="000A7917" w:rsidRDefault="00FD0181" w:rsidP="00F06F66">
            <w:pPr>
              <w:ind w:left="0" w:firstLine="0"/>
              <w:rPr>
                <w:color w:val="FF0000"/>
              </w:rPr>
            </w:pPr>
            <w:r w:rsidRPr="000A7917">
              <w:rPr>
                <w:color w:val="FF0000"/>
              </w:rPr>
              <w:t xml:space="preserve">[A] Double-blind, randomized clinical trial. A study of an intervention in which subjects are prospectively followed over time; there are treatment and control groups; subjects are randomly assigned to the two groups; both the subjects and the investigators are blind to the assignments. </w:t>
            </w:r>
          </w:p>
          <w:p w14:paraId="4025C314" w14:textId="77777777" w:rsidR="00FD0181" w:rsidRPr="000A7917" w:rsidRDefault="00FD0181" w:rsidP="00F06F66">
            <w:pPr>
              <w:ind w:left="0" w:firstLine="0"/>
              <w:rPr>
                <w:color w:val="FF0000"/>
              </w:rPr>
            </w:pPr>
            <w:r w:rsidRPr="000A7917">
              <w:rPr>
                <w:color w:val="FF0000"/>
              </w:rPr>
              <w:t xml:space="preserve">[A–] Randomized clinical trial. Same as above but not double-blind. </w:t>
            </w:r>
          </w:p>
          <w:p w14:paraId="12353FD6" w14:textId="77777777" w:rsidR="00FD0181" w:rsidRPr="000A7917" w:rsidRDefault="00FD0181" w:rsidP="00F06F66">
            <w:pPr>
              <w:ind w:left="0" w:firstLine="0"/>
              <w:rPr>
                <w:color w:val="FF0000"/>
              </w:rPr>
            </w:pPr>
            <w:r w:rsidRPr="000A7917">
              <w:rPr>
                <w:color w:val="FF0000"/>
              </w:rPr>
              <w:t xml:space="preserve">[B] Clinical trial. A prospective study in which an intervention is made and the results of that intervention are tracked </w:t>
            </w:r>
            <w:r w:rsidRPr="000A7917">
              <w:rPr>
                <w:color w:val="FF0000"/>
              </w:rPr>
              <w:lastRenderedPageBreak/>
              <w:t xml:space="preserve">longitudinally; study does not meet standards for a randomized clinical trial. </w:t>
            </w:r>
          </w:p>
          <w:p w14:paraId="5E7EF2AB" w14:textId="77777777" w:rsidR="00FD0181" w:rsidRPr="000A7917" w:rsidRDefault="00FD0181" w:rsidP="00F06F66">
            <w:pPr>
              <w:ind w:left="0" w:firstLine="0"/>
              <w:rPr>
                <w:color w:val="FF0000"/>
              </w:rPr>
            </w:pPr>
            <w:r w:rsidRPr="000A7917">
              <w:rPr>
                <w:color w:val="FF0000"/>
              </w:rPr>
              <w:t xml:space="preserve">[C] Cohort or longitudinal study. A study in which subjects are prospectively followed over time without any specific intervention. </w:t>
            </w:r>
          </w:p>
          <w:p w14:paraId="30796099" w14:textId="08AFE208" w:rsidR="00C837B5" w:rsidRPr="000A7917" w:rsidRDefault="00FD0181" w:rsidP="00F06F66">
            <w:pPr>
              <w:ind w:left="0" w:firstLine="0"/>
              <w:rPr>
                <w:color w:val="FF0000"/>
              </w:rPr>
            </w:pPr>
            <w:r w:rsidRPr="000A7917">
              <w:rPr>
                <w:color w:val="FF0000"/>
              </w:rPr>
              <w:t>[D] Case-control study. A study in which a group of patients is identified in the present and information about them is pursued retrospectively or backward in time.</w:t>
            </w:r>
          </w:p>
        </w:tc>
      </w:tr>
      <w:tr w:rsidR="00120908" w14:paraId="1A2168C0" w14:textId="77777777" w:rsidTr="00120908">
        <w:tc>
          <w:tcPr>
            <w:tcW w:w="3505" w:type="dxa"/>
          </w:tcPr>
          <w:p w14:paraId="0EB94F9A" w14:textId="77777777" w:rsidR="00C837B5" w:rsidRDefault="00C837B5" w:rsidP="00F06F66">
            <w:pPr>
              <w:ind w:left="0" w:firstLine="0"/>
            </w:pPr>
            <w:r>
              <w:lastRenderedPageBreak/>
              <w:t xml:space="preserve">Grade assigned to the </w:t>
            </w:r>
            <w:r w:rsidRPr="004E7215">
              <w:rPr>
                <w:b/>
              </w:rPr>
              <w:t>recommendation</w:t>
            </w:r>
            <w:r>
              <w:t xml:space="preserve"> with definition of the grade</w:t>
            </w:r>
          </w:p>
        </w:tc>
        <w:tc>
          <w:tcPr>
            <w:tcW w:w="5850" w:type="dxa"/>
          </w:tcPr>
          <w:p w14:paraId="4C942470" w14:textId="4253B152" w:rsidR="00BE2774" w:rsidRDefault="00FD0181" w:rsidP="00F06F66">
            <w:pPr>
              <w:ind w:left="0" w:firstLine="0"/>
              <w:rPr>
                <w:color w:val="FF0000"/>
              </w:rPr>
            </w:pPr>
            <w:r w:rsidRPr="000A7917">
              <w:rPr>
                <w:color w:val="FF0000"/>
              </w:rPr>
              <w:t>See brackets after each recommendation above</w:t>
            </w:r>
            <w:r w:rsidR="00BE2774">
              <w:rPr>
                <w:color w:val="FF0000"/>
              </w:rPr>
              <w:t xml:space="preserve"> for s</w:t>
            </w:r>
            <w:r w:rsidR="00452A86">
              <w:rPr>
                <w:color w:val="FF0000"/>
              </w:rPr>
              <w:t xml:space="preserve">pecific recommendation grades. </w:t>
            </w:r>
            <w:r w:rsidR="00BE2774">
              <w:rPr>
                <w:color w:val="FF0000"/>
              </w:rPr>
              <w:t>Overall the grades were:</w:t>
            </w:r>
          </w:p>
          <w:p w14:paraId="16E9F57B" w14:textId="77777777" w:rsidR="00BE2774" w:rsidRPr="00710D15" w:rsidRDefault="00BE2774" w:rsidP="00BE2774">
            <w:pPr>
              <w:ind w:left="0" w:firstLine="0"/>
              <w:rPr>
                <w:color w:val="FF0000"/>
              </w:rPr>
            </w:pPr>
            <w:r w:rsidRPr="00710D15">
              <w:rPr>
                <w:color w:val="FF0000"/>
              </w:rPr>
              <w:t xml:space="preserve">[I] Recommended with substantial clinical confidence. </w:t>
            </w:r>
          </w:p>
          <w:p w14:paraId="762F92D8" w14:textId="081C5ACC" w:rsidR="00C837B5" w:rsidRPr="000A7917" w:rsidRDefault="00BE2774" w:rsidP="00F06F66">
            <w:pPr>
              <w:ind w:left="0" w:firstLine="0"/>
              <w:rPr>
                <w:color w:val="FF0000"/>
              </w:rPr>
            </w:pPr>
            <w:r w:rsidRPr="00710D15">
              <w:rPr>
                <w:color w:val="FF0000"/>
              </w:rPr>
              <w:t xml:space="preserve">[II] Recommended with moderate clinical confidence. </w:t>
            </w:r>
          </w:p>
        </w:tc>
      </w:tr>
      <w:tr w:rsidR="00120908" w14:paraId="4BAAF729" w14:textId="77777777" w:rsidTr="00120908">
        <w:tc>
          <w:tcPr>
            <w:tcW w:w="3505" w:type="dxa"/>
          </w:tcPr>
          <w:p w14:paraId="0EBC4008" w14:textId="77777777" w:rsidR="00C837B5" w:rsidRDefault="00C837B5" w:rsidP="00F06F66">
            <w:pPr>
              <w:ind w:left="0" w:firstLine="0"/>
            </w:pPr>
            <w:r>
              <w:t>Provide all other grades and definitions from the recommendation grading system</w:t>
            </w:r>
          </w:p>
        </w:tc>
        <w:tc>
          <w:tcPr>
            <w:tcW w:w="5850" w:type="dxa"/>
          </w:tcPr>
          <w:p w14:paraId="309C027C" w14:textId="35EF5CD8" w:rsidR="00710D15" w:rsidRPr="00710D15" w:rsidRDefault="00BE2774" w:rsidP="00F06F66">
            <w:pPr>
              <w:ind w:left="0" w:firstLine="0"/>
              <w:rPr>
                <w:color w:val="FF0000"/>
              </w:rPr>
            </w:pPr>
            <w:r>
              <w:rPr>
                <w:color w:val="FF0000"/>
              </w:rPr>
              <w:t>The other grade in the recommendation grading system is</w:t>
            </w:r>
            <w:r w:rsidR="00710D15" w:rsidRPr="00710D15">
              <w:rPr>
                <w:color w:val="FF0000"/>
              </w:rPr>
              <w:t xml:space="preserve">: </w:t>
            </w:r>
          </w:p>
          <w:p w14:paraId="66F121CF" w14:textId="37CC4CF4" w:rsidR="00C837B5" w:rsidRDefault="00BE2774" w:rsidP="00F06F66">
            <w:pPr>
              <w:ind w:left="0" w:firstLine="0"/>
            </w:pPr>
            <w:r w:rsidRPr="00710D15" w:rsidDel="00BE2774">
              <w:rPr>
                <w:color w:val="FF0000"/>
              </w:rPr>
              <w:t xml:space="preserve"> </w:t>
            </w:r>
            <w:r w:rsidR="00710D15" w:rsidRPr="00710D15">
              <w:rPr>
                <w:color w:val="FF0000"/>
              </w:rPr>
              <w:t xml:space="preserve">[III] May be recommended </w:t>
            </w:r>
            <w:proofErr w:type="gramStart"/>
            <w:r w:rsidR="00710D15" w:rsidRPr="00710D15">
              <w:rPr>
                <w:color w:val="FF0000"/>
              </w:rPr>
              <w:t>on the basis of</w:t>
            </w:r>
            <w:proofErr w:type="gramEnd"/>
            <w:r w:rsidR="00710D15" w:rsidRPr="00710D15">
              <w:rPr>
                <w:color w:val="FF0000"/>
              </w:rPr>
              <w:t xml:space="preserve"> individual circumstances</w:t>
            </w:r>
          </w:p>
        </w:tc>
      </w:tr>
      <w:tr w:rsidR="00120908" w14:paraId="7C4FEA03" w14:textId="77777777" w:rsidTr="00120908">
        <w:tc>
          <w:tcPr>
            <w:tcW w:w="3505" w:type="dxa"/>
          </w:tcPr>
          <w:p w14:paraId="78D8CE7C" w14:textId="77777777" w:rsidR="00C837B5" w:rsidRDefault="00C837B5" w:rsidP="00F06F66">
            <w:pPr>
              <w:ind w:left="0" w:firstLine="0"/>
            </w:pPr>
            <w:r>
              <w:t>Body of evidence:</w:t>
            </w:r>
          </w:p>
          <w:p w14:paraId="30766F26" w14:textId="77777777" w:rsidR="00C837B5" w:rsidRDefault="00C837B5" w:rsidP="00F06F66">
            <w:pPr>
              <w:pStyle w:val="ListParagraph"/>
              <w:numPr>
                <w:ilvl w:val="0"/>
                <w:numId w:val="10"/>
              </w:numPr>
            </w:pPr>
            <w:r>
              <w:t>Quantity – how many studies?</w:t>
            </w:r>
          </w:p>
          <w:p w14:paraId="4A92C146" w14:textId="77777777" w:rsidR="00C837B5" w:rsidRDefault="00C837B5" w:rsidP="00F06F66">
            <w:pPr>
              <w:pStyle w:val="ListParagraph"/>
              <w:numPr>
                <w:ilvl w:val="0"/>
                <w:numId w:val="10"/>
              </w:numPr>
            </w:pPr>
            <w:r>
              <w:t>Quality – what type of studies?</w:t>
            </w:r>
          </w:p>
        </w:tc>
        <w:tc>
          <w:tcPr>
            <w:tcW w:w="5850" w:type="dxa"/>
          </w:tcPr>
          <w:p w14:paraId="0DAB3654" w14:textId="2794BCF5" w:rsidR="00C837B5" w:rsidRDefault="00AD1E55" w:rsidP="00F06F66">
            <w:pPr>
              <w:ind w:left="0" w:firstLine="0"/>
            </w:pPr>
            <w:r w:rsidRPr="00AD1E55">
              <w:rPr>
                <w:color w:val="FF0000"/>
              </w:rPr>
              <w:t>1,272 clinical trials and meta-analyses were screened by using title and abstract information. The Cochrane Database of Systematic Reviews was also searched by using the keyword schizophrenia. Additional, less formal literature searches were conducted by APA staff and individual members of the work group on schizophrenia.</w:t>
            </w:r>
          </w:p>
        </w:tc>
      </w:tr>
      <w:tr w:rsidR="00120908" w14:paraId="286488E9" w14:textId="77777777" w:rsidTr="00120908">
        <w:tc>
          <w:tcPr>
            <w:tcW w:w="3505" w:type="dxa"/>
          </w:tcPr>
          <w:p w14:paraId="20D16975" w14:textId="77777777" w:rsidR="00C837B5" w:rsidRDefault="00C837B5" w:rsidP="00F06F66">
            <w:pPr>
              <w:ind w:left="0" w:firstLine="0"/>
            </w:pPr>
            <w:r>
              <w:t xml:space="preserve">Estimates of benefit and consistency across studies </w:t>
            </w:r>
          </w:p>
        </w:tc>
        <w:tc>
          <w:tcPr>
            <w:tcW w:w="5850" w:type="dxa"/>
          </w:tcPr>
          <w:p w14:paraId="1CC7646E" w14:textId="60AAE0BD" w:rsidR="00C837B5" w:rsidRPr="007B289E" w:rsidRDefault="007B289E" w:rsidP="00F06F66">
            <w:pPr>
              <w:ind w:left="0" w:firstLine="0"/>
              <w:rPr>
                <w:color w:val="FF0000"/>
              </w:rPr>
            </w:pPr>
            <w:r w:rsidRPr="007B289E">
              <w:rPr>
                <w:color w:val="FF0000"/>
              </w:rPr>
              <w:t>Nearly all studies found that the antipsychotic medication was superior for treating schizophrenia compared to placebo. These studies demonstrated the efficacy of antipsychotic medications for every subtype and subgroup of patients with schizophrenia.</w:t>
            </w:r>
            <w:r w:rsidR="00FD0181">
              <w:rPr>
                <w:color w:val="FF0000"/>
              </w:rPr>
              <w:t xml:space="preserve"> Effectiveness of specific medications will vary by patient symptoms and history.</w:t>
            </w:r>
          </w:p>
        </w:tc>
      </w:tr>
      <w:tr w:rsidR="00120908" w14:paraId="2CE62B97" w14:textId="77777777" w:rsidTr="00120908">
        <w:tc>
          <w:tcPr>
            <w:tcW w:w="3505" w:type="dxa"/>
          </w:tcPr>
          <w:p w14:paraId="33E507EB" w14:textId="77777777" w:rsidR="00C837B5" w:rsidRDefault="00C837B5" w:rsidP="00F06F66">
            <w:pPr>
              <w:ind w:left="0" w:firstLine="0"/>
            </w:pPr>
            <w:r>
              <w:t>What harms were identified?</w:t>
            </w:r>
          </w:p>
        </w:tc>
        <w:tc>
          <w:tcPr>
            <w:tcW w:w="5850" w:type="dxa"/>
          </w:tcPr>
          <w:p w14:paraId="79A66313" w14:textId="146864AF" w:rsidR="007B289E" w:rsidRDefault="007B289E" w:rsidP="00F06F66">
            <w:pPr>
              <w:ind w:left="0" w:firstLine="0"/>
              <w:rPr>
                <w:color w:val="FF0000"/>
              </w:rPr>
            </w:pPr>
            <w:r w:rsidRPr="007B289E">
              <w:rPr>
                <w:color w:val="FF0000"/>
              </w:rPr>
              <w:t>There are numerous side effects to use of both first-generation and second-generation antipsychotics. Antipsychotics are associated with extrapyramidal effects, sedation, orthostatic hypotension and tachycardia, anticholinergic and antiadrenergic effects</w:t>
            </w:r>
            <w:r w:rsidR="0048232D">
              <w:rPr>
                <w:color w:val="FF0000"/>
              </w:rPr>
              <w:t>.</w:t>
            </w:r>
          </w:p>
          <w:p w14:paraId="03EB573C" w14:textId="77777777" w:rsidR="0048232D" w:rsidRPr="007B289E" w:rsidRDefault="0048232D" w:rsidP="00F06F66">
            <w:pPr>
              <w:ind w:left="0" w:firstLine="0"/>
              <w:rPr>
                <w:color w:val="FF0000"/>
              </w:rPr>
            </w:pPr>
          </w:p>
          <w:p w14:paraId="746DA1D4" w14:textId="1C50D209" w:rsidR="00C837B5" w:rsidRPr="007B289E" w:rsidRDefault="007B289E" w:rsidP="00F06F66">
            <w:pPr>
              <w:ind w:left="0" w:firstLine="0"/>
              <w:rPr>
                <w:color w:val="FF0000"/>
              </w:rPr>
            </w:pPr>
            <w:r w:rsidRPr="007B289E">
              <w:rPr>
                <w:color w:val="FF0000"/>
              </w:rPr>
              <w:t>Other side effects include weight gain and metabolic effects, and sexual side effects.</w:t>
            </w:r>
          </w:p>
        </w:tc>
      </w:tr>
      <w:tr w:rsidR="00120908" w14:paraId="58D01359" w14:textId="77777777" w:rsidTr="00120908">
        <w:tc>
          <w:tcPr>
            <w:tcW w:w="3505" w:type="dxa"/>
          </w:tcPr>
          <w:p w14:paraId="15231726" w14:textId="77777777" w:rsidR="00C837B5" w:rsidRDefault="00C837B5" w:rsidP="00F06F66">
            <w:pPr>
              <w:ind w:left="0" w:firstLine="0"/>
            </w:pPr>
            <w:r>
              <w:t>Identify any new studies conducted since the SR. Do the new studies change the conclusions from the SR?</w:t>
            </w:r>
          </w:p>
        </w:tc>
        <w:tc>
          <w:tcPr>
            <w:tcW w:w="5850" w:type="dxa"/>
          </w:tcPr>
          <w:p w14:paraId="7E3BD7BB" w14:textId="3A994A8B" w:rsidR="00C837B5" w:rsidRDefault="00FD0181" w:rsidP="00FD0181">
            <w:r w:rsidRPr="00FD0181">
              <w:rPr>
                <w:color w:val="FF0000"/>
              </w:rPr>
              <w:t>No</w:t>
            </w:r>
          </w:p>
        </w:tc>
      </w:tr>
    </w:tbl>
    <w:p w14:paraId="04F8493C" w14:textId="77777777" w:rsidR="00C837B5" w:rsidRPr="003B1CC5" w:rsidRDefault="00C837B5"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5FC4A0" w14:textId="7EB91C03" w:rsidR="002D5EA4" w:rsidRDefault="002D5EA4" w:rsidP="002D5EA4">
      <w:pPr>
        <w:ind w:left="0" w:firstLine="0"/>
        <w:rPr>
          <w:b/>
        </w:rPr>
      </w:pPr>
    </w:p>
    <w:p w14:paraId="2E4B039E" w14:textId="77777777" w:rsidR="002D5EA4" w:rsidRDefault="002D5EA4" w:rsidP="002E2177">
      <w:pPr>
        <w:ind w:left="0" w:firstLine="0"/>
        <w:rPr>
          <w:b/>
        </w:rPr>
      </w:pPr>
    </w:p>
    <w:p w14:paraId="55B8DA9B" w14:textId="77777777" w:rsidR="00837121" w:rsidRDefault="000E5C93" w:rsidP="002E2177">
      <w:pPr>
        <w:ind w:left="0" w:firstLine="0"/>
        <w:rPr>
          <w:b/>
        </w:rPr>
      </w:pPr>
      <w:r w:rsidRPr="000B0CBE">
        <w:rPr>
          <w:b/>
          <w:color w:val="0000FF"/>
        </w:rPr>
        <w:t xml:space="preserve">1a.4.2 </w:t>
      </w:r>
      <w:r w:rsidR="00837121" w:rsidRPr="003B1CC5">
        <w:rPr>
          <w:b/>
        </w:rPr>
        <w:t>What process was used to identify the evidence?</w:t>
      </w:r>
    </w:p>
    <w:p w14:paraId="44F64433" w14:textId="77777777" w:rsidR="0055063A" w:rsidRPr="003B1CC5" w:rsidRDefault="0055063A" w:rsidP="002E2177">
      <w:pPr>
        <w:ind w:left="0" w:firstLine="0"/>
      </w:pPr>
    </w:p>
    <w:p w14:paraId="55B8DA9D" w14:textId="23ACE70E"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3B28C307" w14:textId="77777777" w:rsidR="009E5A21" w:rsidRPr="001B772D" w:rsidRDefault="009E5A21" w:rsidP="002E2177">
      <w:pPr>
        <w:ind w:left="0" w:firstLine="0"/>
      </w:pPr>
    </w:p>
    <w:sectPr w:rsidR="009E5A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631A1" w14:textId="77777777" w:rsidR="00371364" w:rsidRDefault="00371364" w:rsidP="007E37A5">
      <w:r>
        <w:separator/>
      </w:r>
    </w:p>
  </w:endnote>
  <w:endnote w:type="continuationSeparator" w:id="0">
    <w:p w14:paraId="601F960C" w14:textId="77777777" w:rsidR="00371364" w:rsidRDefault="0037136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6F08D8ED"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42C80">
      <w:rPr>
        <w:noProof/>
      </w:rPr>
      <w:t>7</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D7607" w14:textId="77777777" w:rsidR="00371364" w:rsidRDefault="00371364" w:rsidP="007E37A5">
      <w:r>
        <w:separator/>
      </w:r>
    </w:p>
  </w:footnote>
  <w:footnote w:type="continuationSeparator" w:id="0">
    <w:p w14:paraId="7F42D117" w14:textId="77777777" w:rsidR="00371364" w:rsidRDefault="00371364"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B7F4F"/>
    <w:multiLevelType w:val="hybridMultilevel"/>
    <w:tmpl w:val="958C89EA"/>
    <w:lvl w:ilvl="0" w:tplc="55EA4B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EA6510"/>
    <w:multiLevelType w:val="hybridMultilevel"/>
    <w:tmpl w:val="98BAC030"/>
    <w:lvl w:ilvl="0" w:tplc="55EA4B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DB07F3"/>
    <w:multiLevelType w:val="hybridMultilevel"/>
    <w:tmpl w:val="495A5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34C1C"/>
    <w:multiLevelType w:val="hybridMultilevel"/>
    <w:tmpl w:val="430C7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4"/>
  </w:num>
  <w:num w:numId="5">
    <w:abstractNumId w:val="6"/>
  </w:num>
  <w:num w:numId="6">
    <w:abstractNumId w:val="5"/>
  </w:num>
  <w:num w:numId="7">
    <w:abstractNumId w:val="12"/>
  </w:num>
  <w:num w:numId="8">
    <w:abstractNumId w:val="11"/>
  </w:num>
  <w:num w:numId="9">
    <w:abstractNumId w:val="14"/>
  </w:num>
  <w:num w:numId="10">
    <w:abstractNumId w:val="1"/>
  </w:num>
  <w:num w:numId="11">
    <w:abstractNumId w:val="9"/>
  </w:num>
  <w:num w:numId="12">
    <w:abstractNumId w:val="8"/>
  </w:num>
  <w:num w:numId="13">
    <w:abstractNumId w:val="13"/>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4FBE"/>
    <w:rsid w:val="00015986"/>
    <w:rsid w:val="000160E6"/>
    <w:rsid w:val="00024526"/>
    <w:rsid w:val="00030F43"/>
    <w:rsid w:val="00040DCF"/>
    <w:rsid w:val="00052C0B"/>
    <w:rsid w:val="00061CF3"/>
    <w:rsid w:val="00063601"/>
    <w:rsid w:val="00073079"/>
    <w:rsid w:val="0007593F"/>
    <w:rsid w:val="00095EC9"/>
    <w:rsid w:val="00096A37"/>
    <w:rsid w:val="00096C86"/>
    <w:rsid w:val="000A0810"/>
    <w:rsid w:val="000A7917"/>
    <w:rsid w:val="000B0CBE"/>
    <w:rsid w:val="000B546B"/>
    <w:rsid w:val="000B627F"/>
    <w:rsid w:val="000D649E"/>
    <w:rsid w:val="000D6D06"/>
    <w:rsid w:val="000E5C93"/>
    <w:rsid w:val="000F4A7F"/>
    <w:rsid w:val="00102C02"/>
    <w:rsid w:val="00114848"/>
    <w:rsid w:val="00120908"/>
    <w:rsid w:val="00120934"/>
    <w:rsid w:val="0012435B"/>
    <w:rsid w:val="00132070"/>
    <w:rsid w:val="00133D61"/>
    <w:rsid w:val="00141875"/>
    <w:rsid w:val="0014307F"/>
    <w:rsid w:val="0014347E"/>
    <w:rsid w:val="00154438"/>
    <w:rsid w:val="001551F6"/>
    <w:rsid w:val="0015535B"/>
    <w:rsid w:val="00162036"/>
    <w:rsid w:val="001632DD"/>
    <w:rsid w:val="00176E60"/>
    <w:rsid w:val="00194913"/>
    <w:rsid w:val="00194D9A"/>
    <w:rsid w:val="001A196B"/>
    <w:rsid w:val="001A6D05"/>
    <w:rsid w:val="001B253C"/>
    <w:rsid w:val="001B38BF"/>
    <w:rsid w:val="001B772D"/>
    <w:rsid w:val="001D1ABB"/>
    <w:rsid w:val="001D5B5D"/>
    <w:rsid w:val="001E6153"/>
    <w:rsid w:val="001F43AB"/>
    <w:rsid w:val="00201FF9"/>
    <w:rsid w:val="00205857"/>
    <w:rsid w:val="00235ADC"/>
    <w:rsid w:val="00236F87"/>
    <w:rsid w:val="00265702"/>
    <w:rsid w:val="002662B2"/>
    <w:rsid w:val="002717C7"/>
    <w:rsid w:val="002875E9"/>
    <w:rsid w:val="00287EB3"/>
    <w:rsid w:val="002908FF"/>
    <w:rsid w:val="002A3C38"/>
    <w:rsid w:val="002A47BA"/>
    <w:rsid w:val="002A6777"/>
    <w:rsid w:val="002B06BD"/>
    <w:rsid w:val="002C0E48"/>
    <w:rsid w:val="002C6F04"/>
    <w:rsid w:val="002D5EA4"/>
    <w:rsid w:val="002D6D92"/>
    <w:rsid w:val="002E01FA"/>
    <w:rsid w:val="002E2177"/>
    <w:rsid w:val="002E2E41"/>
    <w:rsid w:val="002E37A0"/>
    <w:rsid w:val="002E78CD"/>
    <w:rsid w:val="002F20A7"/>
    <w:rsid w:val="002F4289"/>
    <w:rsid w:val="003008F4"/>
    <w:rsid w:val="00302B1D"/>
    <w:rsid w:val="00304788"/>
    <w:rsid w:val="00307FA5"/>
    <w:rsid w:val="00324D64"/>
    <w:rsid w:val="00352B52"/>
    <w:rsid w:val="0035760D"/>
    <w:rsid w:val="00363ECC"/>
    <w:rsid w:val="00371364"/>
    <w:rsid w:val="0038769B"/>
    <w:rsid w:val="0039020B"/>
    <w:rsid w:val="00395263"/>
    <w:rsid w:val="003956E0"/>
    <w:rsid w:val="0039609A"/>
    <w:rsid w:val="00397500"/>
    <w:rsid w:val="003A6235"/>
    <w:rsid w:val="003B1CC5"/>
    <w:rsid w:val="003B65CE"/>
    <w:rsid w:val="003D6721"/>
    <w:rsid w:val="003E039E"/>
    <w:rsid w:val="003E48F2"/>
    <w:rsid w:val="0040230E"/>
    <w:rsid w:val="0041159C"/>
    <w:rsid w:val="00411EA7"/>
    <w:rsid w:val="0041662F"/>
    <w:rsid w:val="00422917"/>
    <w:rsid w:val="00440687"/>
    <w:rsid w:val="0044131D"/>
    <w:rsid w:val="00441ADA"/>
    <w:rsid w:val="00442C80"/>
    <w:rsid w:val="00452A86"/>
    <w:rsid w:val="00457E46"/>
    <w:rsid w:val="0048232D"/>
    <w:rsid w:val="004832B8"/>
    <w:rsid w:val="004922E4"/>
    <w:rsid w:val="0049440A"/>
    <w:rsid w:val="00496AF8"/>
    <w:rsid w:val="004A575D"/>
    <w:rsid w:val="004B65C6"/>
    <w:rsid w:val="004D1DC7"/>
    <w:rsid w:val="004E7215"/>
    <w:rsid w:val="004F7D7E"/>
    <w:rsid w:val="00500B0C"/>
    <w:rsid w:val="00537150"/>
    <w:rsid w:val="00540984"/>
    <w:rsid w:val="00543851"/>
    <w:rsid w:val="0055063A"/>
    <w:rsid w:val="0055559D"/>
    <w:rsid w:val="005569AE"/>
    <w:rsid w:val="005857F8"/>
    <w:rsid w:val="005B0D18"/>
    <w:rsid w:val="005B12C3"/>
    <w:rsid w:val="005B409D"/>
    <w:rsid w:val="005D0FDB"/>
    <w:rsid w:val="005D25E9"/>
    <w:rsid w:val="005D6D59"/>
    <w:rsid w:val="00605A9A"/>
    <w:rsid w:val="0061327A"/>
    <w:rsid w:val="00617390"/>
    <w:rsid w:val="00623420"/>
    <w:rsid w:val="00634768"/>
    <w:rsid w:val="0063596F"/>
    <w:rsid w:val="006525A6"/>
    <w:rsid w:val="006709EB"/>
    <w:rsid w:val="00672824"/>
    <w:rsid w:val="00676BD4"/>
    <w:rsid w:val="0068184A"/>
    <w:rsid w:val="006A0249"/>
    <w:rsid w:val="006B5C51"/>
    <w:rsid w:val="006C7F30"/>
    <w:rsid w:val="006D43FF"/>
    <w:rsid w:val="006E6FDD"/>
    <w:rsid w:val="006F4B7F"/>
    <w:rsid w:val="006F760B"/>
    <w:rsid w:val="00701CC3"/>
    <w:rsid w:val="00710D15"/>
    <w:rsid w:val="00724801"/>
    <w:rsid w:val="00734949"/>
    <w:rsid w:val="00734DF6"/>
    <w:rsid w:val="00736AEC"/>
    <w:rsid w:val="00736E0F"/>
    <w:rsid w:val="007434FA"/>
    <w:rsid w:val="007573F0"/>
    <w:rsid w:val="00765156"/>
    <w:rsid w:val="00767669"/>
    <w:rsid w:val="00773485"/>
    <w:rsid w:val="00776E8F"/>
    <w:rsid w:val="00776F6D"/>
    <w:rsid w:val="007B289E"/>
    <w:rsid w:val="007C0297"/>
    <w:rsid w:val="007C1887"/>
    <w:rsid w:val="007D4775"/>
    <w:rsid w:val="007D5DC6"/>
    <w:rsid w:val="007D6B56"/>
    <w:rsid w:val="007E37A5"/>
    <w:rsid w:val="007E70D8"/>
    <w:rsid w:val="007F49D8"/>
    <w:rsid w:val="00805940"/>
    <w:rsid w:val="0081599C"/>
    <w:rsid w:val="0082642A"/>
    <w:rsid w:val="00835EFB"/>
    <w:rsid w:val="00837121"/>
    <w:rsid w:val="008471E5"/>
    <w:rsid w:val="00850C35"/>
    <w:rsid w:val="00851466"/>
    <w:rsid w:val="0086031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18A2"/>
    <w:rsid w:val="009633C0"/>
    <w:rsid w:val="00965FF6"/>
    <w:rsid w:val="009846D6"/>
    <w:rsid w:val="0098657F"/>
    <w:rsid w:val="009A3236"/>
    <w:rsid w:val="009B5A93"/>
    <w:rsid w:val="009B5BEA"/>
    <w:rsid w:val="009C291F"/>
    <w:rsid w:val="009E37BD"/>
    <w:rsid w:val="009E5A21"/>
    <w:rsid w:val="009E6B86"/>
    <w:rsid w:val="009E6F9C"/>
    <w:rsid w:val="00A03301"/>
    <w:rsid w:val="00A12762"/>
    <w:rsid w:val="00A13867"/>
    <w:rsid w:val="00A21970"/>
    <w:rsid w:val="00A26FED"/>
    <w:rsid w:val="00A278B9"/>
    <w:rsid w:val="00A421D4"/>
    <w:rsid w:val="00A44FF0"/>
    <w:rsid w:val="00A50E55"/>
    <w:rsid w:val="00A64B1A"/>
    <w:rsid w:val="00A67EB1"/>
    <w:rsid w:val="00A70DF7"/>
    <w:rsid w:val="00A9011D"/>
    <w:rsid w:val="00A904F5"/>
    <w:rsid w:val="00A91A47"/>
    <w:rsid w:val="00A95D2B"/>
    <w:rsid w:val="00AA5587"/>
    <w:rsid w:val="00AB0929"/>
    <w:rsid w:val="00AB4ECE"/>
    <w:rsid w:val="00AC1E53"/>
    <w:rsid w:val="00AD1AE4"/>
    <w:rsid w:val="00AD1E55"/>
    <w:rsid w:val="00AD5313"/>
    <w:rsid w:val="00AD79C8"/>
    <w:rsid w:val="00AE58DB"/>
    <w:rsid w:val="00AE6CE0"/>
    <w:rsid w:val="00AF4B69"/>
    <w:rsid w:val="00B058A6"/>
    <w:rsid w:val="00B117D0"/>
    <w:rsid w:val="00B13998"/>
    <w:rsid w:val="00B35C5F"/>
    <w:rsid w:val="00B439DD"/>
    <w:rsid w:val="00B52E0F"/>
    <w:rsid w:val="00B55640"/>
    <w:rsid w:val="00B74629"/>
    <w:rsid w:val="00B9197D"/>
    <w:rsid w:val="00B91F58"/>
    <w:rsid w:val="00BA4625"/>
    <w:rsid w:val="00BA579E"/>
    <w:rsid w:val="00BE2295"/>
    <w:rsid w:val="00BE2774"/>
    <w:rsid w:val="00BE6373"/>
    <w:rsid w:val="00BF2A9F"/>
    <w:rsid w:val="00BF533A"/>
    <w:rsid w:val="00C41794"/>
    <w:rsid w:val="00C46677"/>
    <w:rsid w:val="00C5180E"/>
    <w:rsid w:val="00C53D68"/>
    <w:rsid w:val="00C54E40"/>
    <w:rsid w:val="00C55F56"/>
    <w:rsid w:val="00C57BA4"/>
    <w:rsid w:val="00C613EB"/>
    <w:rsid w:val="00C70596"/>
    <w:rsid w:val="00C71C1A"/>
    <w:rsid w:val="00C82374"/>
    <w:rsid w:val="00C830F2"/>
    <w:rsid w:val="00C837B5"/>
    <w:rsid w:val="00C84623"/>
    <w:rsid w:val="00CB06C9"/>
    <w:rsid w:val="00CB1E41"/>
    <w:rsid w:val="00CB271C"/>
    <w:rsid w:val="00CC0F87"/>
    <w:rsid w:val="00CE4F96"/>
    <w:rsid w:val="00CF0AB1"/>
    <w:rsid w:val="00CF4B9B"/>
    <w:rsid w:val="00CF55E6"/>
    <w:rsid w:val="00CF772F"/>
    <w:rsid w:val="00D048DB"/>
    <w:rsid w:val="00D14F0B"/>
    <w:rsid w:val="00D178CA"/>
    <w:rsid w:val="00D252F1"/>
    <w:rsid w:val="00D3311C"/>
    <w:rsid w:val="00D53405"/>
    <w:rsid w:val="00D5457B"/>
    <w:rsid w:val="00D72995"/>
    <w:rsid w:val="00D73685"/>
    <w:rsid w:val="00DA254C"/>
    <w:rsid w:val="00DA7FA2"/>
    <w:rsid w:val="00DB2ED2"/>
    <w:rsid w:val="00DC2D8D"/>
    <w:rsid w:val="00DC7F67"/>
    <w:rsid w:val="00DD0946"/>
    <w:rsid w:val="00DE1F5D"/>
    <w:rsid w:val="00DE50D8"/>
    <w:rsid w:val="00DF278A"/>
    <w:rsid w:val="00E05199"/>
    <w:rsid w:val="00E1664B"/>
    <w:rsid w:val="00E30D12"/>
    <w:rsid w:val="00E3394E"/>
    <w:rsid w:val="00E35241"/>
    <w:rsid w:val="00E41417"/>
    <w:rsid w:val="00E42FAA"/>
    <w:rsid w:val="00E536D3"/>
    <w:rsid w:val="00E57B47"/>
    <w:rsid w:val="00E57BE2"/>
    <w:rsid w:val="00E62A95"/>
    <w:rsid w:val="00E746A2"/>
    <w:rsid w:val="00E90D06"/>
    <w:rsid w:val="00E97E59"/>
    <w:rsid w:val="00EA79C9"/>
    <w:rsid w:val="00EB66AC"/>
    <w:rsid w:val="00EC1225"/>
    <w:rsid w:val="00EC2247"/>
    <w:rsid w:val="00EC4C2E"/>
    <w:rsid w:val="00ED30C2"/>
    <w:rsid w:val="00EE1F87"/>
    <w:rsid w:val="00EE3931"/>
    <w:rsid w:val="00EE5AF6"/>
    <w:rsid w:val="00EF2CEF"/>
    <w:rsid w:val="00F1092D"/>
    <w:rsid w:val="00F42C20"/>
    <w:rsid w:val="00F431D8"/>
    <w:rsid w:val="00F63E8D"/>
    <w:rsid w:val="00F67706"/>
    <w:rsid w:val="00F81FE3"/>
    <w:rsid w:val="00F90F82"/>
    <w:rsid w:val="00F92D75"/>
    <w:rsid w:val="00F97327"/>
    <w:rsid w:val="00FA296F"/>
    <w:rsid w:val="00FA7323"/>
    <w:rsid w:val="00FB1299"/>
    <w:rsid w:val="00FC32D3"/>
    <w:rsid w:val="00FD0181"/>
    <w:rsid w:val="00FD4D82"/>
    <w:rsid w:val="00FE35B2"/>
    <w:rsid w:val="00FE57AE"/>
    <w:rsid w:val="00FF1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235364">
      <w:bodyDiv w:val="1"/>
      <w:marLeft w:val="0"/>
      <w:marRight w:val="0"/>
      <w:marTop w:val="0"/>
      <w:marBottom w:val="0"/>
      <w:divBdr>
        <w:top w:val="none" w:sz="0" w:space="0" w:color="auto"/>
        <w:left w:val="none" w:sz="0" w:space="0" w:color="auto"/>
        <w:bottom w:val="none" w:sz="0" w:space="0" w:color="auto"/>
        <w:right w:val="none" w:sz="0" w:space="0" w:color="auto"/>
      </w:divBdr>
    </w:div>
    <w:div w:id="170173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glossaryDocument" Target="glossary/document.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B478A3-EFEA-4046-97A4-4D5D474D4ED7}" type="doc">
      <dgm:prSet loTypeId="urn:microsoft.com/office/officeart/2005/8/layout/process1" loCatId="process" qsTypeId="urn:microsoft.com/office/officeart/2005/8/quickstyle/simple1" qsCatId="simple" csTypeId="urn:microsoft.com/office/officeart/2005/8/colors/accent1_2" csCatId="accent1" phldr="1"/>
      <dgm:spPr/>
    </dgm:pt>
    <dgm:pt modelId="{1E311F22-35BC-4E92-828B-C9570A1D2446}">
      <dgm:prSet phldrT="[Text]" custT="1"/>
      <dgm:spPr>
        <a:solidFill>
          <a:schemeClr val="bg1"/>
        </a:solidFill>
        <a:ln>
          <a:solidFill>
            <a:schemeClr val="accent2"/>
          </a:solidFill>
        </a:ln>
      </dgm:spPr>
      <dgm:t>
        <a:bodyPr/>
        <a:lstStyle/>
        <a:p>
          <a:r>
            <a:rPr lang="en-US" sz="1200">
              <a:solidFill>
                <a:srgbClr val="FF0000"/>
              </a:solidFill>
            </a:rPr>
            <a:t>Providers identify patients with schizophrenia or schizoaffective disorder who are not adherent to antipsychotic medication treatment</a:t>
          </a:r>
        </a:p>
      </dgm:t>
    </dgm:pt>
    <dgm:pt modelId="{6F214530-99A0-4305-BEFB-E0B14FB57C06}" type="parTrans" cxnId="{C577F1EA-4231-4E55-BA99-3E5505FEC6A9}">
      <dgm:prSet/>
      <dgm:spPr/>
      <dgm:t>
        <a:bodyPr/>
        <a:lstStyle/>
        <a:p>
          <a:endParaRPr lang="en-US">
            <a:solidFill>
              <a:srgbClr val="FF0000"/>
            </a:solidFill>
          </a:endParaRPr>
        </a:p>
      </dgm:t>
    </dgm:pt>
    <dgm:pt modelId="{328FE4B5-20B2-4A45-8CCE-A931E4BB0B97}" type="sibTrans" cxnId="{C577F1EA-4231-4E55-BA99-3E5505FEC6A9}">
      <dgm:prSet/>
      <dgm:spPr/>
      <dgm:t>
        <a:bodyPr/>
        <a:lstStyle/>
        <a:p>
          <a:endParaRPr lang="en-US">
            <a:solidFill>
              <a:srgbClr val="FF0000"/>
            </a:solidFill>
          </a:endParaRPr>
        </a:p>
      </dgm:t>
    </dgm:pt>
    <dgm:pt modelId="{D8BA4F06-E407-4CF0-9729-CF2393046E08}">
      <dgm:prSet phldrT="[Text]" custT="1">
        <dgm:style>
          <a:lnRef idx="2">
            <a:schemeClr val="dk1"/>
          </a:lnRef>
          <a:fillRef idx="1">
            <a:schemeClr val="lt1"/>
          </a:fillRef>
          <a:effectRef idx="0">
            <a:schemeClr val="dk1"/>
          </a:effectRef>
          <a:fontRef idx="minor">
            <a:schemeClr val="dk1"/>
          </a:fontRef>
        </dgm:style>
      </dgm:prSet>
      <dgm:spPr/>
      <dgm:t>
        <a:bodyPr/>
        <a:lstStyle/>
        <a:p>
          <a:r>
            <a:rPr lang="en-US" sz="1200">
              <a:solidFill>
                <a:srgbClr val="FF0000"/>
              </a:solidFill>
            </a:rPr>
            <a:t>Providers develop interventions to improve adherence for nonadherent patients and high-risk populations </a:t>
          </a:r>
        </a:p>
      </dgm:t>
    </dgm:pt>
    <dgm:pt modelId="{2342A805-276E-4D7A-B601-24428BA29DD7}" type="parTrans" cxnId="{BDD9E0F3-05ED-4566-A3B1-79931641422A}">
      <dgm:prSet/>
      <dgm:spPr/>
      <dgm:t>
        <a:bodyPr/>
        <a:lstStyle/>
        <a:p>
          <a:endParaRPr lang="en-US">
            <a:solidFill>
              <a:srgbClr val="FF0000"/>
            </a:solidFill>
          </a:endParaRPr>
        </a:p>
      </dgm:t>
    </dgm:pt>
    <dgm:pt modelId="{36691BE9-A04A-4748-849F-0C80091CB5C3}" type="sibTrans" cxnId="{BDD9E0F3-05ED-4566-A3B1-79931641422A}">
      <dgm:prSet/>
      <dgm:spPr/>
      <dgm:t>
        <a:bodyPr/>
        <a:lstStyle/>
        <a:p>
          <a:endParaRPr lang="en-US">
            <a:solidFill>
              <a:srgbClr val="FF0000"/>
            </a:solidFill>
          </a:endParaRPr>
        </a:p>
      </dgm:t>
    </dgm:pt>
    <dgm:pt modelId="{2E12825D-6AAF-484E-9F5E-8E1705D5FBDF}">
      <dgm:prSet phldrT="[Text]" custT="1">
        <dgm:style>
          <a:lnRef idx="2">
            <a:schemeClr val="dk1"/>
          </a:lnRef>
          <a:fillRef idx="1">
            <a:schemeClr val="lt1"/>
          </a:fillRef>
          <a:effectRef idx="0">
            <a:schemeClr val="dk1"/>
          </a:effectRef>
          <a:fontRef idx="minor">
            <a:schemeClr val="dk1"/>
          </a:fontRef>
        </dgm:style>
      </dgm:prSet>
      <dgm:spPr/>
      <dgm:t>
        <a:bodyPr/>
        <a:lstStyle/>
        <a:p>
          <a:r>
            <a:rPr lang="en-US" sz="1200">
              <a:solidFill>
                <a:srgbClr val="FF0000"/>
              </a:solidFill>
            </a:rPr>
            <a:t>Improved symptom control for individuals and a reduction in hospitalization</a:t>
          </a:r>
        </a:p>
      </dgm:t>
    </dgm:pt>
    <dgm:pt modelId="{EA725E08-EBC8-4B93-9ED5-B76CDC51BE59}" type="parTrans" cxnId="{54C35A99-1C58-43A2-A747-725503E4436F}">
      <dgm:prSet/>
      <dgm:spPr/>
      <dgm:t>
        <a:bodyPr/>
        <a:lstStyle/>
        <a:p>
          <a:endParaRPr lang="en-US">
            <a:solidFill>
              <a:srgbClr val="FF0000"/>
            </a:solidFill>
          </a:endParaRPr>
        </a:p>
      </dgm:t>
    </dgm:pt>
    <dgm:pt modelId="{545D2D75-1A7B-4AFB-A562-5FCB28B8CCB3}" type="sibTrans" cxnId="{54C35A99-1C58-43A2-A747-725503E4436F}">
      <dgm:prSet/>
      <dgm:spPr/>
      <dgm:t>
        <a:bodyPr/>
        <a:lstStyle/>
        <a:p>
          <a:endParaRPr lang="en-US">
            <a:solidFill>
              <a:srgbClr val="FF0000"/>
            </a:solidFill>
          </a:endParaRPr>
        </a:p>
      </dgm:t>
    </dgm:pt>
    <dgm:pt modelId="{8095190C-43A8-4C87-BBDB-3727F2B53676}">
      <dgm:prSet custT="1">
        <dgm:style>
          <a:lnRef idx="2">
            <a:schemeClr val="dk1"/>
          </a:lnRef>
          <a:fillRef idx="1">
            <a:schemeClr val="lt1"/>
          </a:fillRef>
          <a:effectRef idx="0">
            <a:schemeClr val="dk1"/>
          </a:effectRef>
          <a:fontRef idx="minor">
            <a:schemeClr val="dk1"/>
          </a:fontRef>
        </dgm:style>
      </dgm:prSet>
      <dgm:spPr>
        <a:ln>
          <a:solidFill>
            <a:schemeClr val="tx1"/>
          </a:solidFill>
        </a:ln>
      </dgm:spPr>
      <dgm:t>
        <a:bodyPr/>
        <a:lstStyle/>
        <a:p>
          <a:r>
            <a:rPr lang="en-US" sz="1200">
              <a:solidFill>
                <a:srgbClr val="FF0000"/>
              </a:solidFill>
            </a:rPr>
            <a:t>Improved medication adherence for nonahderent patients and high-risk populations</a:t>
          </a:r>
        </a:p>
      </dgm:t>
    </dgm:pt>
    <dgm:pt modelId="{229DD202-9AAD-4C3A-A2E7-390EEF2D9657}" type="parTrans" cxnId="{EEF41B54-3DC3-45D2-821F-1300C7A50514}">
      <dgm:prSet/>
      <dgm:spPr/>
      <dgm:t>
        <a:bodyPr/>
        <a:lstStyle/>
        <a:p>
          <a:endParaRPr lang="en-US">
            <a:solidFill>
              <a:srgbClr val="FF0000"/>
            </a:solidFill>
          </a:endParaRPr>
        </a:p>
      </dgm:t>
    </dgm:pt>
    <dgm:pt modelId="{03206A41-97AF-468B-B65A-402A7546497C}" type="sibTrans" cxnId="{EEF41B54-3DC3-45D2-821F-1300C7A50514}">
      <dgm:prSet/>
      <dgm:spPr/>
      <dgm:t>
        <a:bodyPr/>
        <a:lstStyle/>
        <a:p>
          <a:endParaRPr lang="en-US">
            <a:solidFill>
              <a:srgbClr val="FF0000"/>
            </a:solidFill>
          </a:endParaRPr>
        </a:p>
      </dgm:t>
    </dgm:pt>
    <dgm:pt modelId="{8F42030F-2941-4E71-9767-6A1B99E5F04C}" type="pres">
      <dgm:prSet presAssocID="{CEB478A3-EFEA-4046-97A4-4D5D474D4ED7}" presName="Name0" presStyleCnt="0">
        <dgm:presLayoutVars>
          <dgm:dir/>
          <dgm:resizeHandles val="exact"/>
        </dgm:presLayoutVars>
      </dgm:prSet>
      <dgm:spPr/>
    </dgm:pt>
    <dgm:pt modelId="{A149BC69-A3E3-49D8-B860-8E06ACCF0F12}" type="pres">
      <dgm:prSet presAssocID="{1E311F22-35BC-4E92-828B-C9570A1D2446}" presName="node" presStyleLbl="node1" presStyleIdx="0" presStyleCnt="4">
        <dgm:presLayoutVars>
          <dgm:bulletEnabled val="1"/>
        </dgm:presLayoutVars>
      </dgm:prSet>
      <dgm:spPr/>
    </dgm:pt>
    <dgm:pt modelId="{EDEB3F6F-F210-46DB-ABD4-D76E7AAB86AF}" type="pres">
      <dgm:prSet presAssocID="{328FE4B5-20B2-4A45-8CCE-A931E4BB0B97}" presName="sibTrans" presStyleLbl="sibTrans2D1" presStyleIdx="0" presStyleCnt="3"/>
      <dgm:spPr/>
    </dgm:pt>
    <dgm:pt modelId="{05BCE02E-5192-4303-A79A-B1E49C252A04}" type="pres">
      <dgm:prSet presAssocID="{328FE4B5-20B2-4A45-8CCE-A931E4BB0B97}" presName="connectorText" presStyleLbl="sibTrans2D1" presStyleIdx="0" presStyleCnt="3"/>
      <dgm:spPr/>
    </dgm:pt>
    <dgm:pt modelId="{C5196F45-DDFF-4CA2-835F-2D73971A61C8}" type="pres">
      <dgm:prSet presAssocID="{D8BA4F06-E407-4CF0-9729-CF2393046E08}" presName="node" presStyleLbl="node1" presStyleIdx="1" presStyleCnt="4">
        <dgm:presLayoutVars>
          <dgm:bulletEnabled val="1"/>
        </dgm:presLayoutVars>
      </dgm:prSet>
      <dgm:spPr/>
    </dgm:pt>
    <dgm:pt modelId="{123D770C-F10B-466C-9DF1-DFB30AD16B84}" type="pres">
      <dgm:prSet presAssocID="{36691BE9-A04A-4748-849F-0C80091CB5C3}" presName="sibTrans" presStyleLbl="sibTrans2D1" presStyleIdx="1" presStyleCnt="3"/>
      <dgm:spPr/>
    </dgm:pt>
    <dgm:pt modelId="{5939DD1E-376D-46BB-879C-8B2DB67B9195}" type="pres">
      <dgm:prSet presAssocID="{36691BE9-A04A-4748-849F-0C80091CB5C3}" presName="connectorText" presStyleLbl="sibTrans2D1" presStyleIdx="1" presStyleCnt="3"/>
      <dgm:spPr/>
    </dgm:pt>
    <dgm:pt modelId="{362A6A92-9E41-49BB-A79F-4723700C79BF}" type="pres">
      <dgm:prSet presAssocID="{8095190C-43A8-4C87-BBDB-3727F2B53676}" presName="node" presStyleLbl="node1" presStyleIdx="2" presStyleCnt="4">
        <dgm:presLayoutVars>
          <dgm:bulletEnabled val="1"/>
        </dgm:presLayoutVars>
      </dgm:prSet>
      <dgm:spPr/>
    </dgm:pt>
    <dgm:pt modelId="{92713436-8FCB-42F0-8ED1-74822773F92D}" type="pres">
      <dgm:prSet presAssocID="{03206A41-97AF-468B-B65A-402A7546497C}" presName="sibTrans" presStyleLbl="sibTrans2D1" presStyleIdx="2" presStyleCnt="3"/>
      <dgm:spPr/>
    </dgm:pt>
    <dgm:pt modelId="{86317E43-C2BF-4265-8F76-B3FCF9A73F89}" type="pres">
      <dgm:prSet presAssocID="{03206A41-97AF-468B-B65A-402A7546497C}" presName="connectorText" presStyleLbl="sibTrans2D1" presStyleIdx="2" presStyleCnt="3"/>
      <dgm:spPr/>
    </dgm:pt>
    <dgm:pt modelId="{D0DA0A08-C830-4009-A99B-502D78C06E9E}" type="pres">
      <dgm:prSet presAssocID="{2E12825D-6AAF-484E-9F5E-8E1705D5FBDF}" presName="node" presStyleLbl="node1" presStyleIdx="3" presStyleCnt="4">
        <dgm:presLayoutVars>
          <dgm:bulletEnabled val="1"/>
        </dgm:presLayoutVars>
      </dgm:prSet>
      <dgm:spPr/>
    </dgm:pt>
  </dgm:ptLst>
  <dgm:cxnLst>
    <dgm:cxn modelId="{48FE851D-6C7C-4564-B7F1-07F078C489B7}" type="presOf" srcId="{03206A41-97AF-468B-B65A-402A7546497C}" destId="{92713436-8FCB-42F0-8ED1-74822773F92D}" srcOrd="0" destOrd="0" presId="urn:microsoft.com/office/officeart/2005/8/layout/process1"/>
    <dgm:cxn modelId="{85F51320-4FC1-4A06-8F37-821887473A92}" type="presOf" srcId="{328FE4B5-20B2-4A45-8CCE-A931E4BB0B97}" destId="{05BCE02E-5192-4303-A79A-B1E49C252A04}" srcOrd="1" destOrd="0" presId="urn:microsoft.com/office/officeart/2005/8/layout/process1"/>
    <dgm:cxn modelId="{F29E9573-3672-4029-A053-7C8C54605F96}" type="presOf" srcId="{03206A41-97AF-468B-B65A-402A7546497C}" destId="{86317E43-C2BF-4265-8F76-B3FCF9A73F89}" srcOrd="1" destOrd="0" presId="urn:microsoft.com/office/officeart/2005/8/layout/process1"/>
    <dgm:cxn modelId="{EEF41B54-3DC3-45D2-821F-1300C7A50514}" srcId="{CEB478A3-EFEA-4046-97A4-4D5D474D4ED7}" destId="{8095190C-43A8-4C87-BBDB-3727F2B53676}" srcOrd="2" destOrd="0" parTransId="{229DD202-9AAD-4C3A-A2E7-390EEF2D9657}" sibTransId="{03206A41-97AF-468B-B65A-402A7546497C}"/>
    <dgm:cxn modelId="{59F64691-1788-47D1-85A5-4F174F142F22}" type="presOf" srcId="{2E12825D-6AAF-484E-9F5E-8E1705D5FBDF}" destId="{D0DA0A08-C830-4009-A99B-502D78C06E9E}" srcOrd="0" destOrd="0" presId="urn:microsoft.com/office/officeart/2005/8/layout/process1"/>
    <dgm:cxn modelId="{54C35A99-1C58-43A2-A747-725503E4436F}" srcId="{CEB478A3-EFEA-4046-97A4-4D5D474D4ED7}" destId="{2E12825D-6AAF-484E-9F5E-8E1705D5FBDF}" srcOrd="3" destOrd="0" parTransId="{EA725E08-EBC8-4B93-9ED5-B76CDC51BE59}" sibTransId="{545D2D75-1A7B-4AFB-A562-5FCB28B8CCB3}"/>
    <dgm:cxn modelId="{51ADC0A2-DB70-4483-98C7-8142BBDC5E36}" type="presOf" srcId="{328FE4B5-20B2-4A45-8CCE-A931E4BB0B97}" destId="{EDEB3F6F-F210-46DB-ABD4-D76E7AAB86AF}" srcOrd="0" destOrd="0" presId="urn:microsoft.com/office/officeart/2005/8/layout/process1"/>
    <dgm:cxn modelId="{46F2ADAE-B096-41C5-B18A-2363E3C3D254}" type="presOf" srcId="{8095190C-43A8-4C87-BBDB-3727F2B53676}" destId="{362A6A92-9E41-49BB-A79F-4723700C79BF}" srcOrd="0" destOrd="0" presId="urn:microsoft.com/office/officeart/2005/8/layout/process1"/>
    <dgm:cxn modelId="{E8258CBD-46F6-41D0-878D-3AAF3A538C6B}" type="presOf" srcId="{36691BE9-A04A-4748-849F-0C80091CB5C3}" destId="{123D770C-F10B-466C-9DF1-DFB30AD16B84}" srcOrd="0" destOrd="0" presId="urn:microsoft.com/office/officeart/2005/8/layout/process1"/>
    <dgm:cxn modelId="{17AAAFC7-C367-4E5B-81F7-BE25D7D0E6D0}" type="presOf" srcId="{1E311F22-35BC-4E92-828B-C9570A1D2446}" destId="{A149BC69-A3E3-49D8-B860-8E06ACCF0F12}" srcOrd="0" destOrd="0" presId="urn:microsoft.com/office/officeart/2005/8/layout/process1"/>
    <dgm:cxn modelId="{697C1ACE-4E3A-474E-A9DE-F394AB54F0FC}" type="presOf" srcId="{CEB478A3-EFEA-4046-97A4-4D5D474D4ED7}" destId="{8F42030F-2941-4E71-9767-6A1B99E5F04C}" srcOrd="0" destOrd="0" presId="urn:microsoft.com/office/officeart/2005/8/layout/process1"/>
    <dgm:cxn modelId="{65CF2DDA-152A-4BC5-89BE-2391FF6935BA}" type="presOf" srcId="{D8BA4F06-E407-4CF0-9729-CF2393046E08}" destId="{C5196F45-DDFF-4CA2-835F-2D73971A61C8}" srcOrd="0" destOrd="0" presId="urn:microsoft.com/office/officeart/2005/8/layout/process1"/>
    <dgm:cxn modelId="{A2D9C5E4-CC96-402F-BC5D-5CDBBAADAADC}" type="presOf" srcId="{36691BE9-A04A-4748-849F-0C80091CB5C3}" destId="{5939DD1E-376D-46BB-879C-8B2DB67B9195}" srcOrd="1" destOrd="0" presId="urn:microsoft.com/office/officeart/2005/8/layout/process1"/>
    <dgm:cxn modelId="{C577F1EA-4231-4E55-BA99-3E5505FEC6A9}" srcId="{CEB478A3-EFEA-4046-97A4-4D5D474D4ED7}" destId="{1E311F22-35BC-4E92-828B-C9570A1D2446}" srcOrd="0" destOrd="0" parTransId="{6F214530-99A0-4305-BEFB-E0B14FB57C06}" sibTransId="{328FE4B5-20B2-4A45-8CCE-A931E4BB0B97}"/>
    <dgm:cxn modelId="{BDD9E0F3-05ED-4566-A3B1-79931641422A}" srcId="{CEB478A3-EFEA-4046-97A4-4D5D474D4ED7}" destId="{D8BA4F06-E407-4CF0-9729-CF2393046E08}" srcOrd="1" destOrd="0" parTransId="{2342A805-276E-4D7A-B601-24428BA29DD7}" sibTransId="{36691BE9-A04A-4748-849F-0C80091CB5C3}"/>
    <dgm:cxn modelId="{93E032C6-A3EB-4F05-8759-692FE62AE170}" type="presParOf" srcId="{8F42030F-2941-4E71-9767-6A1B99E5F04C}" destId="{A149BC69-A3E3-49D8-B860-8E06ACCF0F12}" srcOrd="0" destOrd="0" presId="urn:microsoft.com/office/officeart/2005/8/layout/process1"/>
    <dgm:cxn modelId="{8A5B8AF2-D959-4880-883D-6E0631CB7190}" type="presParOf" srcId="{8F42030F-2941-4E71-9767-6A1B99E5F04C}" destId="{EDEB3F6F-F210-46DB-ABD4-D76E7AAB86AF}" srcOrd="1" destOrd="0" presId="urn:microsoft.com/office/officeart/2005/8/layout/process1"/>
    <dgm:cxn modelId="{8FB673C5-385A-4509-B37E-BFAD7335764F}" type="presParOf" srcId="{EDEB3F6F-F210-46DB-ABD4-D76E7AAB86AF}" destId="{05BCE02E-5192-4303-A79A-B1E49C252A04}" srcOrd="0" destOrd="0" presId="urn:microsoft.com/office/officeart/2005/8/layout/process1"/>
    <dgm:cxn modelId="{7B56BADF-A626-428B-84B2-CEABBF550903}" type="presParOf" srcId="{8F42030F-2941-4E71-9767-6A1B99E5F04C}" destId="{C5196F45-DDFF-4CA2-835F-2D73971A61C8}" srcOrd="2" destOrd="0" presId="urn:microsoft.com/office/officeart/2005/8/layout/process1"/>
    <dgm:cxn modelId="{9B13961A-0C95-4547-8AA1-73A5A4A64255}" type="presParOf" srcId="{8F42030F-2941-4E71-9767-6A1B99E5F04C}" destId="{123D770C-F10B-466C-9DF1-DFB30AD16B84}" srcOrd="3" destOrd="0" presId="urn:microsoft.com/office/officeart/2005/8/layout/process1"/>
    <dgm:cxn modelId="{052EAF4A-751D-4284-8029-AE1540C9DB47}" type="presParOf" srcId="{123D770C-F10B-466C-9DF1-DFB30AD16B84}" destId="{5939DD1E-376D-46BB-879C-8B2DB67B9195}" srcOrd="0" destOrd="0" presId="urn:microsoft.com/office/officeart/2005/8/layout/process1"/>
    <dgm:cxn modelId="{C97B2918-CFCB-468F-8FBE-E4896D799082}" type="presParOf" srcId="{8F42030F-2941-4E71-9767-6A1B99E5F04C}" destId="{362A6A92-9E41-49BB-A79F-4723700C79BF}" srcOrd="4" destOrd="0" presId="urn:microsoft.com/office/officeart/2005/8/layout/process1"/>
    <dgm:cxn modelId="{D84D4977-4510-45D5-984B-4D10CC87B0EA}" type="presParOf" srcId="{8F42030F-2941-4E71-9767-6A1B99E5F04C}" destId="{92713436-8FCB-42F0-8ED1-74822773F92D}" srcOrd="5" destOrd="0" presId="urn:microsoft.com/office/officeart/2005/8/layout/process1"/>
    <dgm:cxn modelId="{FDFDACEA-600F-46CB-821F-3CAD7479B496}" type="presParOf" srcId="{92713436-8FCB-42F0-8ED1-74822773F92D}" destId="{86317E43-C2BF-4265-8F76-B3FCF9A73F89}" srcOrd="0" destOrd="0" presId="urn:microsoft.com/office/officeart/2005/8/layout/process1"/>
    <dgm:cxn modelId="{4E776A16-6208-491B-B1E1-69D109B891BE}" type="presParOf" srcId="{8F42030F-2941-4E71-9767-6A1B99E5F04C}" destId="{D0DA0A08-C830-4009-A99B-502D78C06E9E}" srcOrd="6"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49BC69-A3E3-49D8-B860-8E06ACCF0F12}">
      <dsp:nvSpPr>
        <dsp:cNvPr id="0" name=""/>
        <dsp:cNvSpPr/>
      </dsp:nvSpPr>
      <dsp:spPr>
        <a:xfrm>
          <a:off x="5433" y="0"/>
          <a:ext cx="1124790" cy="2076450"/>
        </a:xfrm>
        <a:prstGeom prst="roundRect">
          <a:avLst>
            <a:gd name="adj" fmla="val 10000"/>
          </a:avLst>
        </a:prstGeom>
        <a:solidFill>
          <a:schemeClr val="bg1"/>
        </a:solidFill>
        <a:ln w="25400" cap="flat" cmpd="sng" algn="ctr">
          <a:solidFill>
            <a:schemeClr val="accent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Providers identify patients with schizophrenia or schizoaffective disorder who are not adherent to antipsychotic medication treatment</a:t>
          </a:r>
        </a:p>
      </dsp:txBody>
      <dsp:txXfrm>
        <a:off x="38377" y="32944"/>
        <a:ext cx="1058902" cy="2010562"/>
      </dsp:txXfrm>
    </dsp:sp>
    <dsp:sp modelId="{EDEB3F6F-F210-46DB-ABD4-D76E7AAB86AF}">
      <dsp:nvSpPr>
        <dsp:cNvPr id="0" name=""/>
        <dsp:cNvSpPr/>
      </dsp:nvSpPr>
      <dsp:spPr>
        <a:xfrm>
          <a:off x="1242703" y="898750"/>
          <a:ext cx="238455" cy="278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rgbClr val="FF0000"/>
            </a:solidFill>
          </a:endParaRPr>
        </a:p>
      </dsp:txBody>
      <dsp:txXfrm>
        <a:off x="1242703" y="954540"/>
        <a:ext cx="166919" cy="167368"/>
      </dsp:txXfrm>
    </dsp:sp>
    <dsp:sp modelId="{C5196F45-DDFF-4CA2-835F-2D73971A61C8}">
      <dsp:nvSpPr>
        <dsp:cNvPr id="0" name=""/>
        <dsp:cNvSpPr/>
      </dsp:nvSpPr>
      <dsp:spPr>
        <a:xfrm>
          <a:off x="1580140" y="0"/>
          <a:ext cx="1124790" cy="2076450"/>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Providers develop interventions to improve adherence for nonadherent patients and high-risk populations </a:t>
          </a:r>
        </a:p>
      </dsp:txBody>
      <dsp:txXfrm>
        <a:off x="1613084" y="32944"/>
        <a:ext cx="1058902" cy="2010562"/>
      </dsp:txXfrm>
    </dsp:sp>
    <dsp:sp modelId="{123D770C-F10B-466C-9DF1-DFB30AD16B84}">
      <dsp:nvSpPr>
        <dsp:cNvPr id="0" name=""/>
        <dsp:cNvSpPr/>
      </dsp:nvSpPr>
      <dsp:spPr>
        <a:xfrm>
          <a:off x="2817410" y="898750"/>
          <a:ext cx="238455" cy="278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rgbClr val="FF0000"/>
            </a:solidFill>
          </a:endParaRPr>
        </a:p>
      </dsp:txBody>
      <dsp:txXfrm>
        <a:off x="2817410" y="954540"/>
        <a:ext cx="166919" cy="167368"/>
      </dsp:txXfrm>
    </dsp:sp>
    <dsp:sp modelId="{362A6A92-9E41-49BB-A79F-4723700C79BF}">
      <dsp:nvSpPr>
        <dsp:cNvPr id="0" name=""/>
        <dsp:cNvSpPr/>
      </dsp:nvSpPr>
      <dsp:spPr>
        <a:xfrm>
          <a:off x="3154848" y="0"/>
          <a:ext cx="1124790" cy="2076450"/>
        </a:xfrm>
        <a:prstGeom prst="roundRect">
          <a:avLst>
            <a:gd name="adj" fmla="val 10000"/>
          </a:avLst>
        </a:prstGeom>
        <a:solidFill>
          <a:schemeClr val="lt1"/>
        </a:solidFill>
        <a:ln w="25400" cap="flat" cmpd="sng" algn="ctr">
          <a:solidFill>
            <a:schemeClr val="tx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Improved medication adherence for nonahderent patients and high-risk populations</a:t>
          </a:r>
        </a:p>
      </dsp:txBody>
      <dsp:txXfrm>
        <a:off x="3187792" y="32944"/>
        <a:ext cx="1058902" cy="2010562"/>
      </dsp:txXfrm>
    </dsp:sp>
    <dsp:sp modelId="{92713436-8FCB-42F0-8ED1-74822773F92D}">
      <dsp:nvSpPr>
        <dsp:cNvPr id="0" name=""/>
        <dsp:cNvSpPr/>
      </dsp:nvSpPr>
      <dsp:spPr>
        <a:xfrm>
          <a:off x="4392118" y="898750"/>
          <a:ext cx="238455" cy="27894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US" sz="1100" kern="1200">
            <a:solidFill>
              <a:srgbClr val="FF0000"/>
            </a:solidFill>
          </a:endParaRPr>
        </a:p>
      </dsp:txBody>
      <dsp:txXfrm>
        <a:off x="4392118" y="954540"/>
        <a:ext cx="166919" cy="167368"/>
      </dsp:txXfrm>
    </dsp:sp>
    <dsp:sp modelId="{D0DA0A08-C830-4009-A99B-502D78C06E9E}">
      <dsp:nvSpPr>
        <dsp:cNvPr id="0" name=""/>
        <dsp:cNvSpPr/>
      </dsp:nvSpPr>
      <dsp:spPr>
        <a:xfrm>
          <a:off x="4729555" y="0"/>
          <a:ext cx="1124790" cy="2076450"/>
        </a:xfrm>
        <a:prstGeom prst="roundRect">
          <a:avLst>
            <a:gd name="adj" fmla="val 10000"/>
          </a:avLst>
        </a:prstGeom>
        <a:solidFill>
          <a:schemeClr val="lt1"/>
        </a:solidFill>
        <a:ln w="254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rgbClr val="FF0000"/>
              </a:solidFill>
            </a:rPr>
            <a:t>Improved symptom control for individuals and a reduction in hospitalization</a:t>
          </a:r>
        </a:p>
      </dsp:txBody>
      <dsp:txXfrm>
        <a:off x="4762499" y="32944"/>
        <a:ext cx="1058902" cy="201056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4952"/>
    <w:rsid w:val="00455EB5"/>
    <w:rsid w:val="00461C1C"/>
    <w:rsid w:val="004E2027"/>
    <w:rsid w:val="005F21F3"/>
    <w:rsid w:val="005F4432"/>
    <w:rsid w:val="008646C4"/>
    <w:rsid w:val="008F6A9B"/>
    <w:rsid w:val="00A77B15"/>
    <w:rsid w:val="00BD6BAF"/>
    <w:rsid w:val="00BE0F2D"/>
    <w:rsid w:val="00C03643"/>
    <w:rsid w:val="00C2797F"/>
    <w:rsid w:val="00C80225"/>
    <w:rsid w:val="00CB539A"/>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FEBF882BC8624788382D97AE25826D" ma:contentTypeVersion="6" ma:contentTypeDescription="Create a new document." ma:contentTypeScope="" ma:versionID="0470c51e2f9a57dbecb718c684d0e3a5">
  <xsd:schema xmlns:xsd="http://www.w3.org/2001/XMLSchema" xmlns:xs="http://www.w3.org/2001/XMLSchema" xmlns:p="http://schemas.microsoft.com/office/2006/metadata/properties" xmlns:ns2="6fa9b19c-491d-46f8-b26f-37ea675d2041" xmlns:ns3="d4d02dbe-c0a8-4490-b3b1-185567f8410f" targetNamespace="http://schemas.microsoft.com/office/2006/metadata/properties" ma:root="true" ma:fieldsID="ea6879d336e9f0d70de60b0d89873b82" ns2:_="" ns3:_="">
    <xsd:import namespace="6fa9b19c-491d-46f8-b26f-37ea675d2041"/>
    <xsd:import namespace="d4d02dbe-c0a8-4490-b3b1-185567f8410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4d02dbe-c0a8-4490-b3b1-185567f8410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B5623-A1DA-4A23-9359-F8FA9AC4E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9b19c-491d-46f8-b26f-37ea675d2041"/>
    <ds:schemaRef ds:uri="d4d02dbe-c0a8-4490-b3b1-185567f84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70B95627-B197-4883-B029-86843F71D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2380</Words>
  <Characters>13566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Lyndsey Nguyen</cp:lastModifiedBy>
  <cp:revision>3</cp:revision>
  <dcterms:created xsi:type="dcterms:W3CDTF">2018-05-09T15:07:00Z</dcterms:created>
  <dcterms:modified xsi:type="dcterms:W3CDTF">2018-05-09T15:12:00Z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0x01010012FEBF882BC8624788382D97AE25826D</vt:lpwstr>
  </property>
  <property fmtid="{D5CDD505-2E9C-101B-9397-08002B2CF9AE}" pid="3" name="_NewReviewCycle">
    <vt:lpwstr/>
  </property>
  <property fmtid="{D5CDD505-2E9C-101B-9397-08002B2CF9AE}" pid="4" name="_AdHocReviewCycleID">
    <vt:i4>1185492808</vt:i4>
  </property>
  <property fmtid="{D5CDD505-2E9C-101B-9397-08002B2CF9AE}" pid="5" name="_EmailSubject">
    <vt:lpwstr>NQF materials for #1879 and #1880 - REVIEWED BY CMS</vt:lpwstr>
  </property>
  <property fmtid="{D5CDD505-2E9C-101B-9397-08002B2CF9AE}" pid="6" name="_AuthorEmail">
    <vt:lpwstr>Elizabeth.Ricksecker@cms.hhs.gov</vt:lpwstr>
  </property>
  <property fmtid="{D5CDD505-2E9C-101B-9397-08002B2CF9AE}" pid="7" name="_AuthorEmailDisplayName">
    <vt:lpwstr>Ricksecker, Elizabeth G. (CMS/FCHCO)</vt:lpwstr>
  </property>
  <property fmtid="{D5CDD505-2E9C-101B-9397-08002B2CF9AE}" pid="8" name="_ReviewingToolsShownOnce">
    <vt:lpwstr/>
  </property>
</Properties>
</file>