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90A6A">
            <w:rPr>
              <w:rStyle w:val="Style1"/>
            </w:rPr>
            <w:t>1885</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583A3D">
            <w:rPr>
              <w:rStyle w:val="Style1"/>
              <w:rFonts w:cstheme="minorHAnsi"/>
            </w:rPr>
            <w:t>Depression R</w:t>
          </w:r>
          <w:r w:rsidR="00490A6A">
            <w:rPr>
              <w:rStyle w:val="Style1"/>
              <w:rFonts w:cstheme="minorHAnsi"/>
            </w:rPr>
            <w:t>esponse</w:t>
          </w:r>
          <w:r w:rsidR="00583A3D">
            <w:rPr>
              <w:rStyle w:val="Style1"/>
              <w:rFonts w:cstheme="minorHAnsi"/>
            </w:rPr>
            <w:t xml:space="preserve"> at Twelve </w:t>
          </w:r>
          <w:r w:rsidR="007A0BD6">
            <w:rPr>
              <w:rStyle w:val="Style1"/>
              <w:rFonts w:cstheme="minorHAnsi"/>
            </w:rPr>
            <w:t>Months</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6-12-01T00:00:00Z">
            <w:dateFormat w:val="M/d/yyyy"/>
            <w:lid w:val="en-US"/>
            <w:storeMappedDataAs w:val="dateTime"/>
            <w:calendar w:val="gregorian"/>
          </w:date>
        </w:sdtPr>
        <w:sdtEndPr>
          <w:rPr>
            <w:rStyle w:val="DefaultParagraphFont"/>
            <w:noProof/>
            <w:color w:val="auto"/>
            <w:u w:val="none"/>
          </w:rPr>
        </w:sdtEndPr>
        <w:sdtContent>
          <w:r w:rsidR="005B4786">
            <w:rPr>
              <w:rStyle w:val="Style2"/>
              <w:rFonts w:cstheme="minorHAnsi"/>
            </w:rPr>
            <w:t>12/1/2016</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rsidTr="000B3880">
        <w:trPr>
          <w:jc w:val="center"/>
        </w:trPr>
        <w:tc>
          <w:tcPr>
            <w:tcW w:w="2547" w:type="pct"/>
          </w:tcPr>
          <w:p w:rsidR="00CD364B" w:rsidRPr="00B82A57" w:rsidRDefault="00D57C0F"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D57C0F"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D57C0F"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D57C0F"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D57C0F"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D57C0F"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7"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rsidTr="005B4786">
        <w:trPr>
          <w:jc w:val="center"/>
        </w:trPr>
        <w:tc>
          <w:tcPr>
            <w:tcW w:w="10285"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Pr="00A831B4">
              <w:rPr>
                <w:rFonts w:cstheme="minorHAnsi"/>
                <w:sz w:val="20"/>
                <w:szCs w:val="20"/>
              </w:rPr>
              <w:lastRenderedPageBreak/>
              <w:t>$5,025) is practically meaningful. Measures with overall less-than-optimal performance may not demonstrate much variability across providers.</w:t>
            </w:r>
          </w:p>
        </w:tc>
      </w:tr>
    </w:tbl>
    <w:p w:rsidR="005B4786" w:rsidRDefault="005B4786" w:rsidP="005B4786">
      <w:pPr>
        <w:spacing w:before="120" w:after="120" w:line="240" w:lineRule="auto"/>
        <w:rPr>
          <w:rFonts w:ascii="Calibri" w:eastAsia="Times New Roman" w:hAnsi="Calibri" w:cs="Times New Roman"/>
          <w:color w:val="FF0000"/>
          <w:lang w:val="en"/>
        </w:rPr>
      </w:pPr>
      <w:r w:rsidRPr="00D615FB">
        <w:rPr>
          <w:rFonts w:ascii="Calibri" w:eastAsia="Times New Roman" w:hAnsi="Calibri" w:cs="Times New Roman"/>
          <w:color w:val="FF0000"/>
          <w:lang w:val="en"/>
        </w:rPr>
        <w:lastRenderedPageBreak/>
        <w:t xml:space="preserve">Please Note: Text in </w:t>
      </w:r>
      <w:r w:rsidRPr="00D615FB">
        <w:rPr>
          <w:rFonts w:ascii="Calibri" w:eastAsia="Times New Roman" w:hAnsi="Calibri" w:cs="Times New Roman"/>
          <w:color w:val="FF0000"/>
          <w:u w:val="single"/>
          <w:lang w:val="en"/>
        </w:rPr>
        <w:t>b</w:t>
      </w:r>
      <w:r>
        <w:rPr>
          <w:rFonts w:ascii="Calibri" w:eastAsia="Times New Roman" w:hAnsi="Calibri" w:cs="Times New Roman"/>
          <w:color w:val="FF0000"/>
          <w:u w:val="single"/>
          <w:lang w:val="en"/>
        </w:rPr>
        <w:t>lack</w:t>
      </w:r>
      <w:r w:rsidRPr="00D615FB">
        <w:rPr>
          <w:rFonts w:ascii="Calibri" w:eastAsia="Times New Roman" w:hAnsi="Calibri" w:cs="Times New Roman"/>
          <w:color w:val="FF0000"/>
          <w:lang w:val="en"/>
        </w:rPr>
        <w:t xml:space="preserve"> is from the previous </w:t>
      </w:r>
      <w:r>
        <w:rPr>
          <w:rFonts w:ascii="Calibri" w:eastAsia="Times New Roman" w:hAnsi="Calibri" w:cs="Times New Roman"/>
          <w:color w:val="FF0000"/>
          <w:lang w:val="en"/>
        </w:rPr>
        <w:t xml:space="preserve">measure testing </w:t>
      </w:r>
      <w:r w:rsidRPr="00D615FB">
        <w:rPr>
          <w:rFonts w:ascii="Calibri" w:eastAsia="Times New Roman" w:hAnsi="Calibri" w:cs="Times New Roman"/>
          <w:color w:val="FF0000"/>
          <w:lang w:val="en"/>
        </w:rPr>
        <w:t xml:space="preserve">form. </w:t>
      </w:r>
      <w:r>
        <w:rPr>
          <w:rFonts w:ascii="Calibri" w:eastAsia="Times New Roman" w:hAnsi="Calibri" w:cs="Times New Roman"/>
          <w:color w:val="FF0000"/>
          <w:lang w:val="en"/>
        </w:rPr>
        <w:t xml:space="preserve">The original testing for the adult population stratification is included and indicated in black text.  The adult population has new validity performance scores (correlations) and this is indicated in red text. New testing data for the adolescent population stratification has been added and this new content is in </w:t>
      </w:r>
      <w:r w:rsidRPr="00D615FB">
        <w:rPr>
          <w:rFonts w:ascii="Calibri" w:eastAsia="Times New Roman" w:hAnsi="Calibri" w:cs="Times New Roman"/>
          <w:color w:val="FF0000"/>
          <w:u w:val="single"/>
          <w:lang w:val="en"/>
        </w:rPr>
        <w:t>red</w:t>
      </w:r>
      <w:r w:rsidRPr="00D615FB">
        <w:rPr>
          <w:rFonts w:ascii="Calibri" w:eastAsia="Times New Roman" w:hAnsi="Calibri" w:cs="Times New Roman"/>
          <w:b/>
          <w:color w:val="FF0000"/>
          <w:lang w:val="en"/>
        </w:rPr>
        <w:t xml:space="preserve"> </w:t>
      </w:r>
      <w:r>
        <w:rPr>
          <w:rFonts w:ascii="Calibri" w:eastAsia="Times New Roman" w:hAnsi="Calibri" w:cs="Times New Roman"/>
          <w:color w:val="FF0000"/>
          <w:lang w:val="en"/>
        </w:rPr>
        <w:t>text.  Basically, all new information added to the previous testing form (where possible) is indicated in red text.</w:t>
      </w:r>
    </w:p>
    <w:p w:rsidR="00BC0D25" w:rsidRPr="005B4786" w:rsidRDefault="005B4786" w:rsidP="00702C73">
      <w:pPr>
        <w:spacing w:after="0" w:line="240" w:lineRule="auto"/>
        <w:rPr>
          <w:rFonts w:cstheme="minorHAnsi"/>
          <w:b/>
          <w:noProof/>
        </w:rPr>
      </w:pPr>
      <w:r>
        <w:rPr>
          <w:rFonts w:ascii="Calibri" w:eastAsia="Times New Roman" w:hAnsi="Calibri" w:cs="Times New Roman"/>
          <w:color w:val="FF0000"/>
          <w:lang w:val="en"/>
        </w:rPr>
        <w:t>Spoke with NQF staff and at this time it is acceptable to use the existing testing template with additions in red text and acceptable to exceed the 20 page limit.</w:t>
      </w: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D57C0F"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490A6A">
                  <w:rPr>
                    <w:rFonts w:ascii="MS Gothic" w:eastAsia="MS Gothic" w:hAnsi="MS Gothic" w:cstheme="minorHAnsi" w:hint="eastAsia"/>
                    <w:bCs/>
                    <w:color w:val="0000FF"/>
                  </w:rPr>
                  <w:t>☐</w:t>
                </w:r>
              </w:sdtContent>
            </w:sdt>
            <w:r w:rsidR="00B82A57" w:rsidRPr="00343B0B">
              <w:rPr>
                <w:rFonts w:cstheme="minorHAnsi"/>
                <w:bCs/>
              </w:rPr>
              <w:t xml:space="preserve"> </w:t>
            </w:r>
            <w:proofErr w:type="spellStart"/>
            <w:r w:rsidR="00A01494" w:rsidRPr="00343B0B">
              <w:rPr>
                <w:rFonts w:cstheme="minorHAnsi"/>
                <w:bCs/>
              </w:rPr>
              <w:t>eMeasure</w:t>
            </w:r>
            <w:proofErr w:type="spellEnd"/>
            <w:r w:rsidR="00A01494" w:rsidRPr="00343B0B">
              <w:rPr>
                <w:rFonts w:cstheme="minorHAnsi"/>
                <w:bCs/>
              </w:rPr>
              <w:t xml:space="preserve"> </w:t>
            </w:r>
            <w:r w:rsidR="004756E1" w:rsidRPr="00343B0B">
              <w:rPr>
                <w:rFonts w:cstheme="minorHAnsi"/>
                <w:bCs/>
              </w:rPr>
              <w:t xml:space="preserve">(HQMF) </w:t>
            </w:r>
            <w:r w:rsidR="00A01494" w:rsidRPr="00343B0B">
              <w:rPr>
                <w:rFonts w:cstheme="minorHAnsi"/>
                <w:bCs/>
              </w:rPr>
              <w:t xml:space="preserve">implemented in </w:t>
            </w:r>
            <w:r w:rsidR="00B82A57" w:rsidRPr="00343B0B">
              <w:rPr>
                <w:rFonts w:cstheme="minorHAnsi"/>
                <w:bCs/>
              </w:rPr>
              <w:t>EHRs</w:t>
            </w:r>
            <w:r w:rsidR="00583A3D" w:rsidRPr="00343B0B">
              <w:rPr>
                <w:rFonts w:cstheme="minorHAnsi"/>
                <w:bCs/>
              </w:rPr>
              <w:t xml:space="preserve"> </w:t>
            </w:r>
          </w:p>
        </w:tc>
        <w:tc>
          <w:tcPr>
            <w:tcW w:w="4847"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343B0B">
                  <w:rPr>
                    <w:rFonts w:ascii="MS Gothic" w:eastAsia="MS Gothic" w:hAnsi="MS Gothic" w:cstheme="minorHAnsi" w:hint="eastAsia"/>
                    <w:bCs/>
                    <w:color w:val="0000FF"/>
                  </w:rPr>
                  <w:t>☐</w:t>
                </w:r>
              </w:sdtContent>
            </w:sdt>
            <w:r w:rsidR="00B82A57" w:rsidRPr="00343B0B">
              <w:rPr>
                <w:rFonts w:cstheme="minorHAnsi"/>
                <w:bCs/>
              </w:rPr>
              <w:t xml:space="preserve"> </w:t>
            </w:r>
            <w:proofErr w:type="spellStart"/>
            <w:r w:rsidR="00A01494" w:rsidRPr="00343B0B">
              <w:rPr>
                <w:rFonts w:cstheme="minorHAnsi"/>
                <w:bCs/>
              </w:rPr>
              <w:t>eMeasure</w:t>
            </w:r>
            <w:proofErr w:type="spellEnd"/>
            <w:r w:rsidR="00A01494" w:rsidRPr="00343B0B">
              <w:rPr>
                <w:rFonts w:cstheme="minorHAnsi"/>
                <w:bCs/>
              </w:rPr>
              <w:t xml:space="preserve"> </w:t>
            </w:r>
            <w:r w:rsidR="004756E1" w:rsidRPr="00343B0B">
              <w:rPr>
                <w:rFonts w:cstheme="minorHAnsi"/>
                <w:bCs/>
              </w:rPr>
              <w:t xml:space="preserve">(HQMF) </w:t>
            </w:r>
            <w:r w:rsidR="00A01494" w:rsidRPr="00343B0B">
              <w:rPr>
                <w:rFonts w:cstheme="minorHAnsi"/>
                <w:bCs/>
              </w:rPr>
              <w:t>impleme</w:t>
            </w:r>
            <w:r w:rsidR="00B82A57" w:rsidRPr="00343B0B">
              <w:rPr>
                <w:rFonts w:cstheme="minorHAnsi"/>
                <w:bCs/>
              </w:rPr>
              <w:t>nted in EHRs</w:t>
            </w:r>
          </w:p>
        </w:tc>
      </w:tr>
      <w:tr w:rsidR="00A01494" w:rsidRPr="00A01494" w:rsidTr="0014773C">
        <w:trPr>
          <w:jc w:val="center"/>
        </w:trPr>
        <w:tc>
          <w:tcPr>
            <w:tcW w:w="5208"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D57C0F"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E51C0D" w:rsidRDefault="006327D8" w:rsidP="00DB3627">
      <w:pPr>
        <w:autoSpaceDE w:val="0"/>
        <w:autoSpaceDN w:val="0"/>
        <w:adjustRightInd w:val="0"/>
        <w:spacing w:after="0" w:line="240" w:lineRule="auto"/>
        <w:rPr>
          <w:rFonts w:cstheme="minorHAnsi"/>
          <w:bCs/>
          <w:vertAlign w:val="superscript"/>
        </w:rPr>
      </w:pPr>
      <w:r w:rsidRPr="00A25024">
        <w:rPr>
          <w:rFonts w:cstheme="minorHAnsi"/>
          <w:b/>
          <w:bCs/>
        </w:rPr>
        <w:t xml:space="preserve">  </w:t>
      </w:r>
      <w:r w:rsidR="00583A3D" w:rsidRPr="00583A3D">
        <w:rPr>
          <w:rFonts w:cstheme="minorHAnsi"/>
          <w:bCs/>
          <w:vertAlign w:val="superscript"/>
        </w:rPr>
        <w:t xml:space="preserve"> </w:t>
      </w:r>
    </w:p>
    <w:p w:rsidR="00A01494" w:rsidRPr="005B4786" w:rsidRDefault="00E51C0D" w:rsidP="00DB3627">
      <w:pPr>
        <w:autoSpaceDE w:val="0"/>
        <w:autoSpaceDN w:val="0"/>
        <w:adjustRightInd w:val="0"/>
        <w:spacing w:after="0" w:line="240" w:lineRule="auto"/>
        <w:rPr>
          <w:rFonts w:cstheme="minorHAnsi"/>
          <w:bCs/>
        </w:rPr>
      </w:pPr>
      <w:r w:rsidRPr="005B4786">
        <w:rPr>
          <w:rFonts w:cstheme="minorHAnsi"/>
          <w:bCs/>
        </w:rPr>
        <w:t xml:space="preserve">Please Note:  </w:t>
      </w:r>
      <w:proofErr w:type="spellStart"/>
      <w:r w:rsidR="00583A3D" w:rsidRPr="005B4786">
        <w:rPr>
          <w:rFonts w:cstheme="minorHAnsi"/>
          <w:bCs/>
        </w:rPr>
        <w:t>eMeasure</w:t>
      </w:r>
      <w:proofErr w:type="spellEnd"/>
      <w:r w:rsidR="00583A3D" w:rsidRPr="005B4786">
        <w:rPr>
          <w:rFonts w:cstheme="minorHAnsi"/>
          <w:bCs/>
        </w:rPr>
        <w:t xml:space="preserve"> testing in cooperation</w:t>
      </w:r>
      <w:r w:rsidR="00583A3D" w:rsidRPr="005B4786">
        <w:rPr>
          <w:rFonts w:cstheme="minorHAnsi"/>
          <w:b/>
          <w:bCs/>
        </w:rPr>
        <w:t xml:space="preserve"> </w:t>
      </w:r>
      <w:r w:rsidR="00583A3D" w:rsidRPr="005B4786">
        <w:rPr>
          <w:rFonts w:cstheme="minorHAnsi"/>
          <w:bCs/>
        </w:rPr>
        <w:t>with CMS subcontractors (</w:t>
      </w:r>
      <w:proofErr w:type="spellStart"/>
      <w:r w:rsidR="00583A3D" w:rsidRPr="005B4786">
        <w:rPr>
          <w:rFonts w:cstheme="minorHAnsi"/>
          <w:bCs/>
        </w:rPr>
        <w:t>Telligen</w:t>
      </w:r>
      <w:proofErr w:type="spellEnd"/>
      <w:r w:rsidR="00583A3D" w:rsidRPr="005B4786">
        <w:rPr>
          <w:rFonts w:cstheme="minorHAnsi"/>
          <w:bCs/>
        </w:rPr>
        <w:t>, Math</w:t>
      </w:r>
      <w:r w:rsidRPr="005B4786">
        <w:rPr>
          <w:rFonts w:cstheme="minorHAnsi"/>
          <w:bCs/>
        </w:rPr>
        <w:t xml:space="preserve">ematica) against CMS test deck completed in April 2014 for continued inclusion in </w:t>
      </w:r>
      <w:r w:rsidR="00A23F7C" w:rsidRPr="005B4786">
        <w:rPr>
          <w:rFonts w:cstheme="minorHAnsi"/>
          <w:bCs/>
        </w:rPr>
        <w:t>Meaningful Use (</w:t>
      </w:r>
      <w:r w:rsidRPr="005B4786">
        <w:rPr>
          <w:rFonts w:cstheme="minorHAnsi"/>
          <w:bCs/>
        </w:rPr>
        <w:t>MU2</w:t>
      </w:r>
      <w:r w:rsidR="00A23F7C" w:rsidRPr="005B4786">
        <w:rPr>
          <w:rFonts w:cstheme="minorHAnsi"/>
          <w:bCs/>
        </w:rPr>
        <w:t>)</w:t>
      </w:r>
    </w:p>
    <w:p w:rsidR="00A23F7C" w:rsidRDefault="00A23F7C" w:rsidP="00DB3627">
      <w:pPr>
        <w:autoSpaceDE w:val="0"/>
        <w:autoSpaceDN w:val="0"/>
        <w:adjustRightInd w:val="0"/>
        <w:spacing w:after="0" w:line="240" w:lineRule="auto"/>
        <w:rPr>
          <w:rFonts w:cstheme="minorHAnsi"/>
          <w:b/>
          <w:bCs/>
        </w:rPr>
      </w:pP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B048D" w:rsidRPr="00A94B33" w:rsidRDefault="00CB048D" w:rsidP="00DB3627">
      <w:pPr>
        <w:autoSpaceDE w:val="0"/>
        <w:autoSpaceDN w:val="0"/>
        <w:adjustRightInd w:val="0"/>
        <w:spacing w:after="0" w:line="240" w:lineRule="auto"/>
        <w:rPr>
          <w:rFonts w:cstheme="minorHAnsi"/>
          <w:bCs/>
          <w:sz w:val="12"/>
        </w:rPr>
      </w:pPr>
    </w:p>
    <w:p w:rsidR="00C355B9" w:rsidRDefault="00CB048D" w:rsidP="00DB3627">
      <w:pPr>
        <w:autoSpaceDE w:val="0"/>
        <w:autoSpaceDN w:val="0"/>
        <w:adjustRightInd w:val="0"/>
        <w:spacing w:after="0" w:line="240" w:lineRule="auto"/>
        <w:rPr>
          <w:rFonts w:cstheme="minorHAnsi"/>
          <w:bCs/>
        </w:rPr>
      </w:pPr>
      <w:r w:rsidRPr="005B4786">
        <w:rPr>
          <w:rFonts w:cstheme="minorHAnsi"/>
          <w:bCs/>
        </w:rPr>
        <w:t>This measure is in full implementation with submission of data from all primary care and behavioral health (psychiatry) clinics in Minnesota.  MNCM receives patient level data via a HIPAA secure data portal, so each year data is available for reliability, validity and risk adjustment variable testing on a large population.  For this measure, due to its longitudinal nature, no sampling is allowed and the full population of eligible patients, regardless of payer, is included.</w:t>
      </w:r>
    </w:p>
    <w:p w:rsidR="005B4786" w:rsidRPr="009150D2" w:rsidRDefault="005B4786" w:rsidP="005B4786">
      <w:pPr>
        <w:autoSpaceDE w:val="0"/>
        <w:autoSpaceDN w:val="0"/>
        <w:adjustRightInd w:val="0"/>
        <w:spacing w:before="120" w:after="0" w:line="240" w:lineRule="auto"/>
        <w:rPr>
          <w:rFonts w:cstheme="minorHAnsi"/>
          <w:bCs/>
        </w:rPr>
      </w:pPr>
      <w:r w:rsidRPr="00414E16">
        <w:rPr>
          <w:rFonts w:cstheme="minorHAnsi"/>
          <w:bCs/>
          <w:color w:val="FF0000"/>
        </w:rPr>
        <w:t xml:space="preserve">MNCM’s measure development workgroup and reporting body (Measurement and Reporting Committee </w:t>
      </w:r>
      <w:r w:rsidRPr="00414E16">
        <w:rPr>
          <w:rFonts w:cstheme="minorHAnsi"/>
          <w:bCs/>
          <w:color w:val="FF0000"/>
          <w:u w:val="single"/>
        </w:rPr>
        <w:t>recently</w:t>
      </w:r>
      <w:r w:rsidRPr="00414E16">
        <w:rPr>
          <w:rFonts w:cstheme="minorHAnsi"/>
          <w:bCs/>
          <w:color w:val="FF0000"/>
        </w:rPr>
        <w:t xml:space="preserve"> (October 2016) approved updates to the measure that incorporate adolescents.  This prompted an ad-hoc review by the NQF Behavioral Health Standing Committee. The adult population stratification is complete with full implementation and data submission from all primary care </w:t>
      </w:r>
      <w:r w:rsidRPr="00414E16">
        <w:rPr>
          <w:rFonts w:cstheme="minorHAnsi"/>
          <w:bCs/>
          <w:color w:val="FF0000"/>
        </w:rPr>
        <w:lastRenderedPageBreak/>
        <w:t>and behavioral health (psychiatry) clinics in Minnesota. Measure testing for the adult population was submitted in 2014, was deemed adequate and does not require updating.  Updates for validity performance score and risk adjustment model statistics are provided.</w:t>
      </w:r>
    </w:p>
    <w:p w:rsidR="005B4786" w:rsidRPr="00E05C46" w:rsidRDefault="005B4786" w:rsidP="005B4786">
      <w:pPr>
        <w:autoSpaceDE w:val="0"/>
        <w:autoSpaceDN w:val="0"/>
        <w:adjustRightInd w:val="0"/>
        <w:spacing w:after="0" w:line="240" w:lineRule="auto"/>
        <w:rPr>
          <w:rFonts w:cstheme="minorHAnsi"/>
          <w:bCs/>
          <w:color w:val="1F497D" w:themeColor="text2"/>
        </w:rPr>
      </w:pPr>
      <w:r w:rsidRPr="00A945E6">
        <w:rPr>
          <w:rFonts w:cstheme="minorHAnsi"/>
          <w:bCs/>
          <w:color w:val="FF0000"/>
        </w:rPr>
        <w:t xml:space="preserve">For the adolescent population stratification, MNCM is working collaboratively with the National Committee for Quality Assurance (NCQA), which explored the use of the measure in adolescents with funding through its AHRQ-CMS Pediatric Quality Measurement Program Center of Excellence.  MNCM’s implementation plan for patients with index dates of 1/1/2018 prohibits us from supplying testing information for the adolescent stratification at this time, however NQCA does have testing data for adolescents.  We present here the NCQA-conducted testing results to support addition of the adolescent population to the measure. </w:t>
      </w:r>
      <w:r w:rsidRPr="00650F72">
        <w:rPr>
          <w:rFonts w:ascii="Calibri" w:eastAsia="Times New Roman" w:hAnsi="Calibri" w:cs="Times New Roman"/>
          <w:color w:val="FF0000"/>
          <w:szCs w:val="18"/>
          <w:lang w:val="en"/>
        </w:rPr>
        <w:t>NCQA tested this measure in the adolescent population with three testing sites</w:t>
      </w:r>
      <w:r>
        <w:rPr>
          <w:rFonts w:ascii="Calibri" w:eastAsia="Times New Roman" w:hAnsi="Calibri" w:cs="Times New Roman"/>
          <w:color w:val="FF0000"/>
          <w:szCs w:val="18"/>
          <w:lang w:val="en"/>
        </w:rPr>
        <w:t xml:space="preserve">: </w:t>
      </w:r>
      <w:r w:rsidRPr="00650F72">
        <w:rPr>
          <w:rFonts w:ascii="Calibri" w:eastAsia="Times New Roman" w:hAnsi="Calibri" w:cs="Times New Roman"/>
          <w:color w:val="FF0000"/>
          <w:szCs w:val="18"/>
          <w:lang w:val="en"/>
        </w:rPr>
        <w:t xml:space="preserve">two integrated delivery systems and one network of community health centers. The measure was tested using data extracts from the EHR at each test site. We used an initial set of specifications to work with each site to explore patterns of care and methods for identifying patients and extracting the necessary data. Then we obtained from each site an electronic extract, which was used to test alternative versions of the measure specifications. We also obtained manually abstracted data of the electronic record for a subset of charts at two </w:t>
      </w:r>
      <w:r w:rsidRPr="000C1536">
        <w:rPr>
          <w:rFonts w:ascii="Calibri" w:eastAsia="Times New Roman" w:hAnsi="Calibri" w:cs="Times New Roman"/>
          <w:color w:val="FF0000"/>
          <w:szCs w:val="18"/>
          <w:lang w:val="en"/>
        </w:rPr>
        <w:t>sites to</w:t>
      </w:r>
      <w:r w:rsidRPr="00650F72">
        <w:rPr>
          <w:rFonts w:ascii="Calibri" w:eastAsia="Times New Roman" w:hAnsi="Calibri" w:cs="Times New Roman"/>
          <w:color w:val="FF0000"/>
          <w:szCs w:val="18"/>
          <w:lang w:val="en"/>
        </w:rPr>
        <w:t xml:space="preserve"> support reliability testing.</w:t>
      </w:r>
    </w:p>
    <w:p w:rsidR="009E1846" w:rsidRDefault="009E1846" w:rsidP="00DB3627">
      <w:pPr>
        <w:autoSpaceDE w:val="0"/>
        <w:autoSpaceDN w:val="0"/>
        <w:adjustRightInd w:val="0"/>
        <w:spacing w:after="0" w:line="240" w:lineRule="auto"/>
        <w:rPr>
          <w:rFonts w:cstheme="minorHAnsi"/>
          <w:b/>
        </w:rPr>
      </w:pPr>
    </w:p>
    <w:p w:rsidR="005B4786" w:rsidRPr="00A25024" w:rsidRDefault="002B5016" w:rsidP="005B4786">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5B4786">
            <w:rPr>
              <w:rStyle w:val="Style1"/>
            </w:rPr>
            <w:t xml:space="preserve">Adult patients age 18 and older with an index date 7/1/2011 to 6/30/2012 reported in 2013. Adolescents patients age 12 to 17 with an index date 1/1/2012 to 6/30/2013. </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Content>
                <w:r w:rsidR="00CB048D">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D57C0F"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152FA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2E78A0" w:rsidRPr="005B4786" w:rsidRDefault="003D4796" w:rsidP="005B4786">
      <w:pPr>
        <w:autoSpaceDE w:val="0"/>
        <w:autoSpaceDN w:val="0"/>
        <w:adjustRightInd w:val="0"/>
        <w:spacing w:before="120" w:after="0" w:line="240" w:lineRule="auto"/>
        <w:rPr>
          <w:rFonts w:cstheme="minorHAnsi"/>
          <w:bCs/>
        </w:rPr>
      </w:pPr>
      <w:r w:rsidRPr="005B4786">
        <w:rPr>
          <w:rFonts w:cstheme="minorHAnsi"/>
          <w:bCs/>
        </w:rPr>
        <w:t>Participation in this measure is</w:t>
      </w:r>
      <w:r w:rsidR="00E05C46" w:rsidRPr="005B4786">
        <w:rPr>
          <w:rFonts w:cstheme="minorHAnsi"/>
          <w:bCs/>
        </w:rPr>
        <w:t xml:space="preserve"> required by </w:t>
      </w:r>
      <w:r w:rsidR="00152FAE" w:rsidRPr="005B4786">
        <w:rPr>
          <w:rFonts w:cstheme="minorHAnsi"/>
          <w:bCs/>
        </w:rPr>
        <w:t>Minnesota</w:t>
      </w:r>
      <w:r w:rsidR="00E05C46" w:rsidRPr="005B4786">
        <w:rPr>
          <w:rFonts w:cstheme="minorHAnsi"/>
          <w:bCs/>
        </w:rPr>
        <w:t xml:space="preserve"> health reform legislation- the </w:t>
      </w:r>
      <w:r w:rsidRPr="005B4786">
        <w:rPr>
          <w:rFonts w:cstheme="minorHAnsi"/>
          <w:bCs/>
        </w:rPr>
        <w:t>MN Department of Health’s Statewide Qua</w:t>
      </w:r>
      <w:r w:rsidR="00E05C46" w:rsidRPr="005B4786">
        <w:rPr>
          <w:rFonts w:cstheme="minorHAnsi"/>
          <w:bCs/>
        </w:rPr>
        <w:t>lity Reporting and Measurement S</w:t>
      </w:r>
      <w:r w:rsidRPr="005B4786">
        <w:rPr>
          <w:rFonts w:cstheme="minorHAnsi"/>
          <w:bCs/>
        </w:rPr>
        <w:t xml:space="preserve">ystem.  </w:t>
      </w:r>
      <w:r w:rsidR="00313E7A" w:rsidRPr="005B4786">
        <w:rPr>
          <w:rFonts w:cstheme="minorHAnsi"/>
          <w:bCs/>
        </w:rPr>
        <w:t>352</w:t>
      </w:r>
      <w:r w:rsidR="00E05C46" w:rsidRPr="005B4786">
        <w:rPr>
          <w:rFonts w:cstheme="minorHAnsi"/>
          <w:bCs/>
        </w:rPr>
        <w:t xml:space="preserve"> clinic sites were included for this measurement period.  </w:t>
      </w:r>
      <w:r w:rsidR="00CB048D" w:rsidRPr="005B4786">
        <w:rPr>
          <w:rFonts w:cstheme="minorHAnsi"/>
          <w:bCs/>
        </w:rPr>
        <w:t>Sites represent all primary care</w:t>
      </w:r>
      <w:r w:rsidRPr="005B4786">
        <w:rPr>
          <w:rFonts w:cstheme="minorHAnsi"/>
          <w:bCs/>
        </w:rPr>
        <w:t xml:space="preserve"> and behavioral health (psychiatry) clinics in Minnesota and bordering cities in other states that wish to participate.  Clinics represent urban and rural, large multi-specialty health care systems, medium and small practices who care for adult patients</w:t>
      </w:r>
      <w:r w:rsidR="00E05C46" w:rsidRPr="005B4786">
        <w:rPr>
          <w:rFonts w:cstheme="minorHAnsi"/>
          <w:bCs/>
        </w:rPr>
        <w:t xml:space="preserve"> with depression</w:t>
      </w:r>
      <w:r w:rsidRPr="005B4786">
        <w:rPr>
          <w:rFonts w:cstheme="minorHAnsi"/>
          <w:bCs/>
        </w:rPr>
        <w:t>.</w:t>
      </w:r>
    </w:p>
    <w:p w:rsidR="005B4786" w:rsidRPr="00A945E6" w:rsidRDefault="005B4786" w:rsidP="005B4786">
      <w:pPr>
        <w:autoSpaceDE w:val="0"/>
        <w:autoSpaceDN w:val="0"/>
        <w:adjustRightInd w:val="0"/>
        <w:spacing w:before="120" w:after="0" w:line="240" w:lineRule="auto"/>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 xml:space="preserve">For the adolescent population, testing sites were two integrated delivery systems and one network of community health centers that met the following participation criteria: had established clinical workflows for using the PHQ-9 or PHQ-9M, used searchable coded fields for documenting PHQ results in </w:t>
      </w:r>
      <w:r w:rsidRPr="00A945E6">
        <w:rPr>
          <w:rFonts w:ascii="Calibri" w:eastAsia="Times New Roman" w:hAnsi="Calibri" w:cs="Times New Roman"/>
          <w:color w:val="FF0000"/>
          <w:szCs w:val="18"/>
          <w:lang w:val="en"/>
        </w:rPr>
        <w:lastRenderedPageBreak/>
        <w:t>electronic medical records, and had at least 500 adolescents who had a diagnosis of depression in 2012. The sites were from different geographic regions in the U.S. and served urban and rural populations.</w:t>
      </w:r>
    </w:p>
    <w:p w:rsidR="002B5016" w:rsidRPr="00A25024" w:rsidRDefault="002B5016" w:rsidP="00DB3627">
      <w:pPr>
        <w:autoSpaceDE w:val="0"/>
        <w:autoSpaceDN w:val="0"/>
        <w:adjustRightInd w:val="0"/>
        <w:spacing w:after="0" w:line="240" w:lineRule="auto"/>
        <w:rPr>
          <w:rFonts w:cstheme="minorHAnsi"/>
          <w:bCs/>
        </w:rPr>
      </w:pPr>
    </w:p>
    <w:p w:rsidR="008A6831" w:rsidRPr="00A94B33" w:rsidRDefault="002B5016" w:rsidP="00DB3627">
      <w:pPr>
        <w:autoSpaceDE w:val="0"/>
        <w:autoSpaceDN w:val="0"/>
        <w:adjustRightInd w:val="0"/>
        <w:spacing w:after="0" w:line="240" w:lineRule="auto"/>
        <w:rPr>
          <w:rFonts w:cstheme="minorHAnsi"/>
          <w:bCs/>
          <w:sz w:val="12"/>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7422FD" w:rsidRDefault="00313E7A" w:rsidP="00DB3627">
      <w:pPr>
        <w:autoSpaceDE w:val="0"/>
        <w:autoSpaceDN w:val="0"/>
        <w:adjustRightInd w:val="0"/>
        <w:spacing w:after="0" w:line="240" w:lineRule="auto"/>
        <w:rPr>
          <w:rFonts w:cstheme="minorHAnsi"/>
          <w:bCs/>
        </w:rPr>
      </w:pPr>
      <w:r w:rsidRPr="005B4786">
        <w:rPr>
          <w:rFonts w:cstheme="minorHAnsi"/>
          <w:bCs/>
        </w:rPr>
        <w:t xml:space="preserve">80,073 </w:t>
      </w:r>
      <w:r w:rsidR="008A6831" w:rsidRPr="005B4786">
        <w:rPr>
          <w:rFonts w:cstheme="minorHAnsi"/>
          <w:bCs/>
        </w:rPr>
        <w:t>patients were included for testing and analysis.  There was no elimination of patients based on age, race/ethnicity or diagnosis with the exception of valid clinical co-morbid diagnoses for exclusions (bi-polar disorder and personality disorder) which are already excluded from the denominator.</w:t>
      </w:r>
    </w:p>
    <w:p w:rsidR="005B4786" w:rsidRPr="00650F72" w:rsidRDefault="005B4786" w:rsidP="005B4786">
      <w:pPr>
        <w:autoSpaceDE w:val="0"/>
        <w:autoSpaceDN w:val="0"/>
        <w:adjustRightInd w:val="0"/>
        <w:spacing w:before="120"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Patients Included in Testing for Adolescent Population:</w:t>
      </w:r>
    </w:p>
    <w:p w:rsidR="005B4786" w:rsidRPr="005B4786" w:rsidRDefault="005B4786" w:rsidP="005B4786">
      <w:pPr>
        <w:autoSpaceDE w:val="0"/>
        <w:autoSpaceDN w:val="0"/>
        <w:adjustRightInd w:val="0"/>
        <w:spacing w:after="0" w:line="240" w:lineRule="auto"/>
        <w:rPr>
          <w:rFonts w:cstheme="minorHAnsi"/>
          <w:bCs/>
        </w:rPr>
      </w:pPr>
      <w:r w:rsidRPr="00650F72">
        <w:rPr>
          <w:rFonts w:ascii="Calibri" w:eastAsia="Times New Roman" w:hAnsi="Calibri" w:cs="Times New Roman"/>
          <w:color w:val="FF0000"/>
          <w:szCs w:val="18"/>
          <w:lang w:val="en"/>
        </w:rPr>
        <w:t>Across the three testing site, 3,361</w:t>
      </w:r>
      <w:r>
        <w:rPr>
          <w:rFonts w:ascii="Calibri" w:eastAsia="Times New Roman" w:hAnsi="Calibri" w:cs="Times New Roman"/>
          <w:color w:val="FF0000"/>
          <w:szCs w:val="18"/>
          <w:lang w:val="en"/>
        </w:rPr>
        <w:t xml:space="preserve"> adolescent</w:t>
      </w:r>
      <w:r w:rsidRPr="00650F72">
        <w:rPr>
          <w:rFonts w:ascii="Calibri" w:eastAsia="Times New Roman" w:hAnsi="Calibri" w:cs="Times New Roman"/>
          <w:color w:val="FF0000"/>
          <w:szCs w:val="18"/>
          <w:lang w:val="en"/>
        </w:rPr>
        <w:t xml:space="preserve"> patients were included. </w:t>
      </w:r>
      <w:r>
        <w:rPr>
          <w:rFonts w:ascii="Calibri" w:eastAsia="Times New Roman" w:hAnsi="Calibri" w:cs="Times New Roman"/>
          <w:color w:val="FF0000"/>
          <w:szCs w:val="18"/>
          <w:lang w:val="en"/>
        </w:rPr>
        <w:t>P</w:t>
      </w:r>
      <w:r w:rsidRPr="00650F72">
        <w:rPr>
          <w:rFonts w:ascii="Calibri" w:eastAsia="Times New Roman" w:hAnsi="Calibri" w:cs="Times New Roman"/>
          <w:color w:val="FF0000"/>
          <w:szCs w:val="18"/>
          <w:lang w:val="en"/>
        </w:rPr>
        <w:t xml:space="preserve">atients </w:t>
      </w:r>
      <w:r>
        <w:rPr>
          <w:rFonts w:ascii="Calibri" w:eastAsia="Times New Roman" w:hAnsi="Calibri" w:cs="Times New Roman"/>
          <w:color w:val="FF0000"/>
          <w:szCs w:val="18"/>
          <w:lang w:val="en"/>
        </w:rPr>
        <w:t>met</w:t>
      </w:r>
      <w:r w:rsidRPr="00650F72">
        <w:rPr>
          <w:rFonts w:ascii="Calibri" w:eastAsia="Times New Roman" w:hAnsi="Calibri" w:cs="Times New Roman"/>
          <w:color w:val="FF0000"/>
          <w:szCs w:val="18"/>
          <w:lang w:val="en"/>
        </w:rPr>
        <w:t xml:space="preserve"> the following </w:t>
      </w:r>
      <w:r>
        <w:rPr>
          <w:rFonts w:ascii="Calibri" w:eastAsia="Times New Roman" w:hAnsi="Calibri" w:cs="Times New Roman"/>
          <w:color w:val="FF0000"/>
          <w:szCs w:val="18"/>
          <w:lang w:val="en"/>
        </w:rPr>
        <w:t xml:space="preserve">inclusion </w:t>
      </w:r>
      <w:r w:rsidRPr="00650F72">
        <w:rPr>
          <w:rFonts w:ascii="Calibri" w:eastAsia="Times New Roman" w:hAnsi="Calibri" w:cs="Times New Roman"/>
          <w:color w:val="FF0000"/>
          <w:szCs w:val="18"/>
          <w:lang w:val="en"/>
        </w:rPr>
        <w:t>criteria: 1) age 12 to 17 years as of June 30, 2013, 2) at least one face-to-face visit during the study intake period (January 1, 2012 through June 30, 2013), and 3) a diagnosis of depression during the study intake period. Adolescents with bipolar, psychotic, autism spectrum, and personality disorders were excluded. No sampling was used</w:t>
      </w:r>
      <w:r>
        <w:rPr>
          <w:rFonts w:ascii="Calibri" w:eastAsia="Times New Roman" w:hAnsi="Calibri" w:cs="Times New Roman"/>
          <w:color w:val="FF0000"/>
          <w:szCs w:val="18"/>
          <w:lang w:val="en"/>
        </w:rPr>
        <w:t>:</w:t>
      </w:r>
      <w:r w:rsidRPr="00650F72">
        <w:rPr>
          <w:rFonts w:ascii="Calibri" w:eastAsia="Times New Roman" w:hAnsi="Calibri" w:cs="Times New Roman"/>
          <w:color w:val="FF0000"/>
          <w:szCs w:val="18"/>
          <w:lang w:val="en"/>
        </w:rPr>
        <w:t xml:space="preserve"> all patients that met the inclusion criteria were included in the testing.</w:t>
      </w:r>
    </w:p>
    <w:p w:rsidR="008A6831" w:rsidRDefault="008A6831"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8A6831" w:rsidRPr="00A94B33" w:rsidRDefault="008A6831" w:rsidP="00E37E1B">
      <w:pPr>
        <w:autoSpaceDE w:val="0"/>
        <w:autoSpaceDN w:val="0"/>
        <w:adjustRightInd w:val="0"/>
        <w:spacing w:after="0" w:line="240" w:lineRule="auto"/>
        <w:rPr>
          <w:rFonts w:cstheme="minorHAnsi"/>
          <w:bCs/>
          <w:sz w:val="12"/>
        </w:rPr>
      </w:pPr>
    </w:p>
    <w:p w:rsidR="008A6831" w:rsidRPr="005B4786" w:rsidRDefault="008A6831" w:rsidP="00E37E1B">
      <w:pPr>
        <w:autoSpaceDE w:val="0"/>
        <w:autoSpaceDN w:val="0"/>
        <w:adjustRightInd w:val="0"/>
        <w:spacing w:after="0" w:line="240" w:lineRule="auto"/>
        <w:rPr>
          <w:rFonts w:cstheme="minorHAnsi"/>
          <w:bCs/>
        </w:rPr>
      </w:pPr>
      <w:r w:rsidRPr="005B4786">
        <w:rPr>
          <w:rFonts w:cstheme="minorHAnsi"/>
          <w:bCs/>
        </w:rPr>
        <w:t>There are no differences</w:t>
      </w:r>
      <w:r w:rsidR="005B4786">
        <w:rPr>
          <w:rFonts w:cstheme="minorHAnsi"/>
          <w:bCs/>
        </w:rPr>
        <w:t xml:space="preserve"> for the adult stratification for testing</w:t>
      </w:r>
      <w:r w:rsidRPr="005B4786">
        <w:rPr>
          <w:rFonts w:cstheme="minorHAnsi"/>
          <w:bCs/>
        </w:rPr>
        <w:t>.</w:t>
      </w:r>
    </w:p>
    <w:p w:rsidR="00E37E1B" w:rsidRDefault="005B4786" w:rsidP="00E37E1B">
      <w:pPr>
        <w:autoSpaceDE w:val="0"/>
        <w:autoSpaceDN w:val="0"/>
        <w:adjustRightInd w:val="0"/>
        <w:spacing w:after="0" w:line="240" w:lineRule="auto"/>
        <w:rPr>
          <w:rFonts w:cstheme="minorHAnsi"/>
          <w:bCs/>
        </w:rPr>
      </w:pPr>
      <w:r w:rsidRPr="00A945E6">
        <w:rPr>
          <w:rFonts w:ascii="Calibri" w:eastAsia="Times New Roman" w:hAnsi="Calibri" w:cs="Times New Roman"/>
          <w:color w:val="FF0000"/>
          <w:szCs w:val="18"/>
          <w:lang w:val="en"/>
        </w:rPr>
        <w:t>There are no differences for the adolescent stratification for testing.</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7156D2" w:rsidRPr="00A94B33" w:rsidRDefault="007156D2" w:rsidP="008C54A9">
      <w:pPr>
        <w:autoSpaceDE w:val="0"/>
        <w:autoSpaceDN w:val="0"/>
        <w:adjustRightInd w:val="0"/>
        <w:spacing w:after="0" w:line="240" w:lineRule="auto"/>
        <w:rPr>
          <w:rFonts w:cstheme="minorHAnsi"/>
          <w:bCs/>
          <w:sz w:val="12"/>
        </w:rPr>
      </w:pPr>
    </w:p>
    <w:p w:rsidR="002C23B6" w:rsidRPr="005B4786" w:rsidRDefault="007156D2" w:rsidP="008C54A9">
      <w:pPr>
        <w:autoSpaceDE w:val="0"/>
        <w:autoSpaceDN w:val="0"/>
        <w:adjustRightInd w:val="0"/>
        <w:spacing w:after="0" w:line="240" w:lineRule="auto"/>
      </w:pPr>
      <w:r w:rsidRPr="005B4786">
        <w:t>Reliability</w:t>
      </w:r>
      <w:r w:rsidR="00291B82" w:rsidRPr="005B4786">
        <w:t>/ Validity</w:t>
      </w:r>
      <w:r w:rsidRPr="005B4786">
        <w:t xml:space="preserve"> of the PROM- PHQ-9:</w:t>
      </w:r>
    </w:p>
    <w:p w:rsidR="000D3419" w:rsidRPr="005B4786" w:rsidRDefault="000D3419" w:rsidP="000D3419">
      <w:pPr>
        <w:spacing w:after="0" w:line="240" w:lineRule="auto"/>
        <w:rPr>
          <w:rFonts w:cstheme="minorHAnsi"/>
          <w:bCs/>
        </w:rPr>
      </w:pPr>
      <w:r w:rsidRPr="005B4786">
        <w:t xml:space="preserve">As PHQ-9 depression severity increased, there was a substantial decrease in functional status of all 6 SF-20 subscales in addition to an increase in symptom-related difficulty, sick days and health care utilization.  Construct validity, using mental health professional re-interview as the criterion standard, has demonstrated a PHQ-9 score </w:t>
      </w:r>
      <w:r w:rsidRPr="005B4786">
        <w:rPr>
          <w:u w:val="single"/>
        </w:rPr>
        <w:t>&gt;</w:t>
      </w:r>
      <w:r w:rsidRPr="005B4786">
        <w:t xml:space="preserve"> 10 has a sensitivity of 88% and a specificity of 88% for major depression.  </w:t>
      </w:r>
      <w:r w:rsidRPr="005B4786">
        <w:rPr>
          <w:rFonts w:cstheme="minorHAnsi"/>
          <w:bCs/>
        </w:rPr>
        <w:t>Additionally, a score &lt;5 almost always signifies the absence of a depressive disorder, with a positive likelihood ration of 0.04.  Also, ROC analysis showed that the area under the curve for the PHQ-9 in diagnosing major depression was 0.95, suggesting a test that discriminates well between persons with and without major depression.</w:t>
      </w:r>
    </w:p>
    <w:p w:rsidR="000D3419" w:rsidRPr="000D3419" w:rsidRDefault="000D3419" w:rsidP="000D3419">
      <w:pPr>
        <w:spacing w:after="0" w:line="240" w:lineRule="auto"/>
        <w:rPr>
          <w:color w:val="1F497D" w:themeColor="text2"/>
          <w:sz w:val="12"/>
        </w:rPr>
      </w:pPr>
    </w:p>
    <w:p w:rsidR="007156D2" w:rsidRPr="005B4786" w:rsidRDefault="000D3419" w:rsidP="00E05C46">
      <w:pPr>
        <w:spacing w:after="0" w:line="240" w:lineRule="auto"/>
        <w:rPr>
          <w:rFonts w:ascii="Trebuchet MS" w:eastAsia="Times New Roman" w:hAnsi="Trebuchet MS" w:cs="Times New Roman"/>
          <w:color w:val="008000"/>
          <w:sz w:val="18"/>
          <w:szCs w:val="18"/>
          <w:lang w:val="en"/>
        </w:rPr>
      </w:pPr>
      <w:r w:rsidRPr="005B4786">
        <w:t>The internal reliability of the PHQ-9 was excellent, with Cronbach’s alpha of 0.89 in the PHQ-9 Primary Care Study and 0.86 in the PHQ OBGYN Study. Test-retest reliability of the PHQ-9 was also excellent. Correlation between the PHQ-9 completed by the patient in the clinic and that administered telephonically by the MHP within 48 hours was 0.84, and the mean scores were nearly identical (5.08 vs 5.03).</w:t>
      </w:r>
      <w:r w:rsidRPr="005B4786">
        <w:rPr>
          <w:rFonts w:ascii="Trebuchet MS" w:eastAsia="Times New Roman" w:hAnsi="Trebuchet MS" w:cs="Times New Roman"/>
          <w:sz w:val="18"/>
          <w:szCs w:val="18"/>
          <w:lang w:val="en"/>
        </w:rPr>
        <w:t xml:space="preserve"> </w:t>
      </w:r>
      <w:r w:rsidRPr="005B4786">
        <w:t>[</w:t>
      </w:r>
      <w:r w:rsidRPr="005B4786">
        <w:rPr>
          <w:rFonts w:ascii="Trebuchet MS" w:eastAsia="Times New Roman" w:hAnsi="Trebuchet MS" w:cs="Times New Roman"/>
          <w:sz w:val="18"/>
          <w:szCs w:val="18"/>
          <w:lang w:val="en"/>
        </w:rPr>
        <w:t xml:space="preserve">Validity of a Brief Depression Severity Measure </w:t>
      </w:r>
      <w:proofErr w:type="spellStart"/>
      <w:r w:rsidRPr="005B4786">
        <w:rPr>
          <w:rFonts w:ascii="Trebuchet MS" w:eastAsia="Times New Roman" w:hAnsi="Trebuchet MS" w:cs="Times New Roman"/>
          <w:sz w:val="18"/>
          <w:szCs w:val="18"/>
          <w:lang w:val="en"/>
        </w:rPr>
        <w:t>Kronke</w:t>
      </w:r>
      <w:proofErr w:type="spellEnd"/>
      <w:r w:rsidRPr="005B4786">
        <w:rPr>
          <w:rFonts w:ascii="Trebuchet MS" w:eastAsia="Times New Roman" w:hAnsi="Trebuchet MS" w:cs="Times New Roman"/>
          <w:sz w:val="18"/>
          <w:szCs w:val="18"/>
          <w:lang w:val="en"/>
        </w:rPr>
        <w:t xml:space="preserve">, Kurt, Spitzer, Robert et al.  J Gen Internal Medicine 2001 September; 16(9): 606–613. </w:t>
      </w:r>
      <w:hyperlink r:id="rId8" w:history="1">
        <w:r w:rsidRPr="00757DF2">
          <w:rPr>
            <w:rStyle w:val="Hyperlink"/>
            <w:rFonts w:ascii="Trebuchet MS" w:eastAsia="Times New Roman" w:hAnsi="Trebuchet MS" w:cs="Times New Roman"/>
            <w:sz w:val="18"/>
            <w:szCs w:val="18"/>
            <w:lang w:val="en"/>
          </w:rPr>
          <w:t>www.ncbi.nlm.nih.gov/pmc/articles/PMC1495268/</w:t>
        </w:r>
      </w:hyperlink>
      <w:r>
        <w:rPr>
          <w:rStyle w:val="Hyperlink"/>
          <w:rFonts w:ascii="Trebuchet MS" w:eastAsia="Times New Roman" w:hAnsi="Trebuchet MS" w:cs="Times New Roman"/>
          <w:color w:val="auto"/>
          <w:sz w:val="18"/>
          <w:szCs w:val="18"/>
          <w:lang w:val="en"/>
        </w:rPr>
        <w:t>]</w:t>
      </w:r>
    </w:p>
    <w:p w:rsidR="005B4786" w:rsidRDefault="005B4786" w:rsidP="005B4786">
      <w:pPr>
        <w:spacing w:before="120" w:after="0" w:line="240" w:lineRule="auto"/>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In addition to the adults and elderly, the PHQ-9 has been validated in adolescent populations (age 13 to 17). The PHQ-9M Modified for Teens is the PHQ-9 tool with slight word changes (in CAPS below) in three questions to modify the tool for the adolescent population with age appropriate terms.</w:t>
      </w:r>
      <w:r>
        <w:rPr>
          <w:rFonts w:ascii="Calibri" w:eastAsia="Times New Roman" w:hAnsi="Calibri" w:cs="Times New Roman"/>
          <w:color w:val="FF0000"/>
          <w:szCs w:val="18"/>
          <w:lang w:val="en"/>
        </w:rPr>
        <w:t xml:space="preserve">  </w:t>
      </w:r>
    </w:p>
    <w:p w:rsidR="005B4786" w:rsidRPr="00A945E6" w:rsidRDefault="005B4786" w:rsidP="005B4786">
      <w:pPr>
        <w:spacing w:before="120" w:after="0" w:line="240" w:lineRule="auto"/>
        <w:ind w:firstLine="360"/>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 xml:space="preserve">Q2:    Feeling down, depressed, IRRITABLE, or hopeless?   </w:t>
      </w:r>
    </w:p>
    <w:p w:rsidR="005B4786" w:rsidRPr="00A945E6" w:rsidRDefault="005B4786" w:rsidP="005B4786">
      <w:pPr>
        <w:spacing w:after="0" w:line="240" w:lineRule="auto"/>
        <w:ind w:left="360"/>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 xml:space="preserve">Q5:    Poor appetite, WEIGHT LOSS, or overeating?  </w:t>
      </w:r>
    </w:p>
    <w:p w:rsidR="005B4786" w:rsidRPr="00A945E6" w:rsidRDefault="005B4786" w:rsidP="005B4786">
      <w:pPr>
        <w:spacing w:after="0" w:line="240" w:lineRule="auto"/>
        <w:ind w:left="360"/>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Q7:    Trouble concentrating on things like SCHOOL WORK, reading, or watching TV?</w:t>
      </w:r>
    </w:p>
    <w:p w:rsidR="005B4786" w:rsidRPr="00A945E6" w:rsidRDefault="005B4786" w:rsidP="005B4786">
      <w:pPr>
        <w:spacing w:after="0" w:line="240" w:lineRule="auto"/>
        <w:rPr>
          <w:rFonts w:ascii="Calibri" w:eastAsia="Times New Roman" w:hAnsi="Calibri" w:cs="Times New Roman"/>
          <w:color w:val="FF0000"/>
          <w:szCs w:val="18"/>
          <w:lang w:val="en"/>
        </w:rPr>
      </w:pPr>
      <w:r w:rsidRPr="00A945E6">
        <w:rPr>
          <w:rFonts w:ascii="Calibri" w:eastAsia="Times New Roman" w:hAnsi="Calibri" w:cs="Times New Roman"/>
          <w:color w:val="FF0000"/>
          <w:szCs w:val="18"/>
          <w:lang w:val="en"/>
        </w:rPr>
        <w:t xml:space="preserve">Otherwise, the nine questions used in scoring the tool are identical to the PHQ-9. The copyright statement on the PHQ-9M tool states: </w:t>
      </w:r>
      <w:r w:rsidRPr="00A945E6">
        <w:rPr>
          <w:rFonts w:ascii="Calibri" w:eastAsia="Times New Roman" w:hAnsi="Calibri" w:cs="Times New Roman"/>
          <w:i/>
          <w:color w:val="FF0000"/>
          <w:szCs w:val="18"/>
          <w:lang w:val="en"/>
        </w:rPr>
        <w:t>Modified with permission by the GLAD-PC team from the PHQ-9 (Spitzer, Williams &amp; Kroenke, 1999), Revised PHQ-A (Johnson, 2002) and the CDS (DISC Development Group, 2000)</w:t>
      </w:r>
    </w:p>
    <w:p w:rsidR="005B4786" w:rsidRPr="00E30D4B" w:rsidRDefault="005B4786" w:rsidP="005B4786">
      <w:pPr>
        <w:spacing w:before="120" w:after="0" w:line="240" w:lineRule="auto"/>
        <w:rPr>
          <w:rFonts w:cs="Arial"/>
          <w:color w:val="0000FF" w:themeColor="hyperlink"/>
          <w:u w:val="single"/>
        </w:rPr>
      </w:pPr>
      <w:r w:rsidRPr="00A945E6">
        <w:rPr>
          <w:rFonts w:ascii="Calibri" w:eastAsia="Times New Roman" w:hAnsi="Calibri" w:cs="Times New Roman"/>
          <w:color w:val="FF0000"/>
          <w:szCs w:val="18"/>
          <w:lang w:val="en"/>
        </w:rPr>
        <w:t xml:space="preserve">Although widely used in pediatric practices and endorsed by the AAP, APA and AACAP, the modified version of the PHQ-9 tool has not had separate validation studies, as the nine questions are essentially the same as the original PHQ-9, which has been validated for adolescents ages 13 and older. The APA </w:t>
      </w:r>
      <w:r w:rsidRPr="000626CE">
        <w:rPr>
          <w:rFonts w:ascii="Calibri" w:eastAsia="Times New Roman" w:hAnsi="Calibri" w:cs="Times New Roman"/>
          <w:color w:val="FF0000"/>
          <w:szCs w:val="18"/>
          <w:lang w:val="en"/>
        </w:rPr>
        <w:t>recommends using the modified version of the PHQ-9 for children ages 11 to 17 to assess depression symptom severity (APA, 2015).</w:t>
      </w:r>
      <w:r>
        <w:rPr>
          <w:rFonts w:ascii="Calibri" w:eastAsia="Times New Roman" w:hAnsi="Calibri" w:cs="Times New Roman"/>
          <w:color w:val="FF0000"/>
          <w:szCs w:val="18"/>
          <w:lang w:val="en"/>
        </w:rPr>
        <w:t xml:space="preserve">  </w:t>
      </w:r>
      <w:r w:rsidRPr="000626CE">
        <w:rPr>
          <w:rFonts w:cs="Arial"/>
          <w:color w:val="FF0000"/>
        </w:rPr>
        <w:t xml:space="preserve">American Psychiatric Association. 2015. Online Assessment Measures. </w:t>
      </w:r>
      <w:r w:rsidRPr="000626CE">
        <w:rPr>
          <w:rFonts w:cs="Arial"/>
          <w:i/>
          <w:color w:val="FF0000"/>
        </w:rPr>
        <w:t>Severity Measure for Depression, Child Age 11 to 17 (PHQ-9 modified for Adolescents [PHQ-A], Adapted)</w:t>
      </w:r>
      <w:r w:rsidRPr="000626CE">
        <w:rPr>
          <w:rFonts w:cs="Arial"/>
          <w:color w:val="FF0000"/>
        </w:rPr>
        <w:t xml:space="preserve">. </w:t>
      </w:r>
      <w:hyperlink r:id="rId9" w:history="1">
        <w:r w:rsidRPr="0088578C">
          <w:rPr>
            <w:rStyle w:val="Hyperlink"/>
            <w:rFonts w:cs="Arial"/>
          </w:rPr>
          <w:t>https://www.psychiatry.org/psychiatrists/practice/dsm/dsm-5/online-assessment-measures</w:t>
        </w:r>
      </w:hyperlink>
    </w:p>
    <w:p w:rsidR="005B4786" w:rsidRDefault="005B4786" w:rsidP="00E05C46">
      <w:pPr>
        <w:spacing w:after="0" w:line="240" w:lineRule="auto"/>
        <w:rPr>
          <w:color w:val="1F497D" w:themeColor="text2"/>
        </w:rPr>
      </w:pPr>
    </w:p>
    <w:p w:rsidR="00291B82" w:rsidRPr="005B4786" w:rsidRDefault="00291B82" w:rsidP="00E05C46">
      <w:pPr>
        <w:spacing w:after="0" w:line="240" w:lineRule="auto"/>
      </w:pPr>
      <w:r w:rsidRPr="005B4786">
        <w:t>Reliability of the PROM-PM:</w:t>
      </w:r>
    </w:p>
    <w:p w:rsidR="002C23B6" w:rsidRPr="005B4786" w:rsidRDefault="002C23B6" w:rsidP="00E05C46">
      <w:pPr>
        <w:spacing w:after="0" w:line="240" w:lineRule="auto"/>
      </w:pPr>
      <w:r w:rsidRPr="005B4786">
        <w:t>Reliability is a function of provider-to-provider variation and samples size.  Empirical testing of computed performance scores for reportable clinics was conducted using a beta-binomial model.  Reliability ranges from 0.0 (no consistency) to 1.00 (perfect consistency).  The extent to which the reliability falls below 1.00 is the extent to which errors of measurement are present.  Reliability of 0.70 or greater is considered acceptable for drawing conclusions about groups.</w:t>
      </w:r>
    </w:p>
    <w:p w:rsidR="002C23B6" w:rsidRPr="005B4786" w:rsidRDefault="002C23B6" w:rsidP="00E05C46">
      <w:pPr>
        <w:pStyle w:val="ListParagraph"/>
        <w:numPr>
          <w:ilvl w:val="0"/>
          <w:numId w:val="27"/>
        </w:numPr>
        <w:spacing w:after="0" w:line="240" w:lineRule="auto"/>
      </w:pPr>
      <w:r w:rsidRPr="005B4786">
        <w:t>The BETABIN macro was used on each measure (SAS).</w:t>
      </w:r>
    </w:p>
    <w:p w:rsidR="002C23B6" w:rsidRPr="005B4786" w:rsidRDefault="002C23B6" w:rsidP="00E05C46">
      <w:pPr>
        <w:pStyle w:val="ListParagraph"/>
        <w:numPr>
          <w:ilvl w:val="0"/>
          <w:numId w:val="27"/>
        </w:numPr>
        <w:spacing w:after="0" w:line="240" w:lineRule="auto"/>
      </w:pPr>
      <w:r w:rsidRPr="005B4786">
        <w:t xml:space="preserve">Use the macro to get </w:t>
      </w:r>
      <w:r w:rsidRPr="005B4786">
        <w:rPr>
          <w:lang w:val="el-GR"/>
        </w:rPr>
        <w:t>α</w:t>
      </w:r>
      <w:r w:rsidRPr="005B4786">
        <w:t xml:space="preserve"> and </w:t>
      </w:r>
      <w:r w:rsidRPr="005B4786">
        <w:rPr>
          <w:lang w:val="el-GR"/>
        </w:rPr>
        <w:t>β</w:t>
      </w:r>
      <w:r w:rsidRPr="005B4786">
        <w:t>.</w:t>
      </w:r>
    </w:p>
    <w:p w:rsidR="002C23B6" w:rsidRPr="005B4786" w:rsidRDefault="002C23B6" w:rsidP="00E05C46">
      <w:pPr>
        <w:pStyle w:val="ListParagraph"/>
        <w:numPr>
          <w:ilvl w:val="0"/>
          <w:numId w:val="27"/>
        </w:numPr>
        <w:spacing w:after="0" w:line="240" w:lineRule="auto"/>
      </w:pPr>
      <w:r w:rsidRPr="005B4786">
        <w:t xml:space="preserve">provider-to-provider variance: </w:t>
      </w:r>
      <w:r w:rsidRPr="005B4786">
        <w:rPr>
          <w:lang w:val="el-GR"/>
        </w:rPr>
        <w:t>σ</w:t>
      </w:r>
      <w:r w:rsidRPr="005B4786">
        <w:rPr>
          <w:vertAlign w:val="superscript"/>
          <w:lang w:val="el-GR"/>
        </w:rPr>
        <w:t>2</w:t>
      </w:r>
      <w:r w:rsidRPr="005B4786">
        <w:t xml:space="preserve"> = (</w:t>
      </w:r>
      <w:r w:rsidRPr="005B4786">
        <w:rPr>
          <w:lang w:val="el-GR"/>
        </w:rPr>
        <w:t>α</w:t>
      </w:r>
      <w:r w:rsidRPr="005B4786">
        <w:t xml:space="preserve"> </w:t>
      </w:r>
      <w:r w:rsidRPr="005B4786">
        <w:rPr>
          <w:lang w:val="el-GR"/>
        </w:rPr>
        <w:t>β</w:t>
      </w:r>
      <w:r w:rsidRPr="005B4786">
        <w:t>) / (</w:t>
      </w:r>
      <w:r w:rsidRPr="005B4786">
        <w:rPr>
          <w:lang w:val="el-GR"/>
        </w:rPr>
        <w:t>α</w:t>
      </w:r>
      <w:r w:rsidRPr="005B4786">
        <w:t xml:space="preserve"> + </w:t>
      </w:r>
      <w:r w:rsidRPr="005B4786">
        <w:rPr>
          <w:lang w:val="el-GR"/>
        </w:rPr>
        <w:t>β</w:t>
      </w:r>
      <w:r w:rsidRPr="005B4786">
        <w:t xml:space="preserve"> + 1)(</w:t>
      </w:r>
      <w:r w:rsidRPr="005B4786">
        <w:rPr>
          <w:lang w:val="el-GR"/>
        </w:rPr>
        <w:t>α</w:t>
      </w:r>
      <w:r w:rsidRPr="005B4786">
        <w:t xml:space="preserve"> + </w:t>
      </w:r>
      <w:r w:rsidRPr="005B4786">
        <w:rPr>
          <w:lang w:val="el-GR"/>
        </w:rPr>
        <w:t>β</w:t>
      </w:r>
      <w:r w:rsidRPr="005B4786">
        <w:t>)</w:t>
      </w:r>
      <w:r w:rsidRPr="005B4786">
        <w:rPr>
          <w:vertAlign w:val="superscript"/>
        </w:rPr>
        <w:t xml:space="preserve">2  </w:t>
      </w:r>
      <w:r w:rsidRPr="005B4786">
        <w:t xml:space="preserve"> </w:t>
      </w:r>
    </w:p>
    <w:p w:rsidR="002C23B6" w:rsidRPr="005B4786" w:rsidRDefault="002C23B6" w:rsidP="00E05C46">
      <w:pPr>
        <w:pStyle w:val="ListParagraph"/>
        <w:numPr>
          <w:ilvl w:val="0"/>
          <w:numId w:val="27"/>
        </w:numPr>
        <w:spacing w:after="0" w:line="240" w:lineRule="auto"/>
      </w:pPr>
      <w:r w:rsidRPr="005B4786">
        <w:t>plug this variance value into the reliability equation:</w:t>
      </w:r>
      <w:r w:rsidRPr="005B4786">
        <w:rPr>
          <w:rFonts w:hAnsi="Calibri"/>
          <w:kern w:val="24"/>
          <w:sz w:val="50"/>
          <w:szCs w:val="50"/>
          <w:lang w:val="el-GR"/>
        </w:rPr>
        <w:t xml:space="preserve"> </w:t>
      </w:r>
      <w:r w:rsidRPr="005B4786">
        <w:rPr>
          <w:lang w:val="el-GR"/>
        </w:rPr>
        <w:t>σ</w:t>
      </w:r>
      <w:r w:rsidRPr="005B4786">
        <w:rPr>
          <w:vertAlign w:val="superscript"/>
          <w:lang w:val="el-GR"/>
        </w:rPr>
        <w:t>2</w:t>
      </w:r>
      <w:r w:rsidRPr="005B4786">
        <w:rPr>
          <w:vertAlign w:val="superscript"/>
        </w:rPr>
        <w:t xml:space="preserve"> </w:t>
      </w:r>
      <w:r w:rsidRPr="005B4786">
        <w:t>/ (</w:t>
      </w:r>
      <w:r w:rsidRPr="005B4786">
        <w:rPr>
          <w:lang w:val="el-GR"/>
        </w:rPr>
        <w:t>σ</w:t>
      </w:r>
      <w:r w:rsidRPr="005B4786">
        <w:rPr>
          <w:vertAlign w:val="superscript"/>
          <w:lang w:val="el-GR"/>
        </w:rPr>
        <w:t>2</w:t>
      </w:r>
      <w:r w:rsidRPr="005B4786">
        <w:rPr>
          <w:vertAlign w:val="superscript"/>
        </w:rPr>
        <w:t xml:space="preserve"> </w:t>
      </w:r>
      <w:r w:rsidRPr="005B4786">
        <w:t>+ (p(1 – p)/n))</w:t>
      </w:r>
    </w:p>
    <w:p w:rsidR="002C23B6" w:rsidRPr="005B4786" w:rsidRDefault="002C23B6" w:rsidP="00E05C46">
      <w:pPr>
        <w:pStyle w:val="ListParagraph"/>
        <w:numPr>
          <w:ilvl w:val="1"/>
          <w:numId w:val="27"/>
        </w:numPr>
        <w:spacing w:after="0" w:line="240" w:lineRule="auto"/>
      </w:pPr>
      <w:r w:rsidRPr="005B4786">
        <w:t xml:space="preserve">p = rate </w:t>
      </w:r>
    </w:p>
    <w:p w:rsidR="002C23B6" w:rsidRPr="005B4786" w:rsidRDefault="00760CF4" w:rsidP="00E05C46">
      <w:pPr>
        <w:pStyle w:val="ListParagraph"/>
        <w:numPr>
          <w:ilvl w:val="1"/>
          <w:numId w:val="27"/>
        </w:numPr>
        <w:spacing w:after="0" w:line="240" w:lineRule="auto"/>
      </w:pPr>
      <w:r>
        <w:rPr>
          <w:noProof/>
        </w:rPr>
        <mc:AlternateContent>
          <mc:Choice Requires="wps">
            <w:drawing>
              <wp:anchor distT="0" distB="0" distL="114300" distR="114300" simplePos="0" relativeHeight="251660288" behindDoc="0" locked="0" layoutInCell="1" allowOverlap="1">
                <wp:simplePos x="0" y="0"/>
                <wp:positionH relativeFrom="column">
                  <wp:posOffset>3000375</wp:posOffset>
                </wp:positionH>
                <wp:positionV relativeFrom="paragraph">
                  <wp:posOffset>18098</wp:posOffset>
                </wp:positionV>
                <wp:extent cx="3786188" cy="2162175"/>
                <wp:effectExtent l="0" t="0" r="24130" b="28575"/>
                <wp:wrapNone/>
                <wp:docPr id="2" name="Text Box 2"/>
                <wp:cNvGraphicFramePr/>
                <a:graphic xmlns:a="http://schemas.openxmlformats.org/drawingml/2006/main">
                  <a:graphicData uri="http://schemas.microsoft.com/office/word/2010/wordprocessingShape">
                    <wps:wsp>
                      <wps:cNvSpPr txBox="1"/>
                      <wps:spPr>
                        <a:xfrm>
                          <a:off x="0" y="0"/>
                          <a:ext cx="3786188" cy="2162175"/>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57C0F" w:rsidRDefault="00D57C0F">
                            <w:r w:rsidRPr="00D57C0F">
                              <w:drawing>
                                <wp:inline distT="0" distB="0" distL="0" distR="0">
                                  <wp:extent cx="3665452" cy="20239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74052" cy="202865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6.25pt;margin-top:1.45pt;width:298.15pt;height:17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" fillcolor="white [3201]" strokeweight="1pt">
                <v:textbox>
                  <w:txbxContent>
                    <w:p w:rsidR="00D57C0F" w:rsidRDefault="00D57C0F">
                      <w:r w:rsidRPr="00D57C0F">
                        <w:drawing>
                          <wp:inline distT="0" distB="0" distL="0" distR="0">
                            <wp:extent cx="3665452" cy="20239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74052" cy="2028657"/>
                                    </a:xfrm>
                                    <a:prstGeom prst="rect">
                                      <a:avLst/>
                                    </a:prstGeom>
                                    <a:noFill/>
                                    <a:ln>
                                      <a:noFill/>
                                    </a:ln>
                                  </pic:spPr>
                                </pic:pic>
                              </a:graphicData>
                            </a:graphic>
                          </wp:inline>
                        </w:drawing>
                      </w:r>
                    </w:p>
                  </w:txbxContent>
                </v:textbox>
              </v:shape>
            </w:pict>
          </mc:Fallback>
        </mc:AlternateContent>
      </w:r>
      <w:r w:rsidR="002C23B6" w:rsidRPr="005B4786">
        <w:t>n = number of eligible patients</w:t>
      </w:r>
    </w:p>
    <w:p w:rsidR="002C23B6" w:rsidRPr="005B4786" w:rsidRDefault="002C23B6" w:rsidP="00E05C46">
      <w:pPr>
        <w:pStyle w:val="ListParagraph"/>
        <w:numPr>
          <w:ilvl w:val="0"/>
          <w:numId w:val="27"/>
        </w:numPr>
        <w:spacing w:after="0" w:line="240" w:lineRule="auto"/>
      </w:pPr>
      <w:r w:rsidRPr="005B4786">
        <w:t>Determine reliability rate for each clinic.</w:t>
      </w:r>
    </w:p>
    <w:p w:rsidR="002C23B6" w:rsidRDefault="002C23B6" w:rsidP="002C23B6">
      <w:pPr>
        <w:pStyle w:val="ListParagraph"/>
        <w:numPr>
          <w:ilvl w:val="0"/>
          <w:numId w:val="27"/>
        </w:numPr>
      </w:pPr>
      <w:r w:rsidRPr="005B4786">
        <w:t>Average the reliability rate over all clinics.</w:t>
      </w:r>
    </w:p>
    <w:p w:rsidR="003F3A85" w:rsidRDefault="003F3A85" w:rsidP="003F3A85">
      <w:r>
        <w:t xml:space="preserve">Reliability = </w:t>
      </w:r>
      <w:r w:rsidR="00490A6A">
        <w:t>0.881</w:t>
      </w:r>
    </w:p>
    <w:p w:rsidR="005B4786" w:rsidRDefault="005B4786" w:rsidP="00760CF4">
      <w:pPr>
        <w:spacing w:after="0" w:line="240" w:lineRule="auto"/>
      </w:pPr>
      <w:r>
        <w:t xml:space="preserve">Reportable clinics </w:t>
      </w:r>
      <w:proofErr w:type="gramStart"/>
      <w:r>
        <w:t>( ≥</w:t>
      </w:r>
      <w:proofErr w:type="gramEnd"/>
      <w:r>
        <w:t xml:space="preserve"> 30 patients)</w:t>
      </w:r>
    </w:p>
    <w:p w:rsidR="005B4786" w:rsidRDefault="005B4786" w:rsidP="00760CF4">
      <w:pPr>
        <w:pStyle w:val="ListParagraph"/>
        <w:numPr>
          <w:ilvl w:val="0"/>
          <w:numId w:val="32"/>
        </w:numPr>
        <w:spacing w:after="0" w:line="240" w:lineRule="auto"/>
      </w:pPr>
      <w:r>
        <w:t xml:space="preserve">α = </w:t>
      </w:r>
      <w:r w:rsidR="00490A6A">
        <w:t>1.6217</w:t>
      </w:r>
    </w:p>
    <w:p w:rsidR="005B4786" w:rsidRDefault="005B4786" w:rsidP="00760CF4">
      <w:pPr>
        <w:pStyle w:val="ListParagraph"/>
        <w:numPr>
          <w:ilvl w:val="0"/>
          <w:numId w:val="32"/>
        </w:numPr>
        <w:spacing w:after="0" w:line="240" w:lineRule="auto"/>
      </w:pPr>
      <w:r>
        <w:t xml:space="preserve">β = </w:t>
      </w:r>
      <w:r w:rsidR="00490A6A">
        <w:t>18.5926</w:t>
      </w:r>
    </w:p>
    <w:p w:rsidR="005B4786" w:rsidRDefault="005B4786" w:rsidP="00760CF4">
      <w:pPr>
        <w:pStyle w:val="ListParagraph"/>
        <w:numPr>
          <w:ilvl w:val="0"/>
          <w:numId w:val="32"/>
        </w:numPr>
        <w:spacing w:after="0" w:line="240" w:lineRule="auto"/>
      </w:pPr>
      <w:r>
        <w:t>σ</w:t>
      </w:r>
      <w:r>
        <w:rPr>
          <w:vertAlign w:val="superscript"/>
        </w:rPr>
        <w:t>2</w:t>
      </w:r>
      <w:r>
        <w:t xml:space="preserve"> (provider to provider variance) = </w:t>
      </w:r>
      <w:r w:rsidR="00490A6A">
        <w:t>0.00348</w:t>
      </w:r>
    </w:p>
    <w:p w:rsidR="005B4786" w:rsidRDefault="005B4786" w:rsidP="00760CF4">
      <w:pPr>
        <w:pStyle w:val="ListParagraph"/>
        <w:numPr>
          <w:ilvl w:val="0"/>
          <w:numId w:val="32"/>
        </w:numPr>
        <w:spacing w:after="0" w:line="240" w:lineRule="auto"/>
      </w:pPr>
      <w:r>
        <w:t xml:space="preserve">average reliability = </w:t>
      </w:r>
      <w:r w:rsidR="00490A6A">
        <w:t>0.881</w:t>
      </w:r>
    </w:p>
    <w:p w:rsidR="002155FD" w:rsidRPr="003F3A85" w:rsidRDefault="002C23B6" w:rsidP="008C54A9">
      <w:pPr>
        <w:autoSpaceDE w:val="0"/>
        <w:autoSpaceDN w:val="0"/>
        <w:adjustRightInd w:val="0"/>
        <w:spacing w:after="0" w:line="240" w:lineRule="auto"/>
        <w:rPr>
          <w:rFonts w:cstheme="minorHAnsi"/>
          <w:bCs/>
        </w:rPr>
      </w:pPr>
      <w:r w:rsidRPr="003F3A85">
        <w:rPr>
          <w:rFonts w:cstheme="minorHAnsi"/>
          <w:bCs/>
        </w:rPr>
        <w:lastRenderedPageBreak/>
        <w:t xml:space="preserve">Critical data elements are assessed on a sample of medical groups </w:t>
      </w:r>
      <w:r w:rsidRPr="003F3A85">
        <w:rPr>
          <w:rFonts w:cstheme="minorHAnsi"/>
          <w:bCs/>
          <w:u w:val="single"/>
        </w:rPr>
        <w:t>every</w:t>
      </w:r>
      <w:r w:rsidRPr="003F3A85">
        <w:rPr>
          <w:rFonts w:cstheme="minorHAnsi"/>
          <w:bCs/>
        </w:rPr>
        <w:t xml:space="preserve"> year.  We audit the critical data elements (demographic information, diagnosis of depression, PHQ-9 date, PHQ-9 score) against the medical record utilizing NCQA’s “8 and 30” audit process and we require a 90% passing rate to allow data to be used for measure calculation and public reporting.  </w:t>
      </w:r>
    </w:p>
    <w:p w:rsidR="002C23B6" w:rsidRPr="003F3A85" w:rsidRDefault="002C23B6" w:rsidP="00490A6A">
      <w:pPr>
        <w:autoSpaceDE w:val="0"/>
        <w:autoSpaceDN w:val="0"/>
        <w:adjustRightInd w:val="0"/>
        <w:spacing w:before="120" w:after="0" w:line="240" w:lineRule="auto"/>
        <w:rPr>
          <w:rFonts w:cstheme="minorHAnsi"/>
          <w:bCs/>
        </w:rPr>
      </w:pPr>
      <w:r w:rsidRPr="003F3A85">
        <w:rPr>
          <w:rFonts w:cstheme="minorHAnsi"/>
          <w:bCs/>
        </w:rPr>
        <w:t xml:space="preserve">In 2014, for the depression </w:t>
      </w:r>
      <w:r w:rsidR="002155FD" w:rsidRPr="003F3A85">
        <w:rPr>
          <w:rFonts w:cstheme="minorHAnsi"/>
          <w:bCs/>
        </w:rPr>
        <w:t xml:space="preserve">measures, MNCM </w:t>
      </w:r>
      <w:r w:rsidRPr="003F3A85">
        <w:rPr>
          <w:rFonts w:cstheme="minorHAnsi"/>
          <w:bCs/>
        </w:rPr>
        <w:t>audited 104 medical groups; 73% of those submitting data.  99% of groups achieved the desired 90% data accuracy; 1 group decided to not correct/ resubmit data and the rates were not included in measure</w:t>
      </w:r>
      <w:r w:rsidR="003F3A85">
        <w:rPr>
          <w:rFonts w:cstheme="minorHAnsi"/>
          <w:bCs/>
        </w:rPr>
        <w:t xml:space="preserve"> calculation/ public reporting.</w:t>
      </w:r>
    </w:p>
    <w:p w:rsidR="008A6831" w:rsidRPr="003F3A85" w:rsidRDefault="00AE5E9D" w:rsidP="008C54A9">
      <w:pPr>
        <w:autoSpaceDE w:val="0"/>
        <w:autoSpaceDN w:val="0"/>
        <w:adjustRightInd w:val="0"/>
        <w:spacing w:after="0" w:line="240" w:lineRule="auto"/>
        <w:rPr>
          <w:rFonts w:cstheme="minorHAnsi"/>
          <w:bCs/>
        </w:rPr>
      </w:pPr>
      <w:r w:rsidRPr="003F3A85">
        <w:rPr>
          <w:rFonts w:cstheme="minorHAnsi"/>
          <w:bCs/>
        </w:rPr>
        <w:t>Please refer to the validation audit results in section 2b2.2.</w:t>
      </w:r>
    </w:p>
    <w:p w:rsidR="00490A6A" w:rsidRPr="00650F72" w:rsidRDefault="00490A6A" w:rsidP="00490A6A">
      <w:pPr>
        <w:autoSpaceDE w:val="0"/>
        <w:autoSpaceDN w:val="0"/>
        <w:adjustRightInd w:val="0"/>
        <w:spacing w:before="120" w:after="0" w:line="240" w:lineRule="auto"/>
        <w:rPr>
          <w:rFonts w:ascii="Calibri" w:eastAsia="Times New Roman" w:hAnsi="Calibri" w:cs="Times New Roman"/>
          <w:color w:val="FF0000"/>
          <w:szCs w:val="18"/>
          <w:lang w:val="en"/>
        </w:rPr>
      </w:pPr>
      <w:r>
        <w:rPr>
          <w:rFonts w:ascii="Calibri" w:eastAsia="Times New Roman" w:hAnsi="Calibri" w:cs="Times New Roman"/>
          <w:color w:val="FF0000"/>
          <w:szCs w:val="18"/>
          <w:lang w:val="en"/>
        </w:rPr>
        <w:t>In our r</w:t>
      </w:r>
      <w:r w:rsidRPr="00650F72">
        <w:rPr>
          <w:rFonts w:ascii="Calibri" w:eastAsia="Times New Roman" w:hAnsi="Calibri" w:cs="Times New Roman"/>
          <w:color w:val="FF0000"/>
          <w:szCs w:val="18"/>
          <w:lang w:val="en"/>
        </w:rPr>
        <w:t xml:space="preserve">eliability </w:t>
      </w:r>
      <w:r>
        <w:rPr>
          <w:rFonts w:ascii="Calibri" w:eastAsia="Times New Roman" w:hAnsi="Calibri" w:cs="Times New Roman"/>
          <w:color w:val="FF0000"/>
          <w:szCs w:val="18"/>
          <w:lang w:val="en"/>
        </w:rPr>
        <w:t>t</w:t>
      </w:r>
      <w:r w:rsidRPr="00650F72">
        <w:rPr>
          <w:rFonts w:ascii="Calibri" w:eastAsia="Times New Roman" w:hAnsi="Calibri" w:cs="Times New Roman"/>
          <w:color w:val="FF0000"/>
          <w:szCs w:val="18"/>
          <w:lang w:val="en"/>
        </w:rPr>
        <w:t xml:space="preserve">esting for </w:t>
      </w:r>
      <w:r>
        <w:rPr>
          <w:rFonts w:ascii="Calibri" w:eastAsia="Times New Roman" w:hAnsi="Calibri" w:cs="Times New Roman"/>
          <w:color w:val="FF0000"/>
          <w:szCs w:val="18"/>
          <w:lang w:val="en"/>
        </w:rPr>
        <w:t>a</w:t>
      </w:r>
      <w:r w:rsidRPr="00650F72">
        <w:rPr>
          <w:rFonts w:ascii="Calibri" w:eastAsia="Times New Roman" w:hAnsi="Calibri" w:cs="Times New Roman"/>
          <w:color w:val="FF0000"/>
          <w:szCs w:val="18"/>
          <w:lang w:val="en"/>
        </w:rPr>
        <w:t>dolescents</w:t>
      </w:r>
      <w:r>
        <w:rPr>
          <w:rFonts w:ascii="Calibri" w:eastAsia="Times New Roman" w:hAnsi="Calibri" w:cs="Times New Roman"/>
          <w:color w:val="FF0000"/>
          <w:szCs w:val="18"/>
          <w:lang w:val="en"/>
        </w:rPr>
        <w:t>, w</w:t>
      </w:r>
      <w:r w:rsidRPr="00650F72">
        <w:rPr>
          <w:rFonts w:ascii="Calibri" w:eastAsia="Times New Roman" w:hAnsi="Calibri" w:cs="Times New Roman"/>
          <w:color w:val="FF0000"/>
          <w:szCs w:val="18"/>
          <w:lang w:val="en"/>
        </w:rPr>
        <w:t xml:space="preserve">e obtained manually abstracted data of the electronic record for a </w:t>
      </w:r>
      <w:r>
        <w:rPr>
          <w:rFonts w:ascii="Calibri" w:eastAsia="Times New Roman" w:hAnsi="Calibri" w:cs="Times New Roman"/>
          <w:color w:val="FF0000"/>
          <w:szCs w:val="18"/>
          <w:lang w:val="en"/>
        </w:rPr>
        <w:t>sample</w:t>
      </w:r>
      <w:r w:rsidRPr="00650F72">
        <w:rPr>
          <w:rFonts w:ascii="Calibri" w:eastAsia="Times New Roman" w:hAnsi="Calibri" w:cs="Times New Roman"/>
          <w:color w:val="FF0000"/>
          <w:szCs w:val="18"/>
          <w:lang w:val="en"/>
        </w:rPr>
        <w:t xml:space="preserve"> of charts at two </w:t>
      </w:r>
      <w:r>
        <w:rPr>
          <w:rFonts w:ascii="Calibri" w:eastAsia="Times New Roman" w:hAnsi="Calibri" w:cs="Times New Roman"/>
          <w:color w:val="FF0000"/>
          <w:szCs w:val="18"/>
          <w:lang w:val="en"/>
        </w:rPr>
        <w:t>sites</w:t>
      </w:r>
      <w:r w:rsidRPr="000C1536">
        <w:rPr>
          <w:rFonts w:ascii="Calibri" w:eastAsia="Times New Roman" w:hAnsi="Calibri" w:cs="Times New Roman"/>
          <w:color w:val="FF0000"/>
          <w:szCs w:val="18"/>
          <w:lang w:val="en"/>
        </w:rPr>
        <w:t xml:space="preserve"> to</w:t>
      </w:r>
      <w:r w:rsidRPr="00650F72">
        <w:rPr>
          <w:rFonts w:ascii="Calibri" w:eastAsia="Times New Roman" w:hAnsi="Calibri" w:cs="Times New Roman"/>
          <w:color w:val="FF0000"/>
          <w:szCs w:val="18"/>
          <w:lang w:val="en"/>
        </w:rPr>
        <w:t xml:space="preserve"> support reliability testing. W</w:t>
      </w:r>
      <w:r>
        <w:rPr>
          <w:rFonts w:ascii="Calibri" w:eastAsia="Times New Roman" w:hAnsi="Calibri" w:cs="Times New Roman"/>
          <w:color w:val="FF0000"/>
          <w:szCs w:val="18"/>
          <w:lang w:val="en"/>
        </w:rPr>
        <w:t>ith data from two sites w</w:t>
      </w:r>
      <w:r w:rsidRPr="00650F72">
        <w:rPr>
          <w:rFonts w:ascii="Calibri" w:eastAsia="Times New Roman" w:hAnsi="Calibri" w:cs="Times New Roman"/>
          <w:color w:val="FF0000"/>
          <w:szCs w:val="18"/>
          <w:lang w:val="en"/>
        </w:rPr>
        <w:t>e calculated inter-rater reliability to assess consistency of information obtained on critical data elements used to calculate</w:t>
      </w:r>
      <w:r>
        <w:rPr>
          <w:rFonts w:ascii="Calibri" w:eastAsia="Times New Roman" w:hAnsi="Calibri" w:cs="Times New Roman"/>
          <w:color w:val="FF0000"/>
          <w:szCs w:val="18"/>
          <w:lang w:val="en"/>
        </w:rPr>
        <w:t xml:space="preserve"> the</w:t>
      </w:r>
      <w:r w:rsidRPr="00650F72">
        <w:rPr>
          <w:rFonts w:ascii="Calibri" w:eastAsia="Times New Roman" w:hAnsi="Calibri" w:cs="Times New Roman"/>
          <w:color w:val="FF0000"/>
          <w:szCs w:val="18"/>
          <w:lang w:val="en"/>
        </w:rPr>
        <w:t xml:space="preserve"> measure between manual abstractors. </w:t>
      </w:r>
      <w:r>
        <w:rPr>
          <w:rFonts w:ascii="Calibri" w:eastAsia="Times New Roman" w:hAnsi="Calibri" w:cs="Times New Roman"/>
          <w:color w:val="FF0000"/>
          <w:szCs w:val="18"/>
          <w:lang w:val="en"/>
        </w:rPr>
        <w:t>W</w:t>
      </w:r>
      <w:r w:rsidRPr="00650F72">
        <w:rPr>
          <w:rFonts w:ascii="Calibri" w:eastAsia="Times New Roman" w:hAnsi="Calibri" w:cs="Times New Roman"/>
          <w:color w:val="FF0000"/>
          <w:szCs w:val="18"/>
          <w:lang w:val="en"/>
        </w:rPr>
        <w:t xml:space="preserve">e </w:t>
      </w:r>
      <w:r>
        <w:rPr>
          <w:rFonts w:ascii="Calibri" w:eastAsia="Times New Roman" w:hAnsi="Calibri" w:cs="Times New Roman"/>
          <w:color w:val="FF0000"/>
          <w:szCs w:val="18"/>
          <w:lang w:val="en"/>
        </w:rPr>
        <w:t xml:space="preserve">also </w:t>
      </w:r>
      <w:r w:rsidRPr="00650F72">
        <w:rPr>
          <w:rFonts w:ascii="Calibri" w:eastAsia="Times New Roman" w:hAnsi="Calibri" w:cs="Times New Roman"/>
          <w:color w:val="FF0000"/>
          <w:szCs w:val="18"/>
          <w:lang w:val="en"/>
        </w:rPr>
        <w:t xml:space="preserve">used parallel-forms reliability testing </w:t>
      </w:r>
      <w:r>
        <w:rPr>
          <w:rFonts w:ascii="Calibri" w:eastAsia="Times New Roman" w:hAnsi="Calibri" w:cs="Times New Roman"/>
          <w:color w:val="FF0000"/>
          <w:szCs w:val="18"/>
          <w:lang w:val="en"/>
        </w:rPr>
        <w:t xml:space="preserve">to evaluate the agreement between the electronic extract and the manual review on the critical data elements. </w:t>
      </w:r>
      <w:r w:rsidRPr="00650F72">
        <w:rPr>
          <w:rFonts w:ascii="Calibri" w:eastAsia="Times New Roman" w:hAnsi="Calibri" w:cs="Times New Roman"/>
          <w:color w:val="FF0000"/>
          <w:szCs w:val="18"/>
          <w:lang w:val="en"/>
        </w:rPr>
        <w:t xml:space="preserve">Agreement was measured using the kappa statistic (a measure of agreement adjusted for agreement that can occur by chance).  </w:t>
      </w:r>
    </w:p>
    <w:p w:rsidR="003F3A85" w:rsidRPr="00A25024" w:rsidRDefault="003F3A85" w:rsidP="008C54A9">
      <w:pPr>
        <w:autoSpaceDE w:val="0"/>
        <w:autoSpaceDN w:val="0"/>
        <w:adjustRightInd w:val="0"/>
        <w:spacing w:after="0" w:line="240" w:lineRule="auto"/>
        <w:rPr>
          <w:rFonts w:cstheme="minorHAnsi"/>
          <w:bCs/>
        </w:rPr>
      </w:pPr>
    </w:p>
    <w:p w:rsidR="008E10FC"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8E10FC" w:rsidRDefault="008E10FC" w:rsidP="008C54A9">
      <w:pPr>
        <w:autoSpaceDE w:val="0"/>
        <w:autoSpaceDN w:val="0"/>
        <w:adjustRightInd w:val="0"/>
        <w:spacing w:after="0" w:line="240" w:lineRule="auto"/>
        <w:rPr>
          <w:rFonts w:cstheme="minorHAnsi"/>
          <w:bCs/>
        </w:rPr>
      </w:pPr>
    </w:p>
    <w:p w:rsidR="00604BAB" w:rsidRPr="003F3A85" w:rsidRDefault="00604BAB" w:rsidP="00604BAB">
      <w:pPr>
        <w:spacing w:after="0" w:line="240" w:lineRule="auto"/>
        <w:rPr>
          <w:rFonts w:ascii="Trebuchet MS" w:eastAsia="Times New Roman" w:hAnsi="Trebuchet MS" w:cs="Times New Roman"/>
          <w:sz w:val="18"/>
          <w:szCs w:val="18"/>
          <w:lang w:val="en"/>
        </w:rPr>
      </w:pPr>
      <w:r w:rsidRPr="003F3A85">
        <w:t xml:space="preserve">PROM- PHQ-9 </w:t>
      </w:r>
    </w:p>
    <w:p w:rsidR="00604BAB" w:rsidRPr="003F3A85" w:rsidRDefault="00604BAB" w:rsidP="00604BAB">
      <w:pPr>
        <w:pStyle w:val="ListParagraph"/>
        <w:numPr>
          <w:ilvl w:val="0"/>
          <w:numId w:val="28"/>
        </w:numPr>
        <w:autoSpaceDE w:val="0"/>
        <w:autoSpaceDN w:val="0"/>
        <w:adjustRightInd w:val="0"/>
        <w:spacing w:after="0" w:line="240" w:lineRule="auto"/>
        <w:rPr>
          <w:rFonts w:cstheme="minorHAnsi"/>
          <w:bCs/>
        </w:rPr>
      </w:pPr>
      <w:r w:rsidRPr="003F3A85">
        <w:rPr>
          <w:rFonts w:cstheme="minorHAnsi"/>
          <w:bCs/>
        </w:rPr>
        <w:t xml:space="preserve">PHQ-9 score &gt; 10 has a sensitivity of 88% and a specificity of 88% for major depression.  </w:t>
      </w:r>
    </w:p>
    <w:p w:rsidR="00604BAB" w:rsidRPr="003F3A85" w:rsidRDefault="00604BAB" w:rsidP="008E10FC">
      <w:pPr>
        <w:pStyle w:val="ListParagraph"/>
        <w:numPr>
          <w:ilvl w:val="0"/>
          <w:numId w:val="28"/>
        </w:numPr>
        <w:autoSpaceDE w:val="0"/>
        <w:autoSpaceDN w:val="0"/>
        <w:adjustRightInd w:val="0"/>
        <w:spacing w:after="0" w:line="240" w:lineRule="auto"/>
        <w:rPr>
          <w:rFonts w:cstheme="minorHAnsi"/>
          <w:bCs/>
        </w:rPr>
      </w:pPr>
      <w:r w:rsidRPr="003F3A85">
        <w:rPr>
          <w:rFonts w:cstheme="minorHAnsi"/>
          <w:bCs/>
        </w:rPr>
        <w:t xml:space="preserve">Cronbach’s alpha of 0.89 in the PHQ-9 Primary Care Study and 0.86 in the PHQ OBGYN Study. </w:t>
      </w:r>
    </w:p>
    <w:p w:rsidR="00604BAB" w:rsidRPr="003F3A85" w:rsidRDefault="00604BAB" w:rsidP="00604BAB">
      <w:pPr>
        <w:spacing w:after="0" w:line="240" w:lineRule="auto"/>
        <w:rPr>
          <w:sz w:val="12"/>
        </w:rPr>
      </w:pPr>
    </w:p>
    <w:p w:rsidR="00604BAB" w:rsidRPr="003F3A85" w:rsidRDefault="00604BAB" w:rsidP="00604BAB">
      <w:pPr>
        <w:spacing w:after="0" w:line="240" w:lineRule="auto"/>
        <w:rPr>
          <w:rFonts w:ascii="Trebuchet MS" w:eastAsia="Times New Roman" w:hAnsi="Trebuchet MS" w:cs="Times New Roman"/>
          <w:sz w:val="18"/>
          <w:szCs w:val="18"/>
          <w:lang w:val="en"/>
        </w:rPr>
      </w:pPr>
      <w:r w:rsidRPr="003F3A85">
        <w:t>PROM-</w:t>
      </w:r>
      <w:proofErr w:type="gramStart"/>
      <w:r w:rsidRPr="003F3A85">
        <w:t xml:space="preserve">PM  </w:t>
      </w:r>
      <w:r w:rsidR="003F3A85">
        <w:t>(</w:t>
      </w:r>
      <w:proofErr w:type="gramEnd"/>
      <w:r w:rsidR="003F3A85">
        <w:t>Adult stratification)</w:t>
      </w:r>
    </w:p>
    <w:p w:rsidR="008E10FC" w:rsidRPr="003F3A85" w:rsidRDefault="00313E7A" w:rsidP="008E10FC">
      <w:pPr>
        <w:pStyle w:val="ListParagraph"/>
        <w:numPr>
          <w:ilvl w:val="0"/>
          <w:numId w:val="28"/>
        </w:numPr>
        <w:autoSpaceDE w:val="0"/>
        <w:autoSpaceDN w:val="0"/>
        <w:adjustRightInd w:val="0"/>
        <w:spacing w:after="0" w:line="240" w:lineRule="auto"/>
        <w:rPr>
          <w:rFonts w:cstheme="minorHAnsi"/>
          <w:bCs/>
        </w:rPr>
      </w:pPr>
      <w:r w:rsidRPr="003F3A85">
        <w:rPr>
          <w:rFonts w:cstheme="minorHAnsi"/>
          <w:bCs/>
        </w:rPr>
        <w:t xml:space="preserve">Reliability score = </w:t>
      </w:r>
      <w:r w:rsidR="007C2E03">
        <w:rPr>
          <w:rFonts w:cstheme="minorHAnsi"/>
          <w:bCs/>
        </w:rPr>
        <w:t>0.881</w:t>
      </w:r>
    </w:p>
    <w:p w:rsidR="007422FD" w:rsidRDefault="008E10FC" w:rsidP="008E10FC">
      <w:pPr>
        <w:pStyle w:val="ListParagraph"/>
        <w:numPr>
          <w:ilvl w:val="0"/>
          <w:numId w:val="28"/>
        </w:numPr>
        <w:autoSpaceDE w:val="0"/>
        <w:autoSpaceDN w:val="0"/>
        <w:adjustRightInd w:val="0"/>
        <w:spacing w:after="0" w:line="240" w:lineRule="auto"/>
        <w:rPr>
          <w:rFonts w:cstheme="minorHAnsi"/>
          <w:bCs/>
        </w:rPr>
      </w:pPr>
      <w:r w:rsidRPr="003F3A85">
        <w:rPr>
          <w:rFonts w:cstheme="minorHAnsi"/>
          <w:bCs/>
        </w:rPr>
        <w:t>High level of individual data element validity with 99% of groups achieving a 90% accuracy (submitted data matched medical record data)</w:t>
      </w:r>
    </w:p>
    <w:p w:rsidR="003F3A85" w:rsidRPr="003F3A85" w:rsidRDefault="003F3A85" w:rsidP="003F3A85">
      <w:pPr>
        <w:autoSpaceDE w:val="0"/>
        <w:autoSpaceDN w:val="0"/>
        <w:adjustRightInd w:val="0"/>
        <w:spacing w:before="120" w:after="0" w:line="240" w:lineRule="auto"/>
        <w:rPr>
          <w:rFonts w:ascii="Calibri" w:eastAsia="Times New Roman" w:hAnsi="Calibri" w:cs="Times New Roman"/>
          <w:color w:val="FF0000"/>
          <w:szCs w:val="18"/>
          <w:lang w:val="en"/>
        </w:rPr>
      </w:pPr>
      <w:r w:rsidRPr="003F3A85">
        <w:rPr>
          <w:rFonts w:ascii="Calibri" w:eastAsia="Times New Roman" w:hAnsi="Calibri" w:cs="Times New Roman"/>
          <w:color w:val="FF0000"/>
          <w:szCs w:val="18"/>
          <w:lang w:val="en"/>
        </w:rPr>
        <w:t>Results of Reliability Testing for Adolescents:</w:t>
      </w:r>
    </w:p>
    <w:p w:rsidR="003F3A85" w:rsidRPr="003F3A85" w:rsidRDefault="003F3A85" w:rsidP="003F3A85">
      <w:pPr>
        <w:autoSpaceDE w:val="0"/>
        <w:autoSpaceDN w:val="0"/>
        <w:adjustRightInd w:val="0"/>
        <w:spacing w:after="120" w:line="240" w:lineRule="auto"/>
        <w:rPr>
          <w:rFonts w:ascii="Calibri" w:eastAsia="Times New Roman" w:hAnsi="Calibri" w:cs="Times New Roman"/>
          <w:color w:val="FF0000"/>
          <w:szCs w:val="18"/>
          <w:lang w:val="en"/>
        </w:rPr>
      </w:pPr>
      <w:r w:rsidRPr="003F3A85">
        <w:rPr>
          <w:rFonts w:ascii="Calibri" w:eastAsia="Times New Roman" w:hAnsi="Calibri" w:cs="Times New Roman"/>
          <w:color w:val="FF0000"/>
          <w:szCs w:val="18"/>
          <w:lang w:val="en"/>
        </w:rPr>
        <w:t xml:space="preserve">Inter-rater agreement among abstractors across the two sites was high with a Kappa of 0.85 or higher for all data elements except for the exclusion data elements.  </w:t>
      </w:r>
    </w:p>
    <w:tbl>
      <w:tblPr>
        <w:tblW w:w="9895" w:type="dxa"/>
        <w:tblLook w:val="04A0" w:firstRow="1" w:lastRow="0" w:firstColumn="1" w:lastColumn="0" w:noHBand="0" w:noVBand="1"/>
      </w:tblPr>
      <w:tblGrid>
        <w:gridCol w:w="4113"/>
        <w:gridCol w:w="1401"/>
        <w:gridCol w:w="982"/>
        <w:gridCol w:w="982"/>
        <w:gridCol w:w="995"/>
        <w:gridCol w:w="1422"/>
      </w:tblGrid>
      <w:tr w:rsidR="003F3A85" w:rsidRPr="00C13EE2" w:rsidTr="00D57C0F">
        <w:trPr>
          <w:trHeight w:val="593"/>
        </w:trPr>
        <w:tc>
          <w:tcPr>
            <w:tcW w:w="4113" w:type="dxa"/>
            <w:tcBorders>
              <w:top w:val="single" w:sz="4" w:space="0" w:color="auto"/>
              <w:left w:val="single" w:sz="4" w:space="0" w:color="auto"/>
              <w:bottom w:val="single" w:sz="4" w:space="0" w:color="auto"/>
              <w:right w:val="single" w:sz="4" w:space="0" w:color="auto"/>
            </w:tcBorders>
            <w:shd w:val="clear" w:color="000000" w:fill="FAFBFE"/>
            <w:vAlign w:val="bottom"/>
            <w:hideMark/>
          </w:tcPr>
          <w:p w:rsidR="003F3A85" w:rsidRPr="00C13EE2" w:rsidRDefault="003F3A85" w:rsidP="00D57C0F">
            <w:pPr>
              <w:jc w:val="center"/>
              <w:rPr>
                <w:rFonts w:eastAsia="Times New Roman" w:cs="Arial"/>
                <w:b/>
                <w:bCs/>
                <w:color w:val="FF0000"/>
              </w:rPr>
            </w:pPr>
            <w:r w:rsidRPr="00C13EE2">
              <w:rPr>
                <w:rFonts w:eastAsia="Times New Roman" w:cs="Arial"/>
                <w:b/>
                <w:bCs/>
                <w:color w:val="FF0000"/>
              </w:rPr>
              <w:t>Variable</w:t>
            </w:r>
          </w:p>
        </w:tc>
        <w:tc>
          <w:tcPr>
            <w:tcW w:w="1401" w:type="dxa"/>
            <w:tcBorders>
              <w:top w:val="single" w:sz="4" w:space="0" w:color="auto"/>
              <w:left w:val="nil"/>
              <w:bottom w:val="single" w:sz="4" w:space="0" w:color="auto"/>
              <w:right w:val="single" w:sz="4" w:space="0" w:color="auto"/>
            </w:tcBorders>
            <w:shd w:val="clear" w:color="000000" w:fill="FAFBFE"/>
            <w:vAlign w:val="bottom"/>
            <w:hideMark/>
          </w:tcPr>
          <w:p w:rsidR="003F3A85" w:rsidRPr="00C13EE2" w:rsidRDefault="003F3A85" w:rsidP="00D57C0F">
            <w:pPr>
              <w:spacing w:after="0" w:line="240" w:lineRule="auto"/>
              <w:jc w:val="center"/>
              <w:rPr>
                <w:rFonts w:eastAsia="Times New Roman" w:cs="Arial"/>
                <w:b/>
                <w:bCs/>
                <w:color w:val="FF0000"/>
              </w:rPr>
            </w:pPr>
            <w:r w:rsidRPr="00C13EE2">
              <w:rPr>
                <w:rFonts w:eastAsia="Times New Roman" w:cs="Arial"/>
                <w:b/>
                <w:bCs/>
                <w:color w:val="FF0000"/>
              </w:rPr>
              <w:t>Number of Comparisons</w:t>
            </w:r>
          </w:p>
        </w:tc>
        <w:tc>
          <w:tcPr>
            <w:tcW w:w="982" w:type="dxa"/>
            <w:tcBorders>
              <w:top w:val="single" w:sz="4" w:space="0" w:color="auto"/>
              <w:left w:val="nil"/>
              <w:bottom w:val="single" w:sz="4" w:space="0" w:color="auto"/>
              <w:right w:val="single" w:sz="4" w:space="0" w:color="auto"/>
            </w:tcBorders>
            <w:shd w:val="clear" w:color="000000" w:fill="FAFBFE"/>
            <w:vAlign w:val="bottom"/>
            <w:hideMark/>
          </w:tcPr>
          <w:p w:rsidR="003F3A85" w:rsidRPr="00C13EE2" w:rsidRDefault="003F3A85" w:rsidP="00D57C0F">
            <w:pPr>
              <w:spacing w:after="0" w:line="240" w:lineRule="auto"/>
              <w:jc w:val="center"/>
              <w:rPr>
                <w:rFonts w:eastAsia="Times New Roman" w:cs="Arial"/>
                <w:b/>
                <w:bCs/>
                <w:color w:val="FF0000"/>
              </w:rPr>
            </w:pPr>
            <w:r w:rsidRPr="00C13EE2">
              <w:rPr>
                <w:rFonts w:eastAsia="Times New Roman" w:cs="Arial"/>
                <w:b/>
                <w:bCs/>
                <w:color w:val="FF0000"/>
              </w:rPr>
              <w:t>Kappa</w:t>
            </w:r>
          </w:p>
        </w:tc>
        <w:tc>
          <w:tcPr>
            <w:tcW w:w="982" w:type="dxa"/>
            <w:tcBorders>
              <w:top w:val="single" w:sz="4" w:space="0" w:color="auto"/>
              <w:left w:val="nil"/>
              <w:bottom w:val="single" w:sz="4" w:space="0" w:color="auto"/>
              <w:right w:val="single" w:sz="4" w:space="0" w:color="auto"/>
            </w:tcBorders>
            <w:shd w:val="clear" w:color="000000" w:fill="FAFBFE"/>
            <w:vAlign w:val="bottom"/>
            <w:hideMark/>
          </w:tcPr>
          <w:p w:rsidR="003F3A85" w:rsidRPr="00C13EE2" w:rsidRDefault="003F3A85" w:rsidP="00D57C0F">
            <w:pPr>
              <w:spacing w:after="0" w:line="240" w:lineRule="auto"/>
              <w:jc w:val="center"/>
              <w:rPr>
                <w:rFonts w:eastAsia="Times New Roman" w:cs="Arial"/>
                <w:b/>
                <w:bCs/>
                <w:color w:val="FF0000"/>
              </w:rPr>
            </w:pPr>
            <w:r w:rsidRPr="00C13EE2">
              <w:rPr>
                <w:rFonts w:eastAsia="Times New Roman" w:cs="Arial"/>
                <w:b/>
                <w:bCs/>
                <w:color w:val="FF0000"/>
              </w:rPr>
              <w:t>Lower CI</w:t>
            </w:r>
          </w:p>
        </w:tc>
        <w:tc>
          <w:tcPr>
            <w:tcW w:w="995" w:type="dxa"/>
            <w:tcBorders>
              <w:top w:val="single" w:sz="4" w:space="0" w:color="auto"/>
              <w:left w:val="nil"/>
              <w:bottom w:val="single" w:sz="4" w:space="0" w:color="auto"/>
              <w:right w:val="single" w:sz="4" w:space="0" w:color="auto"/>
            </w:tcBorders>
            <w:shd w:val="clear" w:color="000000" w:fill="FAFBFE"/>
            <w:vAlign w:val="bottom"/>
            <w:hideMark/>
          </w:tcPr>
          <w:p w:rsidR="003F3A85" w:rsidRPr="00C13EE2" w:rsidRDefault="003F3A85" w:rsidP="00D57C0F">
            <w:pPr>
              <w:spacing w:after="0" w:line="240" w:lineRule="auto"/>
              <w:jc w:val="center"/>
              <w:rPr>
                <w:rFonts w:eastAsia="Times New Roman" w:cs="Arial"/>
                <w:b/>
                <w:bCs/>
                <w:color w:val="FF0000"/>
              </w:rPr>
            </w:pPr>
            <w:r w:rsidRPr="00C13EE2">
              <w:rPr>
                <w:rFonts w:eastAsia="Times New Roman" w:cs="Arial"/>
                <w:b/>
                <w:bCs/>
                <w:color w:val="FF0000"/>
              </w:rPr>
              <w:t>Upper CI</w:t>
            </w:r>
          </w:p>
        </w:tc>
        <w:tc>
          <w:tcPr>
            <w:tcW w:w="1422" w:type="dxa"/>
            <w:tcBorders>
              <w:top w:val="single" w:sz="4" w:space="0" w:color="auto"/>
              <w:left w:val="nil"/>
              <w:bottom w:val="single" w:sz="4" w:space="0" w:color="auto"/>
              <w:right w:val="single" w:sz="4" w:space="0" w:color="auto"/>
            </w:tcBorders>
            <w:shd w:val="clear" w:color="000000" w:fill="FAFBFE"/>
            <w:vAlign w:val="bottom"/>
            <w:hideMark/>
          </w:tcPr>
          <w:p w:rsidR="003F3A85" w:rsidRPr="00C13EE2" w:rsidRDefault="003F3A85" w:rsidP="00D57C0F">
            <w:pPr>
              <w:spacing w:after="0" w:line="240" w:lineRule="auto"/>
              <w:jc w:val="center"/>
              <w:rPr>
                <w:rFonts w:eastAsia="Times New Roman" w:cs="Arial"/>
                <w:b/>
                <w:bCs/>
                <w:color w:val="FF0000"/>
              </w:rPr>
            </w:pPr>
            <w:r w:rsidRPr="00C13EE2">
              <w:rPr>
                <w:rFonts w:eastAsia="Times New Roman" w:cs="Arial"/>
                <w:b/>
                <w:bCs/>
                <w:color w:val="FF0000"/>
              </w:rPr>
              <w:t>% Agreement</w:t>
            </w:r>
          </w:p>
        </w:tc>
      </w:tr>
      <w:tr w:rsidR="003F3A85" w:rsidRPr="00C13EE2" w:rsidTr="00D57C0F">
        <w:trPr>
          <w:trHeight w:val="570"/>
        </w:trPr>
        <w:tc>
          <w:tcPr>
            <w:tcW w:w="4113" w:type="dxa"/>
            <w:tcBorders>
              <w:top w:val="nil"/>
              <w:left w:val="single" w:sz="4" w:space="0" w:color="auto"/>
              <w:bottom w:val="single" w:sz="4" w:space="0" w:color="auto"/>
              <w:right w:val="single" w:sz="4" w:space="0" w:color="auto"/>
            </w:tcBorders>
            <w:shd w:val="clear" w:color="000000" w:fill="FAFBFE"/>
            <w:vAlign w:val="center"/>
            <w:hideMark/>
          </w:tcPr>
          <w:p w:rsidR="003F3A85" w:rsidRPr="00C13EE2" w:rsidRDefault="003F3A85" w:rsidP="00D57C0F">
            <w:pPr>
              <w:spacing w:after="0" w:line="240" w:lineRule="auto"/>
              <w:rPr>
                <w:rFonts w:eastAsia="Times New Roman" w:cs="Arial"/>
                <w:color w:val="FF0000"/>
              </w:rPr>
            </w:pPr>
            <w:r w:rsidRPr="00C13EE2">
              <w:rPr>
                <w:rFonts w:eastAsia="Times New Roman" w:cs="Arial"/>
                <w:color w:val="FF0000"/>
              </w:rPr>
              <w:t>Has initial PHQ-9 - Yes/No (within +/- 30 days of visit for depression)</w:t>
            </w:r>
          </w:p>
        </w:tc>
        <w:tc>
          <w:tcPr>
            <w:tcW w:w="1401"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46</w:t>
            </w:r>
          </w:p>
        </w:tc>
        <w:tc>
          <w:tcPr>
            <w:tcW w:w="98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c>
          <w:tcPr>
            <w:tcW w:w="98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c>
          <w:tcPr>
            <w:tcW w:w="995"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c>
          <w:tcPr>
            <w:tcW w:w="142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r>
      <w:tr w:rsidR="003F3A85" w:rsidRPr="00C13EE2" w:rsidTr="00D57C0F">
        <w:trPr>
          <w:trHeight w:val="570"/>
        </w:trPr>
        <w:tc>
          <w:tcPr>
            <w:tcW w:w="4113" w:type="dxa"/>
            <w:tcBorders>
              <w:top w:val="nil"/>
              <w:left w:val="single" w:sz="4" w:space="0" w:color="auto"/>
              <w:bottom w:val="single" w:sz="4" w:space="0" w:color="auto"/>
              <w:right w:val="single" w:sz="4" w:space="0" w:color="auto"/>
            </w:tcBorders>
            <w:shd w:val="clear" w:color="000000" w:fill="FAFBFE"/>
            <w:vAlign w:val="center"/>
            <w:hideMark/>
          </w:tcPr>
          <w:p w:rsidR="003F3A85" w:rsidRPr="00C13EE2" w:rsidRDefault="003F3A85" w:rsidP="00D57C0F">
            <w:pPr>
              <w:spacing w:after="0" w:line="240" w:lineRule="auto"/>
              <w:rPr>
                <w:rFonts w:eastAsia="Times New Roman" w:cs="Arial"/>
                <w:color w:val="FF0000"/>
              </w:rPr>
            </w:pPr>
            <w:r w:rsidRPr="00C13EE2">
              <w:rPr>
                <w:rFonts w:eastAsia="Times New Roman" w:cs="Arial"/>
                <w:color w:val="FF0000"/>
              </w:rPr>
              <w:t>Has/Does not have a PHQ-9 score &gt;9 within +/- 30 days of visit for depression</w:t>
            </w:r>
          </w:p>
        </w:tc>
        <w:tc>
          <w:tcPr>
            <w:tcW w:w="1401"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46</w:t>
            </w:r>
          </w:p>
        </w:tc>
        <w:tc>
          <w:tcPr>
            <w:tcW w:w="98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c>
          <w:tcPr>
            <w:tcW w:w="98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c>
          <w:tcPr>
            <w:tcW w:w="995"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c>
          <w:tcPr>
            <w:tcW w:w="142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r>
      <w:tr w:rsidR="003F3A85" w:rsidRPr="00C13EE2" w:rsidTr="00D57C0F">
        <w:trPr>
          <w:trHeight w:val="570"/>
        </w:trPr>
        <w:tc>
          <w:tcPr>
            <w:tcW w:w="4113" w:type="dxa"/>
            <w:tcBorders>
              <w:top w:val="nil"/>
              <w:left w:val="single" w:sz="4" w:space="0" w:color="auto"/>
              <w:bottom w:val="single" w:sz="4" w:space="0" w:color="auto"/>
              <w:right w:val="single" w:sz="4" w:space="0" w:color="auto"/>
            </w:tcBorders>
            <w:shd w:val="clear" w:color="000000" w:fill="FAFBFE"/>
            <w:vAlign w:val="center"/>
            <w:hideMark/>
          </w:tcPr>
          <w:p w:rsidR="003F3A85" w:rsidRPr="00C13EE2" w:rsidRDefault="003F3A85" w:rsidP="00D57C0F">
            <w:pPr>
              <w:spacing w:after="0" w:line="240" w:lineRule="auto"/>
              <w:rPr>
                <w:rFonts w:eastAsia="Times New Roman" w:cs="Arial"/>
                <w:color w:val="FF0000"/>
              </w:rPr>
            </w:pPr>
            <w:r w:rsidRPr="00C13EE2">
              <w:rPr>
                <w:rFonts w:eastAsia="Times New Roman" w:cs="Arial"/>
                <w:color w:val="FF0000"/>
              </w:rPr>
              <w:t>Follow-Up PHQ-9 - Yes/No (within 4-8 months of first elevated PHQ-9 score)</w:t>
            </w:r>
          </w:p>
        </w:tc>
        <w:tc>
          <w:tcPr>
            <w:tcW w:w="1401"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46</w:t>
            </w:r>
          </w:p>
        </w:tc>
        <w:tc>
          <w:tcPr>
            <w:tcW w:w="98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0.95</w:t>
            </w:r>
          </w:p>
        </w:tc>
        <w:tc>
          <w:tcPr>
            <w:tcW w:w="98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0.86</w:t>
            </w:r>
          </w:p>
        </w:tc>
        <w:tc>
          <w:tcPr>
            <w:tcW w:w="995"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1.00</w:t>
            </w:r>
          </w:p>
        </w:tc>
        <w:tc>
          <w:tcPr>
            <w:tcW w:w="142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0.98</w:t>
            </w:r>
          </w:p>
        </w:tc>
      </w:tr>
      <w:tr w:rsidR="003F3A85" w:rsidRPr="00C13EE2" w:rsidTr="00D57C0F">
        <w:trPr>
          <w:trHeight w:val="285"/>
        </w:trPr>
        <w:tc>
          <w:tcPr>
            <w:tcW w:w="4113" w:type="dxa"/>
            <w:tcBorders>
              <w:top w:val="nil"/>
              <w:left w:val="single" w:sz="4" w:space="0" w:color="auto"/>
              <w:bottom w:val="single" w:sz="4" w:space="0" w:color="auto"/>
              <w:right w:val="single" w:sz="4" w:space="0" w:color="auto"/>
            </w:tcBorders>
            <w:shd w:val="clear" w:color="000000" w:fill="FAFBFE"/>
            <w:vAlign w:val="center"/>
            <w:hideMark/>
          </w:tcPr>
          <w:p w:rsidR="003F3A85" w:rsidRPr="00C13EE2" w:rsidRDefault="003F3A85" w:rsidP="00D57C0F">
            <w:pPr>
              <w:spacing w:after="0" w:line="240" w:lineRule="auto"/>
              <w:rPr>
                <w:rFonts w:eastAsia="Times New Roman" w:cs="Arial"/>
                <w:color w:val="FF0000"/>
              </w:rPr>
            </w:pPr>
            <w:r w:rsidRPr="00C13EE2">
              <w:rPr>
                <w:rFonts w:eastAsia="Times New Roman" w:cs="Arial"/>
                <w:color w:val="FF0000"/>
              </w:rPr>
              <w:t>Any Exclusion Diagnosis</w:t>
            </w:r>
          </w:p>
        </w:tc>
        <w:tc>
          <w:tcPr>
            <w:tcW w:w="1401"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46</w:t>
            </w:r>
          </w:p>
        </w:tc>
        <w:tc>
          <w:tcPr>
            <w:tcW w:w="98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0.38</w:t>
            </w:r>
          </w:p>
        </w:tc>
        <w:tc>
          <w:tcPr>
            <w:tcW w:w="98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-0.15</w:t>
            </w:r>
          </w:p>
        </w:tc>
        <w:tc>
          <w:tcPr>
            <w:tcW w:w="995"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0.91</w:t>
            </w:r>
          </w:p>
        </w:tc>
        <w:tc>
          <w:tcPr>
            <w:tcW w:w="1422" w:type="dxa"/>
            <w:tcBorders>
              <w:top w:val="nil"/>
              <w:left w:val="nil"/>
              <w:bottom w:val="single" w:sz="4" w:space="0" w:color="auto"/>
              <w:right w:val="single" w:sz="4" w:space="0" w:color="auto"/>
            </w:tcBorders>
            <w:shd w:val="clear" w:color="auto" w:fill="auto"/>
            <w:vAlign w:val="center"/>
            <w:hideMark/>
          </w:tcPr>
          <w:p w:rsidR="003F3A85" w:rsidRPr="00C13EE2" w:rsidRDefault="003F3A85" w:rsidP="00D57C0F">
            <w:pPr>
              <w:spacing w:after="0" w:line="240" w:lineRule="auto"/>
              <w:jc w:val="center"/>
              <w:rPr>
                <w:rFonts w:eastAsia="Times New Roman" w:cs="Arial"/>
                <w:color w:val="FF0000"/>
              </w:rPr>
            </w:pPr>
            <w:r w:rsidRPr="00C13EE2">
              <w:rPr>
                <w:rFonts w:eastAsia="Times New Roman" w:cs="Arial"/>
                <w:color w:val="FF0000"/>
              </w:rPr>
              <w:t>0.93</w:t>
            </w:r>
          </w:p>
        </w:tc>
      </w:tr>
    </w:tbl>
    <w:p w:rsidR="003F3A85" w:rsidRPr="003F3A85" w:rsidRDefault="003F3A85" w:rsidP="003F3A85">
      <w:pPr>
        <w:autoSpaceDE w:val="0"/>
        <w:autoSpaceDN w:val="0"/>
        <w:adjustRightInd w:val="0"/>
        <w:spacing w:before="120" w:after="120" w:line="240" w:lineRule="auto"/>
        <w:rPr>
          <w:rFonts w:cstheme="minorHAnsi"/>
          <w:bCs/>
          <w:color w:val="FF0000"/>
        </w:rPr>
      </w:pPr>
      <w:r w:rsidRPr="003F3A85">
        <w:rPr>
          <w:rFonts w:cstheme="minorHAnsi"/>
          <w:bCs/>
          <w:color w:val="FF0000"/>
        </w:rPr>
        <w:t xml:space="preserve">Comparison of the electronic extract with manual review for the data elements demonstrated high agreement across sites (Kappa of 1.00) for the “Had follow-up PHQ-9” data element. Percent agreement was 98% across the two sites for the “Had initial PHQ-9” and “Had score &gt;9” despite the Kappa of 0.0. This occurred in a few places where one source showed all patients with one value and then the other source showed one patient with a second value so that one discordant pair results in a Kappa of 0.0, </w:t>
      </w:r>
      <w:r w:rsidRPr="003F3A85">
        <w:rPr>
          <w:rFonts w:cstheme="minorHAnsi"/>
          <w:bCs/>
          <w:color w:val="FF0000"/>
        </w:rPr>
        <w:lastRenderedPageBreak/>
        <w:t>despite 98% agreement. A high level of agreement (92%) was also seen for the exclusion diagnosis data element.</w:t>
      </w:r>
    </w:p>
    <w:tbl>
      <w:tblPr>
        <w:tblW w:w="9980" w:type="dxa"/>
        <w:tblLook w:val="04A0" w:firstRow="1" w:lastRow="0" w:firstColumn="1" w:lastColumn="0" w:noHBand="0" w:noVBand="1"/>
      </w:tblPr>
      <w:tblGrid>
        <w:gridCol w:w="4135"/>
        <w:gridCol w:w="1440"/>
        <w:gridCol w:w="900"/>
        <w:gridCol w:w="990"/>
        <w:gridCol w:w="975"/>
        <w:gridCol w:w="1540"/>
      </w:tblGrid>
      <w:tr w:rsidR="003F3A85" w:rsidRPr="00D97170" w:rsidTr="00D57C0F">
        <w:trPr>
          <w:trHeight w:val="660"/>
        </w:trPr>
        <w:tc>
          <w:tcPr>
            <w:tcW w:w="4135" w:type="dxa"/>
            <w:tcBorders>
              <w:top w:val="single" w:sz="4" w:space="0" w:color="auto"/>
              <w:left w:val="single" w:sz="4" w:space="0" w:color="auto"/>
              <w:bottom w:val="single" w:sz="4" w:space="0" w:color="auto"/>
              <w:right w:val="single" w:sz="4" w:space="0" w:color="auto"/>
            </w:tcBorders>
            <w:shd w:val="clear" w:color="000000" w:fill="FAFBFE"/>
            <w:vAlign w:val="bottom"/>
            <w:hideMark/>
          </w:tcPr>
          <w:p w:rsidR="003F3A85" w:rsidRPr="00C13EE2" w:rsidRDefault="003F3A85" w:rsidP="00D57C0F">
            <w:pPr>
              <w:jc w:val="center"/>
              <w:rPr>
                <w:rFonts w:eastAsia="Times New Roman" w:cs="Arial"/>
                <w:b/>
                <w:bCs/>
                <w:color w:val="FF0000"/>
              </w:rPr>
            </w:pPr>
            <w:r w:rsidRPr="00C13EE2">
              <w:rPr>
                <w:rFonts w:eastAsia="Times New Roman" w:cs="Arial"/>
                <w:b/>
                <w:bCs/>
                <w:color w:val="FF0000"/>
              </w:rPr>
              <w:t>Variable</w:t>
            </w:r>
          </w:p>
        </w:tc>
        <w:tc>
          <w:tcPr>
            <w:tcW w:w="1440" w:type="dxa"/>
            <w:tcBorders>
              <w:top w:val="single" w:sz="4" w:space="0" w:color="auto"/>
              <w:left w:val="nil"/>
              <w:bottom w:val="single" w:sz="4" w:space="0" w:color="auto"/>
              <w:right w:val="single" w:sz="4" w:space="0" w:color="auto"/>
            </w:tcBorders>
            <w:shd w:val="clear" w:color="000000" w:fill="FAFBFE"/>
            <w:vAlign w:val="bottom"/>
            <w:hideMark/>
          </w:tcPr>
          <w:p w:rsidR="003F3A85" w:rsidRPr="00D97170" w:rsidRDefault="003F3A85" w:rsidP="00D57C0F">
            <w:pPr>
              <w:spacing w:after="0" w:line="240" w:lineRule="auto"/>
              <w:jc w:val="center"/>
              <w:rPr>
                <w:rFonts w:eastAsia="Times New Roman" w:cs="Arial"/>
                <w:b/>
                <w:bCs/>
                <w:color w:val="FF0000"/>
              </w:rPr>
            </w:pPr>
            <w:r w:rsidRPr="00D97170">
              <w:rPr>
                <w:rFonts w:eastAsia="Times New Roman" w:cs="Arial"/>
                <w:b/>
                <w:bCs/>
                <w:color w:val="FF0000"/>
              </w:rPr>
              <w:t>Number of Comparisons</w:t>
            </w:r>
          </w:p>
        </w:tc>
        <w:tc>
          <w:tcPr>
            <w:tcW w:w="900" w:type="dxa"/>
            <w:tcBorders>
              <w:top w:val="single" w:sz="4" w:space="0" w:color="auto"/>
              <w:left w:val="nil"/>
              <w:bottom w:val="single" w:sz="4" w:space="0" w:color="auto"/>
              <w:right w:val="single" w:sz="4" w:space="0" w:color="auto"/>
            </w:tcBorders>
            <w:shd w:val="clear" w:color="000000" w:fill="FAFBFE"/>
            <w:vAlign w:val="bottom"/>
            <w:hideMark/>
          </w:tcPr>
          <w:p w:rsidR="003F3A85" w:rsidRPr="00D97170" w:rsidRDefault="003F3A85" w:rsidP="00D57C0F">
            <w:pPr>
              <w:spacing w:after="0" w:line="240" w:lineRule="auto"/>
              <w:jc w:val="center"/>
              <w:rPr>
                <w:rFonts w:eastAsia="Times New Roman" w:cs="Arial"/>
                <w:b/>
                <w:bCs/>
                <w:color w:val="FF0000"/>
              </w:rPr>
            </w:pPr>
            <w:r w:rsidRPr="00D97170">
              <w:rPr>
                <w:rFonts w:eastAsia="Times New Roman" w:cs="Arial"/>
                <w:b/>
                <w:bCs/>
                <w:color w:val="FF0000"/>
              </w:rPr>
              <w:t>Kappa</w:t>
            </w:r>
          </w:p>
        </w:tc>
        <w:tc>
          <w:tcPr>
            <w:tcW w:w="990" w:type="dxa"/>
            <w:tcBorders>
              <w:top w:val="single" w:sz="4" w:space="0" w:color="auto"/>
              <w:left w:val="nil"/>
              <w:bottom w:val="single" w:sz="4" w:space="0" w:color="auto"/>
              <w:right w:val="single" w:sz="4" w:space="0" w:color="auto"/>
            </w:tcBorders>
            <w:shd w:val="clear" w:color="000000" w:fill="FAFBFE"/>
            <w:vAlign w:val="bottom"/>
            <w:hideMark/>
          </w:tcPr>
          <w:p w:rsidR="003F3A85" w:rsidRPr="00D97170" w:rsidRDefault="003F3A85" w:rsidP="00D57C0F">
            <w:pPr>
              <w:spacing w:after="0" w:line="240" w:lineRule="auto"/>
              <w:jc w:val="center"/>
              <w:rPr>
                <w:rFonts w:eastAsia="Times New Roman" w:cs="Arial"/>
                <w:b/>
                <w:bCs/>
                <w:color w:val="FF0000"/>
              </w:rPr>
            </w:pPr>
            <w:r w:rsidRPr="00D97170">
              <w:rPr>
                <w:rFonts w:eastAsia="Times New Roman" w:cs="Arial"/>
                <w:b/>
                <w:bCs/>
                <w:color w:val="FF0000"/>
              </w:rPr>
              <w:t>Lower CI</w:t>
            </w:r>
          </w:p>
        </w:tc>
        <w:tc>
          <w:tcPr>
            <w:tcW w:w="975" w:type="dxa"/>
            <w:tcBorders>
              <w:top w:val="single" w:sz="4" w:space="0" w:color="auto"/>
              <w:left w:val="nil"/>
              <w:bottom w:val="single" w:sz="4" w:space="0" w:color="auto"/>
              <w:right w:val="single" w:sz="4" w:space="0" w:color="auto"/>
            </w:tcBorders>
            <w:shd w:val="clear" w:color="000000" w:fill="FAFBFE"/>
            <w:vAlign w:val="bottom"/>
            <w:hideMark/>
          </w:tcPr>
          <w:p w:rsidR="003F3A85" w:rsidRPr="00D97170" w:rsidRDefault="003F3A85" w:rsidP="00D57C0F">
            <w:pPr>
              <w:spacing w:after="0" w:line="240" w:lineRule="auto"/>
              <w:jc w:val="center"/>
              <w:rPr>
                <w:rFonts w:eastAsia="Times New Roman" w:cs="Arial"/>
                <w:b/>
                <w:bCs/>
                <w:color w:val="FF0000"/>
              </w:rPr>
            </w:pPr>
            <w:r w:rsidRPr="00D97170">
              <w:rPr>
                <w:rFonts w:eastAsia="Times New Roman" w:cs="Arial"/>
                <w:b/>
                <w:bCs/>
                <w:color w:val="FF0000"/>
              </w:rPr>
              <w:t>Upper CI</w:t>
            </w:r>
          </w:p>
        </w:tc>
        <w:tc>
          <w:tcPr>
            <w:tcW w:w="1540" w:type="dxa"/>
            <w:tcBorders>
              <w:top w:val="single" w:sz="4" w:space="0" w:color="auto"/>
              <w:left w:val="nil"/>
              <w:bottom w:val="single" w:sz="4" w:space="0" w:color="auto"/>
              <w:right w:val="single" w:sz="4" w:space="0" w:color="auto"/>
            </w:tcBorders>
            <w:shd w:val="clear" w:color="000000" w:fill="FAFBFE"/>
            <w:vAlign w:val="bottom"/>
            <w:hideMark/>
          </w:tcPr>
          <w:p w:rsidR="003F3A85" w:rsidRPr="00D97170" w:rsidRDefault="003F3A85" w:rsidP="00D57C0F">
            <w:pPr>
              <w:spacing w:after="0" w:line="240" w:lineRule="auto"/>
              <w:jc w:val="center"/>
              <w:rPr>
                <w:rFonts w:eastAsia="Times New Roman" w:cs="Arial"/>
                <w:b/>
                <w:bCs/>
                <w:color w:val="FF0000"/>
              </w:rPr>
            </w:pPr>
            <w:r w:rsidRPr="00D97170">
              <w:rPr>
                <w:rFonts w:eastAsia="Times New Roman" w:cs="Arial"/>
                <w:b/>
                <w:bCs/>
                <w:color w:val="FF0000"/>
              </w:rPr>
              <w:t>% Agreement</w:t>
            </w:r>
          </w:p>
        </w:tc>
      </w:tr>
      <w:tr w:rsidR="003F3A85" w:rsidRPr="00D97170" w:rsidTr="00D57C0F">
        <w:trPr>
          <w:trHeight w:val="570"/>
        </w:trPr>
        <w:tc>
          <w:tcPr>
            <w:tcW w:w="4135" w:type="dxa"/>
            <w:tcBorders>
              <w:top w:val="nil"/>
              <w:left w:val="single" w:sz="4" w:space="0" w:color="auto"/>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rPr>
                <w:rFonts w:eastAsia="Times New Roman" w:cs="Arial"/>
                <w:color w:val="FF0000"/>
              </w:rPr>
            </w:pPr>
            <w:r w:rsidRPr="00C13EE2">
              <w:rPr>
                <w:rFonts w:eastAsia="Times New Roman" w:cs="Arial"/>
                <w:color w:val="FF0000"/>
              </w:rPr>
              <w:t>Has initial PHQ-9 - Yes/No (within +/- 30 days of visit for depression)</w:t>
            </w:r>
          </w:p>
        </w:tc>
        <w:tc>
          <w:tcPr>
            <w:tcW w:w="144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64</w:t>
            </w:r>
          </w:p>
        </w:tc>
        <w:tc>
          <w:tcPr>
            <w:tcW w:w="900" w:type="dxa"/>
            <w:tcBorders>
              <w:top w:val="nil"/>
              <w:left w:val="nil"/>
              <w:bottom w:val="single" w:sz="4" w:space="0" w:color="auto"/>
              <w:right w:val="single" w:sz="4" w:space="0" w:color="auto"/>
            </w:tcBorders>
            <w:shd w:val="clear" w:color="auto" w:fill="auto"/>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0.00</w:t>
            </w:r>
          </w:p>
        </w:tc>
        <w:tc>
          <w:tcPr>
            <w:tcW w:w="990" w:type="dxa"/>
            <w:tcBorders>
              <w:top w:val="nil"/>
              <w:left w:val="nil"/>
              <w:bottom w:val="single" w:sz="4" w:space="0" w:color="auto"/>
              <w:right w:val="single" w:sz="4" w:space="0" w:color="auto"/>
            </w:tcBorders>
            <w:shd w:val="clear" w:color="auto" w:fill="auto"/>
            <w:noWrap/>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0.00</w:t>
            </w:r>
          </w:p>
        </w:tc>
        <w:tc>
          <w:tcPr>
            <w:tcW w:w="975" w:type="dxa"/>
            <w:tcBorders>
              <w:top w:val="nil"/>
              <w:left w:val="nil"/>
              <w:bottom w:val="single" w:sz="4" w:space="0" w:color="auto"/>
              <w:right w:val="single" w:sz="4" w:space="0" w:color="auto"/>
            </w:tcBorders>
            <w:shd w:val="clear" w:color="auto" w:fill="auto"/>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0.00</w:t>
            </w:r>
          </w:p>
        </w:tc>
        <w:tc>
          <w:tcPr>
            <w:tcW w:w="154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0.98</w:t>
            </w:r>
          </w:p>
        </w:tc>
      </w:tr>
      <w:tr w:rsidR="003F3A85" w:rsidRPr="00D97170" w:rsidTr="00D57C0F">
        <w:trPr>
          <w:trHeight w:val="570"/>
        </w:trPr>
        <w:tc>
          <w:tcPr>
            <w:tcW w:w="4135" w:type="dxa"/>
            <w:tcBorders>
              <w:top w:val="nil"/>
              <w:left w:val="single" w:sz="4" w:space="0" w:color="auto"/>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rPr>
                <w:rFonts w:eastAsia="Times New Roman" w:cs="Arial"/>
                <w:color w:val="FF0000"/>
              </w:rPr>
            </w:pPr>
            <w:r w:rsidRPr="00C13EE2">
              <w:rPr>
                <w:rFonts w:eastAsia="Times New Roman" w:cs="Arial"/>
                <w:color w:val="FF0000"/>
              </w:rPr>
              <w:t>Has/Does not have a PHQ-9 score &gt;9 within +/- 30 days of visit for depression</w:t>
            </w:r>
          </w:p>
        </w:tc>
        <w:tc>
          <w:tcPr>
            <w:tcW w:w="144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64</w:t>
            </w:r>
          </w:p>
        </w:tc>
        <w:tc>
          <w:tcPr>
            <w:tcW w:w="900" w:type="dxa"/>
            <w:tcBorders>
              <w:top w:val="nil"/>
              <w:left w:val="nil"/>
              <w:bottom w:val="single" w:sz="4" w:space="0" w:color="auto"/>
              <w:right w:val="single" w:sz="4" w:space="0" w:color="auto"/>
            </w:tcBorders>
            <w:shd w:val="clear" w:color="auto" w:fill="auto"/>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0.00</w:t>
            </w:r>
          </w:p>
        </w:tc>
        <w:tc>
          <w:tcPr>
            <w:tcW w:w="990" w:type="dxa"/>
            <w:tcBorders>
              <w:top w:val="nil"/>
              <w:left w:val="nil"/>
              <w:bottom w:val="single" w:sz="4" w:space="0" w:color="auto"/>
              <w:right w:val="single" w:sz="4" w:space="0" w:color="auto"/>
            </w:tcBorders>
            <w:shd w:val="clear" w:color="auto" w:fill="auto"/>
            <w:noWrap/>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0.00</w:t>
            </w:r>
          </w:p>
        </w:tc>
        <w:tc>
          <w:tcPr>
            <w:tcW w:w="975" w:type="dxa"/>
            <w:tcBorders>
              <w:top w:val="nil"/>
              <w:left w:val="nil"/>
              <w:bottom w:val="single" w:sz="4" w:space="0" w:color="auto"/>
              <w:right w:val="single" w:sz="4" w:space="0" w:color="auto"/>
            </w:tcBorders>
            <w:shd w:val="clear" w:color="auto" w:fill="auto"/>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0.00</w:t>
            </w:r>
          </w:p>
        </w:tc>
        <w:tc>
          <w:tcPr>
            <w:tcW w:w="154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0.98</w:t>
            </w:r>
          </w:p>
        </w:tc>
      </w:tr>
      <w:tr w:rsidR="003F3A85" w:rsidRPr="00D97170" w:rsidTr="00D57C0F">
        <w:trPr>
          <w:trHeight w:val="570"/>
        </w:trPr>
        <w:tc>
          <w:tcPr>
            <w:tcW w:w="4135" w:type="dxa"/>
            <w:tcBorders>
              <w:top w:val="nil"/>
              <w:left w:val="single" w:sz="4" w:space="0" w:color="auto"/>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rPr>
                <w:rFonts w:eastAsia="Times New Roman" w:cs="Arial"/>
                <w:color w:val="FF0000"/>
              </w:rPr>
            </w:pPr>
            <w:r w:rsidRPr="00C13EE2">
              <w:rPr>
                <w:rFonts w:eastAsia="Times New Roman" w:cs="Arial"/>
                <w:color w:val="FF0000"/>
              </w:rPr>
              <w:t>Follow-Up PHQ-9 - Yes/No (within 4-8 months of first elevated PHQ-9 score)</w:t>
            </w:r>
          </w:p>
        </w:tc>
        <w:tc>
          <w:tcPr>
            <w:tcW w:w="144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64</w:t>
            </w:r>
          </w:p>
        </w:tc>
        <w:tc>
          <w:tcPr>
            <w:tcW w:w="900" w:type="dxa"/>
            <w:tcBorders>
              <w:top w:val="nil"/>
              <w:left w:val="nil"/>
              <w:bottom w:val="single" w:sz="4" w:space="0" w:color="auto"/>
              <w:right w:val="single" w:sz="4" w:space="0" w:color="auto"/>
            </w:tcBorders>
            <w:shd w:val="clear" w:color="auto" w:fill="auto"/>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1.00</w:t>
            </w:r>
          </w:p>
        </w:tc>
        <w:tc>
          <w:tcPr>
            <w:tcW w:w="99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1.00</w:t>
            </w:r>
          </w:p>
        </w:tc>
        <w:tc>
          <w:tcPr>
            <w:tcW w:w="975"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1.00</w:t>
            </w:r>
          </w:p>
        </w:tc>
        <w:tc>
          <w:tcPr>
            <w:tcW w:w="154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1.00</w:t>
            </w:r>
          </w:p>
        </w:tc>
      </w:tr>
      <w:tr w:rsidR="003F3A85" w:rsidRPr="00D97170" w:rsidTr="00D57C0F">
        <w:trPr>
          <w:trHeight w:val="285"/>
        </w:trPr>
        <w:tc>
          <w:tcPr>
            <w:tcW w:w="4135" w:type="dxa"/>
            <w:tcBorders>
              <w:top w:val="nil"/>
              <w:left w:val="single" w:sz="4" w:space="0" w:color="auto"/>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rPr>
                <w:rFonts w:eastAsia="Times New Roman" w:cs="Arial"/>
                <w:color w:val="FF0000"/>
              </w:rPr>
            </w:pPr>
            <w:r w:rsidRPr="00C13EE2">
              <w:rPr>
                <w:rFonts w:eastAsia="Times New Roman" w:cs="Arial"/>
                <w:color w:val="FF0000"/>
              </w:rPr>
              <w:t>Any Exclusion Diagnosis</w:t>
            </w:r>
          </w:p>
        </w:tc>
        <w:tc>
          <w:tcPr>
            <w:tcW w:w="144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190</w:t>
            </w:r>
          </w:p>
        </w:tc>
        <w:tc>
          <w:tcPr>
            <w:tcW w:w="900" w:type="dxa"/>
            <w:tcBorders>
              <w:top w:val="nil"/>
              <w:left w:val="nil"/>
              <w:bottom w:val="single" w:sz="4" w:space="0" w:color="auto"/>
              <w:right w:val="single" w:sz="4" w:space="0" w:color="auto"/>
            </w:tcBorders>
            <w:shd w:val="clear" w:color="auto" w:fill="auto"/>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0.48</w:t>
            </w:r>
          </w:p>
        </w:tc>
        <w:tc>
          <w:tcPr>
            <w:tcW w:w="99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0.26</w:t>
            </w:r>
          </w:p>
        </w:tc>
        <w:tc>
          <w:tcPr>
            <w:tcW w:w="975"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0.70</w:t>
            </w:r>
          </w:p>
        </w:tc>
        <w:tc>
          <w:tcPr>
            <w:tcW w:w="1540" w:type="dxa"/>
            <w:tcBorders>
              <w:top w:val="nil"/>
              <w:left w:val="nil"/>
              <w:bottom w:val="single" w:sz="4" w:space="0" w:color="auto"/>
              <w:right w:val="single" w:sz="4" w:space="0" w:color="auto"/>
            </w:tcBorders>
            <w:shd w:val="clear" w:color="000000" w:fill="FAFBFE"/>
            <w:vAlign w:val="center"/>
            <w:hideMark/>
          </w:tcPr>
          <w:p w:rsidR="003F3A85" w:rsidRPr="00D97170" w:rsidRDefault="003F3A85" w:rsidP="00D57C0F">
            <w:pPr>
              <w:spacing w:after="0" w:line="240" w:lineRule="auto"/>
              <w:jc w:val="center"/>
              <w:rPr>
                <w:rFonts w:eastAsia="Times New Roman" w:cs="Arial"/>
                <w:color w:val="FF0000"/>
              </w:rPr>
            </w:pPr>
            <w:r w:rsidRPr="00D97170">
              <w:rPr>
                <w:rFonts w:eastAsia="Times New Roman" w:cs="Arial"/>
                <w:color w:val="FF0000"/>
              </w:rPr>
              <w:t>0.92</w:t>
            </w:r>
          </w:p>
        </w:tc>
      </w:tr>
    </w:tbl>
    <w:p w:rsidR="00AE5E9D" w:rsidRPr="00A25024" w:rsidRDefault="00AE5E9D" w:rsidP="008C54A9">
      <w:pPr>
        <w:autoSpaceDE w:val="0"/>
        <w:autoSpaceDN w:val="0"/>
        <w:adjustRightInd w:val="0"/>
        <w:spacing w:after="0" w:line="240" w:lineRule="auto"/>
        <w:rPr>
          <w:rFonts w:cstheme="minorHAnsi"/>
          <w:bCs/>
        </w:rPr>
      </w:pPr>
    </w:p>
    <w:p w:rsidR="007422FD" w:rsidRPr="00152FAE" w:rsidRDefault="00092566" w:rsidP="00DB3627">
      <w:pPr>
        <w:autoSpaceDE w:val="0"/>
        <w:autoSpaceDN w:val="0"/>
        <w:adjustRightInd w:val="0"/>
        <w:spacing w:after="0" w:line="240" w:lineRule="auto"/>
        <w:rPr>
          <w:rFonts w:cstheme="minorHAnsi"/>
          <w:bCs/>
          <w:sz w:val="12"/>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152FAE" w:rsidRPr="003F3A85" w:rsidRDefault="00152FAE" w:rsidP="008E10FC">
      <w:pPr>
        <w:autoSpaceDE w:val="0"/>
        <w:autoSpaceDN w:val="0"/>
        <w:adjustRightInd w:val="0"/>
        <w:spacing w:after="0" w:line="240" w:lineRule="auto"/>
        <w:rPr>
          <w:rFonts w:cstheme="minorHAnsi"/>
          <w:bCs/>
        </w:rPr>
      </w:pPr>
      <w:r w:rsidRPr="003F3A85">
        <w:rPr>
          <w:rFonts w:cstheme="minorHAnsi"/>
          <w:bCs/>
        </w:rPr>
        <w:t>The PHQ-9 patient reported outcome tool demonstrates sound psychometric properties (reliability, validity, specificity and sensitivity to change) and is appropriate for measuring patient outcomes related to depression.</w:t>
      </w:r>
    </w:p>
    <w:p w:rsidR="00152FAE" w:rsidRPr="003F3A85" w:rsidRDefault="00152FAE" w:rsidP="008E10FC">
      <w:pPr>
        <w:autoSpaceDE w:val="0"/>
        <w:autoSpaceDN w:val="0"/>
        <w:adjustRightInd w:val="0"/>
        <w:spacing w:after="0" w:line="240" w:lineRule="auto"/>
        <w:rPr>
          <w:rFonts w:cstheme="minorHAnsi"/>
          <w:bCs/>
          <w:sz w:val="12"/>
        </w:rPr>
      </w:pPr>
    </w:p>
    <w:p w:rsidR="00324860" w:rsidRPr="003F3A85" w:rsidRDefault="00324860" w:rsidP="008E10FC">
      <w:pPr>
        <w:autoSpaceDE w:val="0"/>
        <w:autoSpaceDN w:val="0"/>
        <w:adjustRightInd w:val="0"/>
        <w:spacing w:after="0" w:line="240" w:lineRule="auto"/>
        <w:rPr>
          <w:rFonts w:cstheme="minorHAnsi"/>
          <w:bCs/>
        </w:rPr>
      </w:pPr>
      <w:r w:rsidRPr="003F3A85">
        <w:rPr>
          <w:rFonts w:cstheme="minorHAnsi"/>
          <w:bCs/>
        </w:rPr>
        <w:t>The PROM-PM measure:</w:t>
      </w:r>
    </w:p>
    <w:p w:rsidR="008E10FC" w:rsidRDefault="008E10FC" w:rsidP="008E10FC">
      <w:pPr>
        <w:autoSpaceDE w:val="0"/>
        <w:autoSpaceDN w:val="0"/>
        <w:adjustRightInd w:val="0"/>
        <w:spacing w:after="0" w:line="240" w:lineRule="auto"/>
        <w:rPr>
          <w:rFonts w:cstheme="minorHAnsi"/>
          <w:bCs/>
        </w:rPr>
      </w:pPr>
      <w:r w:rsidRPr="003F3A85">
        <w:rPr>
          <w:rFonts w:cstheme="minorHAnsi"/>
          <w:bCs/>
        </w:rPr>
        <w:t xml:space="preserve">In terms of understanding reliability in detecting signal to noise, a reliability score of 0.70 or greater is considered acceptable for drawing conclusions about groups.  This data analysis, along with precise specifications and excellent validation results of critical data elements, demonstrates this measure construct to be reliable and detect meaningful differences among provider groups. </w:t>
      </w:r>
    </w:p>
    <w:p w:rsidR="003F3A85" w:rsidRPr="00650F72" w:rsidRDefault="003F3A85" w:rsidP="003F3A85">
      <w:pPr>
        <w:autoSpaceDE w:val="0"/>
        <w:autoSpaceDN w:val="0"/>
        <w:adjustRightInd w:val="0"/>
        <w:spacing w:before="120"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Reliability Testing for Adolescents:</w:t>
      </w:r>
    </w:p>
    <w:p w:rsidR="003F3A85" w:rsidRPr="00650F72" w:rsidRDefault="003F3A85" w:rsidP="003F3A85">
      <w:pPr>
        <w:spacing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The Kappa statistic has the following interpretation:</w:t>
      </w:r>
    </w:p>
    <w:p w:rsidR="003F3A85" w:rsidRPr="00650F72" w:rsidRDefault="003F3A85" w:rsidP="003F3A85">
      <w:pPr>
        <w:spacing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 xml:space="preserve">0.00              </w:t>
      </w:r>
      <w:r>
        <w:rPr>
          <w:rFonts w:ascii="Calibri" w:eastAsia="Times New Roman" w:hAnsi="Calibri" w:cs="Times New Roman"/>
          <w:color w:val="FF0000"/>
          <w:szCs w:val="18"/>
          <w:lang w:val="en"/>
        </w:rPr>
        <w:tab/>
      </w:r>
      <w:r w:rsidRPr="00650F72">
        <w:rPr>
          <w:rFonts w:ascii="Calibri" w:eastAsia="Times New Roman" w:hAnsi="Calibri" w:cs="Times New Roman"/>
          <w:color w:val="FF0000"/>
          <w:szCs w:val="18"/>
          <w:lang w:val="en"/>
        </w:rPr>
        <w:t>Poor</w:t>
      </w:r>
    </w:p>
    <w:p w:rsidR="003F3A85" w:rsidRPr="00650F72" w:rsidRDefault="003F3A85" w:rsidP="003F3A85">
      <w:pPr>
        <w:spacing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 xml:space="preserve">0.01 – 0.20  </w:t>
      </w:r>
      <w:r>
        <w:rPr>
          <w:rFonts w:ascii="Calibri" w:eastAsia="Times New Roman" w:hAnsi="Calibri" w:cs="Times New Roman"/>
          <w:color w:val="FF0000"/>
          <w:szCs w:val="18"/>
          <w:lang w:val="en"/>
        </w:rPr>
        <w:tab/>
      </w:r>
      <w:r w:rsidRPr="00650F72">
        <w:rPr>
          <w:rFonts w:ascii="Calibri" w:eastAsia="Times New Roman" w:hAnsi="Calibri" w:cs="Times New Roman"/>
          <w:color w:val="FF0000"/>
          <w:szCs w:val="18"/>
          <w:lang w:val="en"/>
        </w:rPr>
        <w:t xml:space="preserve">Slight </w:t>
      </w:r>
    </w:p>
    <w:p w:rsidR="003F3A85" w:rsidRPr="00650F72" w:rsidRDefault="003F3A85" w:rsidP="003F3A85">
      <w:pPr>
        <w:spacing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 xml:space="preserve">0.21 – 0.40  </w:t>
      </w:r>
      <w:r>
        <w:rPr>
          <w:rFonts w:ascii="Calibri" w:eastAsia="Times New Roman" w:hAnsi="Calibri" w:cs="Times New Roman"/>
          <w:color w:val="FF0000"/>
          <w:szCs w:val="18"/>
          <w:lang w:val="en"/>
        </w:rPr>
        <w:tab/>
      </w:r>
      <w:r w:rsidRPr="00650F72">
        <w:rPr>
          <w:rFonts w:ascii="Calibri" w:eastAsia="Times New Roman" w:hAnsi="Calibri" w:cs="Times New Roman"/>
          <w:color w:val="FF0000"/>
          <w:szCs w:val="18"/>
          <w:lang w:val="en"/>
        </w:rPr>
        <w:t xml:space="preserve">Fair </w:t>
      </w:r>
    </w:p>
    <w:p w:rsidR="003F3A85" w:rsidRPr="00650F72" w:rsidRDefault="003F3A85" w:rsidP="003F3A85">
      <w:pPr>
        <w:spacing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 xml:space="preserve">0.41 – 0.60  </w:t>
      </w:r>
      <w:r>
        <w:rPr>
          <w:rFonts w:ascii="Calibri" w:eastAsia="Times New Roman" w:hAnsi="Calibri" w:cs="Times New Roman"/>
          <w:color w:val="FF0000"/>
          <w:szCs w:val="18"/>
          <w:lang w:val="en"/>
        </w:rPr>
        <w:tab/>
      </w:r>
      <w:r w:rsidRPr="00650F72">
        <w:rPr>
          <w:rFonts w:ascii="Calibri" w:eastAsia="Times New Roman" w:hAnsi="Calibri" w:cs="Times New Roman"/>
          <w:color w:val="FF0000"/>
          <w:szCs w:val="18"/>
          <w:lang w:val="en"/>
        </w:rPr>
        <w:t xml:space="preserve">Moderate </w:t>
      </w:r>
    </w:p>
    <w:p w:rsidR="003F3A85" w:rsidRPr="00650F72" w:rsidRDefault="003F3A85" w:rsidP="003F3A85">
      <w:pPr>
        <w:spacing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 xml:space="preserve">0.61 – 0.80  </w:t>
      </w:r>
      <w:r>
        <w:rPr>
          <w:rFonts w:ascii="Calibri" w:eastAsia="Times New Roman" w:hAnsi="Calibri" w:cs="Times New Roman"/>
          <w:color w:val="FF0000"/>
          <w:szCs w:val="18"/>
          <w:lang w:val="en"/>
        </w:rPr>
        <w:tab/>
      </w:r>
      <w:r w:rsidRPr="00650F72">
        <w:rPr>
          <w:rFonts w:ascii="Calibri" w:eastAsia="Times New Roman" w:hAnsi="Calibri" w:cs="Times New Roman"/>
          <w:color w:val="FF0000"/>
          <w:szCs w:val="18"/>
          <w:lang w:val="en"/>
        </w:rPr>
        <w:t xml:space="preserve">Substantial  </w:t>
      </w:r>
    </w:p>
    <w:p w:rsidR="003F3A85" w:rsidRPr="00650F72" w:rsidRDefault="003F3A85" w:rsidP="003F3A85">
      <w:pPr>
        <w:spacing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 xml:space="preserve">0.81 – 0.99  </w:t>
      </w:r>
      <w:r>
        <w:rPr>
          <w:rFonts w:ascii="Calibri" w:eastAsia="Times New Roman" w:hAnsi="Calibri" w:cs="Times New Roman"/>
          <w:color w:val="FF0000"/>
          <w:szCs w:val="18"/>
          <w:lang w:val="en"/>
        </w:rPr>
        <w:tab/>
      </w:r>
      <w:r w:rsidRPr="00650F72">
        <w:rPr>
          <w:rFonts w:ascii="Calibri" w:eastAsia="Times New Roman" w:hAnsi="Calibri" w:cs="Times New Roman"/>
          <w:color w:val="FF0000"/>
          <w:szCs w:val="18"/>
          <w:lang w:val="en"/>
        </w:rPr>
        <w:t xml:space="preserve">Almost perfect  </w:t>
      </w:r>
    </w:p>
    <w:p w:rsidR="003F3A85" w:rsidRPr="003F3A85" w:rsidRDefault="003F3A85" w:rsidP="008E10FC">
      <w:pPr>
        <w:autoSpaceDE w:val="0"/>
        <w:autoSpaceDN w:val="0"/>
        <w:adjustRightInd w:val="0"/>
        <w:spacing w:after="0" w:line="240" w:lineRule="auto"/>
        <w:rPr>
          <w:rFonts w:ascii="Calibri" w:eastAsia="Times New Roman" w:hAnsi="Calibri" w:cs="Times New Roman"/>
          <w:color w:val="FF0000"/>
          <w:szCs w:val="18"/>
          <w:lang w:val="en"/>
        </w:rPr>
      </w:pPr>
      <w:r>
        <w:rPr>
          <w:rFonts w:ascii="Calibri" w:eastAsia="Times New Roman" w:hAnsi="Calibri" w:cs="Times New Roman"/>
          <w:color w:val="FF0000"/>
          <w:szCs w:val="18"/>
          <w:lang w:val="en"/>
        </w:rPr>
        <w:t>The</w:t>
      </w:r>
      <w:r w:rsidRPr="00650F72">
        <w:rPr>
          <w:rFonts w:ascii="Calibri" w:eastAsia="Times New Roman" w:hAnsi="Calibri" w:cs="Times New Roman"/>
          <w:color w:val="FF0000"/>
          <w:szCs w:val="18"/>
          <w:lang w:val="en"/>
        </w:rPr>
        <w:t xml:space="preserve"> Kappa of .8</w:t>
      </w:r>
      <w:r>
        <w:rPr>
          <w:rFonts w:ascii="Calibri" w:eastAsia="Times New Roman" w:hAnsi="Calibri" w:cs="Times New Roman"/>
          <w:color w:val="FF0000"/>
          <w:szCs w:val="18"/>
          <w:lang w:val="en"/>
        </w:rPr>
        <w:t>5</w:t>
      </w:r>
      <w:r w:rsidRPr="00650F72">
        <w:rPr>
          <w:rFonts w:ascii="Calibri" w:eastAsia="Times New Roman" w:hAnsi="Calibri" w:cs="Times New Roman"/>
          <w:color w:val="FF0000"/>
          <w:szCs w:val="18"/>
          <w:lang w:val="en"/>
        </w:rPr>
        <w:t xml:space="preserve"> or higher for all data elements except the exclusions suggests the measure can be reliably extracted from electronic health records. While the overall Kappa for "any exclusion" was 0.38 (interpreted as fair), agreement between abstractors was 92% or higher for all exclusion data elements and "any exclusion". The low Kappa statistic is in part </w:t>
      </w:r>
      <w:r>
        <w:rPr>
          <w:rFonts w:ascii="Calibri" w:eastAsia="Times New Roman" w:hAnsi="Calibri" w:cs="Times New Roman"/>
          <w:color w:val="FF0000"/>
          <w:szCs w:val="18"/>
          <w:lang w:val="en"/>
        </w:rPr>
        <w:t>due to</w:t>
      </w:r>
      <w:r w:rsidRPr="00650F72">
        <w:rPr>
          <w:rFonts w:ascii="Calibri" w:eastAsia="Times New Roman" w:hAnsi="Calibri" w:cs="Times New Roman"/>
          <w:color w:val="FF0000"/>
          <w:szCs w:val="18"/>
          <w:lang w:val="en"/>
        </w:rPr>
        <w:t xml:space="preserve"> the low prevalence of exclusions.</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Content>
          <w:r w:rsidR="007A0BD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D57C0F"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7156D2">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8E1B42" w:rsidRDefault="00D57C0F" w:rsidP="008E1B4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3F3A85">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Content>
          <w:r w:rsidR="003F3A8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833325" w:rsidRPr="008E1B42" w:rsidRDefault="00092566" w:rsidP="008E1B42">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604BAB" w:rsidRPr="003F3A85" w:rsidRDefault="00604BAB" w:rsidP="008E1B42">
      <w:pPr>
        <w:autoSpaceDE w:val="0"/>
        <w:autoSpaceDN w:val="0"/>
        <w:adjustRightInd w:val="0"/>
        <w:spacing w:before="120" w:after="0" w:line="240" w:lineRule="auto"/>
      </w:pPr>
      <w:r w:rsidRPr="003F3A85">
        <w:t>Reliability/ Validity of the PROM- PHQ-9:</w:t>
      </w:r>
    </w:p>
    <w:p w:rsidR="000D3419" w:rsidRPr="003F3A85" w:rsidRDefault="00604BAB" w:rsidP="000D3419">
      <w:pPr>
        <w:spacing w:after="0" w:line="240" w:lineRule="auto"/>
        <w:rPr>
          <w:rFonts w:cstheme="minorHAnsi"/>
          <w:bCs/>
        </w:rPr>
      </w:pPr>
      <w:r w:rsidRPr="003F3A85">
        <w:t xml:space="preserve">As PHQ-9 depression severity increased, there was a substantial decrease in functional status of all 6 SF-20 subscales in addition to an increase in symptom-related difficulty, sick days and health care utilization.  </w:t>
      </w:r>
      <w:r w:rsidR="000D3419" w:rsidRPr="003F3A85">
        <w:t>Construct validity, u</w:t>
      </w:r>
      <w:r w:rsidRPr="003F3A85">
        <w:t xml:space="preserve">sing mental health professional re-interview as the criterion standard, </w:t>
      </w:r>
      <w:r w:rsidR="000D3419" w:rsidRPr="003F3A85">
        <w:t xml:space="preserve">has demonstrated </w:t>
      </w:r>
      <w:r w:rsidRPr="003F3A85">
        <w:t xml:space="preserve">a PHQ-9 score </w:t>
      </w:r>
      <w:r w:rsidRPr="003F3A85">
        <w:rPr>
          <w:u w:val="single"/>
        </w:rPr>
        <w:t>&gt;</w:t>
      </w:r>
      <w:r w:rsidRPr="003F3A85">
        <w:t xml:space="preserve"> 10 has a sensitivity of 88% and a specificity of 88% for major depression.  </w:t>
      </w:r>
      <w:r w:rsidR="000D3419" w:rsidRPr="003F3A85">
        <w:rPr>
          <w:rFonts w:cstheme="minorHAnsi"/>
          <w:bCs/>
        </w:rPr>
        <w:t>Additionally, a score &lt;5 almost always signifies the absence of a depressive disorder, with a positive likelihood ration of 0.04.  Also, ROC analysis showed that the area under the curve for the PHQ-9 in diagnosing major depression was 0.95, suggesting a test that discriminates well between persons with and without major depression.</w:t>
      </w:r>
    </w:p>
    <w:p w:rsidR="000D3419" w:rsidRPr="003F3A85" w:rsidRDefault="000D3419" w:rsidP="00604BAB">
      <w:pPr>
        <w:spacing w:after="0" w:line="240" w:lineRule="auto"/>
        <w:rPr>
          <w:sz w:val="12"/>
        </w:rPr>
      </w:pPr>
    </w:p>
    <w:p w:rsidR="00604BAB" w:rsidRPr="003F3A85" w:rsidRDefault="00604BAB" w:rsidP="00604BAB">
      <w:pPr>
        <w:spacing w:after="0" w:line="240" w:lineRule="auto"/>
        <w:rPr>
          <w:rFonts w:ascii="Trebuchet MS" w:eastAsia="Times New Roman" w:hAnsi="Trebuchet MS" w:cs="Times New Roman"/>
          <w:sz w:val="18"/>
          <w:szCs w:val="18"/>
          <w:lang w:val="en"/>
        </w:rPr>
      </w:pPr>
      <w:r w:rsidRPr="003F3A85">
        <w:t>The internal reliability of the PHQ-9 was excellent, with Cronbach’s alpha of 0.89 in the PHQ-9 Primary Care Study and 0.86 in the PHQ OBGYN Study. Test-retest reliability of the PHQ-9 was also excellent. Correlation between the PHQ-9 completed by the patient in the clinic and that administered telephonically by the MHP within 48 hours was 0.84, and the mean scores were nearly identical (5.08 vs 5.03).</w:t>
      </w:r>
    </w:p>
    <w:p w:rsidR="00604BAB" w:rsidRPr="003F3A85" w:rsidRDefault="00604BAB" w:rsidP="00604BAB">
      <w:pPr>
        <w:spacing w:after="0" w:line="240" w:lineRule="auto"/>
      </w:pPr>
      <w:r w:rsidRPr="003F3A85">
        <w:t>[</w:t>
      </w:r>
      <w:r w:rsidRPr="003F3A85">
        <w:rPr>
          <w:rFonts w:ascii="Trebuchet MS" w:eastAsia="Times New Roman" w:hAnsi="Trebuchet MS" w:cs="Times New Roman"/>
          <w:sz w:val="18"/>
          <w:szCs w:val="18"/>
          <w:lang w:val="en"/>
        </w:rPr>
        <w:t xml:space="preserve">Validity of a Brief Depression Severity Measure </w:t>
      </w:r>
      <w:proofErr w:type="spellStart"/>
      <w:r w:rsidRPr="003F3A85">
        <w:rPr>
          <w:rFonts w:ascii="Trebuchet MS" w:eastAsia="Times New Roman" w:hAnsi="Trebuchet MS" w:cs="Times New Roman"/>
          <w:sz w:val="18"/>
          <w:szCs w:val="18"/>
          <w:lang w:val="en"/>
        </w:rPr>
        <w:t>Kronke</w:t>
      </w:r>
      <w:proofErr w:type="spellEnd"/>
      <w:r w:rsidRPr="003F3A85">
        <w:rPr>
          <w:rFonts w:ascii="Trebuchet MS" w:eastAsia="Times New Roman" w:hAnsi="Trebuchet MS" w:cs="Times New Roman"/>
          <w:sz w:val="18"/>
          <w:szCs w:val="18"/>
          <w:lang w:val="en"/>
        </w:rPr>
        <w:t xml:space="preserve">, Kurt, Spitzer, Robert et al.  J Gen Internal Medicine 2001 September; 16(9): 606–613. </w:t>
      </w:r>
      <w:hyperlink r:id="rId11" w:history="1">
        <w:r w:rsidRPr="003F3A85">
          <w:rPr>
            <w:rStyle w:val="Hyperlink"/>
            <w:rFonts w:ascii="Trebuchet MS" w:eastAsia="Times New Roman" w:hAnsi="Trebuchet MS" w:cs="Times New Roman"/>
            <w:color w:val="auto"/>
            <w:sz w:val="18"/>
            <w:szCs w:val="18"/>
            <w:lang w:val="en"/>
          </w:rPr>
          <w:t>www.ncbi.nlm.nih.gov/pmc/articles/PMC1495268/</w:t>
        </w:r>
      </w:hyperlink>
      <w:r w:rsidRPr="003F3A85">
        <w:rPr>
          <w:rStyle w:val="Hyperlink"/>
          <w:rFonts w:ascii="Trebuchet MS" w:eastAsia="Times New Roman" w:hAnsi="Trebuchet MS" w:cs="Times New Roman"/>
          <w:color w:val="auto"/>
          <w:sz w:val="18"/>
          <w:szCs w:val="18"/>
          <w:lang w:val="en"/>
        </w:rPr>
        <w:t>]</w:t>
      </w:r>
    </w:p>
    <w:p w:rsidR="00A00AE8" w:rsidRPr="003F3A85" w:rsidRDefault="00A00AE8" w:rsidP="00A00AE8">
      <w:pPr>
        <w:spacing w:after="0" w:line="240" w:lineRule="auto"/>
        <w:rPr>
          <w:sz w:val="12"/>
        </w:rPr>
      </w:pPr>
    </w:p>
    <w:p w:rsidR="00A00AE8" w:rsidRPr="003F3A85" w:rsidRDefault="00A00AE8" w:rsidP="00A00AE8">
      <w:pPr>
        <w:spacing w:after="0" w:line="240" w:lineRule="auto"/>
      </w:pPr>
      <w:r w:rsidRPr="003F3A85">
        <w:t>Validity of the PROM-PM:</w:t>
      </w:r>
    </w:p>
    <w:p w:rsidR="000E5AD4" w:rsidRPr="00C56F23" w:rsidRDefault="000E5AD4" w:rsidP="000E5AD4">
      <w:pPr>
        <w:spacing w:before="120" w:after="0" w:line="240" w:lineRule="auto"/>
        <w:rPr>
          <w:color w:val="FF0000"/>
        </w:rPr>
      </w:pPr>
      <w:r w:rsidRPr="00C56F23">
        <w:rPr>
          <w:color w:val="FF0000"/>
        </w:rPr>
        <w:t>Validity Performance Score</w:t>
      </w:r>
    </w:p>
    <w:p w:rsidR="000E5AD4" w:rsidRDefault="000E5AD4" w:rsidP="000E5AD4">
      <w:pPr>
        <w:spacing w:after="120" w:line="240" w:lineRule="auto"/>
        <w:rPr>
          <w:color w:val="FF0000"/>
        </w:rPr>
      </w:pPr>
      <w:r w:rsidRPr="00C56F23">
        <w:rPr>
          <w:color w:val="FF0000"/>
        </w:rPr>
        <w:t>Correlation between Similar Depression Measures</w:t>
      </w:r>
      <w:r>
        <w:rPr>
          <w:color w:val="FF0000"/>
        </w:rPr>
        <w:t xml:space="preserve"> (Depression R</w:t>
      </w:r>
      <w:r w:rsidR="00490A6A">
        <w:rPr>
          <w:color w:val="FF0000"/>
        </w:rPr>
        <w:t>emission</w:t>
      </w:r>
      <w:r>
        <w:rPr>
          <w:color w:val="FF0000"/>
        </w:rPr>
        <w:t xml:space="preserve"> at 12 Months)</w:t>
      </w:r>
    </w:p>
    <w:p w:rsidR="00F81A61" w:rsidRDefault="00A25ED7" w:rsidP="00F81A61">
      <w:pPr>
        <w:spacing w:after="120" w:line="240" w:lineRule="auto"/>
        <w:rPr>
          <w:color w:val="FF0000"/>
        </w:rPr>
      </w:pPr>
      <w:r>
        <w:rPr>
          <w:noProof/>
          <w:color w:val="FF0000"/>
        </w:rPr>
        <w:drawing>
          <wp:inline distT="0" distB="0" distL="0" distR="0" wp14:anchorId="4C558B58">
            <wp:extent cx="4698354" cy="3403600"/>
            <wp:effectExtent l="0" t="0" r="762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06083" cy="3409199"/>
                    </a:xfrm>
                    <a:prstGeom prst="rect">
                      <a:avLst/>
                    </a:prstGeom>
                    <a:noFill/>
                  </pic:spPr>
                </pic:pic>
              </a:graphicData>
            </a:graphic>
          </wp:inline>
        </w:drawing>
      </w:r>
    </w:p>
    <w:p w:rsidR="00E96E27" w:rsidRPr="00F81A61" w:rsidRDefault="00E96E27" w:rsidP="00F81A61">
      <w:pPr>
        <w:spacing w:after="120" w:line="240" w:lineRule="auto"/>
        <w:rPr>
          <w:color w:val="FF0000"/>
        </w:rPr>
      </w:pPr>
      <w:r>
        <w:t>Validity testing of critical data elements:</w:t>
      </w:r>
    </w:p>
    <w:p w:rsidR="00F81A61" w:rsidRDefault="00F81A61" w:rsidP="00F81A61">
      <w:pPr>
        <w:spacing w:after="0" w:line="240" w:lineRule="auto"/>
        <w:rPr>
          <w:rFonts w:cstheme="minorHAnsi"/>
          <w:bCs/>
        </w:rPr>
      </w:pPr>
      <w:r w:rsidRPr="003F3A85">
        <w:rPr>
          <w:rFonts w:cstheme="minorHAnsi"/>
          <w:bCs/>
        </w:rPr>
        <w:lastRenderedPageBreak/>
        <w:t xml:space="preserve">Validating the submitted data via the direct data submission process is completed in four steps: denominator certification, data quality checks, validation audit, and the two-week medical group review period.  </w:t>
      </w:r>
    </w:p>
    <w:p w:rsidR="002155FD" w:rsidRPr="003F3A85" w:rsidRDefault="007562E2" w:rsidP="007562E2">
      <w:pPr>
        <w:autoSpaceDE w:val="0"/>
        <w:autoSpaceDN w:val="0"/>
        <w:adjustRightInd w:val="0"/>
        <w:spacing w:after="0" w:line="240" w:lineRule="auto"/>
        <w:rPr>
          <w:rFonts w:cstheme="minorHAnsi"/>
          <w:bCs/>
        </w:rPr>
      </w:pPr>
      <w:r w:rsidRPr="003F3A85">
        <w:rPr>
          <w:rFonts w:cstheme="minorHAnsi"/>
          <w:bCs/>
        </w:rPr>
        <w:t xml:space="preserve">Denominator certification </w:t>
      </w:r>
      <w:r w:rsidR="00F978F3" w:rsidRPr="003F3A85">
        <w:rPr>
          <w:rFonts w:cstheme="minorHAnsi"/>
          <w:bCs/>
        </w:rPr>
        <w:t xml:space="preserve">prior to data collection and extraction/ abstraction </w:t>
      </w:r>
      <w:r w:rsidRPr="003F3A85">
        <w:rPr>
          <w:rFonts w:cstheme="minorHAnsi"/>
          <w:bCs/>
        </w:rPr>
        <w:t xml:space="preserve">ensures </w:t>
      </w:r>
      <w:r w:rsidR="00F978F3" w:rsidRPr="003F3A85">
        <w:rPr>
          <w:rFonts w:cstheme="minorHAnsi"/>
          <w:bCs/>
        </w:rPr>
        <w:t>that all medical groups apply</w:t>
      </w:r>
      <w:r w:rsidRPr="003F3A85">
        <w:rPr>
          <w:rFonts w:cstheme="minorHAnsi"/>
          <w:bCs/>
        </w:rPr>
        <w:t xml:space="preserve"> the denominator criteria correctly</w:t>
      </w:r>
      <w:r w:rsidR="00F978F3" w:rsidRPr="003F3A85">
        <w:rPr>
          <w:rFonts w:cstheme="minorHAnsi"/>
          <w:bCs/>
        </w:rPr>
        <w:t xml:space="preserve"> and in a consistent manner. </w:t>
      </w:r>
      <w:r w:rsidRPr="003F3A85">
        <w:rPr>
          <w:rFonts w:cstheme="minorHAnsi"/>
          <w:bCs/>
        </w:rPr>
        <w:t xml:space="preserve"> MNCM </w:t>
      </w:r>
      <w:r w:rsidR="002155FD" w:rsidRPr="003F3A85">
        <w:rPr>
          <w:rFonts w:cstheme="minorHAnsi"/>
          <w:bCs/>
        </w:rPr>
        <w:t xml:space="preserve">staff review </w:t>
      </w:r>
      <w:r w:rsidRPr="003F3A85">
        <w:rPr>
          <w:rFonts w:cstheme="minorHAnsi"/>
          <w:bCs/>
        </w:rPr>
        <w:t>the documentation to verify all criteria were applied correctly</w:t>
      </w:r>
      <w:r w:rsidR="002155FD" w:rsidRPr="003F3A85">
        <w:rPr>
          <w:rFonts w:cstheme="minorHAnsi"/>
          <w:bCs/>
        </w:rPr>
        <w:t xml:space="preserve">, prior to approval for data submission. </w:t>
      </w:r>
      <w:r w:rsidRPr="003F3A85">
        <w:rPr>
          <w:rFonts w:cstheme="minorHAnsi"/>
          <w:bCs/>
        </w:rPr>
        <w:t xml:space="preserve"> </w:t>
      </w:r>
    </w:p>
    <w:p w:rsidR="00F978F3" w:rsidRPr="003F3A85" w:rsidRDefault="007562E2" w:rsidP="00F978F3">
      <w:pPr>
        <w:autoSpaceDE w:val="0"/>
        <w:autoSpaceDN w:val="0"/>
        <w:adjustRightInd w:val="0"/>
        <w:spacing w:after="0" w:line="240" w:lineRule="auto"/>
        <w:rPr>
          <w:rFonts w:cstheme="minorHAnsi"/>
          <w:bCs/>
        </w:rPr>
      </w:pPr>
      <w:r w:rsidRPr="003F3A85">
        <w:rPr>
          <w:rFonts w:cstheme="minorHAnsi"/>
          <w:bCs/>
        </w:rPr>
        <w:t xml:space="preserve">Denominator certification documentation </w:t>
      </w:r>
      <w:r w:rsidR="00F978F3" w:rsidRPr="003F3A85">
        <w:rPr>
          <w:rFonts w:cstheme="minorHAnsi"/>
          <w:bCs/>
        </w:rPr>
        <w:t xml:space="preserve">for this measure includes: </w:t>
      </w:r>
    </w:p>
    <w:p w:rsidR="007562E2" w:rsidRPr="003F3A85" w:rsidRDefault="00F978F3" w:rsidP="00F978F3">
      <w:pPr>
        <w:pStyle w:val="ListParagraph"/>
        <w:numPr>
          <w:ilvl w:val="0"/>
          <w:numId w:val="30"/>
        </w:numPr>
        <w:autoSpaceDE w:val="0"/>
        <w:autoSpaceDN w:val="0"/>
        <w:adjustRightInd w:val="0"/>
        <w:spacing w:after="0" w:line="240" w:lineRule="auto"/>
        <w:rPr>
          <w:rFonts w:cstheme="minorHAnsi"/>
          <w:bCs/>
        </w:rPr>
      </w:pPr>
      <w:r w:rsidRPr="003F3A85">
        <w:rPr>
          <w:rFonts w:cstheme="minorHAnsi"/>
          <w:bCs/>
        </w:rPr>
        <w:t>Date of Birth (r</w:t>
      </w:r>
      <w:r w:rsidR="007562E2" w:rsidRPr="003F3A85">
        <w:rPr>
          <w:rFonts w:cstheme="minorHAnsi"/>
          <w:bCs/>
        </w:rPr>
        <w:t>anges</w:t>
      </w:r>
      <w:r w:rsidRPr="003F3A85">
        <w:rPr>
          <w:rFonts w:cstheme="minorHAnsi"/>
          <w:bCs/>
        </w:rPr>
        <w:t>)</w:t>
      </w:r>
    </w:p>
    <w:p w:rsidR="007562E2" w:rsidRPr="003F3A85" w:rsidRDefault="00F978F3" w:rsidP="007562E2">
      <w:pPr>
        <w:pStyle w:val="ListParagraph"/>
        <w:numPr>
          <w:ilvl w:val="0"/>
          <w:numId w:val="29"/>
        </w:numPr>
        <w:autoSpaceDE w:val="0"/>
        <w:autoSpaceDN w:val="0"/>
        <w:adjustRightInd w:val="0"/>
        <w:spacing w:after="0" w:line="240" w:lineRule="auto"/>
        <w:rPr>
          <w:rFonts w:cstheme="minorHAnsi"/>
          <w:bCs/>
        </w:rPr>
      </w:pPr>
      <w:r w:rsidRPr="003F3A85">
        <w:rPr>
          <w:rFonts w:cstheme="minorHAnsi"/>
          <w:bCs/>
        </w:rPr>
        <w:t>Date of Service (r</w:t>
      </w:r>
      <w:r w:rsidR="007562E2" w:rsidRPr="003F3A85">
        <w:rPr>
          <w:rFonts w:cstheme="minorHAnsi"/>
          <w:bCs/>
        </w:rPr>
        <w:t>anges</w:t>
      </w:r>
      <w:r w:rsidRPr="003F3A85">
        <w:rPr>
          <w:rFonts w:cstheme="minorHAnsi"/>
          <w:bCs/>
        </w:rPr>
        <w:t>)</w:t>
      </w:r>
    </w:p>
    <w:p w:rsidR="007562E2" w:rsidRPr="003F3A85" w:rsidRDefault="007562E2" w:rsidP="007562E2">
      <w:pPr>
        <w:pStyle w:val="ListParagraph"/>
        <w:numPr>
          <w:ilvl w:val="0"/>
          <w:numId w:val="29"/>
        </w:numPr>
        <w:autoSpaceDE w:val="0"/>
        <w:autoSpaceDN w:val="0"/>
        <w:adjustRightInd w:val="0"/>
        <w:spacing w:after="0" w:line="240" w:lineRule="auto"/>
        <w:rPr>
          <w:rFonts w:cstheme="minorHAnsi"/>
          <w:bCs/>
        </w:rPr>
      </w:pPr>
      <w:r w:rsidRPr="003F3A85">
        <w:rPr>
          <w:rFonts w:cstheme="minorHAnsi"/>
          <w:bCs/>
        </w:rPr>
        <w:t>ICD-9 Codes used</w:t>
      </w:r>
    </w:p>
    <w:p w:rsidR="007562E2" w:rsidRPr="003F3A85" w:rsidRDefault="007562E2" w:rsidP="007562E2">
      <w:pPr>
        <w:pStyle w:val="ListParagraph"/>
        <w:numPr>
          <w:ilvl w:val="0"/>
          <w:numId w:val="29"/>
        </w:numPr>
        <w:autoSpaceDE w:val="0"/>
        <w:autoSpaceDN w:val="0"/>
        <w:adjustRightInd w:val="0"/>
        <w:spacing w:after="0" w:line="240" w:lineRule="auto"/>
        <w:rPr>
          <w:rFonts w:cstheme="minorHAnsi"/>
          <w:bCs/>
        </w:rPr>
      </w:pPr>
      <w:r w:rsidRPr="003F3A85">
        <w:rPr>
          <w:rFonts w:cstheme="minorHAnsi"/>
          <w:bCs/>
        </w:rPr>
        <w:t>Attest</w:t>
      </w:r>
      <w:r w:rsidR="00F978F3" w:rsidRPr="003F3A85">
        <w:rPr>
          <w:rFonts w:cstheme="minorHAnsi"/>
          <w:bCs/>
        </w:rPr>
        <w:t>ation of</w:t>
      </w:r>
      <w:r w:rsidRPr="003F3A85">
        <w:rPr>
          <w:rFonts w:cstheme="minorHAnsi"/>
          <w:bCs/>
        </w:rPr>
        <w:t xml:space="preserve"> inclusion of patients both with newly diagnosed depression and those with existing depression and elevated PHQ-9</w:t>
      </w:r>
    </w:p>
    <w:p w:rsidR="003404AF" w:rsidRPr="003F3A85" w:rsidRDefault="003404AF" w:rsidP="007562E2">
      <w:pPr>
        <w:pStyle w:val="ListParagraph"/>
        <w:numPr>
          <w:ilvl w:val="0"/>
          <w:numId w:val="29"/>
        </w:numPr>
        <w:autoSpaceDE w:val="0"/>
        <w:autoSpaceDN w:val="0"/>
        <w:adjustRightInd w:val="0"/>
        <w:spacing w:after="0" w:line="240" w:lineRule="auto"/>
        <w:rPr>
          <w:rFonts w:cstheme="minorHAnsi"/>
          <w:bCs/>
        </w:rPr>
      </w:pPr>
      <w:r w:rsidRPr="003F3A85">
        <w:rPr>
          <w:rFonts w:cstheme="minorHAnsi"/>
          <w:bCs/>
        </w:rPr>
        <w:t>Exclusions to the measure and attest to mechanism to submit exclusion code/ reason for exclusion reasons that may happen after a patient has an index contact.</w:t>
      </w:r>
    </w:p>
    <w:p w:rsidR="003404AF" w:rsidRPr="003F3A85" w:rsidRDefault="003404AF" w:rsidP="00A00AE8">
      <w:pPr>
        <w:autoSpaceDE w:val="0"/>
        <w:autoSpaceDN w:val="0"/>
        <w:adjustRightInd w:val="0"/>
        <w:spacing w:after="0" w:line="240" w:lineRule="auto"/>
        <w:rPr>
          <w:rFonts w:cstheme="minorHAnsi"/>
          <w:bCs/>
        </w:rPr>
      </w:pPr>
      <w:r w:rsidRPr="003F3A85">
        <w:rPr>
          <w:rFonts w:cstheme="minorHAnsi"/>
          <w:bCs/>
        </w:rPr>
        <w:t>Groups additionally supply their query code</w:t>
      </w:r>
      <w:r w:rsidR="00F978F3" w:rsidRPr="003F3A85">
        <w:rPr>
          <w:rFonts w:cstheme="minorHAnsi"/>
          <w:bCs/>
        </w:rPr>
        <w:t xml:space="preserve"> for review</w:t>
      </w:r>
      <w:r w:rsidR="00A00AE8" w:rsidRPr="003F3A85">
        <w:rPr>
          <w:rFonts w:cstheme="minorHAnsi"/>
          <w:bCs/>
        </w:rPr>
        <w:t>.</w:t>
      </w:r>
    </w:p>
    <w:p w:rsidR="000931C9" w:rsidRPr="003F3A85" w:rsidRDefault="000931C9" w:rsidP="003404AF">
      <w:pPr>
        <w:autoSpaceDE w:val="0"/>
        <w:autoSpaceDN w:val="0"/>
        <w:adjustRightInd w:val="0"/>
        <w:spacing w:after="0" w:line="240" w:lineRule="auto"/>
        <w:rPr>
          <w:rFonts w:cstheme="minorHAnsi"/>
          <w:bCs/>
          <w:sz w:val="12"/>
        </w:rPr>
      </w:pPr>
    </w:p>
    <w:p w:rsidR="003404AF" w:rsidRPr="003F3A85" w:rsidRDefault="0030791B" w:rsidP="003404AF">
      <w:pPr>
        <w:autoSpaceDE w:val="0"/>
        <w:autoSpaceDN w:val="0"/>
        <w:adjustRightInd w:val="0"/>
        <w:spacing w:after="0" w:line="240" w:lineRule="auto"/>
        <w:rPr>
          <w:rFonts w:cstheme="minorHAnsi"/>
          <w:bCs/>
        </w:rPr>
      </w:pPr>
      <w:r w:rsidRPr="003F3A85">
        <w:rPr>
          <w:rFonts w:cstheme="minorHAnsi"/>
          <w:bCs/>
        </w:rPr>
        <w:t>Common</w:t>
      </w:r>
      <w:r w:rsidR="00A00AE8" w:rsidRPr="003F3A85">
        <w:rPr>
          <w:rFonts w:cstheme="minorHAnsi"/>
          <w:bCs/>
        </w:rPr>
        <w:t xml:space="preserve"> areas of correction</w:t>
      </w:r>
      <w:r w:rsidRPr="003F3A85">
        <w:rPr>
          <w:rFonts w:cstheme="minorHAnsi"/>
          <w:bCs/>
        </w:rPr>
        <w:t xml:space="preserve"> in denominator </w:t>
      </w:r>
      <w:r w:rsidR="000931C9" w:rsidRPr="003F3A85">
        <w:rPr>
          <w:rFonts w:cstheme="minorHAnsi"/>
          <w:bCs/>
        </w:rPr>
        <w:t xml:space="preserve">for this measure </w:t>
      </w:r>
      <w:r w:rsidRPr="003F3A85">
        <w:rPr>
          <w:rFonts w:cstheme="minorHAnsi"/>
          <w:bCs/>
        </w:rPr>
        <w:t xml:space="preserve">included </w:t>
      </w:r>
      <w:r w:rsidR="000D243F" w:rsidRPr="003F3A85">
        <w:rPr>
          <w:rFonts w:cstheme="minorHAnsi"/>
          <w:bCs/>
        </w:rPr>
        <w:t xml:space="preserve">missing </w:t>
      </w:r>
      <w:r w:rsidR="00F978F3" w:rsidRPr="003F3A85">
        <w:rPr>
          <w:rFonts w:cstheme="minorHAnsi"/>
          <w:bCs/>
        </w:rPr>
        <w:t>query</w:t>
      </w:r>
      <w:r w:rsidR="000D243F" w:rsidRPr="003F3A85">
        <w:rPr>
          <w:rFonts w:cstheme="minorHAnsi"/>
          <w:bCs/>
        </w:rPr>
        <w:t xml:space="preserve"> code, incorrect dates listed</w:t>
      </w:r>
      <w:r w:rsidRPr="003F3A85">
        <w:rPr>
          <w:rFonts w:cstheme="minorHAnsi"/>
          <w:bCs/>
        </w:rPr>
        <w:t xml:space="preserve"> or incomplete attestation.  All were corrected prior to data submission. </w:t>
      </w:r>
    </w:p>
    <w:p w:rsidR="0030791B" w:rsidRPr="003F3A85" w:rsidRDefault="0030791B" w:rsidP="003404AF">
      <w:pPr>
        <w:autoSpaceDE w:val="0"/>
        <w:autoSpaceDN w:val="0"/>
        <w:adjustRightInd w:val="0"/>
        <w:spacing w:after="0" w:line="240" w:lineRule="auto"/>
        <w:rPr>
          <w:rFonts w:cstheme="minorHAnsi"/>
          <w:bCs/>
          <w:sz w:val="12"/>
        </w:rPr>
      </w:pPr>
    </w:p>
    <w:p w:rsidR="002155FD" w:rsidRPr="003F3A85" w:rsidRDefault="002155FD" w:rsidP="0030791B">
      <w:pPr>
        <w:spacing w:after="0" w:line="240" w:lineRule="auto"/>
        <w:rPr>
          <w:rFonts w:cstheme="minorHAnsi"/>
          <w:bCs/>
        </w:rPr>
      </w:pPr>
      <w:r w:rsidRPr="003F3A85">
        <w:rPr>
          <w:rFonts w:cstheme="minorHAnsi"/>
          <w:bCs/>
        </w:rPr>
        <w:t xml:space="preserve">Following data submission to the MNCM Data Portal, there are </w:t>
      </w:r>
      <w:r w:rsidR="00DA001A" w:rsidRPr="003F3A85">
        <w:rPr>
          <w:rFonts w:cstheme="minorHAnsi"/>
          <w:bCs/>
        </w:rPr>
        <w:t xml:space="preserve">additional data quality checks in place for evaluating the accuracy of data submitted.  During file upload, program checks for valid dates, codes and values and presents users with errors and warnings.  </w:t>
      </w:r>
      <w:r w:rsidRPr="003F3A85">
        <w:rPr>
          <w:rFonts w:cstheme="minorHAnsi"/>
          <w:bCs/>
        </w:rPr>
        <w:t xml:space="preserve">Additionally, MNCM staff review </w:t>
      </w:r>
      <w:r w:rsidR="0030791B" w:rsidRPr="003F3A85">
        <w:rPr>
          <w:rFonts w:cstheme="minorHAnsi"/>
          <w:bCs/>
        </w:rPr>
        <w:t xml:space="preserve">population counts (denominator) </w:t>
      </w:r>
      <w:r w:rsidRPr="003F3A85">
        <w:rPr>
          <w:rFonts w:cstheme="minorHAnsi"/>
          <w:bCs/>
        </w:rPr>
        <w:t>and outcome rates for any significant variance from the previous year’s submission and may prompt further clarification from the medical group.</w:t>
      </w:r>
    </w:p>
    <w:p w:rsidR="0030791B" w:rsidRPr="003F3A85" w:rsidRDefault="0030791B" w:rsidP="002155FD">
      <w:pPr>
        <w:spacing w:after="0" w:line="240" w:lineRule="auto"/>
        <w:rPr>
          <w:rFonts w:cstheme="minorHAnsi"/>
          <w:bCs/>
          <w:sz w:val="12"/>
        </w:rPr>
      </w:pPr>
      <w:r w:rsidRPr="003F3A85">
        <w:rPr>
          <w:rFonts w:cstheme="minorHAnsi"/>
          <w:bCs/>
        </w:rPr>
        <w:t xml:space="preserve"> </w:t>
      </w:r>
    </w:p>
    <w:p w:rsidR="002155FD" w:rsidRPr="003F3A85" w:rsidRDefault="00B627CA" w:rsidP="00A1742B">
      <w:pPr>
        <w:spacing w:after="0" w:line="240" w:lineRule="auto"/>
        <w:rPr>
          <w:rFonts w:cstheme="minorHAnsi"/>
          <w:bCs/>
        </w:rPr>
      </w:pPr>
      <w:r w:rsidRPr="003F3A85">
        <w:rPr>
          <w:rFonts w:cstheme="minorHAnsi"/>
          <w:bCs/>
        </w:rPr>
        <w:t>V</w:t>
      </w:r>
      <w:r w:rsidR="002155FD" w:rsidRPr="003F3A85">
        <w:rPr>
          <w:rFonts w:cstheme="minorHAnsi"/>
          <w:bCs/>
        </w:rPr>
        <w:t>alidation audit</w:t>
      </w:r>
      <w:r w:rsidRPr="003F3A85">
        <w:rPr>
          <w:rFonts w:cstheme="minorHAnsi"/>
          <w:bCs/>
        </w:rPr>
        <w:t>s</w:t>
      </w:r>
      <w:r w:rsidR="002155FD" w:rsidRPr="003F3A85">
        <w:rPr>
          <w:rFonts w:cstheme="minorHAnsi"/>
          <w:bCs/>
        </w:rPr>
        <w:t xml:space="preserve"> verify that the clinical data submitted for the numerator component of the measure matched the data in the patient record.  Other data elements are also audited to verify the patient was included in the denominator correctly (e.g., diagnosis of depression).  </w:t>
      </w:r>
    </w:p>
    <w:p w:rsidR="00A1742B" w:rsidRPr="003F3A85" w:rsidRDefault="00A1742B" w:rsidP="00A1742B">
      <w:pPr>
        <w:spacing w:after="0" w:line="240" w:lineRule="auto"/>
        <w:rPr>
          <w:rFonts w:cstheme="minorHAnsi"/>
          <w:bCs/>
          <w:sz w:val="12"/>
        </w:rPr>
      </w:pPr>
    </w:p>
    <w:p w:rsidR="00DE1271" w:rsidRPr="003F3A85" w:rsidRDefault="002155FD" w:rsidP="002155FD">
      <w:pPr>
        <w:autoSpaceDE w:val="0"/>
        <w:autoSpaceDN w:val="0"/>
        <w:adjustRightInd w:val="0"/>
        <w:spacing w:after="0" w:line="240" w:lineRule="auto"/>
        <w:rPr>
          <w:rFonts w:cstheme="minorHAnsi"/>
          <w:bCs/>
        </w:rPr>
      </w:pPr>
      <w:r w:rsidRPr="003F3A85">
        <w:rPr>
          <w:rFonts w:cstheme="minorHAnsi"/>
          <w:bCs/>
        </w:rPr>
        <w:t xml:space="preserve">In 2014, for the depression measures, MNCM audited 104 medical groups; 73% of those submitting data.  </w:t>
      </w:r>
      <w:r w:rsidR="00A1742B" w:rsidRPr="003F3A85">
        <w:rPr>
          <w:rFonts w:cstheme="minorHAnsi"/>
          <w:bCs/>
        </w:rPr>
        <w:t xml:space="preserve">77% (80/ 104) passed the initial audit, 23% (24/80) required a correction plan and all re-submitted their data and passed the audit with </w:t>
      </w:r>
      <w:r w:rsidR="00A1742B" w:rsidRPr="003F3A85">
        <w:rPr>
          <w:rFonts w:cstheme="minorHAnsi"/>
          <w:bCs/>
          <w:u w:val="single"/>
        </w:rPr>
        <w:t>&gt;</w:t>
      </w:r>
      <w:r w:rsidR="00A00AE8" w:rsidRPr="003F3A85">
        <w:rPr>
          <w:rFonts w:cstheme="minorHAnsi"/>
          <w:bCs/>
        </w:rPr>
        <w:t xml:space="preserve"> 90% accuracy.  Types of discrepancies noted </w:t>
      </w:r>
      <w:r w:rsidR="00A1742B" w:rsidRPr="003F3A85">
        <w:rPr>
          <w:rFonts w:cstheme="minorHAnsi"/>
          <w:bCs/>
        </w:rPr>
        <w:t>on audit included PHQ-9 score obtained but not submitted, incorrect PHQ-9 score, diagnosis code or date of birth.</w:t>
      </w:r>
    </w:p>
    <w:p w:rsidR="00A1742B" w:rsidRPr="003F3A85" w:rsidRDefault="00A1742B" w:rsidP="002155FD">
      <w:pPr>
        <w:autoSpaceDE w:val="0"/>
        <w:autoSpaceDN w:val="0"/>
        <w:adjustRightInd w:val="0"/>
        <w:spacing w:after="0" w:line="240" w:lineRule="auto"/>
        <w:rPr>
          <w:rFonts w:cstheme="minorHAnsi"/>
          <w:bCs/>
          <w:sz w:val="12"/>
        </w:rPr>
      </w:pPr>
    </w:p>
    <w:p w:rsidR="002155FD" w:rsidRDefault="002155FD" w:rsidP="002155FD">
      <w:pPr>
        <w:autoSpaceDE w:val="0"/>
        <w:autoSpaceDN w:val="0"/>
        <w:adjustRightInd w:val="0"/>
        <w:spacing w:after="0" w:line="240" w:lineRule="auto"/>
        <w:rPr>
          <w:rFonts w:cstheme="minorHAnsi"/>
          <w:bCs/>
        </w:rPr>
      </w:pPr>
      <w:r w:rsidRPr="003F3A85">
        <w:rPr>
          <w:rFonts w:cstheme="minorHAnsi"/>
          <w:bCs/>
        </w:rPr>
        <w:t>99% of groups achieved the desired 90% data accuracy; 1 group decided to not correct/ resubmit data and the rates were not included in measure calculation/ public reporting.</w:t>
      </w:r>
    </w:p>
    <w:p w:rsidR="00E96E27" w:rsidRDefault="00E96E27" w:rsidP="00E96E27">
      <w:pPr>
        <w:autoSpaceDE w:val="0"/>
        <w:autoSpaceDN w:val="0"/>
        <w:adjustRightInd w:val="0"/>
        <w:spacing w:before="120"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 xml:space="preserve">Method of Assessing Face Validity for Expanding the Measure to the Adolescent Population: </w:t>
      </w:r>
    </w:p>
    <w:p w:rsidR="00E96E27" w:rsidRPr="00650F72" w:rsidRDefault="00E96E27" w:rsidP="00E96E27">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 xml:space="preserve">The health‐plan level of this measure was assessed for use in the HEDIS Health Plan Measure Set. As part of this process, NCQA assessed the face validity of the measure using its </w:t>
      </w:r>
      <w:r>
        <w:rPr>
          <w:rFonts w:ascii="Calibri" w:hAnsi="Calibri" w:cs="Calibri"/>
          <w:color w:val="FF0000"/>
        </w:rPr>
        <w:t xml:space="preserve">comprehensive consensus development </w:t>
      </w:r>
      <w:r w:rsidRPr="00650F72">
        <w:rPr>
          <w:rFonts w:ascii="Calibri" w:hAnsi="Calibri" w:cs="Calibri"/>
          <w:color w:val="FF0000"/>
        </w:rPr>
        <w:t>HEDIS process. NCQA staff shared the measure concepts, supporting evidence and field test results with its standing Behavioral Health Measurement Advisory Panel, Technical Measurement Advisory Panel and additional panels. We posted the measures for Public Comment, a 30‐day period of review that allowed interested parties to offer feedback about the measure. NCQA MAPs and technical panels consider all comments and advise NCQA staff on appropriate recommendations.</w:t>
      </w:r>
    </w:p>
    <w:p w:rsidR="00E96E27" w:rsidRPr="00650F72" w:rsidRDefault="00E96E27" w:rsidP="00E96E27">
      <w:pPr>
        <w:autoSpaceDE w:val="0"/>
        <w:autoSpaceDN w:val="0"/>
        <w:adjustRightInd w:val="0"/>
        <w:spacing w:before="120" w:after="0" w:line="240" w:lineRule="auto"/>
        <w:rPr>
          <w:rFonts w:ascii="Calibri" w:hAnsi="Calibri" w:cs="Calibri"/>
          <w:color w:val="FF0000"/>
        </w:rPr>
      </w:pPr>
      <w:r w:rsidRPr="00650F72">
        <w:rPr>
          <w:rFonts w:ascii="Calibri" w:hAnsi="Calibri" w:cs="Calibri"/>
          <w:color w:val="FF0000"/>
        </w:rPr>
        <w:t>Step 1: NCQA staff identifies areas of interest or gaps in care. Clinical expert panels (MAPs—whose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The work‐up is vetted by NCQA’s Measurement Advisory Panels (MAPs), the Technical Measurement Advisory Panel</w:t>
      </w:r>
    </w:p>
    <w:p w:rsidR="00E96E27" w:rsidRPr="00650F72" w:rsidRDefault="00E96E27" w:rsidP="00E96E27">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lastRenderedPageBreak/>
        <w:t>(TMAP) and the Committee on Performance Measurement (CPM) as well as other panels as necessary.</w:t>
      </w:r>
    </w:p>
    <w:p w:rsidR="00E96E27" w:rsidRPr="00650F72" w:rsidRDefault="00E96E27" w:rsidP="00E96E27">
      <w:pPr>
        <w:autoSpaceDE w:val="0"/>
        <w:autoSpaceDN w:val="0"/>
        <w:adjustRightInd w:val="0"/>
        <w:spacing w:before="120" w:after="0" w:line="240" w:lineRule="auto"/>
        <w:rPr>
          <w:rFonts w:ascii="Calibri" w:hAnsi="Calibri" w:cs="Calibri"/>
          <w:color w:val="FF0000"/>
        </w:rPr>
      </w:pPr>
      <w:r w:rsidRPr="00650F72">
        <w:rPr>
          <w:rFonts w:ascii="Calibri" w:hAnsi="Calibri" w:cs="Calibri"/>
          <w:color w:val="FF0000"/>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w:t>
      </w:r>
    </w:p>
    <w:p w:rsidR="00E96E27" w:rsidRPr="00650F72" w:rsidRDefault="00E96E27" w:rsidP="00E96E27">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Collaborate with health plans to conduct field‐tests that assess the feasibility and validity of potential measures. The CPM uses testing results and proposed final specifications to determine if the measure will move forward to Public Comment.</w:t>
      </w:r>
    </w:p>
    <w:p w:rsidR="00E96E27" w:rsidRPr="00650F72" w:rsidRDefault="00E96E27" w:rsidP="00E96E27">
      <w:pPr>
        <w:autoSpaceDE w:val="0"/>
        <w:autoSpaceDN w:val="0"/>
        <w:adjustRightInd w:val="0"/>
        <w:spacing w:before="120" w:after="0" w:line="240" w:lineRule="auto"/>
        <w:rPr>
          <w:rFonts w:ascii="Calibri" w:hAnsi="Calibri" w:cs="Calibri"/>
          <w:color w:val="FF0000"/>
        </w:rPr>
      </w:pPr>
      <w:r w:rsidRPr="00650F72">
        <w:rPr>
          <w:rFonts w:ascii="Calibri" w:hAnsi="Calibri" w:cs="Calibri"/>
          <w:color w:val="FF0000"/>
        </w:rPr>
        <w:t>Step 3: Public Comment is a 30‐day period of review that allows interested parties to offer feedback to NCQA and the CPM about new measures or about changes to existing measures. NCQA MAPs and technical panels consider all comments and advise NCQA staff on appropriate recommendations brought to the CPM. The CPM reviews all comments before making a final decision about Public</w:t>
      </w:r>
    </w:p>
    <w:p w:rsidR="00E96E27" w:rsidRPr="00650F72" w:rsidRDefault="00E96E27" w:rsidP="00E96E27">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Comment measures. New measures and changes to existing measures approved by the CPM and NCQA’s Board of Directors will be included in the next HEDIS year and reported as first‐year measures.</w:t>
      </w:r>
    </w:p>
    <w:p w:rsidR="00E96E27" w:rsidRPr="00650F72" w:rsidRDefault="00E96E27" w:rsidP="00E96E27">
      <w:pPr>
        <w:autoSpaceDE w:val="0"/>
        <w:autoSpaceDN w:val="0"/>
        <w:adjustRightInd w:val="0"/>
        <w:spacing w:before="120" w:after="0" w:line="240" w:lineRule="auto"/>
        <w:rPr>
          <w:rFonts w:ascii="Calibri" w:hAnsi="Calibri" w:cs="Calibri"/>
          <w:color w:val="FF0000"/>
        </w:rPr>
      </w:pPr>
      <w:r w:rsidRPr="00650F72">
        <w:rPr>
          <w:rFonts w:ascii="Calibri" w:hAnsi="Calibri" w:cs="Calibri"/>
          <w:color w:val="FF0000"/>
        </w:rPr>
        <w:t>Step 4: First‐year data collection requires organizations to collect, be audited on and report these measures, but results are not publicly reported in the first year and are not included in NCQA’s State of</w:t>
      </w:r>
    </w:p>
    <w:p w:rsidR="00E96E27" w:rsidRPr="00582006" w:rsidRDefault="00E96E27" w:rsidP="00E96E27">
      <w:pPr>
        <w:autoSpaceDE w:val="0"/>
        <w:autoSpaceDN w:val="0"/>
        <w:adjustRightInd w:val="0"/>
        <w:spacing w:after="0" w:line="240" w:lineRule="auto"/>
        <w:rPr>
          <w:rFonts w:ascii="Calibri" w:hAnsi="Calibri" w:cs="Calibri"/>
          <w:color w:val="FF0000"/>
        </w:rPr>
      </w:pPr>
      <w:r w:rsidRPr="00650F72">
        <w:rPr>
          <w:rFonts w:ascii="Calibri" w:hAnsi="Calibri" w:cs="Calibri"/>
          <w:color w:val="FF0000"/>
        </w:rPr>
        <w:t xml:space="preserve">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w:t>
      </w:r>
      <w:proofErr w:type="gramStart"/>
      <w:r w:rsidRPr="00650F72">
        <w:rPr>
          <w:rFonts w:ascii="Calibri" w:hAnsi="Calibri" w:cs="Calibri"/>
          <w:color w:val="FF0000"/>
        </w:rPr>
        <w:t>a</w:t>
      </w:r>
      <w:proofErr w:type="gramEnd"/>
      <w:r w:rsidRPr="00650F72">
        <w:rPr>
          <w:rFonts w:ascii="Calibri" w:hAnsi="Calibri" w:cs="Calibri"/>
          <w:color w:val="FF0000"/>
        </w:rPr>
        <w:t xml:space="preserve"> one‐year introductory basis, NCQA conducts a detailed evaluation of first‐year data. The CPM uses evaluation results to decide whether the measure should become publicly reportable or whether </w:t>
      </w:r>
      <w:r>
        <w:rPr>
          <w:rFonts w:ascii="Calibri" w:hAnsi="Calibri" w:cs="Calibri"/>
          <w:color w:val="FF0000"/>
        </w:rPr>
        <w:t>it needs further modifications.</w:t>
      </w:r>
    </w:p>
    <w:p w:rsidR="00E96E27" w:rsidRPr="00650F72" w:rsidRDefault="00E96E27" w:rsidP="00E96E27">
      <w:pPr>
        <w:pStyle w:val="Style5"/>
        <w:spacing w:before="120"/>
        <w:rPr>
          <w:rFonts w:ascii="Calibri" w:eastAsia="Times New Roman" w:hAnsi="Calibri" w:cs="Times New Roman"/>
          <w:i w:val="0"/>
          <w:sz w:val="22"/>
          <w:szCs w:val="18"/>
          <w:lang w:val="en"/>
        </w:rPr>
      </w:pPr>
      <w:r w:rsidRPr="00650F72">
        <w:rPr>
          <w:rFonts w:ascii="Calibri" w:eastAsia="Times New Roman" w:hAnsi="Calibri" w:cs="Times New Roman"/>
          <w:i w:val="0"/>
          <w:sz w:val="22"/>
          <w:szCs w:val="18"/>
          <w:lang w:val="en"/>
        </w:rPr>
        <w:t xml:space="preserve">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rsidR="00833325" w:rsidRPr="00A25024" w:rsidRDefault="00833325" w:rsidP="00DB3627">
      <w:pPr>
        <w:autoSpaceDE w:val="0"/>
        <w:autoSpaceDN w:val="0"/>
        <w:adjustRightInd w:val="0"/>
        <w:spacing w:after="0" w:line="240" w:lineRule="auto"/>
        <w:rPr>
          <w:rFonts w:cstheme="minorHAnsi"/>
          <w:bCs/>
        </w:rPr>
      </w:pPr>
    </w:p>
    <w:p w:rsidR="00F854D5" w:rsidRDefault="00092566" w:rsidP="000D3419">
      <w:pPr>
        <w:spacing w:after="0" w:line="240" w:lineRule="auto"/>
        <w:rPr>
          <w:color w:val="1F497D" w:themeColor="text2"/>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0D3419" w:rsidRPr="00E96E27" w:rsidRDefault="000D3419" w:rsidP="000D3419">
      <w:pPr>
        <w:spacing w:after="0" w:line="240" w:lineRule="auto"/>
        <w:rPr>
          <w:rFonts w:ascii="Trebuchet MS" w:eastAsia="Times New Roman" w:hAnsi="Trebuchet MS" w:cs="Times New Roman"/>
          <w:sz w:val="18"/>
          <w:szCs w:val="18"/>
          <w:lang w:val="en"/>
        </w:rPr>
      </w:pPr>
      <w:r w:rsidRPr="00E96E27">
        <w:t xml:space="preserve">PROM- PHQ-9 </w:t>
      </w:r>
    </w:p>
    <w:p w:rsidR="000D3419" w:rsidRPr="00E96E27" w:rsidRDefault="000D3419" w:rsidP="000D3419">
      <w:pPr>
        <w:pStyle w:val="ListParagraph"/>
        <w:numPr>
          <w:ilvl w:val="0"/>
          <w:numId w:val="28"/>
        </w:numPr>
        <w:autoSpaceDE w:val="0"/>
        <w:autoSpaceDN w:val="0"/>
        <w:adjustRightInd w:val="0"/>
        <w:spacing w:after="0" w:line="240" w:lineRule="auto"/>
        <w:rPr>
          <w:rFonts w:cstheme="minorHAnsi"/>
          <w:bCs/>
        </w:rPr>
      </w:pPr>
      <w:r w:rsidRPr="00E96E27">
        <w:rPr>
          <w:rFonts w:cstheme="minorHAnsi"/>
          <w:bCs/>
        </w:rPr>
        <w:t xml:space="preserve">PHQ-9 score &gt; 10 has a sensitivity of 88% and a specificity of 88% for major depression.  </w:t>
      </w:r>
    </w:p>
    <w:p w:rsidR="000D3419" w:rsidRPr="00E96E27" w:rsidRDefault="000D3419" w:rsidP="000D3419">
      <w:pPr>
        <w:pStyle w:val="ListParagraph"/>
        <w:numPr>
          <w:ilvl w:val="0"/>
          <w:numId w:val="28"/>
        </w:numPr>
        <w:autoSpaceDE w:val="0"/>
        <w:autoSpaceDN w:val="0"/>
        <w:adjustRightInd w:val="0"/>
        <w:spacing w:after="0" w:line="240" w:lineRule="auto"/>
        <w:rPr>
          <w:rFonts w:cstheme="minorHAnsi"/>
          <w:bCs/>
        </w:rPr>
      </w:pPr>
      <w:r w:rsidRPr="00E96E27">
        <w:rPr>
          <w:rFonts w:cstheme="minorHAnsi"/>
          <w:bCs/>
        </w:rPr>
        <w:t xml:space="preserve">Cronbach’s alpha of 0.89 in the PHQ-9 Primary Care Study and 0.86 in the PHQ OBGYN Study. </w:t>
      </w:r>
    </w:p>
    <w:p w:rsidR="000D3419" w:rsidRPr="00E96E27" w:rsidRDefault="000D3419" w:rsidP="000D3419">
      <w:pPr>
        <w:pStyle w:val="ListParagraph"/>
        <w:numPr>
          <w:ilvl w:val="0"/>
          <w:numId w:val="28"/>
        </w:numPr>
        <w:autoSpaceDE w:val="0"/>
        <w:autoSpaceDN w:val="0"/>
        <w:adjustRightInd w:val="0"/>
        <w:spacing w:after="0" w:line="240" w:lineRule="auto"/>
        <w:rPr>
          <w:rFonts w:cstheme="minorHAnsi"/>
          <w:bCs/>
        </w:rPr>
      </w:pPr>
      <w:r w:rsidRPr="00E96E27">
        <w:rPr>
          <w:rFonts w:cstheme="minorHAnsi"/>
          <w:bCs/>
        </w:rPr>
        <w:t>Correlation between the PHQ-9 completed by the patient in the clinic and that administered telephonically by the MHP within 48 hours was 0.84, and the mean scores were nearly identical (5.08 vs 5.03).</w:t>
      </w:r>
    </w:p>
    <w:p w:rsidR="000D3419" w:rsidRPr="00E96E27" w:rsidRDefault="000D3419" w:rsidP="000D3419">
      <w:pPr>
        <w:autoSpaceDE w:val="0"/>
        <w:autoSpaceDN w:val="0"/>
        <w:adjustRightInd w:val="0"/>
        <w:spacing w:after="0" w:line="240" w:lineRule="auto"/>
        <w:rPr>
          <w:rFonts w:cstheme="minorHAnsi"/>
          <w:bCs/>
          <w:sz w:val="12"/>
        </w:rPr>
      </w:pPr>
    </w:p>
    <w:p w:rsidR="000D3419" w:rsidRPr="00E96E27" w:rsidRDefault="00E96E27" w:rsidP="000D3419">
      <w:pPr>
        <w:spacing w:after="0" w:line="240" w:lineRule="auto"/>
        <w:rPr>
          <w:rFonts w:ascii="Trebuchet MS" w:eastAsia="Times New Roman" w:hAnsi="Trebuchet MS" w:cs="Times New Roman"/>
          <w:sz w:val="18"/>
          <w:szCs w:val="18"/>
          <w:lang w:val="en"/>
        </w:rPr>
      </w:pPr>
      <w:r>
        <w:t>PROM-PM (Adult stratification)</w:t>
      </w:r>
    </w:p>
    <w:p w:rsidR="00E96E27" w:rsidRPr="00E96E27" w:rsidRDefault="00E96E27" w:rsidP="00E96E27">
      <w:pPr>
        <w:pStyle w:val="ListParagraph"/>
        <w:numPr>
          <w:ilvl w:val="0"/>
          <w:numId w:val="28"/>
        </w:numPr>
        <w:autoSpaceDE w:val="0"/>
        <w:autoSpaceDN w:val="0"/>
        <w:adjustRightInd w:val="0"/>
        <w:spacing w:after="0" w:line="240" w:lineRule="auto"/>
        <w:rPr>
          <w:rFonts w:cstheme="minorHAnsi"/>
          <w:bCs/>
        </w:rPr>
      </w:pPr>
      <w:r>
        <w:rPr>
          <w:rFonts w:cstheme="minorHAnsi"/>
          <w:bCs/>
          <w:color w:val="FF0000"/>
        </w:rPr>
        <w:t>Strong correlation (R</w:t>
      </w:r>
      <w:r w:rsidRPr="00582006">
        <w:rPr>
          <w:rFonts w:cstheme="minorHAnsi"/>
          <w:bCs/>
          <w:color w:val="FF0000"/>
          <w:vertAlign w:val="superscript"/>
        </w:rPr>
        <w:t>2</w:t>
      </w:r>
      <w:r>
        <w:rPr>
          <w:rFonts w:cstheme="minorHAnsi"/>
          <w:bCs/>
          <w:color w:val="FF0000"/>
        </w:rPr>
        <w:t xml:space="preserve"> = 0.887) between clinics that do well with response rates (PHQ-9 initial score is reduced by 50% or greater) also are more successful at achieving remission.</w:t>
      </w:r>
    </w:p>
    <w:p w:rsidR="000D3419" w:rsidRPr="00E96E27" w:rsidRDefault="000D3419" w:rsidP="00812EC9">
      <w:pPr>
        <w:pStyle w:val="ListParagraph"/>
        <w:numPr>
          <w:ilvl w:val="0"/>
          <w:numId w:val="28"/>
        </w:numPr>
        <w:autoSpaceDE w:val="0"/>
        <w:autoSpaceDN w:val="0"/>
        <w:adjustRightInd w:val="0"/>
        <w:spacing w:after="0" w:line="240" w:lineRule="auto"/>
        <w:rPr>
          <w:rFonts w:cstheme="minorHAnsi"/>
          <w:bCs/>
        </w:rPr>
      </w:pPr>
      <w:r w:rsidRPr="00E96E27">
        <w:rPr>
          <w:rFonts w:cstheme="minorHAnsi"/>
          <w:bCs/>
        </w:rPr>
        <w:t>99% of groups achieved data element accuracy &gt; 90% when submitted data was compared to medical record data (EHR or paper) of the patient</w:t>
      </w:r>
    </w:p>
    <w:p w:rsidR="00E96E27" w:rsidRPr="00E96E27" w:rsidRDefault="00E96E27" w:rsidP="00E96E27">
      <w:pPr>
        <w:spacing w:before="120" w:after="0" w:line="240" w:lineRule="auto"/>
        <w:rPr>
          <w:rFonts w:ascii="Calibri" w:eastAsia="Times New Roman" w:hAnsi="Calibri" w:cs="Times New Roman"/>
          <w:color w:val="FF0000"/>
          <w:szCs w:val="18"/>
          <w:lang w:val="en"/>
        </w:rPr>
      </w:pPr>
      <w:r w:rsidRPr="00E96E27">
        <w:rPr>
          <w:rFonts w:ascii="Calibri" w:eastAsia="Times New Roman" w:hAnsi="Calibri" w:cs="Times New Roman"/>
          <w:color w:val="FF0000"/>
          <w:szCs w:val="18"/>
          <w:lang w:val="en"/>
        </w:rPr>
        <w:t xml:space="preserve">Results of Face Validity Assessment for the Adolescent Population: </w:t>
      </w:r>
    </w:p>
    <w:p w:rsidR="00E96E27" w:rsidRPr="00E96E27" w:rsidRDefault="00E96E27" w:rsidP="00E96E27">
      <w:pPr>
        <w:autoSpaceDE w:val="0"/>
        <w:autoSpaceDN w:val="0"/>
        <w:adjustRightInd w:val="0"/>
        <w:spacing w:after="0" w:line="240" w:lineRule="auto"/>
        <w:rPr>
          <w:rFonts w:ascii="Calibri" w:hAnsi="Calibri" w:cs="Calibri"/>
          <w:color w:val="FF0000"/>
        </w:rPr>
      </w:pPr>
      <w:r w:rsidRPr="00E96E27">
        <w:rPr>
          <w:rFonts w:ascii="Calibri" w:hAnsi="Calibri" w:cs="Calibri"/>
          <w:color w:val="FF0000"/>
        </w:rPr>
        <w:t xml:space="preserve">Step 1: This measure was adapted for the adolescent population from the existing Minnesota Community Measurement measure. NCQA and numerous expert panels worked together in 2013 and 2014 to identify the most appropriate method for assessing depression outcome among the adolescent </w:t>
      </w:r>
      <w:r w:rsidRPr="00E96E27">
        <w:rPr>
          <w:rFonts w:ascii="Calibri" w:hAnsi="Calibri" w:cs="Calibri"/>
          <w:color w:val="FF0000"/>
        </w:rPr>
        <w:lastRenderedPageBreak/>
        <w:t>patient population. Across the multiple expert panels that reviewed the measure, all panels concluded this measure was specified appropriately to identify depression remission in adolescents.</w:t>
      </w:r>
    </w:p>
    <w:p w:rsidR="00E96E27" w:rsidRPr="00E96E27" w:rsidRDefault="00E96E27" w:rsidP="00E96E27">
      <w:pPr>
        <w:autoSpaceDE w:val="0"/>
        <w:autoSpaceDN w:val="0"/>
        <w:adjustRightInd w:val="0"/>
        <w:spacing w:before="120" w:after="0" w:line="240" w:lineRule="auto"/>
        <w:rPr>
          <w:rFonts w:ascii="Calibri" w:hAnsi="Calibri" w:cs="Calibri"/>
          <w:color w:val="FF0000"/>
        </w:rPr>
      </w:pPr>
      <w:r w:rsidRPr="00E96E27">
        <w:rPr>
          <w:rFonts w:ascii="Calibri" w:hAnsi="Calibri" w:cs="Calibri"/>
          <w:color w:val="FF0000"/>
        </w:rPr>
        <w:t>Step 2: The measure was field‐tested for the adolescent population in 2013 and 2014. It was first posted for a public comment period in October 2014. After reviewing these initial public comment results along with field test results, the CPM recommended to send the health-plan level version of the measure to the HEDIS public comment period with a majority vote in January 2016.</w:t>
      </w:r>
    </w:p>
    <w:p w:rsidR="00E96E27" w:rsidRPr="00E96E27" w:rsidRDefault="00E96E27" w:rsidP="00E96E27">
      <w:pPr>
        <w:autoSpaceDE w:val="0"/>
        <w:autoSpaceDN w:val="0"/>
        <w:adjustRightInd w:val="0"/>
        <w:spacing w:before="120" w:after="0" w:line="240" w:lineRule="auto"/>
        <w:rPr>
          <w:rFonts w:ascii="Calibri" w:hAnsi="Calibri" w:cs="Calibri"/>
          <w:color w:val="FF0000"/>
        </w:rPr>
      </w:pPr>
      <w:r w:rsidRPr="00E96E27">
        <w:rPr>
          <w:rFonts w:ascii="Calibri" w:hAnsi="Calibri" w:cs="Calibri"/>
          <w:color w:val="FF0000"/>
        </w:rPr>
        <w:t>Step 3: The measure was released for HEDIS Public Comment in February 2016 prior to publication in HEDIS. This measure was rated a high priority by many commenters. The CPM recommended moving this measure to first year data collection by a majority vote in May 2016.</w:t>
      </w:r>
    </w:p>
    <w:p w:rsidR="00E96E27" w:rsidRPr="00E96E27" w:rsidRDefault="00E96E27" w:rsidP="00E96E27">
      <w:pPr>
        <w:spacing w:before="120" w:after="0" w:line="240" w:lineRule="auto"/>
        <w:rPr>
          <w:rFonts w:ascii="Calibri" w:hAnsi="Calibri" w:cs="Calibri"/>
          <w:color w:val="FF0000"/>
        </w:rPr>
      </w:pPr>
      <w:r w:rsidRPr="00E96E27">
        <w:rPr>
          <w:rFonts w:ascii="Calibri" w:hAnsi="Calibri" w:cs="Calibri"/>
          <w:color w:val="FF0000"/>
        </w:rPr>
        <w:t>Step 4: The measure was introduced in HEDIS 2017. Organizations will voluntarily report this measure in the first year (2017) and the results will be analyzed for public reporting in the following year.</w:t>
      </w:r>
    </w:p>
    <w:p w:rsidR="007422FD" w:rsidRPr="00092566" w:rsidRDefault="007422FD" w:rsidP="00092566">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812EC9" w:rsidRPr="00152FAE" w:rsidRDefault="00812EC9" w:rsidP="00812EC9">
      <w:pPr>
        <w:autoSpaceDE w:val="0"/>
        <w:autoSpaceDN w:val="0"/>
        <w:adjustRightInd w:val="0"/>
        <w:spacing w:after="0" w:line="240" w:lineRule="auto"/>
        <w:rPr>
          <w:rFonts w:cstheme="minorHAnsi"/>
          <w:bCs/>
          <w:sz w:val="12"/>
        </w:rPr>
      </w:pPr>
    </w:p>
    <w:p w:rsidR="00812EC9" w:rsidRPr="006E0C96" w:rsidRDefault="00812EC9" w:rsidP="00812EC9">
      <w:pPr>
        <w:autoSpaceDE w:val="0"/>
        <w:autoSpaceDN w:val="0"/>
        <w:adjustRightInd w:val="0"/>
        <w:spacing w:after="0" w:line="240" w:lineRule="auto"/>
        <w:rPr>
          <w:rFonts w:cstheme="minorHAnsi"/>
          <w:bCs/>
        </w:rPr>
      </w:pPr>
      <w:r w:rsidRPr="006E0C96">
        <w:rPr>
          <w:rFonts w:cstheme="minorHAnsi"/>
          <w:bCs/>
        </w:rPr>
        <w:t>The PHQ-9 patient reported outcome tool demonstrates sound psychometric properties (reliability, validity, specificity and sensitivity to change) and is appropriate for measuring patient outcomes related to depression.</w:t>
      </w:r>
    </w:p>
    <w:p w:rsidR="00812EC9" w:rsidRPr="006E0C96" w:rsidRDefault="00812EC9" w:rsidP="00812EC9">
      <w:pPr>
        <w:autoSpaceDE w:val="0"/>
        <w:autoSpaceDN w:val="0"/>
        <w:adjustRightInd w:val="0"/>
        <w:spacing w:after="0" w:line="240" w:lineRule="auto"/>
        <w:rPr>
          <w:rFonts w:cstheme="minorHAnsi"/>
          <w:bCs/>
          <w:sz w:val="12"/>
        </w:rPr>
      </w:pPr>
    </w:p>
    <w:p w:rsidR="00812EC9" w:rsidRPr="006E0C96" w:rsidRDefault="00812EC9" w:rsidP="00812EC9">
      <w:pPr>
        <w:autoSpaceDE w:val="0"/>
        <w:autoSpaceDN w:val="0"/>
        <w:adjustRightInd w:val="0"/>
        <w:spacing w:after="0" w:line="240" w:lineRule="auto"/>
        <w:rPr>
          <w:rFonts w:cstheme="minorHAnsi"/>
          <w:bCs/>
        </w:rPr>
      </w:pPr>
      <w:r w:rsidRPr="006E0C96">
        <w:rPr>
          <w:rFonts w:cstheme="minorHAnsi"/>
          <w:bCs/>
        </w:rPr>
        <w:t>The PROM-PM measure</w:t>
      </w:r>
      <w:r w:rsidR="006E0C96">
        <w:rPr>
          <w:rFonts w:cstheme="minorHAnsi"/>
          <w:bCs/>
        </w:rPr>
        <w:t xml:space="preserve"> </w:t>
      </w:r>
      <w:r w:rsidR="006E0C96">
        <w:t>(Adult stratification)</w:t>
      </w:r>
      <w:r w:rsidRPr="006E0C96">
        <w:rPr>
          <w:rFonts w:cstheme="minorHAnsi"/>
          <w:bCs/>
        </w:rPr>
        <w:t>:</w:t>
      </w:r>
    </w:p>
    <w:p w:rsidR="00E96E27" w:rsidRPr="005F2B05" w:rsidRDefault="00812EC9" w:rsidP="00E96E27">
      <w:pPr>
        <w:autoSpaceDE w:val="0"/>
        <w:autoSpaceDN w:val="0"/>
        <w:adjustRightInd w:val="0"/>
        <w:spacing w:after="0" w:line="240" w:lineRule="auto"/>
        <w:rPr>
          <w:rFonts w:cstheme="minorHAnsi"/>
          <w:bCs/>
          <w:color w:val="FF0000"/>
        </w:rPr>
      </w:pPr>
      <w:r w:rsidRPr="006E0C96">
        <w:rPr>
          <w:rFonts w:cstheme="minorHAnsi"/>
          <w:bCs/>
        </w:rPr>
        <w:t>High compliance with critical data element validity as demonstrated by annual validation audit processes.</w:t>
      </w:r>
      <w:r w:rsidR="00E96E27">
        <w:rPr>
          <w:rFonts w:cstheme="minorHAnsi"/>
          <w:bCs/>
          <w:color w:val="1F497D" w:themeColor="text2"/>
        </w:rPr>
        <w:t xml:space="preserve"> </w:t>
      </w:r>
      <w:r w:rsidR="00E96E27">
        <w:rPr>
          <w:rFonts w:cstheme="minorHAnsi"/>
          <w:bCs/>
          <w:color w:val="FF0000"/>
        </w:rPr>
        <w:t>High validity performance scores demonstrated through correlation (R</w:t>
      </w:r>
      <w:r w:rsidR="00E96E27" w:rsidRPr="00582006">
        <w:rPr>
          <w:rFonts w:cstheme="minorHAnsi"/>
          <w:bCs/>
          <w:color w:val="FF0000"/>
          <w:vertAlign w:val="superscript"/>
        </w:rPr>
        <w:t>2</w:t>
      </w:r>
      <w:r w:rsidR="00E96E27">
        <w:rPr>
          <w:rFonts w:cstheme="minorHAnsi"/>
          <w:bCs/>
          <w:color w:val="FF0000"/>
        </w:rPr>
        <w:t xml:space="preserve"> = 0.</w:t>
      </w:r>
      <w:r w:rsidR="006E0C96" w:rsidRPr="006E0C96">
        <w:rPr>
          <w:rFonts w:cstheme="minorHAnsi"/>
          <w:bCs/>
          <w:color w:val="FF0000"/>
        </w:rPr>
        <w:t xml:space="preserve"> </w:t>
      </w:r>
      <w:r w:rsidR="006E0C96">
        <w:rPr>
          <w:rFonts w:cstheme="minorHAnsi"/>
          <w:bCs/>
          <w:color w:val="FF0000"/>
        </w:rPr>
        <w:t>887</w:t>
      </w:r>
      <w:r w:rsidR="00E96E27">
        <w:rPr>
          <w:rFonts w:cstheme="minorHAnsi"/>
          <w:bCs/>
          <w:color w:val="FF0000"/>
        </w:rPr>
        <w:t>) with similar depression outcome measure.</w:t>
      </w:r>
    </w:p>
    <w:p w:rsidR="00812EC9" w:rsidRPr="006E0C96" w:rsidRDefault="006E0C96" w:rsidP="006E0C96">
      <w:pPr>
        <w:spacing w:before="120"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Interpretation of Systematic Assessment of face validity: The expert panels consulted showed good agreement that the measure as specified will accurately differentiate quality across entities. Additionally, this measure was rated as a high priority measure by the expert panels and by those who responded to the public comment. Our interpretation of these results is that this measure has sufficient face validity.</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F854D5" w:rsidRPr="00F854D5" w:rsidRDefault="00092566" w:rsidP="00DB3627">
      <w:pPr>
        <w:autoSpaceDE w:val="0"/>
        <w:autoSpaceDN w:val="0"/>
        <w:adjustRightInd w:val="0"/>
        <w:spacing w:after="0" w:line="240" w:lineRule="auto"/>
        <w:rPr>
          <w:rFonts w:cstheme="minorHAnsi"/>
          <w:bCs/>
          <w:color w:val="1F497D" w:themeColor="text2"/>
          <w:sz w:val="12"/>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446538">
        <w:rPr>
          <w:rFonts w:cstheme="minorHAnsi"/>
          <w:bCs/>
        </w:rPr>
        <w:t>)</w:t>
      </w:r>
      <w:r w:rsidR="00446538">
        <w:rPr>
          <w:rFonts w:cstheme="minorHAnsi"/>
          <w:bCs/>
        </w:rPr>
        <w:br/>
      </w:r>
    </w:p>
    <w:p w:rsidR="00833325" w:rsidRPr="006E0C96" w:rsidRDefault="00446538" w:rsidP="00DB3627">
      <w:pPr>
        <w:autoSpaceDE w:val="0"/>
        <w:autoSpaceDN w:val="0"/>
        <w:adjustRightInd w:val="0"/>
        <w:spacing w:after="0" w:line="240" w:lineRule="auto"/>
        <w:rPr>
          <w:rFonts w:cstheme="minorHAnsi"/>
          <w:bCs/>
        </w:rPr>
      </w:pPr>
      <w:r w:rsidRPr="006E0C96">
        <w:rPr>
          <w:rFonts w:cstheme="minorHAnsi"/>
          <w:bCs/>
        </w:rPr>
        <w:t>There are two methods for excluding patients from the denominator for this longitudinal measu</w:t>
      </w:r>
      <w:r w:rsidR="00D57EE2" w:rsidRPr="006E0C96">
        <w:rPr>
          <w:rFonts w:cstheme="minorHAnsi"/>
          <w:bCs/>
        </w:rPr>
        <w:t xml:space="preserve">re.  Rationale for exclusions are </w:t>
      </w:r>
      <w:r w:rsidRPr="006E0C96">
        <w:rPr>
          <w:rFonts w:cstheme="minorHAnsi"/>
          <w:bCs/>
        </w:rPr>
        <w:t>of a clinical nature where expectations for outcomes may be different due to life expectancy (nursing home residents, hospice/ palliative care, death) or co-morbid diagnoses that may emerge after initial impression</w:t>
      </w:r>
      <w:r w:rsidR="00D57EE2" w:rsidRPr="006E0C96">
        <w:rPr>
          <w:rFonts w:cstheme="minorHAnsi"/>
          <w:bCs/>
        </w:rPr>
        <w:t>/ diagnosis</w:t>
      </w:r>
      <w:r w:rsidRPr="006E0C96">
        <w:rPr>
          <w:rFonts w:cstheme="minorHAnsi"/>
          <w:bCs/>
        </w:rPr>
        <w:t xml:space="preserve"> of a depressive disorder (bipolar or personality disorder)</w:t>
      </w:r>
      <w:r w:rsidR="00D57EE2" w:rsidRPr="006E0C96">
        <w:rPr>
          <w:rFonts w:cstheme="minorHAnsi"/>
          <w:bCs/>
        </w:rPr>
        <w:t xml:space="preserve">.  </w:t>
      </w:r>
    </w:p>
    <w:p w:rsidR="00D57EE2" w:rsidRPr="006E0C96" w:rsidRDefault="00D57EE2" w:rsidP="00DB3627">
      <w:pPr>
        <w:autoSpaceDE w:val="0"/>
        <w:autoSpaceDN w:val="0"/>
        <w:adjustRightInd w:val="0"/>
        <w:spacing w:after="0" w:line="240" w:lineRule="auto"/>
        <w:rPr>
          <w:rFonts w:cstheme="minorHAnsi"/>
          <w:bCs/>
        </w:rPr>
      </w:pPr>
      <w:r w:rsidRPr="006E0C96">
        <w:rPr>
          <w:rFonts w:cstheme="minorHAnsi"/>
          <w:bCs/>
        </w:rPr>
        <w:t>Also need a mechanism to exclude bipolar disorder patients who frequently also have diagnosis of major depression despite this being a departure from best coding practices.</w:t>
      </w:r>
    </w:p>
    <w:p w:rsidR="006E0C96" w:rsidRDefault="006E0C96" w:rsidP="00092566">
      <w:pPr>
        <w:autoSpaceDE w:val="0"/>
        <w:autoSpaceDN w:val="0"/>
        <w:adjustRightInd w:val="0"/>
        <w:spacing w:after="0" w:line="240" w:lineRule="auto"/>
        <w:rPr>
          <w:rFonts w:cstheme="minorHAnsi"/>
          <w:bCs/>
        </w:rPr>
      </w:pPr>
    </w:p>
    <w:p w:rsidR="00F854D5" w:rsidRPr="00F854D5" w:rsidRDefault="00092566" w:rsidP="00092566">
      <w:pPr>
        <w:autoSpaceDE w:val="0"/>
        <w:autoSpaceDN w:val="0"/>
        <w:adjustRightInd w:val="0"/>
        <w:spacing w:after="0" w:line="240" w:lineRule="auto"/>
        <w:rPr>
          <w:rFonts w:cstheme="minorHAnsi"/>
          <w:bCs/>
          <w:color w:val="1F497D" w:themeColor="text2"/>
          <w:sz w:val="12"/>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7422FD" w:rsidRDefault="00F854D5" w:rsidP="00092566">
      <w:pPr>
        <w:autoSpaceDE w:val="0"/>
        <w:autoSpaceDN w:val="0"/>
        <w:adjustRightInd w:val="0"/>
        <w:spacing w:after="0" w:line="240" w:lineRule="auto"/>
        <w:rPr>
          <w:rFonts w:cstheme="minorHAnsi"/>
          <w:bCs/>
        </w:rPr>
      </w:pPr>
      <w:r w:rsidRPr="006E0C96">
        <w:rPr>
          <w:rFonts w:cstheme="minorHAnsi"/>
          <w:bCs/>
        </w:rPr>
        <w:lastRenderedPageBreak/>
        <w:t>When known, exc</w:t>
      </w:r>
      <w:r w:rsidR="00A94B33" w:rsidRPr="006E0C96">
        <w:rPr>
          <w:rFonts w:cstheme="minorHAnsi"/>
          <w:bCs/>
        </w:rPr>
        <w:t xml:space="preserve">lusions are removed “up-front”, </w:t>
      </w:r>
      <w:r w:rsidRPr="006E0C96">
        <w:rPr>
          <w:rFonts w:cstheme="minorHAnsi"/>
          <w:bCs/>
        </w:rPr>
        <w:t>prior to data submission and validated through the denominator certification process as described in 2b2.2 and these exclusions are not available for analysis.  When exclusions occur after the index contact event, they are included in the data submission for this measure and are available for analysis.  97.0% of the eligible patients remain in the denominator without need for further exclusion because of events or diagnoses occurring after index.  Of the 3% of the population that do require exclusion after index, 86% were because of diagnosis of bipolar or personality disorder and 14% due to death, hospice or permanent nursing home residence.</w:t>
      </w:r>
    </w:p>
    <w:p w:rsidR="006E0C96" w:rsidRPr="00650F72" w:rsidRDefault="006E0C96" w:rsidP="006E0C96">
      <w:pPr>
        <w:autoSpaceDE w:val="0"/>
        <w:autoSpaceDN w:val="0"/>
        <w:adjustRightInd w:val="0"/>
        <w:spacing w:before="120"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Results of Testing Exclusions in Adolescent Population:</w:t>
      </w:r>
    </w:p>
    <w:p w:rsidR="006E0C96" w:rsidRPr="005F2B05" w:rsidRDefault="006E0C96" w:rsidP="006E0C96">
      <w:pPr>
        <w:autoSpaceDE w:val="0"/>
        <w:autoSpaceDN w:val="0"/>
        <w:adjustRightInd w:val="0"/>
        <w:spacing w:after="0" w:line="240" w:lineRule="auto"/>
        <w:rPr>
          <w:rFonts w:ascii="Calibri" w:eastAsia="Times New Roman" w:hAnsi="Calibri" w:cs="Times New Roman"/>
          <w:color w:val="FF0000"/>
          <w:szCs w:val="18"/>
          <w:lang w:val="en"/>
        </w:rPr>
      </w:pPr>
      <w:r w:rsidRPr="00650F72">
        <w:rPr>
          <w:rFonts w:ascii="Calibri" w:eastAsia="Times New Roman" w:hAnsi="Calibri" w:cs="Times New Roman"/>
          <w:color w:val="FF0000"/>
          <w:szCs w:val="18"/>
          <w:lang w:val="en"/>
        </w:rPr>
        <w:t>Of the 786 patients who met the denominator criteria across the three testing sites, 102 (13.0%) met the exclusion criteria of having a diagnosis of any of the following: bipolar disorder, psychotic disorder, autism spectrum disorder, or personality disorder. Of those patients excluded, 55 (53.9%) had a diagnosis of bipolar disorder.</w:t>
      </w:r>
    </w:p>
    <w:p w:rsidR="006E0C96" w:rsidRPr="00B44D9E" w:rsidRDefault="006E0C96" w:rsidP="006E0C96">
      <w:pPr>
        <w:spacing w:before="120" w:after="0" w:line="240" w:lineRule="auto"/>
        <w:rPr>
          <w:rFonts w:ascii="Calibri" w:eastAsia="Times New Roman" w:hAnsi="Calibri" w:cs="Times New Roman"/>
          <w:iCs/>
          <w:szCs w:val="18"/>
          <w:lang w:val="en"/>
        </w:rPr>
      </w:pPr>
      <w:r w:rsidRPr="00B44D9E">
        <w:rPr>
          <w:rFonts w:ascii="Calibri" w:eastAsia="Times New Roman" w:hAnsi="Calibri" w:cs="Times New Roman"/>
          <w:iCs/>
          <w:szCs w:val="18"/>
          <w:lang w:val="en"/>
        </w:rPr>
        <w:t>Required exclusions include:</w:t>
      </w:r>
    </w:p>
    <w:p w:rsidR="006E0C96" w:rsidRPr="00B44D9E" w:rsidRDefault="006E0C96" w:rsidP="006E0C96">
      <w:pPr>
        <w:pStyle w:val="ListParagraph"/>
        <w:numPr>
          <w:ilvl w:val="0"/>
          <w:numId w:val="33"/>
        </w:numPr>
        <w:spacing w:after="0" w:line="240" w:lineRule="auto"/>
        <w:rPr>
          <w:rFonts w:ascii="Calibri" w:eastAsia="Times New Roman" w:hAnsi="Calibri" w:cs="Times New Roman"/>
          <w:iCs/>
          <w:szCs w:val="18"/>
          <w:lang w:val="en"/>
        </w:rPr>
      </w:pPr>
      <w:r w:rsidRPr="00B44D9E">
        <w:rPr>
          <w:rFonts w:ascii="Calibri" w:eastAsia="Times New Roman" w:hAnsi="Calibri" w:cs="Times New Roman"/>
          <w:szCs w:val="18"/>
          <w:lang w:val="en"/>
        </w:rPr>
        <w:t>Patient had an active diagnosis of bipolar disorder (</w:t>
      </w:r>
      <w:r w:rsidRPr="00B44D9E">
        <w:rPr>
          <w:rFonts w:ascii="Calibri" w:eastAsia="Times New Roman" w:hAnsi="Calibri" w:cs="Times New Roman"/>
          <w:i/>
          <w:szCs w:val="18"/>
          <w:lang w:val="en"/>
        </w:rPr>
        <w:t xml:space="preserve">Bipolar Disorder </w:t>
      </w:r>
      <w:r w:rsidRPr="00B44D9E">
        <w:rPr>
          <w:rFonts w:ascii="Calibri" w:eastAsia="Times New Roman" w:hAnsi="Calibri" w:cs="Times New Roman"/>
          <w:szCs w:val="18"/>
          <w:lang w:val="en"/>
        </w:rPr>
        <w:t xml:space="preserve">Value </w:t>
      </w:r>
      <w:r w:rsidRPr="00B44D9E">
        <w:rPr>
          <w:rFonts w:ascii="Calibri" w:eastAsia="Times New Roman" w:hAnsi="Calibri" w:cs="Times New Roman"/>
          <w:i/>
          <w:szCs w:val="18"/>
          <w:lang w:val="en"/>
        </w:rPr>
        <w:t>Set</w:t>
      </w:r>
      <w:r w:rsidRPr="00B44D9E">
        <w:rPr>
          <w:rFonts w:ascii="Calibri" w:eastAsia="Times New Roman" w:hAnsi="Calibri" w:cs="Times New Roman"/>
          <w:szCs w:val="18"/>
          <w:lang w:val="en"/>
        </w:rPr>
        <w:t>)</w:t>
      </w:r>
    </w:p>
    <w:p w:rsidR="006E0C96" w:rsidRPr="00B44D9E" w:rsidRDefault="006E0C96" w:rsidP="006E0C96">
      <w:pPr>
        <w:pStyle w:val="ListParagraph"/>
        <w:numPr>
          <w:ilvl w:val="0"/>
          <w:numId w:val="33"/>
        </w:numPr>
        <w:spacing w:after="0" w:line="240" w:lineRule="auto"/>
        <w:rPr>
          <w:rFonts w:ascii="Calibri" w:eastAsia="Times New Roman" w:hAnsi="Calibri" w:cs="Times New Roman"/>
          <w:iCs/>
          <w:szCs w:val="18"/>
          <w:lang w:val="en"/>
        </w:rPr>
      </w:pPr>
      <w:r w:rsidRPr="00B44D9E">
        <w:rPr>
          <w:rFonts w:ascii="Calibri" w:eastAsia="Times New Roman" w:hAnsi="Calibri" w:cs="Times New Roman"/>
          <w:szCs w:val="18"/>
          <w:lang w:val="en"/>
        </w:rPr>
        <w:t>Patient had an active diagnosis of schizophrenia or psychotic Disorder (</w:t>
      </w:r>
      <w:r w:rsidRPr="00B44D9E">
        <w:rPr>
          <w:rFonts w:ascii="Calibri" w:eastAsia="Times New Roman" w:hAnsi="Calibri" w:cs="Times New Roman"/>
          <w:i/>
          <w:szCs w:val="18"/>
          <w:lang w:val="en"/>
        </w:rPr>
        <w:t>Schizophrenia or Psychotic Disorder</w:t>
      </w:r>
      <w:r w:rsidRPr="00B44D9E">
        <w:rPr>
          <w:rFonts w:ascii="Calibri" w:eastAsia="Times New Roman" w:hAnsi="Calibri" w:cs="Times New Roman"/>
          <w:szCs w:val="18"/>
          <w:lang w:val="en"/>
        </w:rPr>
        <w:t xml:space="preserve"> Value Set)</w:t>
      </w:r>
    </w:p>
    <w:p w:rsidR="006E0C96" w:rsidRPr="00B44D9E" w:rsidRDefault="006E0C96" w:rsidP="006E0C96">
      <w:pPr>
        <w:pStyle w:val="ListParagraph"/>
        <w:spacing w:after="0" w:line="240" w:lineRule="auto"/>
        <w:ind w:left="0"/>
        <w:rPr>
          <w:rFonts w:ascii="Calibri" w:eastAsia="Times New Roman" w:hAnsi="Calibri" w:cs="Times New Roman"/>
          <w:szCs w:val="18"/>
          <w:lang w:val="en"/>
        </w:rPr>
      </w:pPr>
      <w:r w:rsidRPr="00B44D9E">
        <w:rPr>
          <w:rFonts w:ascii="Calibri" w:eastAsia="Times New Roman" w:hAnsi="Calibri" w:cs="Times New Roman"/>
          <w:szCs w:val="18"/>
          <w:lang w:val="en"/>
        </w:rPr>
        <w:t>Allowable exclusions include:</w:t>
      </w:r>
    </w:p>
    <w:p w:rsidR="006E0C96" w:rsidRPr="00B44D9E" w:rsidRDefault="006E0C96" w:rsidP="006E0C96">
      <w:pPr>
        <w:pStyle w:val="ListParagraph"/>
        <w:numPr>
          <w:ilvl w:val="0"/>
          <w:numId w:val="34"/>
        </w:numPr>
        <w:spacing w:after="0" w:line="240" w:lineRule="auto"/>
        <w:rPr>
          <w:rFonts w:ascii="Calibri" w:eastAsia="Times New Roman" w:hAnsi="Calibri" w:cs="Times New Roman"/>
          <w:iCs/>
          <w:szCs w:val="18"/>
          <w:lang w:val="en"/>
        </w:rPr>
      </w:pPr>
      <w:r w:rsidRPr="00B44D9E">
        <w:rPr>
          <w:rFonts w:ascii="Calibri" w:eastAsia="Times New Roman" w:hAnsi="Calibri" w:cs="Times New Roman"/>
          <w:szCs w:val="18"/>
          <w:lang w:val="en"/>
        </w:rPr>
        <w:t>Patient was a permanent nursing home resident any time during the measurement period</w:t>
      </w:r>
    </w:p>
    <w:p w:rsidR="006E0C96" w:rsidRPr="00B44D9E" w:rsidRDefault="006E0C96" w:rsidP="006E0C96">
      <w:pPr>
        <w:pStyle w:val="ListParagraph"/>
        <w:numPr>
          <w:ilvl w:val="0"/>
          <w:numId w:val="34"/>
        </w:numPr>
        <w:spacing w:after="0" w:line="240" w:lineRule="auto"/>
        <w:rPr>
          <w:rFonts w:ascii="Calibri" w:eastAsia="Times New Roman" w:hAnsi="Calibri" w:cs="Times New Roman"/>
          <w:iCs/>
          <w:szCs w:val="18"/>
          <w:lang w:val="en"/>
        </w:rPr>
      </w:pPr>
      <w:r w:rsidRPr="00B44D9E">
        <w:rPr>
          <w:rFonts w:ascii="Calibri" w:eastAsia="Times New Roman" w:hAnsi="Calibri" w:cs="Times New Roman"/>
          <w:szCs w:val="18"/>
          <w:lang w:val="en"/>
        </w:rPr>
        <w:t xml:space="preserve">Patient was in hospice or receiving palliative care  any time during the measurement period </w:t>
      </w:r>
    </w:p>
    <w:p w:rsidR="006E0C96" w:rsidRPr="00B44D9E" w:rsidRDefault="006E0C96" w:rsidP="006E0C96">
      <w:pPr>
        <w:pStyle w:val="ListParagraph"/>
        <w:numPr>
          <w:ilvl w:val="0"/>
          <w:numId w:val="34"/>
        </w:numPr>
        <w:spacing w:after="0" w:line="240" w:lineRule="auto"/>
        <w:rPr>
          <w:rFonts w:ascii="Calibri" w:eastAsia="Times New Roman" w:hAnsi="Calibri" w:cs="Times New Roman"/>
          <w:iCs/>
          <w:szCs w:val="18"/>
          <w:lang w:val="en"/>
        </w:rPr>
      </w:pPr>
      <w:r w:rsidRPr="00B44D9E">
        <w:rPr>
          <w:rFonts w:ascii="Calibri" w:eastAsia="Times New Roman" w:hAnsi="Calibri" w:cs="Times New Roman"/>
          <w:szCs w:val="18"/>
          <w:lang w:val="en"/>
        </w:rPr>
        <w:t>Patient died prior to the end of the measurement period</w:t>
      </w:r>
    </w:p>
    <w:p w:rsidR="006E0C96" w:rsidRPr="00B44D9E" w:rsidRDefault="006E0C96" w:rsidP="006E0C96">
      <w:pPr>
        <w:pStyle w:val="ListParagraph"/>
        <w:numPr>
          <w:ilvl w:val="0"/>
          <w:numId w:val="34"/>
        </w:numPr>
        <w:spacing w:after="0" w:line="240" w:lineRule="auto"/>
        <w:rPr>
          <w:rFonts w:ascii="Calibri" w:eastAsia="Times New Roman" w:hAnsi="Calibri" w:cs="Times New Roman"/>
          <w:iCs/>
          <w:szCs w:val="18"/>
          <w:lang w:val="en"/>
        </w:rPr>
      </w:pPr>
      <w:r w:rsidRPr="00B44D9E">
        <w:rPr>
          <w:rFonts w:ascii="Calibri" w:eastAsia="Times New Roman" w:hAnsi="Calibri" w:cs="Times New Roman"/>
          <w:szCs w:val="18"/>
          <w:lang w:val="en"/>
        </w:rPr>
        <w:t>Patient had an active diagnosis of personality disorder (</w:t>
      </w:r>
      <w:r w:rsidRPr="00B44D9E">
        <w:rPr>
          <w:rFonts w:ascii="Calibri" w:eastAsia="Times New Roman" w:hAnsi="Calibri" w:cs="Times New Roman"/>
          <w:i/>
          <w:szCs w:val="18"/>
          <w:lang w:val="en"/>
        </w:rPr>
        <w:t>Personality Disorder</w:t>
      </w:r>
      <w:r w:rsidRPr="00B44D9E">
        <w:rPr>
          <w:rFonts w:ascii="Calibri" w:eastAsia="Times New Roman" w:hAnsi="Calibri" w:cs="Times New Roman"/>
          <w:szCs w:val="18"/>
          <w:lang w:val="en"/>
        </w:rPr>
        <w:t xml:space="preserve"> Value Set) </w:t>
      </w:r>
    </w:p>
    <w:p w:rsidR="006E0C96" w:rsidRPr="00C35077" w:rsidRDefault="006E0C96" w:rsidP="006E0C96">
      <w:pPr>
        <w:pStyle w:val="ListParagraph"/>
        <w:numPr>
          <w:ilvl w:val="0"/>
          <w:numId w:val="34"/>
        </w:numPr>
        <w:spacing w:after="0" w:line="240" w:lineRule="auto"/>
        <w:rPr>
          <w:rFonts w:ascii="Calibri" w:eastAsia="Calibri" w:hAnsi="Calibri" w:cs="Calibri"/>
        </w:rPr>
      </w:pPr>
      <w:r w:rsidRPr="00B44D9E">
        <w:rPr>
          <w:rFonts w:ascii="Calibri" w:eastAsia="Times New Roman" w:hAnsi="Calibri" w:cs="Times New Roman"/>
          <w:szCs w:val="18"/>
          <w:lang w:val="en"/>
        </w:rPr>
        <w:t>Patient had an active diagnosis of Pervasive Developmental Disorder (Pervasive Disorder Value Set)</w:t>
      </w:r>
    </w:p>
    <w:p w:rsidR="00092566" w:rsidRPr="00092566" w:rsidRDefault="00092566" w:rsidP="00092566">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B52441" w:rsidRPr="00B52441" w:rsidRDefault="00B52441" w:rsidP="00DB3627">
      <w:pPr>
        <w:autoSpaceDE w:val="0"/>
        <w:autoSpaceDN w:val="0"/>
        <w:adjustRightInd w:val="0"/>
        <w:spacing w:after="0" w:line="240" w:lineRule="auto"/>
        <w:rPr>
          <w:rFonts w:cstheme="minorHAnsi"/>
          <w:bCs/>
          <w:color w:val="1F497D" w:themeColor="text2"/>
        </w:rPr>
      </w:pPr>
      <w:r w:rsidRPr="006E0C96">
        <w:rPr>
          <w:rFonts w:cstheme="minorHAnsi"/>
          <w:bCs/>
        </w:rPr>
        <w:t xml:space="preserve">Exclusions, especially the allowance for bipolar or personality disorder that can emerge </w:t>
      </w:r>
      <w:r w:rsidR="00BA45E5" w:rsidRPr="006E0C96">
        <w:rPr>
          <w:rFonts w:cstheme="minorHAnsi"/>
          <w:bCs/>
        </w:rPr>
        <w:t>after initial diagnosis of major depression, are key for this measure and appropriate.  Overall, exclusions do not limit or reduce the desired target population of patients with major depression or dysthymia.</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D57C0F"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D57C0F"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Content>
          <w:r w:rsidR="002D663C">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2D663C">
            <w:rPr>
              <w:rStyle w:val="Style4"/>
              <w:u w:val="none"/>
            </w:rPr>
            <w:t>three (severity of depression, age and insurance product)</w:t>
          </w:r>
        </w:sdtContent>
      </w:sdt>
      <w:r w:rsidR="00E562C0" w:rsidRPr="006F22A5">
        <w:rPr>
          <w:rStyle w:val="Style4"/>
          <w:u w:val="none"/>
        </w:rPr>
        <w:t xml:space="preserve"> </w:t>
      </w:r>
      <w:r w:rsidR="00743E46" w:rsidRPr="005232D6">
        <w:rPr>
          <w:rFonts w:cstheme="minorHAnsi"/>
          <w:b/>
          <w:bCs/>
        </w:rPr>
        <w:t>risk factors</w:t>
      </w:r>
    </w:p>
    <w:p w:rsidR="00743E46" w:rsidRPr="005232D6" w:rsidRDefault="00D57C0F"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D57C0F"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2D663C" w:rsidRPr="006E0C96">
        <w:rPr>
          <w:rFonts w:cstheme="minorHAnsi"/>
          <w:bCs/>
        </w:rPr>
        <w:t>NA</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A94B33" w:rsidRPr="00A94B33" w:rsidRDefault="00092566" w:rsidP="00001D73">
      <w:pPr>
        <w:autoSpaceDE w:val="0"/>
        <w:autoSpaceDN w:val="0"/>
        <w:adjustRightInd w:val="0"/>
        <w:spacing w:after="0" w:line="240" w:lineRule="auto"/>
        <w:rPr>
          <w:rFonts w:cstheme="minorHAnsi"/>
          <w:bCs/>
          <w:color w:val="1F497D" w:themeColor="text2"/>
          <w:sz w:val="12"/>
        </w:rPr>
      </w:pPr>
      <w:r>
        <w:rPr>
          <w:rFonts w:cstheme="minorHAnsi"/>
          <w:b/>
          <w:bCs/>
        </w:rPr>
        <w:lastRenderedPageBreak/>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6E0C96" w:rsidRPr="005F2B05" w:rsidRDefault="006E0C96" w:rsidP="006E0C96">
      <w:pPr>
        <w:autoSpaceDE w:val="0"/>
        <w:autoSpaceDN w:val="0"/>
        <w:adjustRightInd w:val="0"/>
        <w:spacing w:after="0" w:line="240" w:lineRule="auto"/>
        <w:rPr>
          <w:rFonts w:cstheme="minorHAnsi"/>
          <w:bCs/>
          <w:color w:val="FF0000"/>
        </w:rPr>
      </w:pPr>
      <w:r w:rsidRPr="0033073D">
        <w:rPr>
          <w:rFonts w:cstheme="minorHAnsi"/>
          <w:bCs/>
        </w:rPr>
        <w:t xml:space="preserve">Note: Risk adjustment models related to the adult stratification and variables of severity of depression, age range and insurance products and are based on currently available data for the adult population stratification.  </w:t>
      </w:r>
      <w:r w:rsidRPr="004075F6">
        <w:rPr>
          <w:rFonts w:cstheme="minorHAnsi"/>
          <w:bCs/>
        </w:rPr>
        <w:t xml:space="preserve">Original </w:t>
      </w:r>
      <w:r>
        <w:rPr>
          <w:rFonts w:cstheme="minorHAnsi"/>
          <w:bCs/>
        </w:rPr>
        <w:t xml:space="preserve">documentation of testing for selection and application of risk adjustment variables remains and updated chi-square t-tests are provided for adults.  </w:t>
      </w:r>
      <w:r w:rsidRPr="005F2B05">
        <w:rPr>
          <w:rFonts w:cstheme="minorHAnsi"/>
          <w:bCs/>
          <w:color w:val="FF0000"/>
        </w:rPr>
        <w:t>It is anticipated that these variables will also work well for the adolescent stratification, and model testing will occur when adolescent data are available.</w:t>
      </w:r>
    </w:p>
    <w:p w:rsidR="006E0C96" w:rsidRPr="0062685C" w:rsidRDefault="006E0C96" w:rsidP="006E0C96">
      <w:pPr>
        <w:autoSpaceDE w:val="0"/>
        <w:autoSpaceDN w:val="0"/>
        <w:adjustRightInd w:val="0"/>
        <w:spacing w:before="120" w:after="0" w:line="240" w:lineRule="auto"/>
        <w:rPr>
          <w:rFonts w:cstheme="minorHAnsi"/>
          <w:bCs/>
          <w:strike/>
        </w:rPr>
      </w:pPr>
      <w:r w:rsidRPr="0033073D">
        <w:rPr>
          <w:rFonts w:cstheme="minorHAnsi"/>
          <w:bCs/>
        </w:rPr>
        <w:t xml:space="preserve">During the measure development process, the expert panel discusses potential variables for risk adjustment that are important to consider for the measured population, in this case patients with depression.  The group decides what clinical variables in addition to the MNCM standard demographic data (gender, age, zip, race/ethnicity, country of origin, primary language and insurance product) to collect through the data collection and submission process.  The </w:t>
      </w:r>
      <w:r w:rsidRPr="0062685C">
        <w:rPr>
          <w:rFonts w:cstheme="minorHAnsi"/>
          <w:bCs/>
        </w:rPr>
        <w:t xml:space="preserve">potential risk adjustment variables are then evaluated for appropriate inclusion in the model based on </w:t>
      </w:r>
      <w:r w:rsidRPr="00625019">
        <w:rPr>
          <w:rFonts w:cstheme="minorHAnsi"/>
          <w:bCs/>
        </w:rPr>
        <w:t>a chi square t test value less</w:t>
      </w:r>
      <w:r>
        <w:rPr>
          <w:rFonts w:cstheme="minorHAnsi"/>
          <w:bCs/>
        </w:rPr>
        <w:t xml:space="preserve"> than 0.01.</w:t>
      </w:r>
    </w:p>
    <w:p w:rsidR="00001D73" w:rsidRPr="00001D73" w:rsidRDefault="00001D73" w:rsidP="00001D73">
      <w:pPr>
        <w:autoSpaceDE w:val="0"/>
        <w:autoSpaceDN w:val="0"/>
        <w:adjustRightInd w:val="0"/>
        <w:spacing w:after="0" w:line="240" w:lineRule="auto"/>
        <w:rPr>
          <w:rFonts w:cstheme="minorHAnsi"/>
          <w:bCs/>
        </w:rPr>
      </w:pPr>
    </w:p>
    <w:p w:rsidR="00A94B33" w:rsidRDefault="00092566" w:rsidP="00A900DE">
      <w:pPr>
        <w:pStyle w:val="Default"/>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p>
    <w:p w:rsidR="006E0C96" w:rsidRDefault="006E0C96" w:rsidP="006E0C96">
      <w:pPr>
        <w:pStyle w:val="Default"/>
        <w:spacing w:before="120"/>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Originally, the depression remission at six months measure (#0710) was tested to determine the appropriate selection of variables using the following method: </w:t>
      </w:r>
    </w:p>
    <w:p w:rsidR="006E0C96" w:rsidRPr="00625019" w:rsidRDefault="006E0C96" w:rsidP="006E0C96">
      <w:pPr>
        <w:pStyle w:val="Default"/>
        <w:spacing w:before="120"/>
        <w:rPr>
          <w:rFonts w:cstheme="minorHAnsi"/>
          <w:b/>
          <w:bCs/>
        </w:rPr>
      </w:pPr>
      <w:r w:rsidRPr="0033073D">
        <w:rPr>
          <w:rFonts w:asciiTheme="minorHAnsi" w:hAnsiTheme="minorHAnsi" w:cstheme="minorHAnsi"/>
          <w:bCs/>
          <w:color w:val="auto"/>
          <w:sz w:val="22"/>
          <w:szCs w:val="22"/>
        </w:rPr>
        <w:t xml:space="preserve">The effect of risk adjustment on clinic ranking is examined in three ways. First, the clinic’s unadjusted and adjusted quality measures are compared using correlation analysis. Two types of correlation are used, Pearson and Kendall. Pearson’s correlation examines the correlation when the measures are treated as continuous measures. A high correlation (close to 1) means that the two measures strongly co-vary, when one is high the other is high. Kendall’s correlation examines the similarity between the unadjusted and adjusted quality measure in terms of the similarity in the way clinics are ranked by the measures. Because of the focus of Kendall’s correlation on comparing ranks and the interest in the use of clinic quality scores for clinic comparison, Kendall’s correlation is likely to be the most useful correlation measure. </w:t>
      </w:r>
    </w:p>
    <w:p w:rsidR="006E0C96" w:rsidRDefault="006E0C96" w:rsidP="006E0C96">
      <w:pPr>
        <w:autoSpaceDE w:val="0"/>
        <w:autoSpaceDN w:val="0"/>
        <w:adjustRightInd w:val="0"/>
        <w:spacing w:after="0" w:line="240" w:lineRule="auto"/>
        <w:rPr>
          <w:rFonts w:cstheme="minorHAnsi"/>
          <w:bCs/>
        </w:rPr>
      </w:pPr>
      <w:r w:rsidRPr="0033073D">
        <w:rPr>
          <w:rFonts w:cstheme="minorHAnsi"/>
          <w:bCs/>
        </w:rPr>
        <w:t>The second comparison ranks the clinics into performance rank deciles based on the unadjusted and adjusted scores and then examines how decile rankings based on unadjusted measures compare to decile rankings based on adjusted measures. The third comparison ranks clinics into Poor, Below Average, Average, Above Average, and Excellent categories using statistical methods that take into account the quality measure’s confidence interval which is calculated based on the number of patients each clinic reports</w:t>
      </w:r>
      <w:r>
        <w:rPr>
          <w:rFonts w:cstheme="minorHAnsi"/>
          <w:bCs/>
        </w:rPr>
        <w:t xml:space="preserve">.  </w:t>
      </w:r>
      <w:r w:rsidRPr="0033073D">
        <w:rPr>
          <w:rFonts w:cstheme="minorHAnsi"/>
          <w:bCs/>
        </w:rPr>
        <w:t>These two methods are compared directly in our accompanying report on the quality deviations ranking approach.</w:t>
      </w:r>
    </w:p>
    <w:p w:rsidR="006E0C96" w:rsidRDefault="006E0C96" w:rsidP="006E0C96">
      <w:pPr>
        <w:spacing w:before="120" w:after="0" w:line="240" w:lineRule="auto"/>
        <w:rPr>
          <w:rFonts w:cstheme="minorHAnsi"/>
          <w:bCs/>
          <w:color w:val="1F497D" w:themeColor="text2"/>
        </w:rPr>
      </w:pPr>
      <w:r w:rsidRPr="008D0658">
        <w:rPr>
          <w:rFonts w:cstheme="minorHAnsi"/>
          <w:bCs/>
          <w:color w:val="FF0000"/>
        </w:rPr>
        <w:t>MNCM has incorporated risk adjustment for its publicly reported outcome measures using a staged approach.  As other depression measures were included in the risk adjustment strategy, the variables for each measure were subject to significance testing with chi square t test &lt; 0.01.</w:t>
      </w:r>
      <w:r w:rsidRPr="008D0658">
        <w:rPr>
          <w:rFonts w:cstheme="minorHAnsi"/>
          <w:bCs/>
          <w:color w:val="FF0000"/>
        </w:rPr>
        <w:br/>
      </w:r>
    </w:p>
    <w:p w:rsidR="00092566" w:rsidRPr="006E0C96" w:rsidRDefault="00E1508F" w:rsidP="006E0C96">
      <w:pPr>
        <w:spacing w:before="120" w:after="0" w:line="240" w:lineRule="auto"/>
        <w:rPr>
          <w:rFonts w:cstheme="minorHAnsi"/>
          <w:bCs/>
          <w:color w:val="1F497D" w:themeColor="text2"/>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rsidR="006E0C96" w:rsidRPr="0033073D" w:rsidRDefault="006E0C96" w:rsidP="006E0C96">
      <w:pPr>
        <w:pStyle w:val="Default"/>
        <w:spacing w:before="120"/>
        <w:rPr>
          <w:rFonts w:asciiTheme="minorHAnsi" w:hAnsiTheme="minorHAnsi" w:cstheme="minorHAnsi"/>
          <w:bCs/>
          <w:color w:val="auto"/>
          <w:sz w:val="22"/>
          <w:szCs w:val="22"/>
        </w:rPr>
      </w:pPr>
      <w:r w:rsidRPr="0033073D">
        <w:rPr>
          <w:rFonts w:asciiTheme="minorHAnsi" w:hAnsiTheme="minorHAnsi" w:cstheme="minorHAnsi"/>
          <w:bCs/>
          <w:color w:val="auto"/>
          <w:sz w:val="22"/>
          <w:szCs w:val="22"/>
        </w:rPr>
        <w:lastRenderedPageBreak/>
        <w:t xml:space="preserve">The analyses were conducted at the patient level, with patients nested within clinics. Patient characteristics, such as age, gender, initial severity, insurance product, distance between the patient’s zip code and the clinic’s zip code, and an indicator (fixed effect) for each clinic were included in the model. The patient characteristics measure the relationship between those characteristics and patient outcomes. The clinic indicators measure clinic differences in performance controlling for patient characteristics. The clinic indicators also control for unobserved differences across clinics that may be correlated with the risk adjusters and result in biased estimates of the </w:t>
      </w:r>
      <w:r>
        <w:rPr>
          <w:rFonts w:asciiTheme="minorHAnsi" w:hAnsiTheme="minorHAnsi" w:cstheme="minorHAnsi"/>
          <w:bCs/>
          <w:color w:val="auto"/>
          <w:sz w:val="22"/>
          <w:szCs w:val="22"/>
        </w:rPr>
        <w:t xml:space="preserve">risk adjustment effects. </w:t>
      </w:r>
    </w:p>
    <w:p w:rsidR="006E0C96" w:rsidRPr="0033073D" w:rsidRDefault="006E0C96" w:rsidP="006E0C96">
      <w:pPr>
        <w:pStyle w:val="Default"/>
        <w:spacing w:before="120"/>
        <w:rPr>
          <w:rFonts w:asciiTheme="minorHAnsi" w:hAnsiTheme="minorHAnsi" w:cstheme="minorHAnsi"/>
          <w:bCs/>
          <w:color w:val="auto"/>
          <w:sz w:val="22"/>
          <w:szCs w:val="22"/>
        </w:rPr>
      </w:pPr>
      <w:r w:rsidRPr="0033073D">
        <w:rPr>
          <w:rFonts w:asciiTheme="minorHAnsi" w:hAnsiTheme="minorHAnsi" w:cstheme="minorHAnsi"/>
          <w:bCs/>
          <w:color w:val="auto"/>
          <w:sz w:val="22"/>
          <w:szCs w:val="22"/>
        </w:rPr>
        <w:t xml:space="preserve">The analysis of whether follow-up is correlated with remission was done using Stata’s implementation of Heckman’s method for correcting for sample selection. The sample selection occurs because remission is observed only for those who are followed up at six months. The Heckman procedure estimates two models: one for follow-up and one for remission. The procedure tests whether follow-up is correlated with remission. The measures included in the follow-up equation are age, gender, initial severity, insurance product, and distance to the clinic. The measures included in the remission equation are age, gender, initial severity, insurance product, and a clinic fixed effect. </w:t>
      </w:r>
    </w:p>
    <w:p w:rsidR="006E0C96" w:rsidRDefault="006E0C96" w:rsidP="006E0C96">
      <w:pPr>
        <w:pStyle w:val="Default"/>
        <w:spacing w:before="120"/>
        <w:rPr>
          <w:rFonts w:asciiTheme="minorHAnsi" w:hAnsiTheme="minorHAnsi" w:cstheme="minorHAnsi"/>
          <w:bCs/>
          <w:color w:val="auto"/>
          <w:sz w:val="22"/>
          <w:szCs w:val="22"/>
        </w:rPr>
      </w:pPr>
      <w:r w:rsidRPr="0033073D">
        <w:rPr>
          <w:rFonts w:asciiTheme="minorHAnsi" w:hAnsiTheme="minorHAnsi" w:cstheme="minorHAnsi"/>
          <w:bCs/>
          <w:color w:val="auto"/>
          <w:sz w:val="22"/>
          <w:szCs w:val="22"/>
        </w:rPr>
        <w:t xml:space="preserve">A logistic model specification that accounts for the binary nature of remission (depression is a binary outcome - yes/no) is used. Severity at initial diagnosis, age, gender, and insurance product were included as risk adjusters. </w:t>
      </w:r>
    </w:p>
    <w:p w:rsidR="006E0C96" w:rsidRPr="006E0C96" w:rsidRDefault="006E0C96" w:rsidP="006E0C96">
      <w:pPr>
        <w:pStyle w:val="Default"/>
        <w:spacing w:before="120"/>
        <w:rPr>
          <w:rFonts w:asciiTheme="minorHAnsi" w:hAnsiTheme="minorHAnsi" w:cstheme="minorHAnsi"/>
          <w:bCs/>
          <w:color w:val="auto"/>
          <w:sz w:val="22"/>
          <w:szCs w:val="22"/>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75271E" w:rsidRDefault="00743E46" w:rsidP="00A900DE">
      <w:pPr>
        <w:pStyle w:val="Default"/>
        <w:rPr>
          <w:rFonts w:asciiTheme="minorHAnsi" w:hAnsiTheme="minorHAnsi" w:cstheme="minorHAnsi"/>
          <w:bCs/>
          <w:color w:val="1F497D" w:themeColor="text2"/>
          <w:sz w:val="22"/>
          <w:szCs w:val="22"/>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A900DE" w:rsidRPr="006E0C96" w:rsidRDefault="00A900DE" w:rsidP="00A900DE">
      <w:pPr>
        <w:pStyle w:val="Default"/>
        <w:rPr>
          <w:rFonts w:asciiTheme="minorHAnsi" w:hAnsiTheme="minorHAnsi" w:cstheme="minorHAnsi"/>
          <w:bCs/>
          <w:color w:val="auto"/>
          <w:sz w:val="22"/>
          <w:szCs w:val="22"/>
        </w:rPr>
      </w:pPr>
      <w:r w:rsidRPr="006E0C96">
        <w:rPr>
          <w:rFonts w:asciiTheme="minorHAnsi" w:hAnsiTheme="minorHAnsi" w:cstheme="minorHAnsi"/>
          <w:bCs/>
          <w:color w:val="auto"/>
          <w:sz w:val="22"/>
          <w:szCs w:val="22"/>
        </w:rPr>
        <w:t xml:space="preserve">Risk adjustment is necessary only when there is heterogeneity across clinics. There was significant heterogeneity across clinics in insurance product mix (χ2 = 10120, p &lt; .001), patient </w:t>
      </w:r>
    </w:p>
    <w:p w:rsidR="00001D73" w:rsidRPr="006E0C96" w:rsidRDefault="00A900DE" w:rsidP="00A900DE">
      <w:pPr>
        <w:autoSpaceDE w:val="0"/>
        <w:autoSpaceDN w:val="0"/>
        <w:adjustRightInd w:val="0"/>
        <w:spacing w:after="0" w:line="240" w:lineRule="auto"/>
        <w:rPr>
          <w:rFonts w:cstheme="minorHAnsi"/>
          <w:bCs/>
        </w:rPr>
      </w:pPr>
      <w:proofErr w:type="gramStart"/>
      <w:r w:rsidRPr="006E0C96">
        <w:rPr>
          <w:rFonts w:cstheme="minorHAnsi"/>
          <w:bCs/>
        </w:rPr>
        <w:t>age</w:t>
      </w:r>
      <w:proofErr w:type="gramEnd"/>
      <w:r w:rsidRPr="006E0C96">
        <w:rPr>
          <w:rFonts w:cstheme="minorHAnsi"/>
          <w:bCs/>
        </w:rPr>
        <w:t xml:space="preserve"> (χ2 = 5325, p &lt; .001), gender (χ2 = 1267, p &lt; .001), initial severity (χ2 = 1759, p &lt; .001), and distance to the clinic (χ2 = 35015, p &lt; .001).</w:t>
      </w:r>
      <w:r w:rsidR="0041044D" w:rsidRPr="006E0C96">
        <w:rPr>
          <w:rFonts w:cstheme="minorHAnsi"/>
          <w:bCs/>
        </w:rPr>
        <w:t xml:space="preserve"> *</w:t>
      </w:r>
    </w:p>
    <w:p w:rsidR="00A900DE" w:rsidRPr="00001D73" w:rsidRDefault="00A900DE" w:rsidP="00A900DE">
      <w:pPr>
        <w:autoSpaceDE w:val="0"/>
        <w:autoSpaceDN w:val="0"/>
        <w:adjustRightInd w:val="0"/>
        <w:spacing w:after="0" w:line="240" w:lineRule="auto"/>
        <w:rPr>
          <w:rFonts w:cstheme="minorHAnsi"/>
          <w:b/>
          <w:bCs/>
        </w:rPr>
      </w:pPr>
    </w:p>
    <w:p w:rsidR="00A900DE" w:rsidRDefault="00743E46" w:rsidP="00FB7B89">
      <w:pPr>
        <w:pStyle w:val="ListParagraph"/>
        <w:kinsoku w:val="0"/>
        <w:overflowPunct w:val="0"/>
        <w:spacing w:before="7" w:after="0" w:line="240" w:lineRule="auto"/>
        <w:ind w:left="0"/>
        <w:rPr>
          <w:rFonts w:ascii="Times New Roman" w:hAnsi="Times New Roman" w:cs="Times New Roman"/>
          <w:sz w:val="5"/>
          <w:szCs w:val="5"/>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w:t>
      </w:r>
      <w:r w:rsidR="006E0C96">
        <w:rPr>
          <w:rFonts w:cstheme="minorHAnsi"/>
          <w:bCs/>
        </w:rPr>
        <w:t xml:space="preserve">  </w:t>
      </w:r>
    </w:p>
    <w:p w:rsidR="006E0C96" w:rsidRPr="006E0C96" w:rsidRDefault="006E0C96" w:rsidP="006E0C96">
      <w:pPr>
        <w:kinsoku w:val="0"/>
        <w:overflowPunct w:val="0"/>
        <w:spacing w:before="7" w:after="0" w:line="240" w:lineRule="auto"/>
        <w:rPr>
          <w:rFonts w:ascii="Times New Roman" w:hAnsi="Times New Roman" w:cs="Times New Roman"/>
          <w:sz w:val="5"/>
          <w:szCs w:val="5"/>
        </w:rPr>
      </w:pPr>
      <w:r w:rsidRPr="008C53E1">
        <w:rPr>
          <w:rFonts w:cstheme="minorHAnsi"/>
          <w:bCs/>
        </w:rPr>
        <w:t>Original Depression Remission at Six Months [2010]</w:t>
      </w:r>
    </w:p>
    <w:tbl>
      <w:tblPr>
        <w:tblW w:w="9361" w:type="dxa"/>
        <w:tblInd w:w="100" w:type="dxa"/>
        <w:tblLayout w:type="fixed"/>
        <w:tblCellMar>
          <w:left w:w="0" w:type="dxa"/>
          <w:right w:w="0" w:type="dxa"/>
        </w:tblCellMar>
        <w:tblLook w:val="0000" w:firstRow="0" w:lastRow="0" w:firstColumn="0" w:lastColumn="0" w:noHBand="0" w:noVBand="0"/>
      </w:tblPr>
      <w:tblGrid>
        <w:gridCol w:w="2095"/>
        <w:gridCol w:w="1637"/>
        <w:gridCol w:w="1409"/>
        <w:gridCol w:w="1023"/>
        <w:gridCol w:w="1024"/>
        <w:gridCol w:w="1021"/>
        <w:gridCol w:w="1152"/>
      </w:tblGrid>
      <w:tr w:rsidR="00A900DE" w:rsidRPr="00A900DE" w:rsidTr="006E0C96">
        <w:trPr>
          <w:trHeight w:hRule="exact" w:val="254"/>
        </w:trPr>
        <w:tc>
          <w:tcPr>
            <w:tcW w:w="9361" w:type="dxa"/>
            <w:gridSpan w:val="7"/>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2" w:lineRule="exact"/>
              <w:ind w:left="2384"/>
              <w:rPr>
                <w:rFonts w:ascii="Times New Roman" w:hAnsi="Times New Roman" w:cs="Times New Roman"/>
                <w:sz w:val="24"/>
                <w:szCs w:val="24"/>
              </w:rPr>
            </w:pPr>
            <w:r w:rsidRPr="00A900DE">
              <w:rPr>
                <w:rFonts w:ascii="Calibri" w:hAnsi="Calibri" w:cs="Calibri"/>
                <w:color w:val="4F81BC"/>
                <w:spacing w:val="-1"/>
                <w:sz w:val="20"/>
                <w:szCs w:val="20"/>
              </w:rPr>
              <w:t>T</w:t>
            </w:r>
            <w:r w:rsidRPr="00A900DE">
              <w:rPr>
                <w:rFonts w:ascii="Calibri" w:hAnsi="Calibri" w:cs="Calibri"/>
                <w:color w:val="4F81BC"/>
                <w:spacing w:val="-1"/>
                <w:sz w:val="16"/>
                <w:szCs w:val="16"/>
              </w:rPr>
              <w:t>ABLE</w:t>
            </w:r>
            <w:r w:rsidRPr="00A900DE">
              <w:rPr>
                <w:rFonts w:ascii="Calibri" w:hAnsi="Calibri" w:cs="Calibri"/>
                <w:color w:val="4F81BC"/>
                <w:spacing w:val="-2"/>
                <w:sz w:val="16"/>
                <w:szCs w:val="16"/>
              </w:rPr>
              <w:t xml:space="preserve"> </w:t>
            </w:r>
            <w:r w:rsidRPr="00A900DE">
              <w:rPr>
                <w:rFonts w:ascii="Calibri" w:hAnsi="Calibri" w:cs="Calibri"/>
                <w:color w:val="4F81BC"/>
                <w:spacing w:val="-1"/>
                <w:sz w:val="20"/>
                <w:szCs w:val="20"/>
              </w:rPr>
              <w:t>1:</w:t>
            </w:r>
            <w:r w:rsidRPr="00A900DE">
              <w:rPr>
                <w:rFonts w:ascii="Calibri" w:hAnsi="Calibri" w:cs="Calibri"/>
                <w:color w:val="4F81BC"/>
                <w:spacing w:val="-12"/>
                <w:sz w:val="20"/>
                <w:szCs w:val="20"/>
              </w:rPr>
              <w:t xml:space="preserve"> </w:t>
            </w:r>
            <w:r w:rsidRPr="00A900DE">
              <w:rPr>
                <w:rFonts w:ascii="Calibri" w:hAnsi="Calibri" w:cs="Calibri"/>
                <w:color w:val="4F81BC"/>
                <w:spacing w:val="-1"/>
                <w:sz w:val="20"/>
                <w:szCs w:val="20"/>
              </w:rPr>
              <w:t>E</w:t>
            </w:r>
            <w:r w:rsidRPr="00A900DE">
              <w:rPr>
                <w:rFonts w:ascii="Calibri" w:hAnsi="Calibri" w:cs="Calibri"/>
                <w:color w:val="4F81BC"/>
                <w:spacing w:val="-1"/>
                <w:sz w:val="16"/>
                <w:szCs w:val="16"/>
              </w:rPr>
              <w:t>FFECT</w:t>
            </w:r>
            <w:r w:rsidRPr="00A900DE">
              <w:rPr>
                <w:rFonts w:ascii="Calibri" w:hAnsi="Calibri" w:cs="Calibri"/>
                <w:color w:val="4F81BC"/>
                <w:spacing w:val="-2"/>
                <w:sz w:val="16"/>
                <w:szCs w:val="16"/>
              </w:rPr>
              <w:t xml:space="preserve"> </w:t>
            </w:r>
            <w:r w:rsidRPr="00A900DE">
              <w:rPr>
                <w:rFonts w:ascii="Calibri" w:hAnsi="Calibri" w:cs="Calibri"/>
                <w:color w:val="4F81BC"/>
                <w:spacing w:val="-1"/>
                <w:sz w:val="16"/>
                <w:szCs w:val="16"/>
              </w:rPr>
              <w:t>OF</w:t>
            </w:r>
            <w:r w:rsidRPr="00A900DE">
              <w:rPr>
                <w:rFonts w:ascii="Calibri" w:hAnsi="Calibri" w:cs="Calibri"/>
                <w:color w:val="4F81BC"/>
                <w:spacing w:val="-2"/>
                <w:sz w:val="16"/>
                <w:szCs w:val="16"/>
              </w:rPr>
              <w:t xml:space="preserve"> </w:t>
            </w:r>
            <w:r w:rsidRPr="00A900DE">
              <w:rPr>
                <w:rFonts w:ascii="Calibri" w:hAnsi="Calibri" w:cs="Calibri"/>
                <w:color w:val="4F81BC"/>
                <w:spacing w:val="-1"/>
                <w:sz w:val="20"/>
                <w:szCs w:val="20"/>
              </w:rPr>
              <w:t>P</w:t>
            </w:r>
            <w:r w:rsidRPr="00A900DE">
              <w:rPr>
                <w:rFonts w:ascii="Calibri" w:hAnsi="Calibri" w:cs="Calibri"/>
                <w:color w:val="4F81BC"/>
                <w:spacing w:val="-1"/>
                <w:sz w:val="16"/>
                <w:szCs w:val="16"/>
              </w:rPr>
              <w:t>OTENTIAL</w:t>
            </w:r>
            <w:r w:rsidRPr="00A900DE">
              <w:rPr>
                <w:rFonts w:ascii="Calibri" w:hAnsi="Calibri" w:cs="Calibri"/>
                <w:color w:val="4F81BC"/>
                <w:spacing w:val="-3"/>
                <w:sz w:val="16"/>
                <w:szCs w:val="16"/>
              </w:rPr>
              <w:t xml:space="preserve"> </w:t>
            </w:r>
            <w:r w:rsidRPr="00A900DE">
              <w:rPr>
                <w:rFonts w:ascii="Calibri" w:hAnsi="Calibri" w:cs="Calibri"/>
                <w:color w:val="4F81BC"/>
                <w:spacing w:val="-1"/>
                <w:sz w:val="20"/>
                <w:szCs w:val="20"/>
              </w:rPr>
              <w:t>R</w:t>
            </w:r>
            <w:r w:rsidRPr="00A900DE">
              <w:rPr>
                <w:rFonts w:ascii="Calibri" w:hAnsi="Calibri" w:cs="Calibri"/>
                <w:color w:val="4F81BC"/>
                <w:spacing w:val="-1"/>
                <w:sz w:val="16"/>
                <w:szCs w:val="16"/>
              </w:rPr>
              <w:t>ISK</w:t>
            </w:r>
            <w:r w:rsidRPr="00A900DE">
              <w:rPr>
                <w:rFonts w:ascii="Calibri" w:hAnsi="Calibri" w:cs="Calibri"/>
                <w:color w:val="4F81BC"/>
                <w:spacing w:val="-2"/>
                <w:sz w:val="16"/>
                <w:szCs w:val="16"/>
              </w:rPr>
              <w:t xml:space="preserve"> </w:t>
            </w:r>
            <w:r w:rsidRPr="00A900DE">
              <w:rPr>
                <w:rFonts w:ascii="Calibri" w:hAnsi="Calibri" w:cs="Calibri"/>
                <w:color w:val="4F81BC"/>
                <w:spacing w:val="-1"/>
                <w:sz w:val="20"/>
                <w:szCs w:val="20"/>
              </w:rPr>
              <w:t>A</w:t>
            </w:r>
            <w:r w:rsidRPr="00A900DE">
              <w:rPr>
                <w:rFonts w:ascii="Calibri" w:hAnsi="Calibri" w:cs="Calibri"/>
                <w:color w:val="4F81BC"/>
                <w:spacing w:val="-1"/>
                <w:sz w:val="16"/>
                <w:szCs w:val="16"/>
              </w:rPr>
              <w:t>DJUSTERS</w:t>
            </w:r>
            <w:r w:rsidRPr="00A900DE">
              <w:rPr>
                <w:rFonts w:ascii="Calibri" w:hAnsi="Calibri" w:cs="Calibri"/>
                <w:color w:val="4F81BC"/>
                <w:spacing w:val="-2"/>
                <w:sz w:val="16"/>
                <w:szCs w:val="16"/>
              </w:rPr>
              <w:t xml:space="preserve"> </w:t>
            </w:r>
            <w:r w:rsidRPr="00A900DE">
              <w:rPr>
                <w:rFonts w:ascii="Calibri" w:hAnsi="Calibri" w:cs="Calibri"/>
                <w:color w:val="4F81BC"/>
                <w:spacing w:val="-1"/>
                <w:sz w:val="16"/>
                <w:szCs w:val="16"/>
              </w:rPr>
              <w:t>ON</w:t>
            </w:r>
            <w:r w:rsidRPr="00A900DE">
              <w:rPr>
                <w:rFonts w:ascii="Calibri" w:hAnsi="Calibri" w:cs="Calibri"/>
                <w:color w:val="4F81BC"/>
                <w:spacing w:val="-3"/>
                <w:sz w:val="16"/>
                <w:szCs w:val="16"/>
              </w:rPr>
              <w:t xml:space="preserve"> </w:t>
            </w:r>
            <w:r w:rsidRPr="00A900DE">
              <w:rPr>
                <w:rFonts w:ascii="Calibri" w:hAnsi="Calibri" w:cs="Calibri"/>
                <w:color w:val="4F81BC"/>
                <w:spacing w:val="-1"/>
                <w:sz w:val="20"/>
                <w:szCs w:val="20"/>
              </w:rPr>
              <w:t>DEPRESSION</w:t>
            </w:r>
          </w:p>
        </w:tc>
      </w:tr>
      <w:tr w:rsidR="00A900DE" w:rsidRPr="00A900DE" w:rsidTr="006E0C96">
        <w:trPr>
          <w:trHeight w:hRule="exact" w:val="500"/>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21" w:after="0" w:line="240" w:lineRule="auto"/>
              <w:ind w:right="2"/>
              <w:jc w:val="center"/>
              <w:rPr>
                <w:rFonts w:ascii="Times New Roman" w:hAnsi="Times New Roman" w:cs="Times New Roman"/>
                <w:sz w:val="24"/>
                <w:szCs w:val="24"/>
              </w:rPr>
            </w:pPr>
            <w:r w:rsidRPr="00A900DE">
              <w:rPr>
                <w:rFonts w:ascii="Calibri" w:hAnsi="Calibri" w:cs="Calibri"/>
                <w:spacing w:val="-1"/>
                <w:sz w:val="20"/>
                <w:szCs w:val="20"/>
              </w:rPr>
              <w:t>Variable</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21" w:after="0" w:line="240" w:lineRule="auto"/>
              <w:ind w:left="465"/>
              <w:rPr>
                <w:rFonts w:ascii="Times New Roman" w:hAnsi="Times New Roman" w:cs="Times New Roman"/>
                <w:sz w:val="24"/>
                <w:szCs w:val="24"/>
              </w:rPr>
            </w:pPr>
            <w:r w:rsidRPr="00A900DE">
              <w:rPr>
                <w:rFonts w:ascii="Calibri" w:hAnsi="Calibri" w:cs="Calibri"/>
                <w:spacing w:val="-1"/>
                <w:sz w:val="20"/>
                <w:szCs w:val="20"/>
              </w:rPr>
              <w:t>Contrast</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21" w:after="0" w:line="240" w:lineRule="auto"/>
              <w:ind w:left="342"/>
              <w:rPr>
                <w:rFonts w:ascii="Times New Roman" w:hAnsi="Times New Roman" w:cs="Times New Roman"/>
                <w:sz w:val="24"/>
                <w:szCs w:val="24"/>
              </w:rPr>
            </w:pPr>
            <w:r w:rsidRPr="00A900DE">
              <w:rPr>
                <w:rFonts w:ascii="Calibri" w:hAnsi="Calibri" w:cs="Calibri"/>
                <w:spacing w:val="-1"/>
                <w:sz w:val="20"/>
                <w:szCs w:val="20"/>
              </w:rPr>
              <w:t>Estimate</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21" w:after="0" w:line="240" w:lineRule="auto"/>
              <w:ind w:left="208"/>
              <w:rPr>
                <w:rFonts w:ascii="Times New Roman" w:hAnsi="Times New Roman" w:cs="Times New Roman"/>
                <w:sz w:val="24"/>
                <w:szCs w:val="24"/>
              </w:rPr>
            </w:pPr>
            <w:r w:rsidRPr="00A900DE">
              <w:rPr>
                <w:rFonts w:ascii="Calibri" w:hAnsi="Calibri" w:cs="Calibri"/>
                <w:spacing w:val="-1"/>
                <w:sz w:val="20"/>
                <w:szCs w:val="20"/>
              </w:rPr>
              <w:t>T-value</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0" w:lineRule="auto"/>
              <w:ind w:left="294" w:right="294"/>
              <w:rPr>
                <w:rFonts w:ascii="Times New Roman" w:hAnsi="Times New Roman" w:cs="Times New Roman"/>
                <w:sz w:val="24"/>
                <w:szCs w:val="24"/>
              </w:rPr>
            </w:pPr>
            <w:r w:rsidRPr="00A900DE">
              <w:rPr>
                <w:rFonts w:ascii="Calibri" w:hAnsi="Calibri" w:cs="Calibri"/>
                <w:spacing w:val="-1"/>
                <w:sz w:val="20"/>
                <w:szCs w:val="20"/>
              </w:rPr>
              <w:t>Odds</w:t>
            </w:r>
            <w:r w:rsidRPr="00A900DE">
              <w:rPr>
                <w:rFonts w:ascii="Calibri" w:hAnsi="Calibri" w:cs="Calibri"/>
                <w:spacing w:val="23"/>
                <w:w w:val="99"/>
                <w:sz w:val="20"/>
                <w:szCs w:val="20"/>
              </w:rPr>
              <w:t xml:space="preserve"> </w:t>
            </w:r>
            <w:r w:rsidRPr="00A900DE">
              <w:rPr>
                <w:rFonts w:ascii="Calibri" w:hAnsi="Calibri" w:cs="Calibri"/>
                <w:w w:val="95"/>
                <w:sz w:val="20"/>
                <w:szCs w:val="20"/>
              </w:rPr>
              <w:t>Ratio</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0" w:lineRule="auto"/>
              <w:ind w:left="231" w:right="231" w:firstLine="21"/>
              <w:rPr>
                <w:rFonts w:ascii="Times New Roman" w:hAnsi="Times New Roman" w:cs="Times New Roman"/>
                <w:sz w:val="24"/>
                <w:szCs w:val="24"/>
              </w:rPr>
            </w:pPr>
            <w:r w:rsidRPr="00A900DE">
              <w:rPr>
                <w:rFonts w:ascii="Calibri" w:hAnsi="Calibri" w:cs="Calibri"/>
                <w:spacing w:val="-1"/>
                <w:sz w:val="20"/>
                <w:szCs w:val="20"/>
              </w:rPr>
              <w:t>Lower</w:t>
            </w:r>
            <w:r w:rsidRPr="00A900DE">
              <w:rPr>
                <w:rFonts w:ascii="Calibri" w:hAnsi="Calibri" w:cs="Calibri"/>
                <w:spacing w:val="22"/>
                <w:w w:val="99"/>
                <w:sz w:val="20"/>
                <w:szCs w:val="20"/>
              </w:rPr>
              <w:t xml:space="preserve"> </w:t>
            </w:r>
            <w:r w:rsidRPr="00A900DE">
              <w:rPr>
                <w:rFonts w:ascii="Calibri" w:hAnsi="Calibri" w:cs="Calibri"/>
                <w:sz w:val="20"/>
                <w:szCs w:val="20"/>
              </w:rPr>
              <w:t>95%</w:t>
            </w:r>
            <w:r w:rsidRPr="00A900DE">
              <w:rPr>
                <w:rFonts w:ascii="Calibri" w:hAnsi="Calibri" w:cs="Calibri"/>
                <w:spacing w:val="-8"/>
                <w:sz w:val="20"/>
                <w:szCs w:val="20"/>
              </w:rPr>
              <w:t xml:space="preserve"> </w:t>
            </w:r>
            <w:r w:rsidRPr="00A900DE">
              <w:rPr>
                <w:rFonts w:ascii="Calibri" w:hAnsi="Calibri" w:cs="Calibri"/>
                <w:spacing w:val="-1"/>
                <w:sz w:val="20"/>
                <w:szCs w:val="20"/>
              </w:rPr>
              <w:t>CI</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0" w:lineRule="auto"/>
              <w:ind w:left="296" w:right="297" w:firstLine="19"/>
              <w:rPr>
                <w:rFonts w:ascii="Times New Roman" w:hAnsi="Times New Roman" w:cs="Times New Roman"/>
                <w:sz w:val="24"/>
                <w:szCs w:val="24"/>
              </w:rPr>
            </w:pPr>
            <w:r w:rsidRPr="00A900DE">
              <w:rPr>
                <w:rFonts w:ascii="Calibri" w:hAnsi="Calibri" w:cs="Calibri"/>
                <w:spacing w:val="-1"/>
                <w:sz w:val="20"/>
                <w:szCs w:val="20"/>
              </w:rPr>
              <w:t>Upper</w:t>
            </w:r>
            <w:r w:rsidRPr="00A900DE">
              <w:rPr>
                <w:rFonts w:ascii="Calibri" w:hAnsi="Calibri" w:cs="Calibri"/>
                <w:spacing w:val="23"/>
                <w:w w:val="99"/>
                <w:sz w:val="20"/>
                <w:szCs w:val="20"/>
              </w:rPr>
              <w:t xml:space="preserve"> </w:t>
            </w:r>
            <w:r w:rsidRPr="00A900DE">
              <w:rPr>
                <w:rFonts w:ascii="Calibri" w:hAnsi="Calibri" w:cs="Calibri"/>
                <w:sz w:val="20"/>
                <w:szCs w:val="20"/>
              </w:rPr>
              <w:t>95%</w:t>
            </w:r>
            <w:r w:rsidRPr="00A900DE">
              <w:rPr>
                <w:rFonts w:ascii="Calibri" w:hAnsi="Calibri" w:cs="Calibri"/>
                <w:spacing w:val="-8"/>
                <w:sz w:val="20"/>
                <w:szCs w:val="20"/>
              </w:rPr>
              <w:t xml:space="preserve"> </w:t>
            </w:r>
            <w:r w:rsidRPr="00A900DE">
              <w:rPr>
                <w:rFonts w:ascii="Calibri" w:hAnsi="Calibri" w:cs="Calibri"/>
                <w:spacing w:val="-1"/>
                <w:sz w:val="20"/>
                <w:szCs w:val="20"/>
              </w:rPr>
              <w:t>CI</w:t>
            </w:r>
          </w:p>
        </w:tc>
      </w:tr>
      <w:tr w:rsidR="00A900DE" w:rsidRPr="00A900DE" w:rsidTr="006E0C96">
        <w:trPr>
          <w:trHeight w:hRule="exact" w:val="312"/>
        </w:trPr>
        <w:tc>
          <w:tcPr>
            <w:tcW w:w="9361" w:type="dxa"/>
            <w:gridSpan w:val="7"/>
            <w:tcBorders>
              <w:top w:val="single" w:sz="4" w:space="0" w:color="000000"/>
              <w:left w:val="single" w:sz="4" w:space="0" w:color="000000"/>
              <w:bottom w:val="single" w:sz="14" w:space="0" w:color="D9D9D9"/>
              <w:right w:val="single" w:sz="4" w:space="0" w:color="000000"/>
            </w:tcBorders>
          </w:tcPr>
          <w:p w:rsidR="00A900DE" w:rsidRPr="00A900DE" w:rsidRDefault="00A900DE" w:rsidP="00A900DE">
            <w:pPr>
              <w:kinsoku w:val="0"/>
              <w:overflowPunct w:val="0"/>
              <w:autoSpaceDE w:val="0"/>
              <w:autoSpaceDN w:val="0"/>
              <w:adjustRightInd w:val="0"/>
              <w:spacing w:before="20" w:after="0" w:line="240" w:lineRule="auto"/>
              <w:ind w:left="2166"/>
              <w:rPr>
                <w:rFonts w:ascii="Times New Roman" w:hAnsi="Times New Roman" w:cs="Times New Roman"/>
                <w:sz w:val="24"/>
                <w:szCs w:val="24"/>
              </w:rPr>
            </w:pPr>
            <w:r w:rsidRPr="00A900DE">
              <w:rPr>
                <w:rFonts w:ascii="Arial" w:hAnsi="Arial" w:cs="Arial"/>
                <w:color w:val="4F81BC"/>
                <w:spacing w:val="-1"/>
                <w:sz w:val="20"/>
                <w:szCs w:val="20"/>
              </w:rPr>
              <w:t>1A:</w:t>
            </w:r>
            <w:r w:rsidRPr="00A900DE">
              <w:rPr>
                <w:rFonts w:ascii="Arial" w:hAnsi="Arial" w:cs="Arial"/>
                <w:color w:val="4F81BC"/>
                <w:spacing w:val="-13"/>
                <w:sz w:val="20"/>
                <w:szCs w:val="20"/>
              </w:rPr>
              <w:t xml:space="preserve"> </w:t>
            </w:r>
            <w:r w:rsidRPr="00A900DE">
              <w:rPr>
                <w:rFonts w:ascii="Arial" w:hAnsi="Arial" w:cs="Arial"/>
                <w:color w:val="4F81BC"/>
                <w:spacing w:val="-1"/>
                <w:sz w:val="20"/>
                <w:szCs w:val="20"/>
              </w:rPr>
              <w:t>M</w:t>
            </w:r>
            <w:r w:rsidRPr="00A900DE">
              <w:rPr>
                <w:rFonts w:ascii="Arial" w:hAnsi="Arial" w:cs="Arial"/>
                <w:color w:val="4F81BC"/>
                <w:spacing w:val="-1"/>
                <w:sz w:val="16"/>
                <w:szCs w:val="16"/>
              </w:rPr>
              <w:t>ODEL</w:t>
            </w:r>
            <w:r w:rsidRPr="00A900DE">
              <w:rPr>
                <w:rFonts w:ascii="Arial" w:hAnsi="Arial" w:cs="Arial"/>
                <w:color w:val="4F81BC"/>
                <w:spacing w:val="-7"/>
                <w:sz w:val="16"/>
                <w:szCs w:val="16"/>
              </w:rPr>
              <w:t xml:space="preserve"> </w:t>
            </w:r>
            <w:r w:rsidRPr="00A900DE">
              <w:rPr>
                <w:rFonts w:ascii="Arial" w:hAnsi="Arial" w:cs="Arial"/>
                <w:color w:val="4F81BC"/>
                <w:sz w:val="20"/>
                <w:szCs w:val="20"/>
              </w:rPr>
              <w:t>W</w:t>
            </w:r>
            <w:r w:rsidRPr="00A900DE">
              <w:rPr>
                <w:rFonts w:ascii="Arial" w:hAnsi="Arial" w:cs="Arial"/>
                <w:color w:val="4F81BC"/>
                <w:sz w:val="16"/>
                <w:szCs w:val="16"/>
              </w:rPr>
              <w:t>ITHOUT</w:t>
            </w:r>
            <w:r w:rsidRPr="00A900DE">
              <w:rPr>
                <w:rFonts w:ascii="Arial" w:hAnsi="Arial" w:cs="Arial"/>
                <w:color w:val="4F81BC"/>
                <w:spacing w:val="-4"/>
                <w:sz w:val="16"/>
                <w:szCs w:val="16"/>
              </w:rPr>
              <w:t xml:space="preserve"> </w:t>
            </w:r>
            <w:r w:rsidRPr="00A900DE">
              <w:rPr>
                <w:rFonts w:ascii="Arial" w:hAnsi="Arial" w:cs="Arial"/>
                <w:color w:val="4F81BC"/>
                <w:spacing w:val="-1"/>
                <w:sz w:val="20"/>
                <w:szCs w:val="20"/>
              </w:rPr>
              <w:t>SES</w:t>
            </w:r>
            <w:r w:rsidRPr="00A900DE">
              <w:rPr>
                <w:rFonts w:ascii="Arial" w:hAnsi="Arial" w:cs="Arial"/>
                <w:color w:val="4F81BC"/>
                <w:spacing w:val="-13"/>
                <w:sz w:val="20"/>
                <w:szCs w:val="20"/>
              </w:rPr>
              <w:t xml:space="preserve"> </w:t>
            </w:r>
            <w:r w:rsidRPr="00A900DE">
              <w:rPr>
                <w:rFonts w:ascii="Arial" w:hAnsi="Arial" w:cs="Arial"/>
                <w:color w:val="4F81BC"/>
                <w:spacing w:val="-1"/>
                <w:sz w:val="16"/>
                <w:szCs w:val="16"/>
              </w:rPr>
              <w:t>AND</w:t>
            </w:r>
            <w:r w:rsidRPr="00A900DE">
              <w:rPr>
                <w:rFonts w:ascii="Arial" w:hAnsi="Arial" w:cs="Arial"/>
                <w:color w:val="4F81BC"/>
                <w:spacing w:val="-2"/>
                <w:sz w:val="16"/>
                <w:szCs w:val="16"/>
              </w:rPr>
              <w:t xml:space="preserve"> </w:t>
            </w:r>
            <w:r w:rsidRPr="00A900DE">
              <w:rPr>
                <w:rFonts w:ascii="Arial" w:hAnsi="Arial" w:cs="Arial"/>
                <w:color w:val="4F81BC"/>
                <w:spacing w:val="-1"/>
                <w:sz w:val="20"/>
                <w:szCs w:val="20"/>
              </w:rPr>
              <w:t>R</w:t>
            </w:r>
            <w:r w:rsidRPr="00A900DE">
              <w:rPr>
                <w:rFonts w:ascii="Arial" w:hAnsi="Arial" w:cs="Arial"/>
                <w:color w:val="4F81BC"/>
                <w:spacing w:val="-1"/>
                <w:sz w:val="16"/>
                <w:szCs w:val="16"/>
              </w:rPr>
              <w:t>ACE</w:t>
            </w:r>
            <w:r w:rsidRPr="00A900DE">
              <w:rPr>
                <w:rFonts w:ascii="Arial" w:hAnsi="Arial" w:cs="Arial"/>
                <w:color w:val="4F81BC"/>
                <w:sz w:val="16"/>
                <w:szCs w:val="16"/>
              </w:rPr>
              <w:t xml:space="preserve"> </w:t>
            </w:r>
            <w:r w:rsidRPr="00A900DE">
              <w:rPr>
                <w:rFonts w:ascii="Arial" w:hAnsi="Arial" w:cs="Arial"/>
                <w:color w:val="4F81BC"/>
                <w:spacing w:val="-1"/>
                <w:sz w:val="20"/>
                <w:szCs w:val="20"/>
              </w:rPr>
              <w:t>F</w:t>
            </w:r>
            <w:r w:rsidRPr="00A900DE">
              <w:rPr>
                <w:rFonts w:ascii="Arial" w:hAnsi="Arial" w:cs="Arial"/>
                <w:color w:val="4F81BC"/>
                <w:spacing w:val="-1"/>
                <w:sz w:val="16"/>
                <w:szCs w:val="16"/>
              </w:rPr>
              <w:t>ROM</w:t>
            </w:r>
            <w:r w:rsidRPr="00A900DE">
              <w:rPr>
                <w:rFonts w:ascii="Arial" w:hAnsi="Arial" w:cs="Arial"/>
                <w:color w:val="4F81BC"/>
                <w:spacing w:val="-4"/>
                <w:sz w:val="16"/>
                <w:szCs w:val="16"/>
              </w:rPr>
              <w:t xml:space="preserve"> </w:t>
            </w:r>
            <w:r w:rsidRPr="00A900DE">
              <w:rPr>
                <w:rFonts w:ascii="Arial" w:hAnsi="Arial" w:cs="Arial"/>
                <w:color w:val="4F81BC"/>
                <w:spacing w:val="-2"/>
                <w:sz w:val="20"/>
                <w:szCs w:val="20"/>
              </w:rPr>
              <w:t>Z</w:t>
            </w:r>
            <w:r w:rsidRPr="00A900DE">
              <w:rPr>
                <w:rFonts w:ascii="Arial" w:hAnsi="Arial" w:cs="Arial"/>
                <w:color w:val="4F81BC"/>
                <w:spacing w:val="-2"/>
                <w:sz w:val="16"/>
                <w:szCs w:val="16"/>
              </w:rPr>
              <w:t>IP</w:t>
            </w:r>
            <w:r w:rsidRPr="00A900DE">
              <w:rPr>
                <w:rFonts w:ascii="Arial" w:hAnsi="Arial" w:cs="Arial"/>
                <w:color w:val="4F81BC"/>
                <w:spacing w:val="-1"/>
                <w:sz w:val="16"/>
                <w:szCs w:val="16"/>
              </w:rPr>
              <w:t xml:space="preserve"> </w:t>
            </w:r>
            <w:r w:rsidRPr="00A900DE">
              <w:rPr>
                <w:rFonts w:ascii="Arial" w:hAnsi="Arial" w:cs="Arial"/>
                <w:color w:val="4F81BC"/>
                <w:spacing w:val="-1"/>
                <w:sz w:val="20"/>
                <w:szCs w:val="20"/>
              </w:rPr>
              <w:t>C</w:t>
            </w:r>
            <w:r w:rsidRPr="00A900DE">
              <w:rPr>
                <w:rFonts w:ascii="Arial" w:hAnsi="Arial" w:cs="Arial"/>
                <w:color w:val="4F81BC"/>
                <w:spacing w:val="-1"/>
                <w:sz w:val="16"/>
                <w:szCs w:val="16"/>
              </w:rPr>
              <w:t>ODE</w:t>
            </w:r>
            <w:r w:rsidRPr="00A900DE">
              <w:rPr>
                <w:rFonts w:ascii="Arial" w:hAnsi="Arial" w:cs="Arial"/>
                <w:color w:val="4F81BC"/>
                <w:spacing w:val="-3"/>
                <w:sz w:val="16"/>
                <w:szCs w:val="16"/>
              </w:rPr>
              <w:t xml:space="preserve"> </w:t>
            </w:r>
            <w:r w:rsidRPr="00A900DE">
              <w:rPr>
                <w:rFonts w:ascii="Arial" w:hAnsi="Arial" w:cs="Arial"/>
                <w:color w:val="4F81BC"/>
                <w:spacing w:val="-1"/>
                <w:sz w:val="20"/>
                <w:szCs w:val="20"/>
              </w:rPr>
              <w:t>D</w:t>
            </w:r>
            <w:r w:rsidRPr="00A900DE">
              <w:rPr>
                <w:rFonts w:ascii="Arial" w:hAnsi="Arial" w:cs="Arial"/>
                <w:color w:val="4F81BC"/>
                <w:spacing w:val="-1"/>
                <w:sz w:val="16"/>
                <w:szCs w:val="16"/>
              </w:rPr>
              <w:t>ATA</w:t>
            </w:r>
          </w:p>
        </w:tc>
      </w:tr>
      <w:tr w:rsidR="00A900DE" w:rsidRPr="00A900DE" w:rsidTr="006E0C96">
        <w:trPr>
          <w:trHeight w:hRule="exact" w:val="264"/>
        </w:trPr>
        <w:tc>
          <w:tcPr>
            <w:tcW w:w="2095" w:type="dxa"/>
            <w:tcBorders>
              <w:top w:val="single" w:sz="14" w:space="0" w:color="D9D9D9"/>
              <w:left w:val="single" w:sz="4" w:space="0" w:color="000000"/>
              <w:bottom w:val="single" w:sz="14" w:space="0" w:color="D9D9D9"/>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6" w:lineRule="exact"/>
              <w:ind w:right="2"/>
              <w:jc w:val="center"/>
              <w:rPr>
                <w:rFonts w:ascii="Times New Roman" w:hAnsi="Times New Roman" w:cs="Times New Roman"/>
                <w:sz w:val="24"/>
                <w:szCs w:val="24"/>
              </w:rPr>
            </w:pPr>
            <w:r w:rsidRPr="00A900DE">
              <w:rPr>
                <w:rFonts w:ascii="Arial" w:hAnsi="Arial" w:cs="Arial"/>
                <w:spacing w:val="-1"/>
                <w:sz w:val="20"/>
                <w:szCs w:val="20"/>
              </w:rPr>
              <w:t>Age</w:t>
            </w:r>
          </w:p>
        </w:tc>
        <w:tc>
          <w:tcPr>
            <w:tcW w:w="1637" w:type="dxa"/>
            <w:tcBorders>
              <w:top w:val="single" w:sz="14" w:space="0" w:color="D9D9D9"/>
              <w:left w:val="single" w:sz="4" w:space="0" w:color="000000"/>
              <w:bottom w:val="single" w:sz="14" w:space="0" w:color="D9D9D9"/>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14" w:space="0" w:color="D9D9D9"/>
              <w:left w:val="single" w:sz="4" w:space="0" w:color="000000"/>
              <w:bottom w:val="single" w:sz="14" w:space="0" w:color="D9D9D9"/>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14" w:space="0" w:color="D9D9D9"/>
              <w:left w:val="single" w:sz="4" w:space="0" w:color="000000"/>
              <w:bottom w:val="single" w:sz="14" w:space="0" w:color="D9D9D9"/>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14" w:space="0" w:color="D9D9D9"/>
              <w:left w:val="single" w:sz="4" w:space="0" w:color="000000"/>
              <w:bottom w:val="single" w:sz="14" w:space="0" w:color="D9D9D9"/>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single" w:sz="14" w:space="0" w:color="D9D9D9"/>
              <w:left w:val="single" w:sz="4" w:space="0" w:color="000000"/>
              <w:bottom w:val="single" w:sz="14" w:space="0" w:color="D9D9D9"/>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single" w:sz="14" w:space="0" w:color="D9D9D9"/>
              <w:left w:val="single" w:sz="4" w:space="0" w:color="000000"/>
              <w:bottom w:val="single" w:sz="14" w:space="0" w:color="D9D9D9"/>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38"/>
        </w:trPr>
        <w:tc>
          <w:tcPr>
            <w:tcW w:w="2095" w:type="dxa"/>
            <w:tcBorders>
              <w:top w:val="single" w:sz="14" w:space="0" w:color="D9D9D9"/>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A900DE">
              <w:rPr>
                <w:rFonts w:ascii="Arial" w:hAnsi="Arial" w:cs="Arial"/>
                <w:spacing w:val="-1"/>
                <w:sz w:val="20"/>
                <w:szCs w:val="20"/>
              </w:rPr>
              <w:t>18-25</w:t>
            </w:r>
          </w:p>
        </w:tc>
        <w:tc>
          <w:tcPr>
            <w:tcW w:w="1637" w:type="dxa"/>
            <w:tcBorders>
              <w:top w:val="single" w:sz="14" w:space="0" w:color="D9D9D9"/>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ind w:right="1"/>
              <w:jc w:val="center"/>
              <w:rPr>
                <w:rFonts w:ascii="Times New Roman" w:hAnsi="Times New Roman" w:cs="Times New Roman"/>
                <w:sz w:val="24"/>
                <w:szCs w:val="24"/>
              </w:rPr>
            </w:pPr>
            <w:r w:rsidRPr="00A900DE">
              <w:rPr>
                <w:rFonts w:ascii="Arial" w:hAnsi="Arial" w:cs="Arial"/>
                <w:spacing w:val="-1"/>
                <w:sz w:val="20"/>
                <w:szCs w:val="20"/>
              </w:rPr>
              <w:t>66+</w:t>
            </w:r>
          </w:p>
        </w:tc>
        <w:tc>
          <w:tcPr>
            <w:tcW w:w="1409" w:type="dxa"/>
            <w:tcBorders>
              <w:top w:val="single" w:sz="14" w:space="0" w:color="D9D9D9"/>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ind w:left="390"/>
              <w:rPr>
                <w:rFonts w:ascii="Times New Roman" w:hAnsi="Times New Roman" w:cs="Times New Roman"/>
                <w:sz w:val="24"/>
                <w:szCs w:val="24"/>
              </w:rPr>
            </w:pPr>
            <w:r w:rsidRPr="00A900DE">
              <w:rPr>
                <w:rFonts w:ascii="Arial" w:hAnsi="Arial" w:cs="Arial"/>
                <w:sz w:val="20"/>
                <w:szCs w:val="20"/>
              </w:rPr>
              <w:t>-0.62**</w:t>
            </w:r>
          </w:p>
        </w:tc>
        <w:tc>
          <w:tcPr>
            <w:tcW w:w="1023" w:type="dxa"/>
            <w:tcBorders>
              <w:top w:val="single" w:sz="14" w:space="0" w:color="D9D9D9"/>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ind w:left="277"/>
              <w:rPr>
                <w:rFonts w:ascii="Times New Roman" w:hAnsi="Times New Roman" w:cs="Times New Roman"/>
                <w:sz w:val="24"/>
                <w:szCs w:val="24"/>
              </w:rPr>
            </w:pPr>
            <w:r w:rsidRPr="00A900DE">
              <w:rPr>
                <w:rFonts w:ascii="Arial" w:hAnsi="Arial" w:cs="Arial"/>
                <w:spacing w:val="-1"/>
                <w:sz w:val="20"/>
                <w:szCs w:val="20"/>
              </w:rPr>
              <w:t>-6.66</w:t>
            </w:r>
          </w:p>
        </w:tc>
        <w:tc>
          <w:tcPr>
            <w:tcW w:w="1024" w:type="dxa"/>
            <w:tcBorders>
              <w:top w:val="single" w:sz="14" w:space="0" w:color="D9D9D9"/>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ind w:left="231"/>
              <w:rPr>
                <w:rFonts w:ascii="Times New Roman" w:hAnsi="Times New Roman" w:cs="Times New Roman"/>
                <w:sz w:val="24"/>
                <w:szCs w:val="24"/>
              </w:rPr>
            </w:pPr>
            <w:r w:rsidRPr="00A900DE">
              <w:rPr>
                <w:rFonts w:ascii="Arial" w:hAnsi="Arial" w:cs="Arial"/>
                <w:spacing w:val="-1"/>
                <w:sz w:val="20"/>
                <w:szCs w:val="20"/>
              </w:rPr>
              <w:t>0.54**</w:t>
            </w:r>
          </w:p>
        </w:tc>
        <w:tc>
          <w:tcPr>
            <w:tcW w:w="1021" w:type="dxa"/>
            <w:tcBorders>
              <w:top w:val="single" w:sz="14" w:space="0" w:color="D9D9D9"/>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ind w:left="311"/>
              <w:rPr>
                <w:rFonts w:ascii="Times New Roman" w:hAnsi="Times New Roman" w:cs="Times New Roman"/>
                <w:sz w:val="24"/>
                <w:szCs w:val="24"/>
              </w:rPr>
            </w:pPr>
            <w:r w:rsidRPr="00A900DE">
              <w:rPr>
                <w:rFonts w:ascii="Arial" w:hAnsi="Arial" w:cs="Arial"/>
                <w:spacing w:val="-1"/>
                <w:sz w:val="20"/>
                <w:szCs w:val="20"/>
              </w:rPr>
              <w:t>0.45</w:t>
            </w:r>
          </w:p>
        </w:tc>
        <w:tc>
          <w:tcPr>
            <w:tcW w:w="1152" w:type="dxa"/>
            <w:tcBorders>
              <w:top w:val="single" w:sz="14" w:space="0" w:color="D9D9D9"/>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ind w:left="375"/>
              <w:rPr>
                <w:rFonts w:ascii="Times New Roman" w:hAnsi="Times New Roman" w:cs="Times New Roman"/>
                <w:sz w:val="24"/>
                <w:szCs w:val="24"/>
              </w:rPr>
            </w:pPr>
            <w:r w:rsidRPr="00A900DE">
              <w:rPr>
                <w:rFonts w:ascii="Arial" w:hAnsi="Arial" w:cs="Arial"/>
                <w:spacing w:val="-1"/>
                <w:sz w:val="20"/>
                <w:szCs w:val="20"/>
              </w:rPr>
              <w:t>0.65</w:t>
            </w:r>
          </w:p>
        </w:tc>
      </w:tr>
      <w:tr w:rsidR="00A900DE" w:rsidRPr="00A900DE" w:rsidTr="006E0C96">
        <w:trPr>
          <w:trHeight w:hRule="exact" w:val="240"/>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jc w:val="center"/>
              <w:rPr>
                <w:rFonts w:ascii="Times New Roman" w:hAnsi="Times New Roman" w:cs="Times New Roman"/>
                <w:sz w:val="24"/>
                <w:szCs w:val="24"/>
              </w:rPr>
            </w:pPr>
            <w:r w:rsidRPr="00A900DE">
              <w:rPr>
                <w:rFonts w:ascii="Arial" w:hAnsi="Arial" w:cs="Arial"/>
                <w:spacing w:val="-1"/>
                <w:sz w:val="20"/>
                <w:szCs w:val="20"/>
              </w:rPr>
              <w:t>26-50</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right="1"/>
              <w:jc w:val="center"/>
              <w:rPr>
                <w:rFonts w:ascii="Times New Roman" w:hAnsi="Times New Roman" w:cs="Times New Roman"/>
                <w:sz w:val="24"/>
                <w:szCs w:val="24"/>
              </w:rPr>
            </w:pPr>
            <w:r w:rsidRPr="00A900DE">
              <w:rPr>
                <w:rFonts w:ascii="Arial" w:hAnsi="Arial" w:cs="Arial"/>
                <w:spacing w:val="-1"/>
                <w:sz w:val="20"/>
                <w:szCs w:val="20"/>
              </w:rPr>
              <w:t>66+</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90"/>
              <w:rPr>
                <w:rFonts w:ascii="Times New Roman" w:hAnsi="Times New Roman" w:cs="Times New Roman"/>
                <w:sz w:val="24"/>
                <w:szCs w:val="24"/>
              </w:rPr>
            </w:pPr>
            <w:r w:rsidRPr="00A900DE">
              <w:rPr>
                <w:rFonts w:ascii="Arial" w:hAnsi="Arial" w:cs="Arial"/>
                <w:sz w:val="20"/>
                <w:szCs w:val="20"/>
              </w:rPr>
              <w:t>-0.68**</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277"/>
              <w:rPr>
                <w:rFonts w:ascii="Times New Roman" w:hAnsi="Times New Roman" w:cs="Times New Roman"/>
                <w:sz w:val="24"/>
                <w:szCs w:val="24"/>
              </w:rPr>
            </w:pPr>
            <w:r w:rsidRPr="00A900DE">
              <w:rPr>
                <w:rFonts w:ascii="Arial" w:hAnsi="Arial" w:cs="Arial"/>
                <w:spacing w:val="-1"/>
                <w:sz w:val="20"/>
                <w:szCs w:val="20"/>
              </w:rPr>
              <w:t>-8.70</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231"/>
              <w:rPr>
                <w:rFonts w:ascii="Times New Roman" w:hAnsi="Times New Roman" w:cs="Times New Roman"/>
                <w:sz w:val="24"/>
                <w:szCs w:val="24"/>
              </w:rPr>
            </w:pPr>
            <w:r w:rsidRPr="00A900DE">
              <w:rPr>
                <w:rFonts w:ascii="Arial" w:hAnsi="Arial" w:cs="Arial"/>
                <w:spacing w:val="-1"/>
                <w:sz w:val="20"/>
                <w:szCs w:val="20"/>
              </w:rPr>
              <w:t>0.51**</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11"/>
              <w:rPr>
                <w:rFonts w:ascii="Times New Roman" w:hAnsi="Times New Roman" w:cs="Times New Roman"/>
                <w:sz w:val="24"/>
                <w:szCs w:val="24"/>
              </w:rPr>
            </w:pPr>
            <w:r w:rsidRPr="00A900DE">
              <w:rPr>
                <w:rFonts w:ascii="Arial" w:hAnsi="Arial" w:cs="Arial"/>
                <w:spacing w:val="-1"/>
                <w:sz w:val="20"/>
                <w:szCs w:val="20"/>
              </w:rPr>
              <w:t>0.44</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75"/>
              <w:rPr>
                <w:rFonts w:ascii="Times New Roman" w:hAnsi="Times New Roman" w:cs="Times New Roman"/>
                <w:sz w:val="24"/>
                <w:szCs w:val="24"/>
              </w:rPr>
            </w:pPr>
            <w:r w:rsidRPr="00A900DE">
              <w:rPr>
                <w:rFonts w:ascii="Arial" w:hAnsi="Arial" w:cs="Arial"/>
                <w:spacing w:val="-1"/>
                <w:sz w:val="20"/>
                <w:szCs w:val="20"/>
              </w:rPr>
              <w:t>0.59</w:t>
            </w:r>
          </w:p>
        </w:tc>
      </w:tr>
      <w:tr w:rsidR="00A900DE" w:rsidRPr="00A900DE" w:rsidTr="006E0C96">
        <w:trPr>
          <w:trHeight w:hRule="exact" w:val="241"/>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A900DE">
              <w:rPr>
                <w:rFonts w:ascii="Arial" w:hAnsi="Arial" w:cs="Arial"/>
                <w:spacing w:val="-1"/>
                <w:sz w:val="20"/>
                <w:szCs w:val="20"/>
              </w:rPr>
              <w:t>51-65</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right="1"/>
              <w:jc w:val="center"/>
              <w:rPr>
                <w:rFonts w:ascii="Times New Roman" w:hAnsi="Times New Roman" w:cs="Times New Roman"/>
                <w:sz w:val="24"/>
                <w:szCs w:val="24"/>
              </w:rPr>
            </w:pPr>
            <w:r w:rsidRPr="00A900DE">
              <w:rPr>
                <w:rFonts w:ascii="Arial" w:hAnsi="Arial" w:cs="Arial"/>
                <w:spacing w:val="-1"/>
                <w:sz w:val="20"/>
                <w:szCs w:val="20"/>
              </w:rPr>
              <w:t>66+</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90"/>
              <w:rPr>
                <w:rFonts w:ascii="Times New Roman" w:hAnsi="Times New Roman" w:cs="Times New Roman"/>
                <w:sz w:val="24"/>
                <w:szCs w:val="24"/>
              </w:rPr>
            </w:pPr>
            <w:r w:rsidRPr="00A900DE">
              <w:rPr>
                <w:rFonts w:ascii="Arial" w:hAnsi="Arial" w:cs="Arial"/>
                <w:sz w:val="20"/>
                <w:szCs w:val="20"/>
              </w:rPr>
              <w:t>-0.66**</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277"/>
              <w:rPr>
                <w:rFonts w:ascii="Times New Roman" w:hAnsi="Times New Roman" w:cs="Times New Roman"/>
                <w:sz w:val="24"/>
                <w:szCs w:val="24"/>
              </w:rPr>
            </w:pPr>
            <w:r w:rsidRPr="00A900DE">
              <w:rPr>
                <w:rFonts w:ascii="Arial" w:hAnsi="Arial" w:cs="Arial"/>
                <w:spacing w:val="-1"/>
                <w:sz w:val="20"/>
                <w:szCs w:val="20"/>
              </w:rPr>
              <w:t>-8.48</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231"/>
              <w:rPr>
                <w:rFonts w:ascii="Times New Roman" w:hAnsi="Times New Roman" w:cs="Times New Roman"/>
                <w:sz w:val="24"/>
                <w:szCs w:val="24"/>
              </w:rPr>
            </w:pPr>
            <w:r w:rsidRPr="00A900DE">
              <w:rPr>
                <w:rFonts w:ascii="Arial" w:hAnsi="Arial" w:cs="Arial"/>
                <w:spacing w:val="-1"/>
                <w:sz w:val="20"/>
                <w:szCs w:val="20"/>
              </w:rPr>
              <w:t>0.52**</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1"/>
              <w:rPr>
                <w:rFonts w:ascii="Times New Roman" w:hAnsi="Times New Roman" w:cs="Times New Roman"/>
                <w:sz w:val="24"/>
                <w:szCs w:val="24"/>
              </w:rPr>
            </w:pPr>
            <w:r w:rsidRPr="00A900DE">
              <w:rPr>
                <w:rFonts w:ascii="Arial" w:hAnsi="Arial" w:cs="Arial"/>
                <w:spacing w:val="-1"/>
                <w:sz w:val="20"/>
                <w:szCs w:val="20"/>
              </w:rPr>
              <w:t>0.45</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75"/>
              <w:rPr>
                <w:rFonts w:ascii="Times New Roman" w:hAnsi="Times New Roman" w:cs="Times New Roman"/>
                <w:sz w:val="24"/>
                <w:szCs w:val="24"/>
              </w:rPr>
            </w:pPr>
            <w:r w:rsidRPr="00A900DE">
              <w:rPr>
                <w:rFonts w:ascii="Arial" w:hAnsi="Arial" w:cs="Arial"/>
                <w:spacing w:val="-1"/>
                <w:sz w:val="20"/>
                <w:szCs w:val="20"/>
              </w:rPr>
              <w:t>0.60</w:t>
            </w:r>
          </w:p>
        </w:tc>
      </w:tr>
      <w:tr w:rsidR="00A900DE" w:rsidRPr="00A900DE" w:rsidTr="006E0C96">
        <w:trPr>
          <w:trHeight w:hRule="exact" w:val="239"/>
        </w:trPr>
        <w:tc>
          <w:tcPr>
            <w:tcW w:w="2095"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8" w:lineRule="exact"/>
              <w:ind w:right="4"/>
              <w:jc w:val="center"/>
              <w:rPr>
                <w:rFonts w:ascii="Times New Roman" w:hAnsi="Times New Roman" w:cs="Times New Roman"/>
                <w:sz w:val="24"/>
                <w:szCs w:val="24"/>
              </w:rPr>
            </w:pPr>
            <w:r w:rsidRPr="00A900DE">
              <w:rPr>
                <w:rFonts w:ascii="Arial" w:hAnsi="Arial" w:cs="Arial"/>
                <w:spacing w:val="-1"/>
                <w:sz w:val="20"/>
                <w:szCs w:val="20"/>
              </w:rPr>
              <w:t>Gender</w:t>
            </w:r>
          </w:p>
        </w:tc>
        <w:tc>
          <w:tcPr>
            <w:tcW w:w="1637"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41"/>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A900DE">
              <w:rPr>
                <w:rFonts w:ascii="Arial" w:hAnsi="Arial" w:cs="Arial"/>
                <w:sz w:val="20"/>
                <w:szCs w:val="20"/>
              </w:rPr>
              <w:t>Female</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right="1"/>
              <w:jc w:val="center"/>
              <w:rPr>
                <w:rFonts w:ascii="Times New Roman" w:hAnsi="Times New Roman" w:cs="Times New Roman"/>
                <w:sz w:val="24"/>
                <w:szCs w:val="24"/>
              </w:rPr>
            </w:pPr>
            <w:r w:rsidRPr="00A900DE">
              <w:rPr>
                <w:rFonts w:ascii="Arial" w:hAnsi="Arial" w:cs="Arial"/>
                <w:sz w:val="20"/>
                <w:szCs w:val="20"/>
              </w:rPr>
              <w:t>Male</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right="4"/>
              <w:jc w:val="center"/>
              <w:rPr>
                <w:rFonts w:ascii="Times New Roman" w:hAnsi="Times New Roman" w:cs="Times New Roman"/>
                <w:sz w:val="24"/>
                <w:szCs w:val="24"/>
              </w:rPr>
            </w:pPr>
            <w:r w:rsidRPr="00A900DE">
              <w:rPr>
                <w:rFonts w:ascii="Arial" w:hAnsi="Arial" w:cs="Arial"/>
                <w:spacing w:val="-1"/>
                <w:sz w:val="20"/>
                <w:szCs w:val="20"/>
              </w:rPr>
              <w:t>-0.08</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277"/>
              <w:rPr>
                <w:rFonts w:ascii="Times New Roman" w:hAnsi="Times New Roman" w:cs="Times New Roman"/>
                <w:sz w:val="24"/>
                <w:szCs w:val="24"/>
              </w:rPr>
            </w:pPr>
            <w:r w:rsidRPr="00A900DE">
              <w:rPr>
                <w:rFonts w:ascii="Arial" w:hAnsi="Arial" w:cs="Arial"/>
                <w:spacing w:val="-1"/>
                <w:sz w:val="20"/>
                <w:szCs w:val="20"/>
              </w:rPr>
              <w:t>-1.88</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0"/>
              <w:rPr>
                <w:rFonts w:ascii="Times New Roman" w:hAnsi="Times New Roman" w:cs="Times New Roman"/>
                <w:sz w:val="24"/>
                <w:szCs w:val="24"/>
              </w:rPr>
            </w:pPr>
            <w:r w:rsidRPr="00A900DE">
              <w:rPr>
                <w:rFonts w:ascii="Arial" w:hAnsi="Arial" w:cs="Arial"/>
                <w:spacing w:val="-1"/>
                <w:sz w:val="20"/>
                <w:szCs w:val="20"/>
              </w:rPr>
              <w:t>0.92</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1"/>
              <w:rPr>
                <w:rFonts w:ascii="Times New Roman" w:hAnsi="Times New Roman" w:cs="Times New Roman"/>
                <w:sz w:val="24"/>
                <w:szCs w:val="24"/>
              </w:rPr>
            </w:pPr>
            <w:r w:rsidRPr="00A900DE">
              <w:rPr>
                <w:rFonts w:ascii="Arial" w:hAnsi="Arial" w:cs="Arial"/>
                <w:spacing w:val="-1"/>
                <w:sz w:val="20"/>
                <w:szCs w:val="20"/>
              </w:rPr>
              <w:t>0.85</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75"/>
              <w:rPr>
                <w:rFonts w:ascii="Times New Roman" w:hAnsi="Times New Roman" w:cs="Times New Roman"/>
                <w:sz w:val="24"/>
                <w:szCs w:val="24"/>
              </w:rPr>
            </w:pPr>
            <w:r w:rsidRPr="00A900DE">
              <w:rPr>
                <w:rFonts w:ascii="Arial" w:hAnsi="Arial" w:cs="Arial"/>
                <w:spacing w:val="-1"/>
                <w:sz w:val="20"/>
                <w:szCs w:val="20"/>
              </w:rPr>
              <w:t>1.00</w:t>
            </w:r>
          </w:p>
        </w:tc>
      </w:tr>
      <w:tr w:rsidR="00A900DE" w:rsidRPr="00A900DE" w:rsidTr="006E0C96">
        <w:trPr>
          <w:trHeight w:hRule="exact" w:val="239"/>
        </w:trPr>
        <w:tc>
          <w:tcPr>
            <w:tcW w:w="2095"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8" w:lineRule="exact"/>
              <w:ind w:left="507"/>
              <w:rPr>
                <w:rFonts w:ascii="Times New Roman" w:hAnsi="Times New Roman" w:cs="Times New Roman"/>
                <w:sz w:val="24"/>
                <w:szCs w:val="24"/>
              </w:rPr>
            </w:pPr>
            <w:r w:rsidRPr="00A900DE">
              <w:rPr>
                <w:rFonts w:ascii="Arial" w:hAnsi="Arial" w:cs="Arial"/>
                <w:sz w:val="20"/>
                <w:szCs w:val="20"/>
              </w:rPr>
              <w:t>Comorbidity</w:t>
            </w:r>
          </w:p>
        </w:tc>
        <w:tc>
          <w:tcPr>
            <w:tcW w:w="1637"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40"/>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618"/>
              <w:rPr>
                <w:rFonts w:ascii="Times New Roman" w:hAnsi="Times New Roman" w:cs="Times New Roman"/>
                <w:sz w:val="24"/>
                <w:szCs w:val="24"/>
              </w:rPr>
            </w:pPr>
            <w:r w:rsidRPr="00A900DE">
              <w:rPr>
                <w:rFonts w:ascii="Arial" w:hAnsi="Arial" w:cs="Arial"/>
                <w:sz w:val="20"/>
                <w:szCs w:val="20"/>
              </w:rPr>
              <w:t>Moderate</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496"/>
              <w:rPr>
                <w:rFonts w:ascii="Times New Roman" w:hAnsi="Times New Roman" w:cs="Times New Roman"/>
                <w:sz w:val="24"/>
                <w:szCs w:val="24"/>
              </w:rPr>
            </w:pPr>
            <w:r w:rsidRPr="00A900DE">
              <w:rPr>
                <w:rFonts w:ascii="Arial" w:hAnsi="Arial" w:cs="Arial"/>
                <w:spacing w:val="-1"/>
                <w:sz w:val="20"/>
                <w:szCs w:val="20"/>
              </w:rPr>
              <w:t>Severe</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423"/>
              <w:rPr>
                <w:rFonts w:ascii="Times New Roman" w:hAnsi="Times New Roman" w:cs="Times New Roman"/>
                <w:sz w:val="24"/>
                <w:szCs w:val="24"/>
              </w:rPr>
            </w:pPr>
            <w:r w:rsidRPr="00A900DE">
              <w:rPr>
                <w:rFonts w:ascii="Arial" w:hAnsi="Arial" w:cs="Arial"/>
                <w:spacing w:val="-1"/>
                <w:sz w:val="20"/>
                <w:szCs w:val="20"/>
              </w:rPr>
              <w:t>0.57**</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253"/>
              <w:rPr>
                <w:rFonts w:ascii="Times New Roman" w:hAnsi="Times New Roman" w:cs="Times New Roman"/>
                <w:sz w:val="24"/>
                <w:szCs w:val="24"/>
              </w:rPr>
            </w:pPr>
            <w:r w:rsidRPr="00A900DE">
              <w:rPr>
                <w:rFonts w:ascii="Arial" w:hAnsi="Arial" w:cs="Arial"/>
                <w:sz w:val="20"/>
                <w:szCs w:val="20"/>
              </w:rPr>
              <w:t>10.56</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231"/>
              <w:rPr>
                <w:rFonts w:ascii="Times New Roman" w:hAnsi="Times New Roman" w:cs="Times New Roman"/>
                <w:sz w:val="24"/>
                <w:szCs w:val="24"/>
              </w:rPr>
            </w:pPr>
            <w:r w:rsidRPr="00A900DE">
              <w:rPr>
                <w:rFonts w:ascii="Arial" w:hAnsi="Arial" w:cs="Arial"/>
                <w:spacing w:val="-1"/>
                <w:sz w:val="20"/>
                <w:szCs w:val="20"/>
              </w:rPr>
              <w:t>1.77**</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11"/>
              <w:rPr>
                <w:rFonts w:ascii="Times New Roman" w:hAnsi="Times New Roman" w:cs="Times New Roman"/>
                <w:sz w:val="24"/>
                <w:szCs w:val="24"/>
              </w:rPr>
            </w:pPr>
            <w:r w:rsidRPr="00A900DE">
              <w:rPr>
                <w:rFonts w:ascii="Arial" w:hAnsi="Arial" w:cs="Arial"/>
                <w:spacing w:val="-1"/>
                <w:sz w:val="20"/>
                <w:szCs w:val="20"/>
              </w:rPr>
              <w:t>1.59</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75"/>
              <w:rPr>
                <w:rFonts w:ascii="Times New Roman" w:hAnsi="Times New Roman" w:cs="Times New Roman"/>
                <w:sz w:val="24"/>
                <w:szCs w:val="24"/>
              </w:rPr>
            </w:pPr>
            <w:r w:rsidRPr="00A900DE">
              <w:rPr>
                <w:rFonts w:ascii="Arial" w:hAnsi="Arial" w:cs="Arial"/>
                <w:spacing w:val="-1"/>
                <w:sz w:val="20"/>
                <w:szCs w:val="20"/>
              </w:rPr>
              <w:t>1.97</w:t>
            </w:r>
          </w:p>
        </w:tc>
      </w:tr>
      <w:tr w:rsidR="00A900DE" w:rsidRPr="00A900DE" w:rsidTr="006E0C96">
        <w:trPr>
          <w:trHeight w:hRule="exact" w:val="241"/>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203"/>
              <w:rPr>
                <w:rFonts w:ascii="Times New Roman" w:hAnsi="Times New Roman" w:cs="Times New Roman"/>
                <w:sz w:val="24"/>
                <w:szCs w:val="24"/>
              </w:rPr>
            </w:pPr>
            <w:r w:rsidRPr="00A900DE">
              <w:rPr>
                <w:rFonts w:ascii="Arial" w:hAnsi="Arial" w:cs="Arial"/>
                <w:sz w:val="20"/>
                <w:szCs w:val="20"/>
              </w:rPr>
              <w:t>Moderately</w:t>
            </w:r>
            <w:r w:rsidRPr="00A900DE">
              <w:rPr>
                <w:rFonts w:ascii="Arial" w:hAnsi="Arial" w:cs="Arial"/>
                <w:spacing w:val="-19"/>
                <w:sz w:val="20"/>
                <w:szCs w:val="20"/>
              </w:rPr>
              <w:t xml:space="preserve"> </w:t>
            </w:r>
            <w:r w:rsidRPr="00A900DE">
              <w:rPr>
                <w:rFonts w:ascii="Arial" w:hAnsi="Arial" w:cs="Arial"/>
                <w:spacing w:val="-1"/>
                <w:sz w:val="20"/>
                <w:szCs w:val="20"/>
              </w:rPr>
              <w:t>Severe</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496"/>
              <w:rPr>
                <w:rFonts w:ascii="Times New Roman" w:hAnsi="Times New Roman" w:cs="Times New Roman"/>
                <w:sz w:val="24"/>
                <w:szCs w:val="24"/>
              </w:rPr>
            </w:pPr>
            <w:r w:rsidRPr="00A900DE">
              <w:rPr>
                <w:rFonts w:ascii="Arial" w:hAnsi="Arial" w:cs="Arial"/>
                <w:spacing w:val="-1"/>
                <w:sz w:val="20"/>
                <w:szCs w:val="20"/>
              </w:rPr>
              <w:t>Severe</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423"/>
              <w:rPr>
                <w:rFonts w:ascii="Times New Roman" w:hAnsi="Times New Roman" w:cs="Times New Roman"/>
                <w:sz w:val="24"/>
                <w:szCs w:val="24"/>
              </w:rPr>
            </w:pPr>
            <w:r w:rsidRPr="00A900DE">
              <w:rPr>
                <w:rFonts w:ascii="Arial" w:hAnsi="Arial" w:cs="Arial"/>
                <w:spacing w:val="-1"/>
                <w:sz w:val="20"/>
                <w:szCs w:val="20"/>
              </w:rPr>
              <w:t>0.39**</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1"/>
              <w:rPr>
                <w:rFonts w:ascii="Times New Roman" w:hAnsi="Times New Roman" w:cs="Times New Roman"/>
                <w:sz w:val="24"/>
                <w:szCs w:val="24"/>
              </w:rPr>
            </w:pPr>
            <w:r w:rsidRPr="00A900DE">
              <w:rPr>
                <w:rFonts w:ascii="Arial" w:hAnsi="Arial" w:cs="Arial"/>
                <w:spacing w:val="-1"/>
                <w:sz w:val="20"/>
                <w:szCs w:val="20"/>
              </w:rPr>
              <w:t>6.84</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231"/>
              <w:rPr>
                <w:rFonts w:ascii="Times New Roman" w:hAnsi="Times New Roman" w:cs="Times New Roman"/>
                <w:sz w:val="24"/>
                <w:szCs w:val="24"/>
              </w:rPr>
            </w:pPr>
            <w:r w:rsidRPr="00A900DE">
              <w:rPr>
                <w:rFonts w:ascii="Arial" w:hAnsi="Arial" w:cs="Arial"/>
                <w:spacing w:val="-1"/>
                <w:sz w:val="20"/>
                <w:szCs w:val="20"/>
              </w:rPr>
              <w:t>1.48**</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1"/>
              <w:rPr>
                <w:rFonts w:ascii="Times New Roman" w:hAnsi="Times New Roman" w:cs="Times New Roman"/>
                <w:sz w:val="24"/>
                <w:szCs w:val="24"/>
              </w:rPr>
            </w:pPr>
            <w:r w:rsidRPr="00A900DE">
              <w:rPr>
                <w:rFonts w:ascii="Arial" w:hAnsi="Arial" w:cs="Arial"/>
                <w:spacing w:val="-1"/>
                <w:sz w:val="20"/>
                <w:szCs w:val="20"/>
              </w:rPr>
              <w:t>1.33</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75"/>
              <w:rPr>
                <w:rFonts w:ascii="Times New Roman" w:hAnsi="Times New Roman" w:cs="Times New Roman"/>
                <w:sz w:val="24"/>
                <w:szCs w:val="24"/>
              </w:rPr>
            </w:pPr>
            <w:r w:rsidRPr="00A900DE">
              <w:rPr>
                <w:rFonts w:ascii="Arial" w:hAnsi="Arial" w:cs="Arial"/>
                <w:spacing w:val="-1"/>
                <w:sz w:val="20"/>
                <w:szCs w:val="20"/>
              </w:rPr>
              <w:t>1.66</w:t>
            </w:r>
          </w:p>
        </w:tc>
      </w:tr>
      <w:tr w:rsidR="006E0C96" w:rsidRPr="00A900DE" w:rsidTr="006E0C96">
        <w:trPr>
          <w:trHeight w:hRule="exact" w:val="500"/>
        </w:trPr>
        <w:tc>
          <w:tcPr>
            <w:tcW w:w="2095" w:type="dxa"/>
            <w:tcBorders>
              <w:top w:val="single" w:sz="4" w:space="0" w:color="000000"/>
              <w:left w:val="single" w:sz="4" w:space="0" w:color="000000"/>
              <w:bottom w:val="single" w:sz="4" w:space="0" w:color="000000"/>
              <w:right w:val="single" w:sz="4" w:space="0" w:color="000000"/>
            </w:tcBorders>
          </w:tcPr>
          <w:p w:rsidR="006E0C96" w:rsidRPr="00A900DE" w:rsidRDefault="006E0C96" w:rsidP="00D57C0F">
            <w:pPr>
              <w:kinsoku w:val="0"/>
              <w:overflowPunct w:val="0"/>
              <w:autoSpaceDE w:val="0"/>
              <w:autoSpaceDN w:val="0"/>
              <w:adjustRightInd w:val="0"/>
              <w:spacing w:before="121" w:after="0" w:line="240" w:lineRule="auto"/>
              <w:ind w:right="2"/>
              <w:jc w:val="center"/>
              <w:rPr>
                <w:rFonts w:ascii="Times New Roman" w:hAnsi="Times New Roman" w:cs="Times New Roman"/>
                <w:sz w:val="24"/>
                <w:szCs w:val="24"/>
              </w:rPr>
            </w:pPr>
            <w:r w:rsidRPr="00A900DE">
              <w:rPr>
                <w:rFonts w:ascii="Calibri" w:hAnsi="Calibri" w:cs="Calibri"/>
                <w:spacing w:val="-1"/>
                <w:sz w:val="20"/>
                <w:szCs w:val="20"/>
              </w:rPr>
              <w:t>Variable</w:t>
            </w:r>
          </w:p>
        </w:tc>
        <w:tc>
          <w:tcPr>
            <w:tcW w:w="1637" w:type="dxa"/>
            <w:tcBorders>
              <w:top w:val="single" w:sz="4" w:space="0" w:color="000000"/>
              <w:left w:val="single" w:sz="4" w:space="0" w:color="000000"/>
              <w:bottom w:val="single" w:sz="4" w:space="0" w:color="000000"/>
              <w:right w:val="single" w:sz="4" w:space="0" w:color="000000"/>
            </w:tcBorders>
          </w:tcPr>
          <w:p w:rsidR="006E0C96" w:rsidRPr="00A900DE" w:rsidRDefault="006E0C96" w:rsidP="00D57C0F">
            <w:pPr>
              <w:kinsoku w:val="0"/>
              <w:overflowPunct w:val="0"/>
              <w:autoSpaceDE w:val="0"/>
              <w:autoSpaceDN w:val="0"/>
              <w:adjustRightInd w:val="0"/>
              <w:spacing w:before="121" w:after="0" w:line="240" w:lineRule="auto"/>
              <w:ind w:left="465"/>
              <w:rPr>
                <w:rFonts w:ascii="Times New Roman" w:hAnsi="Times New Roman" w:cs="Times New Roman"/>
                <w:sz w:val="24"/>
                <w:szCs w:val="24"/>
              </w:rPr>
            </w:pPr>
            <w:r w:rsidRPr="00A900DE">
              <w:rPr>
                <w:rFonts w:ascii="Calibri" w:hAnsi="Calibri" w:cs="Calibri"/>
                <w:spacing w:val="-1"/>
                <w:sz w:val="20"/>
                <w:szCs w:val="20"/>
              </w:rPr>
              <w:t>Contrast</w:t>
            </w:r>
          </w:p>
        </w:tc>
        <w:tc>
          <w:tcPr>
            <w:tcW w:w="1409" w:type="dxa"/>
            <w:tcBorders>
              <w:top w:val="single" w:sz="4" w:space="0" w:color="000000"/>
              <w:left w:val="single" w:sz="4" w:space="0" w:color="000000"/>
              <w:bottom w:val="single" w:sz="4" w:space="0" w:color="000000"/>
              <w:right w:val="single" w:sz="4" w:space="0" w:color="000000"/>
            </w:tcBorders>
          </w:tcPr>
          <w:p w:rsidR="006E0C96" w:rsidRPr="00A900DE" w:rsidRDefault="006E0C96" w:rsidP="00D57C0F">
            <w:pPr>
              <w:kinsoku w:val="0"/>
              <w:overflowPunct w:val="0"/>
              <w:autoSpaceDE w:val="0"/>
              <w:autoSpaceDN w:val="0"/>
              <w:adjustRightInd w:val="0"/>
              <w:spacing w:before="121" w:after="0" w:line="240" w:lineRule="auto"/>
              <w:ind w:left="342"/>
              <w:rPr>
                <w:rFonts w:ascii="Times New Roman" w:hAnsi="Times New Roman" w:cs="Times New Roman"/>
                <w:sz w:val="24"/>
                <w:szCs w:val="24"/>
              </w:rPr>
            </w:pPr>
            <w:r w:rsidRPr="00A900DE">
              <w:rPr>
                <w:rFonts w:ascii="Calibri" w:hAnsi="Calibri" w:cs="Calibri"/>
                <w:spacing w:val="-1"/>
                <w:sz w:val="20"/>
                <w:szCs w:val="20"/>
              </w:rPr>
              <w:t>Estimate</w:t>
            </w:r>
          </w:p>
        </w:tc>
        <w:tc>
          <w:tcPr>
            <w:tcW w:w="1023" w:type="dxa"/>
            <w:tcBorders>
              <w:top w:val="single" w:sz="4" w:space="0" w:color="000000"/>
              <w:left w:val="single" w:sz="4" w:space="0" w:color="000000"/>
              <w:bottom w:val="single" w:sz="4" w:space="0" w:color="000000"/>
              <w:right w:val="single" w:sz="4" w:space="0" w:color="000000"/>
            </w:tcBorders>
          </w:tcPr>
          <w:p w:rsidR="006E0C96" w:rsidRPr="00A900DE" w:rsidRDefault="006E0C96" w:rsidP="00D57C0F">
            <w:pPr>
              <w:kinsoku w:val="0"/>
              <w:overflowPunct w:val="0"/>
              <w:autoSpaceDE w:val="0"/>
              <w:autoSpaceDN w:val="0"/>
              <w:adjustRightInd w:val="0"/>
              <w:spacing w:before="121" w:after="0" w:line="240" w:lineRule="auto"/>
              <w:ind w:left="208"/>
              <w:rPr>
                <w:rFonts w:ascii="Times New Roman" w:hAnsi="Times New Roman" w:cs="Times New Roman"/>
                <w:sz w:val="24"/>
                <w:szCs w:val="24"/>
              </w:rPr>
            </w:pPr>
            <w:r w:rsidRPr="00A900DE">
              <w:rPr>
                <w:rFonts w:ascii="Calibri" w:hAnsi="Calibri" w:cs="Calibri"/>
                <w:spacing w:val="-1"/>
                <w:sz w:val="20"/>
                <w:szCs w:val="20"/>
              </w:rPr>
              <w:t>T-value</w:t>
            </w:r>
          </w:p>
        </w:tc>
        <w:tc>
          <w:tcPr>
            <w:tcW w:w="1024" w:type="dxa"/>
            <w:tcBorders>
              <w:top w:val="single" w:sz="4" w:space="0" w:color="000000"/>
              <w:left w:val="single" w:sz="4" w:space="0" w:color="000000"/>
              <w:bottom w:val="single" w:sz="4" w:space="0" w:color="000000"/>
              <w:right w:val="single" w:sz="4" w:space="0" w:color="000000"/>
            </w:tcBorders>
          </w:tcPr>
          <w:p w:rsidR="006E0C96" w:rsidRPr="00A900DE" w:rsidRDefault="006E0C96" w:rsidP="00D57C0F">
            <w:pPr>
              <w:kinsoku w:val="0"/>
              <w:overflowPunct w:val="0"/>
              <w:autoSpaceDE w:val="0"/>
              <w:autoSpaceDN w:val="0"/>
              <w:adjustRightInd w:val="0"/>
              <w:spacing w:after="0" w:line="240" w:lineRule="auto"/>
              <w:ind w:left="294" w:right="294"/>
              <w:rPr>
                <w:rFonts w:ascii="Times New Roman" w:hAnsi="Times New Roman" w:cs="Times New Roman"/>
                <w:sz w:val="24"/>
                <w:szCs w:val="24"/>
              </w:rPr>
            </w:pPr>
            <w:r w:rsidRPr="00A900DE">
              <w:rPr>
                <w:rFonts w:ascii="Calibri" w:hAnsi="Calibri" w:cs="Calibri"/>
                <w:spacing w:val="-1"/>
                <w:sz w:val="20"/>
                <w:szCs w:val="20"/>
              </w:rPr>
              <w:t>Odds</w:t>
            </w:r>
            <w:r w:rsidRPr="00A900DE">
              <w:rPr>
                <w:rFonts w:ascii="Calibri" w:hAnsi="Calibri" w:cs="Calibri"/>
                <w:spacing w:val="23"/>
                <w:w w:val="99"/>
                <w:sz w:val="20"/>
                <w:szCs w:val="20"/>
              </w:rPr>
              <w:t xml:space="preserve"> </w:t>
            </w:r>
            <w:r w:rsidRPr="00A900DE">
              <w:rPr>
                <w:rFonts w:ascii="Calibri" w:hAnsi="Calibri" w:cs="Calibri"/>
                <w:w w:val="95"/>
                <w:sz w:val="20"/>
                <w:szCs w:val="20"/>
              </w:rPr>
              <w:t>Ratio</w:t>
            </w:r>
          </w:p>
        </w:tc>
        <w:tc>
          <w:tcPr>
            <w:tcW w:w="1021" w:type="dxa"/>
            <w:tcBorders>
              <w:top w:val="single" w:sz="4" w:space="0" w:color="000000"/>
              <w:left w:val="single" w:sz="4" w:space="0" w:color="000000"/>
              <w:bottom w:val="single" w:sz="4" w:space="0" w:color="000000"/>
              <w:right w:val="single" w:sz="4" w:space="0" w:color="000000"/>
            </w:tcBorders>
          </w:tcPr>
          <w:p w:rsidR="006E0C96" w:rsidRPr="00A900DE" w:rsidRDefault="006E0C96" w:rsidP="00D57C0F">
            <w:pPr>
              <w:kinsoku w:val="0"/>
              <w:overflowPunct w:val="0"/>
              <w:autoSpaceDE w:val="0"/>
              <w:autoSpaceDN w:val="0"/>
              <w:adjustRightInd w:val="0"/>
              <w:spacing w:after="0" w:line="240" w:lineRule="auto"/>
              <w:ind w:left="231" w:right="231" w:firstLine="21"/>
              <w:rPr>
                <w:rFonts w:ascii="Times New Roman" w:hAnsi="Times New Roman" w:cs="Times New Roman"/>
                <w:sz w:val="24"/>
                <w:szCs w:val="24"/>
              </w:rPr>
            </w:pPr>
            <w:r w:rsidRPr="00A900DE">
              <w:rPr>
                <w:rFonts w:ascii="Calibri" w:hAnsi="Calibri" w:cs="Calibri"/>
                <w:spacing w:val="-1"/>
                <w:sz w:val="20"/>
                <w:szCs w:val="20"/>
              </w:rPr>
              <w:t>Lower</w:t>
            </w:r>
            <w:r w:rsidRPr="00A900DE">
              <w:rPr>
                <w:rFonts w:ascii="Calibri" w:hAnsi="Calibri" w:cs="Calibri"/>
                <w:spacing w:val="22"/>
                <w:w w:val="99"/>
                <w:sz w:val="20"/>
                <w:szCs w:val="20"/>
              </w:rPr>
              <w:t xml:space="preserve"> </w:t>
            </w:r>
            <w:r w:rsidRPr="00A900DE">
              <w:rPr>
                <w:rFonts w:ascii="Calibri" w:hAnsi="Calibri" w:cs="Calibri"/>
                <w:sz w:val="20"/>
                <w:szCs w:val="20"/>
              </w:rPr>
              <w:t>95%</w:t>
            </w:r>
            <w:r w:rsidRPr="00A900DE">
              <w:rPr>
                <w:rFonts w:ascii="Calibri" w:hAnsi="Calibri" w:cs="Calibri"/>
                <w:spacing w:val="-8"/>
                <w:sz w:val="20"/>
                <w:szCs w:val="20"/>
              </w:rPr>
              <w:t xml:space="preserve"> </w:t>
            </w:r>
            <w:r w:rsidRPr="00A900DE">
              <w:rPr>
                <w:rFonts w:ascii="Calibri" w:hAnsi="Calibri" w:cs="Calibri"/>
                <w:spacing w:val="-1"/>
                <w:sz w:val="20"/>
                <w:szCs w:val="20"/>
              </w:rPr>
              <w:t>CI</w:t>
            </w:r>
          </w:p>
        </w:tc>
        <w:tc>
          <w:tcPr>
            <w:tcW w:w="1152" w:type="dxa"/>
            <w:tcBorders>
              <w:top w:val="single" w:sz="4" w:space="0" w:color="000000"/>
              <w:left w:val="single" w:sz="4" w:space="0" w:color="000000"/>
              <w:bottom w:val="single" w:sz="4" w:space="0" w:color="000000"/>
              <w:right w:val="single" w:sz="4" w:space="0" w:color="000000"/>
            </w:tcBorders>
          </w:tcPr>
          <w:p w:rsidR="006E0C96" w:rsidRPr="00A900DE" w:rsidRDefault="006E0C96" w:rsidP="00D57C0F">
            <w:pPr>
              <w:kinsoku w:val="0"/>
              <w:overflowPunct w:val="0"/>
              <w:autoSpaceDE w:val="0"/>
              <w:autoSpaceDN w:val="0"/>
              <w:adjustRightInd w:val="0"/>
              <w:spacing w:after="0" w:line="240" w:lineRule="auto"/>
              <w:ind w:left="296" w:right="297" w:firstLine="19"/>
              <w:rPr>
                <w:rFonts w:ascii="Times New Roman" w:hAnsi="Times New Roman" w:cs="Times New Roman"/>
                <w:sz w:val="24"/>
                <w:szCs w:val="24"/>
              </w:rPr>
            </w:pPr>
            <w:r w:rsidRPr="00A900DE">
              <w:rPr>
                <w:rFonts w:ascii="Calibri" w:hAnsi="Calibri" w:cs="Calibri"/>
                <w:spacing w:val="-1"/>
                <w:sz w:val="20"/>
                <w:szCs w:val="20"/>
              </w:rPr>
              <w:t>Upper</w:t>
            </w:r>
            <w:r w:rsidRPr="00A900DE">
              <w:rPr>
                <w:rFonts w:ascii="Calibri" w:hAnsi="Calibri" w:cs="Calibri"/>
                <w:spacing w:val="23"/>
                <w:w w:val="99"/>
                <w:sz w:val="20"/>
                <w:szCs w:val="20"/>
              </w:rPr>
              <w:t xml:space="preserve"> </w:t>
            </w:r>
            <w:r w:rsidRPr="00A900DE">
              <w:rPr>
                <w:rFonts w:ascii="Calibri" w:hAnsi="Calibri" w:cs="Calibri"/>
                <w:sz w:val="20"/>
                <w:szCs w:val="20"/>
              </w:rPr>
              <w:t>95%</w:t>
            </w:r>
            <w:r w:rsidRPr="00A900DE">
              <w:rPr>
                <w:rFonts w:ascii="Calibri" w:hAnsi="Calibri" w:cs="Calibri"/>
                <w:spacing w:val="-8"/>
                <w:sz w:val="20"/>
                <w:szCs w:val="20"/>
              </w:rPr>
              <w:t xml:space="preserve"> </w:t>
            </w:r>
            <w:r w:rsidRPr="00A900DE">
              <w:rPr>
                <w:rFonts w:ascii="Calibri" w:hAnsi="Calibri" w:cs="Calibri"/>
                <w:spacing w:val="-1"/>
                <w:sz w:val="20"/>
                <w:szCs w:val="20"/>
              </w:rPr>
              <w:t>CI</w:t>
            </w:r>
          </w:p>
        </w:tc>
      </w:tr>
      <w:tr w:rsidR="00A900DE" w:rsidRPr="00A900DE" w:rsidTr="006E0C96">
        <w:trPr>
          <w:trHeight w:hRule="exact" w:val="239"/>
        </w:trPr>
        <w:tc>
          <w:tcPr>
            <w:tcW w:w="2095"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8" w:lineRule="exact"/>
              <w:ind w:left="152"/>
              <w:rPr>
                <w:rFonts w:ascii="Times New Roman" w:hAnsi="Times New Roman" w:cs="Times New Roman"/>
                <w:sz w:val="24"/>
                <w:szCs w:val="24"/>
              </w:rPr>
            </w:pPr>
            <w:r w:rsidRPr="00A900DE">
              <w:rPr>
                <w:rFonts w:ascii="Arial" w:hAnsi="Arial" w:cs="Arial"/>
                <w:sz w:val="20"/>
                <w:szCs w:val="20"/>
              </w:rPr>
              <w:t>Distance</w:t>
            </w:r>
            <w:r w:rsidRPr="00A900DE">
              <w:rPr>
                <w:rFonts w:ascii="Arial" w:hAnsi="Arial" w:cs="Arial"/>
                <w:spacing w:val="-10"/>
                <w:sz w:val="20"/>
                <w:szCs w:val="20"/>
              </w:rPr>
              <w:t xml:space="preserve"> </w:t>
            </w:r>
            <w:r w:rsidRPr="00A900DE">
              <w:rPr>
                <w:rFonts w:ascii="Arial" w:hAnsi="Arial" w:cs="Arial"/>
                <w:sz w:val="20"/>
                <w:szCs w:val="20"/>
              </w:rPr>
              <w:t>from</w:t>
            </w:r>
            <w:r w:rsidRPr="00A900DE">
              <w:rPr>
                <w:rFonts w:ascii="Arial" w:hAnsi="Arial" w:cs="Arial"/>
                <w:spacing w:val="-5"/>
                <w:sz w:val="20"/>
                <w:szCs w:val="20"/>
              </w:rPr>
              <w:t xml:space="preserve"> </w:t>
            </w:r>
            <w:r w:rsidRPr="00A900DE">
              <w:rPr>
                <w:rFonts w:ascii="Arial" w:hAnsi="Arial" w:cs="Arial"/>
                <w:spacing w:val="-1"/>
                <w:sz w:val="20"/>
                <w:szCs w:val="20"/>
              </w:rPr>
              <w:t>Clinic</w:t>
            </w:r>
          </w:p>
        </w:tc>
        <w:tc>
          <w:tcPr>
            <w:tcW w:w="1637"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40"/>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666"/>
              <w:rPr>
                <w:rFonts w:ascii="Times New Roman" w:hAnsi="Times New Roman" w:cs="Times New Roman"/>
                <w:sz w:val="24"/>
                <w:szCs w:val="24"/>
              </w:rPr>
            </w:pPr>
            <w:r w:rsidRPr="00A900DE">
              <w:rPr>
                <w:rFonts w:ascii="Arial" w:hAnsi="Arial" w:cs="Arial"/>
                <w:spacing w:val="-1"/>
                <w:sz w:val="20"/>
                <w:szCs w:val="20"/>
              </w:rPr>
              <w:t>&lt;5</w:t>
            </w:r>
            <w:r w:rsidRPr="00A900DE">
              <w:rPr>
                <w:rFonts w:ascii="Arial" w:hAnsi="Arial" w:cs="Arial"/>
                <w:spacing w:val="-8"/>
                <w:sz w:val="20"/>
                <w:szCs w:val="20"/>
              </w:rPr>
              <w:t xml:space="preserve"> </w:t>
            </w:r>
            <w:r w:rsidRPr="00A900DE">
              <w:rPr>
                <w:rFonts w:ascii="Arial" w:hAnsi="Arial" w:cs="Arial"/>
                <w:sz w:val="20"/>
                <w:szCs w:val="20"/>
              </w:rPr>
              <w:t>miles</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83"/>
              <w:rPr>
                <w:rFonts w:ascii="Times New Roman" w:hAnsi="Times New Roman" w:cs="Times New Roman"/>
                <w:sz w:val="24"/>
                <w:szCs w:val="24"/>
              </w:rPr>
            </w:pPr>
            <w:r w:rsidRPr="00A900DE">
              <w:rPr>
                <w:rFonts w:ascii="Arial" w:hAnsi="Arial" w:cs="Arial"/>
                <w:sz w:val="20"/>
                <w:szCs w:val="20"/>
              </w:rPr>
              <w:t>Same</w:t>
            </w:r>
            <w:r w:rsidRPr="00A900DE">
              <w:rPr>
                <w:rFonts w:ascii="Arial" w:hAnsi="Arial" w:cs="Arial"/>
                <w:spacing w:val="-9"/>
                <w:sz w:val="20"/>
                <w:szCs w:val="20"/>
              </w:rPr>
              <w:t xml:space="preserve"> </w:t>
            </w:r>
            <w:r w:rsidRPr="00A900DE">
              <w:rPr>
                <w:rFonts w:ascii="Arial" w:hAnsi="Arial" w:cs="Arial"/>
                <w:spacing w:val="-1"/>
                <w:sz w:val="20"/>
                <w:szCs w:val="20"/>
              </w:rPr>
              <w:t>Zip</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right="4"/>
              <w:jc w:val="center"/>
              <w:rPr>
                <w:rFonts w:ascii="Times New Roman" w:hAnsi="Times New Roman" w:cs="Times New Roman"/>
                <w:sz w:val="24"/>
                <w:szCs w:val="24"/>
              </w:rPr>
            </w:pPr>
            <w:r w:rsidRPr="00A900DE">
              <w:rPr>
                <w:rFonts w:ascii="Arial" w:hAnsi="Arial" w:cs="Arial"/>
                <w:spacing w:val="-1"/>
                <w:sz w:val="20"/>
                <w:szCs w:val="20"/>
              </w:rPr>
              <w:t>-0.05</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277"/>
              <w:rPr>
                <w:rFonts w:ascii="Times New Roman" w:hAnsi="Times New Roman" w:cs="Times New Roman"/>
                <w:sz w:val="24"/>
                <w:szCs w:val="24"/>
              </w:rPr>
            </w:pPr>
            <w:r w:rsidRPr="00A900DE">
              <w:rPr>
                <w:rFonts w:ascii="Arial" w:hAnsi="Arial" w:cs="Arial"/>
                <w:spacing w:val="-1"/>
                <w:sz w:val="20"/>
                <w:szCs w:val="20"/>
              </w:rPr>
              <w:t>-0.86</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10"/>
              <w:rPr>
                <w:rFonts w:ascii="Times New Roman" w:hAnsi="Times New Roman" w:cs="Times New Roman"/>
                <w:sz w:val="24"/>
                <w:szCs w:val="24"/>
              </w:rPr>
            </w:pPr>
            <w:r w:rsidRPr="00A900DE">
              <w:rPr>
                <w:rFonts w:ascii="Arial" w:hAnsi="Arial" w:cs="Arial"/>
                <w:spacing w:val="-1"/>
                <w:sz w:val="20"/>
                <w:szCs w:val="20"/>
              </w:rPr>
              <w:t>0.95</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11"/>
              <w:rPr>
                <w:rFonts w:ascii="Times New Roman" w:hAnsi="Times New Roman" w:cs="Times New Roman"/>
                <w:sz w:val="24"/>
                <w:szCs w:val="24"/>
              </w:rPr>
            </w:pPr>
            <w:r w:rsidRPr="00A900DE">
              <w:rPr>
                <w:rFonts w:ascii="Arial" w:hAnsi="Arial" w:cs="Arial"/>
                <w:spacing w:val="-1"/>
                <w:sz w:val="20"/>
                <w:szCs w:val="20"/>
              </w:rPr>
              <w:t>0.85</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75"/>
              <w:rPr>
                <w:rFonts w:ascii="Times New Roman" w:hAnsi="Times New Roman" w:cs="Times New Roman"/>
                <w:sz w:val="24"/>
                <w:szCs w:val="24"/>
              </w:rPr>
            </w:pPr>
            <w:r w:rsidRPr="00A900DE">
              <w:rPr>
                <w:rFonts w:ascii="Arial" w:hAnsi="Arial" w:cs="Arial"/>
                <w:spacing w:val="-1"/>
                <w:sz w:val="20"/>
                <w:szCs w:val="20"/>
              </w:rPr>
              <w:t>1.07</w:t>
            </w:r>
          </w:p>
        </w:tc>
      </w:tr>
      <w:tr w:rsidR="00A900DE" w:rsidRPr="00A900DE" w:rsidTr="006E0C96">
        <w:trPr>
          <w:trHeight w:hRule="exact" w:val="241"/>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579"/>
              <w:rPr>
                <w:rFonts w:ascii="Times New Roman" w:hAnsi="Times New Roman" w:cs="Times New Roman"/>
                <w:sz w:val="24"/>
                <w:szCs w:val="24"/>
              </w:rPr>
            </w:pPr>
            <w:r w:rsidRPr="00A900DE">
              <w:rPr>
                <w:rFonts w:ascii="Arial" w:hAnsi="Arial" w:cs="Arial"/>
                <w:spacing w:val="-1"/>
                <w:sz w:val="20"/>
                <w:szCs w:val="20"/>
              </w:rPr>
              <w:lastRenderedPageBreak/>
              <w:t>5-10</w:t>
            </w:r>
            <w:r w:rsidRPr="00A900DE">
              <w:rPr>
                <w:rFonts w:ascii="Arial" w:hAnsi="Arial" w:cs="Arial"/>
                <w:spacing w:val="-10"/>
                <w:sz w:val="20"/>
                <w:szCs w:val="20"/>
              </w:rPr>
              <w:t xml:space="preserve"> </w:t>
            </w:r>
            <w:r w:rsidRPr="00A900DE">
              <w:rPr>
                <w:rFonts w:ascii="Arial" w:hAnsi="Arial" w:cs="Arial"/>
                <w:sz w:val="20"/>
                <w:szCs w:val="20"/>
              </w:rPr>
              <w:t>miles</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83"/>
              <w:rPr>
                <w:rFonts w:ascii="Times New Roman" w:hAnsi="Times New Roman" w:cs="Times New Roman"/>
                <w:sz w:val="24"/>
                <w:szCs w:val="24"/>
              </w:rPr>
            </w:pPr>
            <w:r w:rsidRPr="00A900DE">
              <w:rPr>
                <w:rFonts w:ascii="Arial" w:hAnsi="Arial" w:cs="Arial"/>
                <w:sz w:val="20"/>
                <w:szCs w:val="20"/>
              </w:rPr>
              <w:t>Same</w:t>
            </w:r>
            <w:r w:rsidRPr="00A900DE">
              <w:rPr>
                <w:rFonts w:ascii="Arial" w:hAnsi="Arial" w:cs="Arial"/>
                <w:spacing w:val="-9"/>
                <w:sz w:val="20"/>
                <w:szCs w:val="20"/>
              </w:rPr>
              <w:t xml:space="preserve"> </w:t>
            </w:r>
            <w:r w:rsidRPr="00A900DE">
              <w:rPr>
                <w:rFonts w:ascii="Arial" w:hAnsi="Arial" w:cs="Arial"/>
                <w:spacing w:val="-1"/>
                <w:sz w:val="20"/>
                <w:szCs w:val="20"/>
              </w:rPr>
              <w:t>Zip</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right="4"/>
              <w:jc w:val="center"/>
              <w:rPr>
                <w:rFonts w:ascii="Times New Roman" w:hAnsi="Times New Roman" w:cs="Times New Roman"/>
                <w:sz w:val="24"/>
                <w:szCs w:val="24"/>
              </w:rPr>
            </w:pPr>
            <w:r w:rsidRPr="00A900DE">
              <w:rPr>
                <w:rFonts w:ascii="Arial" w:hAnsi="Arial" w:cs="Arial"/>
                <w:spacing w:val="-1"/>
                <w:sz w:val="20"/>
                <w:szCs w:val="20"/>
              </w:rPr>
              <w:t>-0.09</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277"/>
              <w:rPr>
                <w:rFonts w:ascii="Times New Roman" w:hAnsi="Times New Roman" w:cs="Times New Roman"/>
                <w:sz w:val="24"/>
                <w:szCs w:val="24"/>
              </w:rPr>
            </w:pPr>
            <w:r w:rsidRPr="00A900DE">
              <w:rPr>
                <w:rFonts w:ascii="Arial" w:hAnsi="Arial" w:cs="Arial"/>
                <w:spacing w:val="-1"/>
                <w:sz w:val="20"/>
                <w:szCs w:val="20"/>
              </w:rPr>
              <w:t>-1.44</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0"/>
              <w:rPr>
                <w:rFonts w:ascii="Times New Roman" w:hAnsi="Times New Roman" w:cs="Times New Roman"/>
                <w:sz w:val="24"/>
                <w:szCs w:val="24"/>
              </w:rPr>
            </w:pPr>
            <w:r w:rsidRPr="00A900DE">
              <w:rPr>
                <w:rFonts w:ascii="Arial" w:hAnsi="Arial" w:cs="Arial"/>
                <w:spacing w:val="-1"/>
                <w:sz w:val="20"/>
                <w:szCs w:val="20"/>
              </w:rPr>
              <w:t>0.92</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1"/>
              <w:rPr>
                <w:rFonts w:ascii="Times New Roman" w:hAnsi="Times New Roman" w:cs="Times New Roman"/>
                <w:sz w:val="24"/>
                <w:szCs w:val="24"/>
              </w:rPr>
            </w:pPr>
            <w:r w:rsidRPr="00A900DE">
              <w:rPr>
                <w:rFonts w:ascii="Arial" w:hAnsi="Arial" w:cs="Arial"/>
                <w:spacing w:val="-1"/>
                <w:sz w:val="20"/>
                <w:szCs w:val="20"/>
              </w:rPr>
              <w:t>0.82</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75"/>
              <w:rPr>
                <w:rFonts w:ascii="Times New Roman" w:hAnsi="Times New Roman" w:cs="Times New Roman"/>
                <w:sz w:val="24"/>
                <w:szCs w:val="24"/>
              </w:rPr>
            </w:pPr>
            <w:r w:rsidRPr="00A900DE">
              <w:rPr>
                <w:rFonts w:ascii="Arial" w:hAnsi="Arial" w:cs="Arial"/>
                <w:spacing w:val="-1"/>
                <w:sz w:val="20"/>
                <w:szCs w:val="20"/>
              </w:rPr>
              <w:t>1.03</w:t>
            </w:r>
          </w:p>
        </w:tc>
      </w:tr>
      <w:tr w:rsidR="00A900DE" w:rsidRPr="00A900DE" w:rsidTr="006E0C96">
        <w:trPr>
          <w:trHeight w:hRule="exact" w:val="240"/>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524"/>
              <w:rPr>
                <w:rFonts w:ascii="Times New Roman" w:hAnsi="Times New Roman" w:cs="Times New Roman"/>
                <w:sz w:val="24"/>
                <w:szCs w:val="24"/>
              </w:rPr>
            </w:pPr>
            <w:r w:rsidRPr="00A900DE">
              <w:rPr>
                <w:rFonts w:ascii="Arial" w:hAnsi="Arial" w:cs="Arial"/>
                <w:spacing w:val="-1"/>
                <w:sz w:val="20"/>
                <w:szCs w:val="20"/>
              </w:rPr>
              <w:t>10-20</w:t>
            </w:r>
            <w:r w:rsidRPr="00A900DE">
              <w:rPr>
                <w:rFonts w:ascii="Arial" w:hAnsi="Arial" w:cs="Arial"/>
                <w:spacing w:val="-11"/>
                <w:sz w:val="20"/>
                <w:szCs w:val="20"/>
              </w:rPr>
              <w:t xml:space="preserve"> </w:t>
            </w:r>
            <w:r w:rsidRPr="00A900DE">
              <w:rPr>
                <w:rFonts w:ascii="Arial" w:hAnsi="Arial" w:cs="Arial"/>
                <w:sz w:val="20"/>
                <w:szCs w:val="20"/>
              </w:rPr>
              <w:t>miles</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83"/>
              <w:rPr>
                <w:rFonts w:ascii="Times New Roman" w:hAnsi="Times New Roman" w:cs="Times New Roman"/>
                <w:sz w:val="24"/>
                <w:szCs w:val="24"/>
              </w:rPr>
            </w:pPr>
            <w:r w:rsidRPr="00A900DE">
              <w:rPr>
                <w:rFonts w:ascii="Arial" w:hAnsi="Arial" w:cs="Arial"/>
                <w:sz w:val="20"/>
                <w:szCs w:val="20"/>
              </w:rPr>
              <w:t>Same</w:t>
            </w:r>
            <w:r w:rsidRPr="00A900DE">
              <w:rPr>
                <w:rFonts w:ascii="Arial" w:hAnsi="Arial" w:cs="Arial"/>
                <w:spacing w:val="-9"/>
                <w:sz w:val="20"/>
                <w:szCs w:val="20"/>
              </w:rPr>
              <w:t xml:space="preserve"> </w:t>
            </w:r>
            <w:r w:rsidRPr="00A900DE">
              <w:rPr>
                <w:rFonts w:ascii="Arial" w:hAnsi="Arial" w:cs="Arial"/>
                <w:spacing w:val="-1"/>
                <w:sz w:val="20"/>
                <w:szCs w:val="20"/>
              </w:rPr>
              <w:t>Zip</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right="4"/>
              <w:jc w:val="center"/>
              <w:rPr>
                <w:rFonts w:ascii="Times New Roman" w:hAnsi="Times New Roman" w:cs="Times New Roman"/>
                <w:sz w:val="24"/>
                <w:szCs w:val="24"/>
              </w:rPr>
            </w:pPr>
            <w:r w:rsidRPr="00A900DE">
              <w:rPr>
                <w:rFonts w:ascii="Arial" w:hAnsi="Arial" w:cs="Arial"/>
                <w:spacing w:val="-1"/>
                <w:sz w:val="20"/>
                <w:szCs w:val="20"/>
              </w:rPr>
              <w:t>-0.06</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277"/>
              <w:rPr>
                <w:rFonts w:ascii="Times New Roman" w:hAnsi="Times New Roman" w:cs="Times New Roman"/>
                <w:sz w:val="24"/>
                <w:szCs w:val="24"/>
              </w:rPr>
            </w:pPr>
            <w:r w:rsidRPr="00A900DE">
              <w:rPr>
                <w:rFonts w:ascii="Arial" w:hAnsi="Arial" w:cs="Arial"/>
                <w:spacing w:val="-1"/>
                <w:sz w:val="20"/>
                <w:szCs w:val="20"/>
              </w:rPr>
              <w:t>-1.03</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10"/>
              <w:rPr>
                <w:rFonts w:ascii="Times New Roman" w:hAnsi="Times New Roman" w:cs="Times New Roman"/>
                <w:sz w:val="24"/>
                <w:szCs w:val="24"/>
              </w:rPr>
            </w:pPr>
            <w:r w:rsidRPr="00A900DE">
              <w:rPr>
                <w:rFonts w:ascii="Arial" w:hAnsi="Arial" w:cs="Arial"/>
                <w:spacing w:val="-1"/>
                <w:sz w:val="20"/>
                <w:szCs w:val="20"/>
              </w:rPr>
              <w:t>0.94</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11"/>
              <w:rPr>
                <w:rFonts w:ascii="Times New Roman" w:hAnsi="Times New Roman" w:cs="Times New Roman"/>
                <w:sz w:val="24"/>
                <w:szCs w:val="24"/>
              </w:rPr>
            </w:pPr>
            <w:r w:rsidRPr="00A900DE">
              <w:rPr>
                <w:rFonts w:ascii="Arial" w:hAnsi="Arial" w:cs="Arial"/>
                <w:spacing w:val="-1"/>
                <w:sz w:val="20"/>
                <w:szCs w:val="20"/>
              </w:rPr>
              <w:t>0.83</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8" w:lineRule="exact"/>
              <w:ind w:left="375"/>
              <w:rPr>
                <w:rFonts w:ascii="Times New Roman" w:hAnsi="Times New Roman" w:cs="Times New Roman"/>
                <w:sz w:val="24"/>
                <w:szCs w:val="24"/>
              </w:rPr>
            </w:pPr>
            <w:r w:rsidRPr="00A900DE">
              <w:rPr>
                <w:rFonts w:ascii="Arial" w:hAnsi="Arial" w:cs="Arial"/>
                <w:spacing w:val="-1"/>
                <w:sz w:val="20"/>
                <w:szCs w:val="20"/>
              </w:rPr>
              <w:t>1.06</w:t>
            </w:r>
          </w:p>
        </w:tc>
      </w:tr>
      <w:tr w:rsidR="00A900DE" w:rsidRPr="00A900DE" w:rsidTr="006E0C96">
        <w:trPr>
          <w:trHeight w:hRule="exact" w:val="241"/>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610"/>
              <w:rPr>
                <w:rFonts w:ascii="Times New Roman" w:hAnsi="Times New Roman" w:cs="Times New Roman"/>
                <w:sz w:val="24"/>
                <w:szCs w:val="24"/>
              </w:rPr>
            </w:pPr>
            <w:r w:rsidRPr="00A900DE">
              <w:rPr>
                <w:rFonts w:ascii="Arial" w:hAnsi="Arial" w:cs="Arial"/>
                <w:spacing w:val="-1"/>
                <w:sz w:val="20"/>
                <w:szCs w:val="20"/>
              </w:rPr>
              <w:t>20+</w:t>
            </w:r>
            <w:r w:rsidRPr="00A900DE">
              <w:rPr>
                <w:rFonts w:ascii="Arial" w:hAnsi="Arial" w:cs="Arial"/>
                <w:spacing w:val="-9"/>
                <w:sz w:val="20"/>
                <w:szCs w:val="20"/>
              </w:rPr>
              <w:t xml:space="preserve"> </w:t>
            </w:r>
            <w:r w:rsidRPr="00A900DE">
              <w:rPr>
                <w:rFonts w:ascii="Arial" w:hAnsi="Arial" w:cs="Arial"/>
                <w:sz w:val="20"/>
                <w:szCs w:val="20"/>
              </w:rPr>
              <w:t>miles</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83"/>
              <w:rPr>
                <w:rFonts w:ascii="Times New Roman" w:hAnsi="Times New Roman" w:cs="Times New Roman"/>
                <w:sz w:val="24"/>
                <w:szCs w:val="24"/>
              </w:rPr>
            </w:pPr>
            <w:r w:rsidRPr="00A900DE">
              <w:rPr>
                <w:rFonts w:ascii="Arial" w:hAnsi="Arial" w:cs="Arial"/>
                <w:sz w:val="20"/>
                <w:szCs w:val="20"/>
              </w:rPr>
              <w:t>Same</w:t>
            </w:r>
            <w:r w:rsidRPr="00A900DE">
              <w:rPr>
                <w:rFonts w:ascii="Arial" w:hAnsi="Arial" w:cs="Arial"/>
                <w:spacing w:val="-9"/>
                <w:sz w:val="20"/>
                <w:szCs w:val="20"/>
              </w:rPr>
              <w:t xml:space="preserve"> </w:t>
            </w:r>
            <w:r w:rsidRPr="00A900DE">
              <w:rPr>
                <w:rFonts w:ascii="Arial" w:hAnsi="Arial" w:cs="Arial"/>
                <w:spacing w:val="-1"/>
                <w:sz w:val="20"/>
                <w:szCs w:val="20"/>
              </w:rPr>
              <w:t>Zip</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right="4"/>
              <w:jc w:val="center"/>
              <w:rPr>
                <w:rFonts w:ascii="Times New Roman" w:hAnsi="Times New Roman" w:cs="Times New Roman"/>
                <w:sz w:val="24"/>
                <w:szCs w:val="24"/>
              </w:rPr>
            </w:pPr>
            <w:r w:rsidRPr="00A900DE">
              <w:rPr>
                <w:rFonts w:ascii="Arial" w:hAnsi="Arial" w:cs="Arial"/>
                <w:spacing w:val="-1"/>
                <w:sz w:val="20"/>
                <w:szCs w:val="20"/>
              </w:rPr>
              <w:t>-0.10</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277"/>
              <w:rPr>
                <w:rFonts w:ascii="Times New Roman" w:hAnsi="Times New Roman" w:cs="Times New Roman"/>
                <w:sz w:val="24"/>
                <w:szCs w:val="24"/>
              </w:rPr>
            </w:pPr>
            <w:r w:rsidRPr="00A900DE">
              <w:rPr>
                <w:rFonts w:ascii="Arial" w:hAnsi="Arial" w:cs="Arial"/>
                <w:spacing w:val="-1"/>
                <w:sz w:val="20"/>
                <w:szCs w:val="20"/>
              </w:rPr>
              <w:t>-1.33</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0"/>
              <w:rPr>
                <w:rFonts w:ascii="Times New Roman" w:hAnsi="Times New Roman" w:cs="Times New Roman"/>
                <w:sz w:val="24"/>
                <w:szCs w:val="24"/>
              </w:rPr>
            </w:pPr>
            <w:r w:rsidRPr="00A900DE">
              <w:rPr>
                <w:rFonts w:ascii="Arial" w:hAnsi="Arial" w:cs="Arial"/>
                <w:spacing w:val="-1"/>
                <w:sz w:val="20"/>
                <w:szCs w:val="20"/>
              </w:rPr>
              <w:t>0.90</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11"/>
              <w:rPr>
                <w:rFonts w:ascii="Times New Roman" w:hAnsi="Times New Roman" w:cs="Times New Roman"/>
                <w:sz w:val="24"/>
                <w:szCs w:val="24"/>
              </w:rPr>
            </w:pPr>
            <w:r w:rsidRPr="00A900DE">
              <w:rPr>
                <w:rFonts w:ascii="Arial" w:hAnsi="Arial" w:cs="Arial"/>
                <w:spacing w:val="-1"/>
                <w:sz w:val="20"/>
                <w:szCs w:val="20"/>
              </w:rPr>
              <w:t>0.78</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375"/>
              <w:rPr>
                <w:rFonts w:ascii="Times New Roman" w:hAnsi="Times New Roman" w:cs="Times New Roman"/>
                <w:sz w:val="24"/>
                <w:szCs w:val="24"/>
              </w:rPr>
            </w:pPr>
            <w:r w:rsidRPr="00A900DE">
              <w:rPr>
                <w:rFonts w:ascii="Arial" w:hAnsi="Arial" w:cs="Arial"/>
                <w:spacing w:val="-1"/>
                <w:sz w:val="20"/>
                <w:szCs w:val="20"/>
              </w:rPr>
              <w:t>1.05</w:t>
            </w:r>
          </w:p>
        </w:tc>
      </w:tr>
      <w:tr w:rsidR="00A900DE" w:rsidRPr="00A900DE" w:rsidTr="006E0C96">
        <w:trPr>
          <w:trHeight w:hRule="exact" w:val="239"/>
        </w:trPr>
        <w:tc>
          <w:tcPr>
            <w:tcW w:w="2095"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8" w:lineRule="exact"/>
              <w:ind w:left="601"/>
              <w:rPr>
                <w:rFonts w:ascii="Times New Roman" w:hAnsi="Times New Roman" w:cs="Times New Roman"/>
                <w:sz w:val="24"/>
                <w:szCs w:val="24"/>
              </w:rPr>
            </w:pPr>
            <w:r w:rsidRPr="00A900DE">
              <w:rPr>
                <w:rFonts w:ascii="Arial" w:hAnsi="Arial" w:cs="Arial"/>
                <w:sz w:val="20"/>
                <w:szCs w:val="20"/>
              </w:rPr>
              <w:t>Insurance</w:t>
            </w:r>
          </w:p>
        </w:tc>
        <w:tc>
          <w:tcPr>
            <w:tcW w:w="1637"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470"/>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9" w:lineRule="exact"/>
              <w:ind w:left="630"/>
              <w:rPr>
                <w:rFonts w:ascii="Times New Roman" w:hAnsi="Times New Roman" w:cs="Times New Roman"/>
                <w:sz w:val="24"/>
                <w:szCs w:val="24"/>
              </w:rPr>
            </w:pPr>
            <w:r w:rsidRPr="00A900DE">
              <w:rPr>
                <w:rFonts w:ascii="Arial" w:hAnsi="Arial" w:cs="Arial"/>
                <w:sz w:val="20"/>
                <w:szCs w:val="20"/>
              </w:rPr>
              <w:t>Medicare</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277"/>
              <w:rPr>
                <w:rFonts w:ascii="Times New Roman" w:hAnsi="Times New Roman" w:cs="Times New Roman"/>
                <w:sz w:val="24"/>
                <w:szCs w:val="24"/>
              </w:rPr>
            </w:pPr>
            <w:r w:rsidRPr="00A900DE">
              <w:rPr>
                <w:rFonts w:ascii="Arial" w:hAnsi="Arial" w:cs="Arial"/>
                <w:sz w:val="20"/>
                <w:szCs w:val="20"/>
              </w:rPr>
              <w:t>Commercial</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390"/>
              <w:rPr>
                <w:rFonts w:ascii="Times New Roman" w:hAnsi="Times New Roman" w:cs="Times New Roman"/>
                <w:sz w:val="24"/>
                <w:szCs w:val="24"/>
              </w:rPr>
            </w:pPr>
            <w:r w:rsidRPr="00A900DE">
              <w:rPr>
                <w:rFonts w:ascii="Arial" w:hAnsi="Arial" w:cs="Arial"/>
                <w:sz w:val="20"/>
                <w:szCs w:val="20"/>
              </w:rPr>
              <w:t>-0.48**</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277"/>
              <w:rPr>
                <w:rFonts w:ascii="Times New Roman" w:hAnsi="Times New Roman" w:cs="Times New Roman"/>
                <w:sz w:val="24"/>
                <w:szCs w:val="24"/>
              </w:rPr>
            </w:pPr>
            <w:r w:rsidRPr="00A900DE">
              <w:rPr>
                <w:rFonts w:ascii="Arial" w:hAnsi="Arial" w:cs="Arial"/>
                <w:spacing w:val="-1"/>
                <w:sz w:val="20"/>
                <w:szCs w:val="20"/>
              </w:rPr>
              <w:t>-9.72</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231"/>
              <w:rPr>
                <w:rFonts w:ascii="Times New Roman" w:hAnsi="Times New Roman" w:cs="Times New Roman"/>
                <w:sz w:val="24"/>
                <w:szCs w:val="24"/>
              </w:rPr>
            </w:pPr>
            <w:r w:rsidRPr="00A900DE">
              <w:rPr>
                <w:rFonts w:ascii="Arial" w:hAnsi="Arial" w:cs="Arial"/>
                <w:spacing w:val="-1"/>
                <w:sz w:val="20"/>
                <w:szCs w:val="20"/>
              </w:rPr>
              <w:t>0.55**</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311"/>
              <w:rPr>
                <w:rFonts w:ascii="Times New Roman" w:hAnsi="Times New Roman" w:cs="Times New Roman"/>
                <w:sz w:val="24"/>
                <w:szCs w:val="24"/>
              </w:rPr>
            </w:pPr>
            <w:r w:rsidRPr="00A900DE">
              <w:rPr>
                <w:rFonts w:ascii="Arial" w:hAnsi="Arial" w:cs="Arial"/>
                <w:spacing w:val="-1"/>
                <w:sz w:val="20"/>
                <w:szCs w:val="20"/>
              </w:rPr>
              <w:t>0.48</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375"/>
              <w:rPr>
                <w:rFonts w:ascii="Times New Roman" w:hAnsi="Times New Roman" w:cs="Times New Roman"/>
                <w:sz w:val="24"/>
                <w:szCs w:val="24"/>
              </w:rPr>
            </w:pPr>
            <w:r w:rsidRPr="00A900DE">
              <w:rPr>
                <w:rFonts w:ascii="Arial" w:hAnsi="Arial" w:cs="Arial"/>
                <w:spacing w:val="-1"/>
                <w:sz w:val="20"/>
                <w:szCs w:val="20"/>
              </w:rPr>
              <w:t>0.63</w:t>
            </w:r>
          </w:p>
        </w:tc>
      </w:tr>
      <w:tr w:rsidR="00A900DE" w:rsidRPr="00A900DE" w:rsidTr="006E0C96">
        <w:trPr>
          <w:trHeight w:hRule="exact" w:val="701"/>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0" w:lineRule="auto"/>
              <w:ind w:left="106" w:right="108"/>
              <w:jc w:val="center"/>
              <w:rPr>
                <w:rFonts w:ascii="Times New Roman" w:hAnsi="Times New Roman" w:cs="Times New Roman"/>
                <w:sz w:val="24"/>
                <w:szCs w:val="24"/>
              </w:rPr>
            </w:pPr>
            <w:r w:rsidRPr="00A900DE">
              <w:rPr>
                <w:rFonts w:ascii="Arial" w:hAnsi="Arial" w:cs="Arial"/>
                <w:sz w:val="20"/>
                <w:szCs w:val="20"/>
              </w:rPr>
              <w:t>Medicaid</w:t>
            </w:r>
            <w:r w:rsidRPr="00A900DE">
              <w:rPr>
                <w:rFonts w:ascii="Arial" w:hAnsi="Arial" w:cs="Arial"/>
                <w:spacing w:val="-6"/>
                <w:sz w:val="20"/>
                <w:szCs w:val="20"/>
              </w:rPr>
              <w:t xml:space="preserve"> </w:t>
            </w:r>
            <w:r w:rsidRPr="00A900DE">
              <w:rPr>
                <w:rFonts w:ascii="Arial" w:hAnsi="Arial" w:cs="Arial"/>
                <w:sz w:val="20"/>
                <w:szCs w:val="20"/>
              </w:rPr>
              <w:t>/</w:t>
            </w:r>
            <w:r w:rsidRPr="00A900DE">
              <w:rPr>
                <w:rFonts w:ascii="Arial" w:hAnsi="Arial" w:cs="Arial"/>
                <w:spacing w:val="-6"/>
                <w:sz w:val="20"/>
                <w:szCs w:val="20"/>
              </w:rPr>
              <w:t xml:space="preserve"> </w:t>
            </w:r>
            <w:r w:rsidRPr="00A900DE">
              <w:rPr>
                <w:rFonts w:ascii="Arial" w:hAnsi="Arial" w:cs="Arial"/>
                <w:sz w:val="20"/>
                <w:szCs w:val="20"/>
              </w:rPr>
              <w:t>MSHO</w:t>
            </w:r>
            <w:r w:rsidRPr="00A900DE">
              <w:rPr>
                <w:rFonts w:ascii="Arial" w:hAnsi="Arial" w:cs="Arial"/>
                <w:spacing w:val="-6"/>
                <w:sz w:val="20"/>
                <w:szCs w:val="20"/>
              </w:rPr>
              <w:t xml:space="preserve"> </w:t>
            </w:r>
            <w:r w:rsidRPr="00A900DE">
              <w:rPr>
                <w:rFonts w:ascii="Arial" w:hAnsi="Arial" w:cs="Arial"/>
                <w:sz w:val="20"/>
                <w:szCs w:val="20"/>
              </w:rPr>
              <w:t>/</w:t>
            </w:r>
            <w:r w:rsidRPr="00A900DE">
              <w:rPr>
                <w:rFonts w:ascii="Arial" w:hAnsi="Arial" w:cs="Arial"/>
                <w:w w:val="99"/>
                <w:sz w:val="20"/>
                <w:szCs w:val="20"/>
              </w:rPr>
              <w:t xml:space="preserve"> </w:t>
            </w:r>
            <w:r w:rsidRPr="00A900DE">
              <w:rPr>
                <w:rFonts w:ascii="Arial" w:hAnsi="Arial" w:cs="Arial"/>
                <w:sz w:val="20"/>
                <w:szCs w:val="20"/>
              </w:rPr>
              <w:t>Special</w:t>
            </w:r>
            <w:r w:rsidRPr="00A900DE">
              <w:rPr>
                <w:rFonts w:ascii="Arial" w:hAnsi="Arial" w:cs="Arial"/>
                <w:spacing w:val="-6"/>
                <w:sz w:val="20"/>
                <w:szCs w:val="20"/>
              </w:rPr>
              <w:t xml:space="preserve"> </w:t>
            </w:r>
            <w:r w:rsidRPr="00A900DE">
              <w:rPr>
                <w:rFonts w:ascii="Arial" w:hAnsi="Arial" w:cs="Arial"/>
                <w:sz w:val="20"/>
                <w:szCs w:val="20"/>
              </w:rPr>
              <w:t>Needs</w:t>
            </w:r>
            <w:r w:rsidRPr="00A900DE">
              <w:rPr>
                <w:rFonts w:ascii="Arial" w:hAnsi="Arial" w:cs="Arial"/>
                <w:spacing w:val="-6"/>
                <w:sz w:val="20"/>
                <w:szCs w:val="20"/>
              </w:rPr>
              <w:t xml:space="preserve"> </w:t>
            </w:r>
            <w:r w:rsidRPr="00A900DE">
              <w:rPr>
                <w:rFonts w:ascii="Arial" w:hAnsi="Arial" w:cs="Arial"/>
                <w:sz w:val="20"/>
                <w:szCs w:val="20"/>
              </w:rPr>
              <w:t>/</w:t>
            </w:r>
            <w:r w:rsidRPr="00A900DE">
              <w:rPr>
                <w:rFonts w:ascii="Arial" w:hAnsi="Arial" w:cs="Arial"/>
                <w:spacing w:val="-6"/>
                <w:sz w:val="20"/>
                <w:szCs w:val="20"/>
              </w:rPr>
              <w:t xml:space="preserve"> </w:t>
            </w:r>
            <w:r w:rsidRPr="00A900DE">
              <w:rPr>
                <w:rFonts w:ascii="Arial" w:hAnsi="Arial" w:cs="Arial"/>
                <w:sz w:val="20"/>
                <w:szCs w:val="20"/>
              </w:rPr>
              <w:t>Self-</w:t>
            </w:r>
            <w:r w:rsidRPr="00A900DE">
              <w:rPr>
                <w:rFonts w:ascii="Arial" w:hAnsi="Arial" w:cs="Arial"/>
                <w:spacing w:val="22"/>
                <w:w w:val="99"/>
                <w:sz w:val="20"/>
                <w:szCs w:val="20"/>
              </w:rPr>
              <w:t xml:space="preserve"> </w:t>
            </w:r>
            <w:r w:rsidRPr="00A900DE">
              <w:rPr>
                <w:rFonts w:ascii="Arial" w:hAnsi="Arial" w:cs="Arial"/>
                <w:sz w:val="20"/>
                <w:szCs w:val="20"/>
              </w:rPr>
              <w:t>pay</w:t>
            </w:r>
            <w:r w:rsidRPr="00A900DE">
              <w:rPr>
                <w:rFonts w:ascii="Arial" w:hAnsi="Arial" w:cs="Arial"/>
                <w:spacing w:val="-9"/>
                <w:sz w:val="20"/>
                <w:szCs w:val="20"/>
              </w:rPr>
              <w:t xml:space="preserve"> </w:t>
            </w:r>
            <w:r w:rsidRPr="00A900DE">
              <w:rPr>
                <w:rFonts w:ascii="Arial" w:hAnsi="Arial" w:cs="Arial"/>
                <w:sz w:val="20"/>
                <w:szCs w:val="20"/>
              </w:rPr>
              <w:t>/</w:t>
            </w:r>
            <w:r w:rsidRPr="00A900DE">
              <w:rPr>
                <w:rFonts w:ascii="Arial" w:hAnsi="Arial" w:cs="Arial"/>
                <w:spacing w:val="-7"/>
                <w:sz w:val="20"/>
                <w:szCs w:val="20"/>
              </w:rPr>
              <w:t xml:space="preserve"> </w:t>
            </w:r>
            <w:r w:rsidRPr="00A900DE">
              <w:rPr>
                <w:rFonts w:ascii="Arial" w:hAnsi="Arial" w:cs="Arial"/>
                <w:sz w:val="20"/>
                <w:szCs w:val="20"/>
              </w:rPr>
              <w:t>Uninsured</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8"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277"/>
              <w:rPr>
                <w:rFonts w:ascii="Times New Roman" w:hAnsi="Times New Roman" w:cs="Times New Roman"/>
                <w:sz w:val="24"/>
                <w:szCs w:val="24"/>
              </w:rPr>
            </w:pPr>
            <w:r w:rsidRPr="00A900DE">
              <w:rPr>
                <w:rFonts w:ascii="Arial" w:hAnsi="Arial" w:cs="Arial"/>
                <w:sz w:val="20"/>
                <w:szCs w:val="20"/>
              </w:rPr>
              <w:t>Commercial</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8"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390"/>
              <w:rPr>
                <w:rFonts w:ascii="Times New Roman" w:hAnsi="Times New Roman" w:cs="Times New Roman"/>
                <w:sz w:val="24"/>
                <w:szCs w:val="24"/>
              </w:rPr>
            </w:pPr>
            <w:r w:rsidRPr="00A900DE">
              <w:rPr>
                <w:rFonts w:ascii="Arial" w:hAnsi="Arial" w:cs="Arial"/>
                <w:sz w:val="20"/>
                <w:szCs w:val="20"/>
              </w:rPr>
              <w:t>-0.59**</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8"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277"/>
              <w:rPr>
                <w:rFonts w:ascii="Times New Roman" w:hAnsi="Times New Roman" w:cs="Times New Roman"/>
                <w:sz w:val="24"/>
                <w:szCs w:val="24"/>
              </w:rPr>
            </w:pPr>
            <w:r w:rsidRPr="00A900DE">
              <w:rPr>
                <w:rFonts w:ascii="Arial" w:hAnsi="Arial" w:cs="Arial"/>
                <w:spacing w:val="-1"/>
                <w:sz w:val="20"/>
                <w:szCs w:val="20"/>
              </w:rPr>
              <w:t>-8.83</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8"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231"/>
              <w:rPr>
                <w:rFonts w:ascii="Times New Roman" w:hAnsi="Times New Roman" w:cs="Times New Roman"/>
                <w:sz w:val="24"/>
                <w:szCs w:val="24"/>
              </w:rPr>
            </w:pPr>
            <w:r w:rsidRPr="00A900DE">
              <w:rPr>
                <w:rFonts w:ascii="Arial" w:hAnsi="Arial" w:cs="Arial"/>
                <w:spacing w:val="-1"/>
                <w:sz w:val="20"/>
                <w:szCs w:val="20"/>
              </w:rPr>
              <w:t>0.62**</w:t>
            </w: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8"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311"/>
              <w:rPr>
                <w:rFonts w:ascii="Times New Roman" w:hAnsi="Times New Roman" w:cs="Times New Roman"/>
                <w:sz w:val="24"/>
                <w:szCs w:val="24"/>
              </w:rPr>
            </w:pPr>
            <w:r w:rsidRPr="00A900DE">
              <w:rPr>
                <w:rFonts w:ascii="Arial" w:hAnsi="Arial" w:cs="Arial"/>
                <w:spacing w:val="-1"/>
                <w:sz w:val="20"/>
                <w:szCs w:val="20"/>
              </w:rPr>
              <w:t>0.56</w:t>
            </w: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8"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375"/>
              <w:rPr>
                <w:rFonts w:ascii="Times New Roman" w:hAnsi="Times New Roman" w:cs="Times New Roman"/>
                <w:sz w:val="24"/>
                <w:szCs w:val="24"/>
              </w:rPr>
            </w:pPr>
            <w:r w:rsidRPr="00A900DE">
              <w:rPr>
                <w:rFonts w:ascii="Arial" w:hAnsi="Arial" w:cs="Arial"/>
                <w:spacing w:val="-1"/>
                <w:sz w:val="20"/>
                <w:szCs w:val="20"/>
              </w:rPr>
              <w:t>0.68</w:t>
            </w:r>
          </w:p>
        </w:tc>
      </w:tr>
      <w:tr w:rsidR="00A900DE" w:rsidRPr="00A900DE" w:rsidTr="006E0C96">
        <w:trPr>
          <w:trHeight w:hRule="exact" w:val="254"/>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2" w:lineRule="exact"/>
              <w:ind w:left="675"/>
              <w:rPr>
                <w:rFonts w:ascii="Times New Roman" w:hAnsi="Times New Roman" w:cs="Times New Roman"/>
                <w:sz w:val="24"/>
                <w:szCs w:val="24"/>
              </w:rPr>
            </w:pPr>
            <w:r w:rsidRPr="00A900DE">
              <w:rPr>
                <w:rFonts w:ascii="Calibri" w:hAnsi="Calibri" w:cs="Calibri"/>
                <w:spacing w:val="-1"/>
                <w:sz w:val="20"/>
                <w:szCs w:val="20"/>
              </w:rPr>
              <w:t>Constant</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2" w:lineRule="exact"/>
              <w:ind w:right="4"/>
              <w:jc w:val="center"/>
              <w:rPr>
                <w:rFonts w:ascii="Times New Roman" w:hAnsi="Times New Roman" w:cs="Times New Roman"/>
                <w:sz w:val="24"/>
                <w:szCs w:val="24"/>
              </w:rPr>
            </w:pPr>
            <w:r w:rsidRPr="00A900DE">
              <w:rPr>
                <w:rFonts w:ascii="Calibri" w:hAnsi="Calibri" w:cs="Calibri"/>
                <w:spacing w:val="-1"/>
                <w:sz w:val="20"/>
                <w:szCs w:val="20"/>
              </w:rPr>
              <w:t>-1.85</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2" w:lineRule="exact"/>
              <w:ind w:left="297"/>
              <w:rPr>
                <w:rFonts w:ascii="Times New Roman" w:hAnsi="Times New Roman" w:cs="Times New Roman"/>
                <w:sz w:val="24"/>
                <w:szCs w:val="24"/>
              </w:rPr>
            </w:pPr>
            <w:r w:rsidRPr="00A900DE">
              <w:rPr>
                <w:rFonts w:ascii="Calibri" w:hAnsi="Calibri" w:cs="Calibri"/>
                <w:spacing w:val="-1"/>
                <w:sz w:val="20"/>
                <w:szCs w:val="20"/>
              </w:rPr>
              <w:t>-1.76</w:t>
            </w:r>
          </w:p>
        </w:tc>
        <w:tc>
          <w:tcPr>
            <w:tcW w:w="1024"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46"/>
        </w:trPr>
        <w:tc>
          <w:tcPr>
            <w:tcW w:w="9361" w:type="dxa"/>
            <w:gridSpan w:val="7"/>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ind w:left="2336"/>
              <w:rPr>
                <w:rFonts w:ascii="Times New Roman" w:hAnsi="Times New Roman" w:cs="Times New Roman"/>
                <w:sz w:val="24"/>
                <w:szCs w:val="24"/>
              </w:rPr>
            </w:pPr>
            <w:r w:rsidRPr="00A900DE">
              <w:rPr>
                <w:rFonts w:ascii="Arial" w:hAnsi="Arial" w:cs="Arial"/>
                <w:color w:val="4F81BC"/>
                <w:spacing w:val="-1"/>
                <w:sz w:val="20"/>
                <w:szCs w:val="20"/>
              </w:rPr>
              <w:t>1B:</w:t>
            </w:r>
            <w:r w:rsidRPr="00A900DE">
              <w:rPr>
                <w:rFonts w:ascii="Arial" w:hAnsi="Arial" w:cs="Arial"/>
                <w:color w:val="4F81BC"/>
                <w:spacing w:val="-12"/>
                <w:sz w:val="20"/>
                <w:szCs w:val="20"/>
              </w:rPr>
              <w:t xml:space="preserve"> </w:t>
            </w:r>
            <w:r w:rsidRPr="00A900DE">
              <w:rPr>
                <w:rFonts w:ascii="Arial" w:hAnsi="Arial" w:cs="Arial"/>
                <w:color w:val="4F81BC"/>
                <w:spacing w:val="-1"/>
                <w:sz w:val="20"/>
                <w:szCs w:val="20"/>
              </w:rPr>
              <w:t>M</w:t>
            </w:r>
            <w:r w:rsidRPr="00A900DE">
              <w:rPr>
                <w:rFonts w:ascii="Arial" w:hAnsi="Arial" w:cs="Arial"/>
                <w:color w:val="4F81BC"/>
                <w:spacing w:val="-1"/>
                <w:sz w:val="16"/>
                <w:szCs w:val="16"/>
              </w:rPr>
              <w:t>ODEL</w:t>
            </w:r>
            <w:r w:rsidRPr="00A900DE">
              <w:rPr>
                <w:rFonts w:ascii="Arial" w:hAnsi="Arial" w:cs="Arial"/>
                <w:color w:val="4F81BC"/>
                <w:spacing w:val="-7"/>
                <w:sz w:val="16"/>
                <w:szCs w:val="16"/>
              </w:rPr>
              <w:t xml:space="preserve"> </w:t>
            </w:r>
            <w:r w:rsidRPr="00A900DE">
              <w:rPr>
                <w:rFonts w:ascii="Arial" w:hAnsi="Arial" w:cs="Arial"/>
                <w:color w:val="4F81BC"/>
                <w:spacing w:val="1"/>
                <w:sz w:val="20"/>
                <w:szCs w:val="20"/>
              </w:rPr>
              <w:t>W</w:t>
            </w:r>
            <w:r w:rsidRPr="00A900DE">
              <w:rPr>
                <w:rFonts w:ascii="Arial" w:hAnsi="Arial" w:cs="Arial"/>
                <w:color w:val="4F81BC"/>
                <w:spacing w:val="1"/>
                <w:sz w:val="16"/>
                <w:szCs w:val="16"/>
              </w:rPr>
              <w:t>ITH</w:t>
            </w:r>
            <w:r w:rsidRPr="00A900DE">
              <w:rPr>
                <w:rFonts w:ascii="Arial" w:hAnsi="Arial" w:cs="Arial"/>
                <w:color w:val="4F81BC"/>
                <w:spacing w:val="-2"/>
                <w:sz w:val="16"/>
                <w:szCs w:val="16"/>
              </w:rPr>
              <w:t xml:space="preserve"> </w:t>
            </w:r>
            <w:r w:rsidRPr="00A900DE">
              <w:rPr>
                <w:rFonts w:ascii="Arial" w:hAnsi="Arial" w:cs="Arial"/>
                <w:color w:val="4F81BC"/>
                <w:spacing w:val="-1"/>
                <w:sz w:val="20"/>
                <w:szCs w:val="20"/>
              </w:rPr>
              <w:t>SES</w:t>
            </w:r>
            <w:r w:rsidRPr="00A900DE">
              <w:rPr>
                <w:rFonts w:ascii="Arial" w:hAnsi="Arial" w:cs="Arial"/>
                <w:color w:val="4F81BC"/>
                <w:spacing w:val="-13"/>
                <w:sz w:val="20"/>
                <w:szCs w:val="20"/>
              </w:rPr>
              <w:t xml:space="preserve"> </w:t>
            </w:r>
            <w:r w:rsidRPr="00A900DE">
              <w:rPr>
                <w:rFonts w:ascii="Arial" w:hAnsi="Arial" w:cs="Arial"/>
                <w:color w:val="4F81BC"/>
                <w:spacing w:val="-1"/>
                <w:sz w:val="16"/>
                <w:szCs w:val="16"/>
              </w:rPr>
              <w:t>AND</w:t>
            </w:r>
            <w:r w:rsidRPr="00A900DE">
              <w:rPr>
                <w:rFonts w:ascii="Arial" w:hAnsi="Arial" w:cs="Arial"/>
                <w:color w:val="4F81BC"/>
                <w:spacing w:val="-2"/>
                <w:sz w:val="16"/>
                <w:szCs w:val="16"/>
              </w:rPr>
              <w:t xml:space="preserve"> </w:t>
            </w:r>
            <w:r w:rsidRPr="00A900DE">
              <w:rPr>
                <w:rFonts w:ascii="Arial" w:hAnsi="Arial" w:cs="Arial"/>
                <w:color w:val="4F81BC"/>
                <w:spacing w:val="-1"/>
                <w:sz w:val="20"/>
                <w:szCs w:val="20"/>
              </w:rPr>
              <w:t>R</w:t>
            </w:r>
            <w:r w:rsidRPr="00A900DE">
              <w:rPr>
                <w:rFonts w:ascii="Arial" w:hAnsi="Arial" w:cs="Arial"/>
                <w:color w:val="4F81BC"/>
                <w:spacing w:val="-1"/>
                <w:sz w:val="16"/>
                <w:szCs w:val="16"/>
              </w:rPr>
              <w:t>ACE</w:t>
            </w:r>
            <w:r w:rsidRPr="00A900DE">
              <w:rPr>
                <w:rFonts w:ascii="Arial" w:hAnsi="Arial" w:cs="Arial"/>
                <w:color w:val="4F81BC"/>
                <w:sz w:val="16"/>
                <w:szCs w:val="16"/>
              </w:rPr>
              <w:t xml:space="preserve"> </w:t>
            </w:r>
            <w:r w:rsidRPr="00A900DE">
              <w:rPr>
                <w:rFonts w:ascii="Arial" w:hAnsi="Arial" w:cs="Arial"/>
                <w:color w:val="4F81BC"/>
                <w:sz w:val="20"/>
                <w:szCs w:val="20"/>
              </w:rPr>
              <w:t>F</w:t>
            </w:r>
            <w:r w:rsidRPr="00A900DE">
              <w:rPr>
                <w:rFonts w:ascii="Arial" w:hAnsi="Arial" w:cs="Arial"/>
                <w:color w:val="4F81BC"/>
                <w:sz w:val="16"/>
                <w:szCs w:val="16"/>
              </w:rPr>
              <w:t>ROM</w:t>
            </w:r>
            <w:r w:rsidRPr="00A900DE">
              <w:rPr>
                <w:rFonts w:ascii="Arial" w:hAnsi="Arial" w:cs="Arial"/>
                <w:color w:val="4F81BC"/>
                <w:spacing w:val="-6"/>
                <w:sz w:val="16"/>
                <w:szCs w:val="16"/>
              </w:rPr>
              <w:t xml:space="preserve"> </w:t>
            </w:r>
            <w:r w:rsidRPr="00A900DE">
              <w:rPr>
                <w:rFonts w:ascii="Arial" w:hAnsi="Arial" w:cs="Arial"/>
                <w:color w:val="4F81BC"/>
                <w:spacing w:val="-1"/>
                <w:sz w:val="20"/>
                <w:szCs w:val="20"/>
              </w:rPr>
              <w:t>Z</w:t>
            </w:r>
            <w:r w:rsidRPr="00A900DE">
              <w:rPr>
                <w:rFonts w:ascii="Arial" w:hAnsi="Arial" w:cs="Arial"/>
                <w:color w:val="4F81BC"/>
                <w:spacing w:val="-1"/>
                <w:sz w:val="16"/>
                <w:szCs w:val="16"/>
              </w:rPr>
              <w:t xml:space="preserve">IP </w:t>
            </w:r>
            <w:r w:rsidRPr="00A900DE">
              <w:rPr>
                <w:rFonts w:ascii="Arial" w:hAnsi="Arial" w:cs="Arial"/>
                <w:color w:val="4F81BC"/>
                <w:spacing w:val="-1"/>
                <w:sz w:val="20"/>
                <w:szCs w:val="20"/>
              </w:rPr>
              <w:t>C</w:t>
            </w:r>
            <w:r w:rsidRPr="00A900DE">
              <w:rPr>
                <w:rFonts w:ascii="Arial" w:hAnsi="Arial" w:cs="Arial"/>
                <w:color w:val="4F81BC"/>
                <w:spacing w:val="-1"/>
                <w:sz w:val="16"/>
                <w:szCs w:val="16"/>
              </w:rPr>
              <w:t>ODE</w:t>
            </w:r>
            <w:r w:rsidRPr="00A900DE">
              <w:rPr>
                <w:rFonts w:ascii="Arial" w:hAnsi="Arial" w:cs="Arial"/>
                <w:color w:val="4F81BC"/>
                <w:spacing w:val="-3"/>
                <w:sz w:val="16"/>
                <w:szCs w:val="16"/>
              </w:rPr>
              <w:t xml:space="preserve"> </w:t>
            </w:r>
            <w:r w:rsidRPr="00A900DE">
              <w:rPr>
                <w:rFonts w:ascii="Arial" w:hAnsi="Arial" w:cs="Arial"/>
                <w:color w:val="4F81BC"/>
                <w:spacing w:val="-1"/>
                <w:sz w:val="20"/>
                <w:szCs w:val="20"/>
              </w:rPr>
              <w:t>D</w:t>
            </w:r>
            <w:r w:rsidRPr="00A900DE">
              <w:rPr>
                <w:rFonts w:ascii="Arial" w:hAnsi="Arial" w:cs="Arial"/>
                <w:color w:val="4F81BC"/>
                <w:spacing w:val="-1"/>
                <w:sz w:val="16"/>
                <w:szCs w:val="16"/>
              </w:rPr>
              <w:t>ATA</w:t>
            </w:r>
          </w:p>
        </w:tc>
      </w:tr>
      <w:tr w:rsidR="00A900DE" w:rsidRPr="00A900DE" w:rsidTr="006E0C96">
        <w:trPr>
          <w:trHeight w:hRule="exact" w:val="248"/>
        </w:trPr>
        <w:tc>
          <w:tcPr>
            <w:tcW w:w="2095"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7" w:lineRule="exact"/>
              <w:ind w:right="2"/>
              <w:jc w:val="center"/>
              <w:rPr>
                <w:rFonts w:ascii="Times New Roman" w:hAnsi="Times New Roman" w:cs="Times New Roman"/>
                <w:sz w:val="24"/>
                <w:szCs w:val="24"/>
              </w:rPr>
            </w:pPr>
            <w:r w:rsidRPr="00A900DE">
              <w:rPr>
                <w:rFonts w:ascii="Arial" w:hAnsi="Arial" w:cs="Arial"/>
                <w:spacing w:val="-1"/>
                <w:sz w:val="20"/>
                <w:szCs w:val="20"/>
              </w:rPr>
              <w:t>Age</w:t>
            </w:r>
          </w:p>
        </w:tc>
        <w:tc>
          <w:tcPr>
            <w:tcW w:w="1637"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4" w:space="0" w:color="000000"/>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single" w:sz="4" w:space="0" w:color="000000"/>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single" w:sz="4" w:space="0" w:color="000000"/>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jc w:val="center"/>
              <w:rPr>
                <w:rFonts w:ascii="Times New Roman" w:hAnsi="Times New Roman" w:cs="Times New Roman"/>
                <w:sz w:val="24"/>
                <w:szCs w:val="24"/>
              </w:rPr>
            </w:pPr>
            <w:r w:rsidRPr="00A900DE">
              <w:rPr>
                <w:rFonts w:ascii="Arial" w:hAnsi="Arial" w:cs="Arial"/>
                <w:spacing w:val="-1"/>
                <w:sz w:val="20"/>
                <w:szCs w:val="20"/>
              </w:rPr>
              <w:t>18-25</w:t>
            </w:r>
          </w:p>
        </w:tc>
        <w:tc>
          <w:tcPr>
            <w:tcW w:w="1637"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1"/>
              <w:jc w:val="center"/>
              <w:rPr>
                <w:rFonts w:ascii="Times New Roman" w:hAnsi="Times New Roman" w:cs="Times New Roman"/>
                <w:sz w:val="24"/>
                <w:szCs w:val="24"/>
              </w:rPr>
            </w:pPr>
            <w:r w:rsidRPr="00A900DE">
              <w:rPr>
                <w:rFonts w:ascii="Arial" w:hAnsi="Arial" w:cs="Arial"/>
                <w:spacing w:val="-1"/>
                <w:sz w:val="20"/>
                <w:szCs w:val="20"/>
              </w:rPr>
              <w:t>66+</w:t>
            </w:r>
          </w:p>
        </w:tc>
        <w:tc>
          <w:tcPr>
            <w:tcW w:w="1409"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390"/>
              <w:rPr>
                <w:rFonts w:ascii="Times New Roman" w:hAnsi="Times New Roman" w:cs="Times New Roman"/>
                <w:sz w:val="24"/>
                <w:szCs w:val="24"/>
              </w:rPr>
            </w:pPr>
            <w:r w:rsidRPr="00A900DE">
              <w:rPr>
                <w:rFonts w:ascii="Arial" w:hAnsi="Arial" w:cs="Arial"/>
                <w:sz w:val="20"/>
                <w:szCs w:val="20"/>
              </w:rPr>
              <w:t>-0.62**</w:t>
            </w:r>
          </w:p>
        </w:tc>
        <w:tc>
          <w:tcPr>
            <w:tcW w:w="1023"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77"/>
              <w:rPr>
                <w:rFonts w:ascii="Times New Roman" w:hAnsi="Times New Roman" w:cs="Times New Roman"/>
                <w:sz w:val="24"/>
                <w:szCs w:val="24"/>
              </w:rPr>
            </w:pPr>
            <w:r w:rsidRPr="00A900DE">
              <w:rPr>
                <w:rFonts w:ascii="Arial" w:hAnsi="Arial" w:cs="Arial"/>
                <w:spacing w:val="-1"/>
                <w:sz w:val="20"/>
                <w:szCs w:val="20"/>
              </w:rPr>
              <w:t>-6.65</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2"/>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jc w:val="center"/>
              <w:rPr>
                <w:rFonts w:ascii="Times New Roman" w:hAnsi="Times New Roman" w:cs="Times New Roman"/>
                <w:sz w:val="24"/>
                <w:szCs w:val="24"/>
              </w:rPr>
            </w:pPr>
            <w:r w:rsidRPr="00A900DE">
              <w:rPr>
                <w:rFonts w:ascii="Arial" w:hAnsi="Arial" w:cs="Arial"/>
                <w:spacing w:val="-1"/>
                <w:sz w:val="20"/>
                <w:szCs w:val="20"/>
              </w:rPr>
              <w:t>26-50</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1"/>
              <w:jc w:val="center"/>
              <w:rPr>
                <w:rFonts w:ascii="Times New Roman" w:hAnsi="Times New Roman" w:cs="Times New Roman"/>
                <w:sz w:val="24"/>
                <w:szCs w:val="24"/>
              </w:rPr>
            </w:pPr>
            <w:r w:rsidRPr="00A900DE">
              <w:rPr>
                <w:rFonts w:ascii="Arial" w:hAnsi="Arial" w:cs="Arial"/>
                <w:spacing w:val="-1"/>
                <w:sz w:val="20"/>
                <w:szCs w:val="20"/>
              </w:rPr>
              <w:t>66+</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390"/>
              <w:rPr>
                <w:rFonts w:ascii="Times New Roman" w:hAnsi="Times New Roman" w:cs="Times New Roman"/>
                <w:sz w:val="24"/>
                <w:szCs w:val="24"/>
              </w:rPr>
            </w:pPr>
            <w:r w:rsidRPr="00A900DE">
              <w:rPr>
                <w:rFonts w:ascii="Arial" w:hAnsi="Arial" w:cs="Arial"/>
                <w:sz w:val="20"/>
                <w:szCs w:val="20"/>
              </w:rPr>
              <w:t>-0.68**</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77"/>
              <w:rPr>
                <w:rFonts w:ascii="Times New Roman" w:hAnsi="Times New Roman" w:cs="Times New Roman"/>
                <w:sz w:val="24"/>
                <w:szCs w:val="24"/>
              </w:rPr>
            </w:pPr>
            <w:r w:rsidRPr="00A900DE">
              <w:rPr>
                <w:rFonts w:ascii="Arial" w:hAnsi="Arial" w:cs="Arial"/>
                <w:spacing w:val="-1"/>
                <w:sz w:val="20"/>
                <w:szCs w:val="20"/>
              </w:rPr>
              <w:t>-8.67</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5"/>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6" w:after="0" w:line="240" w:lineRule="auto"/>
              <w:jc w:val="center"/>
              <w:rPr>
                <w:rFonts w:ascii="Times New Roman" w:hAnsi="Times New Roman" w:cs="Times New Roman"/>
                <w:sz w:val="24"/>
                <w:szCs w:val="24"/>
              </w:rPr>
            </w:pPr>
            <w:r w:rsidRPr="00A900DE">
              <w:rPr>
                <w:rFonts w:ascii="Arial" w:hAnsi="Arial" w:cs="Arial"/>
                <w:spacing w:val="-1"/>
                <w:sz w:val="20"/>
                <w:szCs w:val="20"/>
              </w:rPr>
              <w:t>51-65</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6" w:after="0" w:line="240" w:lineRule="auto"/>
              <w:ind w:right="1"/>
              <w:jc w:val="center"/>
              <w:rPr>
                <w:rFonts w:ascii="Times New Roman" w:hAnsi="Times New Roman" w:cs="Times New Roman"/>
                <w:sz w:val="24"/>
                <w:szCs w:val="24"/>
              </w:rPr>
            </w:pPr>
            <w:r w:rsidRPr="00A900DE">
              <w:rPr>
                <w:rFonts w:ascii="Arial" w:hAnsi="Arial" w:cs="Arial"/>
                <w:spacing w:val="-1"/>
                <w:sz w:val="20"/>
                <w:szCs w:val="20"/>
              </w:rPr>
              <w:t>66+</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6" w:after="0" w:line="240" w:lineRule="auto"/>
              <w:ind w:left="390"/>
              <w:rPr>
                <w:rFonts w:ascii="Times New Roman" w:hAnsi="Times New Roman" w:cs="Times New Roman"/>
                <w:sz w:val="24"/>
                <w:szCs w:val="24"/>
              </w:rPr>
            </w:pPr>
            <w:r w:rsidRPr="00A900DE">
              <w:rPr>
                <w:rFonts w:ascii="Arial" w:hAnsi="Arial" w:cs="Arial"/>
                <w:sz w:val="20"/>
                <w:szCs w:val="20"/>
              </w:rPr>
              <w:t>-0.66**</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6" w:after="0" w:line="240" w:lineRule="auto"/>
              <w:ind w:left="277"/>
              <w:rPr>
                <w:rFonts w:ascii="Times New Roman" w:hAnsi="Times New Roman" w:cs="Times New Roman"/>
                <w:sz w:val="24"/>
                <w:szCs w:val="24"/>
              </w:rPr>
            </w:pPr>
            <w:r w:rsidRPr="00A900DE">
              <w:rPr>
                <w:rFonts w:ascii="Arial" w:hAnsi="Arial" w:cs="Arial"/>
                <w:spacing w:val="-1"/>
                <w:sz w:val="20"/>
                <w:szCs w:val="20"/>
              </w:rPr>
              <w:t>-8.47</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Gender</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61"/>
        </w:trPr>
        <w:tc>
          <w:tcPr>
            <w:tcW w:w="2095"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jc w:val="center"/>
              <w:rPr>
                <w:rFonts w:ascii="Times New Roman" w:hAnsi="Times New Roman" w:cs="Times New Roman"/>
                <w:sz w:val="24"/>
                <w:szCs w:val="24"/>
              </w:rPr>
            </w:pPr>
            <w:r w:rsidRPr="00A900DE">
              <w:rPr>
                <w:rFonts w:ascii="Arial" w:hAnsi="Arial" w:cs="Arial"/>
                <w:sz w:val="20"/>
                <w:szCs w:val="20"/>
              </w:rPr>
              <w:t>Female</w:t>
            </w:r>
          </w:p>
        </w:tc>
        <w:tc>
          <w:tcPr>
            <w:tcW w:w="1637"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1"/>
              <w:jc w:val="center"/>
              <w:rPr>
                <w:rFonts w:ascii="Times New Roman" w:hAnsi="Times New Roman" w:cs="Times New Roman"/>
                <w:sz w:val="24"/>
                <w:szCs w:val="24"/>
              </w:rPr>
            </w:pPr>
            <w:r w:rsidRPr="00A900DE">
              <w:rPr>
                <w:rFonts w:ascii="Arial" w:hAnsi="Arial" w:cs="Arial"/>
                <w:sz w:val="20"/>
                <w:szCs w:val="20"/>
              </w:rPr>
              <w:t>Male</w:t>
            </w:r>
          </w:p>
        </w:tc>
        <w:tc>
          <w:tcPr>
            <w:tcW w:w="1409"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-0.08</w:t>
            </w:r>
          </w:p>
        </w:tc>
        <w:tc>
          <w:tcPr>
            <w:tcW w:w="1023"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77"/>
              <w:rPr>
                <w:rFonts w:ascii="Times New Roman" w:hAnsi="Times New Roman" w:cs="Times New Roman"/>
                <w:sz w:val="24"/>
                <w:szCs w:val="24"/>
              </w:rPr>
            </w:pPr>
            <w:r w:rsidRPr="00A900DE">
              <w:rPr>
                <w:rFonts w:ascii="Arial" w:hAnsi="Arial" w:cs="Arial"/>
                <w:spacing w:val="-1"/>
                <w:sz w:val="20"/>
                <w:szCs w:val="20"/>
              </w:rPr>
              <w:t>-1.87</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48"/>
        </w:trPr>
        <w:tc>
          <w:tcPr>
            <w:tcW w:w="2095"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7" w:lineRule="exact"/>
              <w:ind w:left="507"/>
              <w:rPr>
                <w:rFonts w:ascii="Times New Roman" w:hAnsi="Times New Roman" w:cs="Times New Roman"/>
                <w:sz w:val="24"/>
                <w:szCs w:val="24"/>
              </w:rPr>
            </w:pPr>
            <w:r w:rsidRPr="00A900DE">
              <w:rPr>
                <w:rFonts w:ascii="Arial" w:hAnsi="Arial" w:cs="Arial"/>
                <w:sz w:val="20"/>
                <w:szCs w:val="20"/>
              </w:rPr>
              <w:t>Comorbidity</w:t>
            </w:r>
          </w:p>
        </w:tc>
        <w:tc>
          <w:tcPr>
            <w:tcW w:w="1637"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618"/>
              <w:rPr>
                <w:rFonts w:ascii="Times New Roman" w:hAnsi="Times New Roman" w:cs="Times New Roman"/>
                <w:sz w:val="24"/>
                <w:szCs w:val="24"/>
              </w:rPr>
            </w:pPr>
            <w:r w:rsidRPr="00A900DE">
              <w:rPr>
                <w:rFonts w:ascii="Arial" w:hAnsi="Arial" w:cs="Arial"/>
                <w:sz w:val="20"/>
                <w:szCs w:val="20"/>
              </w:rPr>
              <w:t>Moderate</w:t>
            </w:r>
          </w:p>
        </w:tc>
        <w:tc>
          <w:tcPr>
            <w:tcW w:w="1637"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496"/>
              <w:rPr>
                <w:rFonts w:ascii="Times New Roman" w:hAnsi="Times New Roman" w:cs="Times New Roman"/>
                <w:sz w:val="24"/>
                <w:szCs w:val="24"/>
              </w:rPr>
            </w:pPr>
            <w:r w:rsidRPr="00A900DE">
              <w:rPr>
                <w:rFonts w:ascii="Arial" w:hAnsi="Arial" w:cs="Arial"/>
                <w:spacing w:val="-1"/>
                <w:sz w:val="20"/>
                <w:szCs w:val="20"/>
              </w:rPr>
              <w:t>Severe</w:t>
            </w:r>
          </w:p>
        </w:tc>
        <w:tc>
          <w:tcPr>
            <w:tcW w:w="1409"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423"/>
              <w:rPr>
                <w:rFonts w:ascii="Times New Roman" w:hAnsi="Times New Roman" w:cs="Times New Roman"/>
                <w:sz w:val="24"/>
                <w:szCs w:val="24"/>
              </w:rPr>
            </w:pPr>
            <w:r w:rsidRPr="00A900DE">
              <w:rPr>
                <w:rFonts w:ascii="Arial" w:hAnsi="Arial" w:cs="Arial"/>
                <w:spacing w:val="-1"/>
                <w:sz w:val="20"/>
                <w:szCs w:val="20"/>
              </w:rPr>
              <w:t>0.57**</w:t>
            </w:r>
          </w:p>
        </w:tc>
        <w:tc>
          <w:tcPr>
            <w:tcW w:w="1023"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53"/>
              <w:rPr>
                <w:rFonts w:ascii="Times New Roman" w:hAnsi="Times New Roman" w:cs="Times New Roman"/>
                <w:sz w:val="24"/>
                <w:szCs w:val="24"/>
              </w:rPr>
            </w:pPr>
            <w:r w:rsidRPr="00A900DE">
              <w:rPr>
                <w:rFonts w:ascii="Arial" w:hAnsi="Arial" w:cs="Arial"/>
                <w:sz w:val="20"/>
                <w:szCs w:val="20"/>
              </w:rPr>
              <w:t>10.51</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61"/>
        </w:trPr>
        <w:tc>
          <w:tcPr>
            <w:tcW w:w="2095"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03"/>
              <w:rPr>
                <w:rFonts w:ascii="Times New Roman" w:hAnsi="Times New Roman" w:cs="Times New Roman"/>
                <w:sz w:val="24"/>
                <w:szCs w:val="24"/>
              </w:rPr>
            </w:pPr>
            <w:r w:rsidRPr="00A900DE">
              <w:rPr>
                <w:rFonts w:ascii="Arial" w:hAnsi="Arial" w:cs="Arial"/>
                <w:sz w:val="20"/>
                <w:szCs w:val="20"/>
              </w:rPr>
              <w:t>Moderately</w:t>
            </w:r>
            <w:r w:rsidRPr="00A900DE">
              <w:rPr>
                <w:rFonts w:ascii="Arial" w:hAnsi="Arial" w:cs="Arial"/>
                <w:spacing w:val="-19"/>
                <w:sz w:val="20"/>
                <w:szCs w:val="20"/>
              </w:rPr>
              <w:t xml:space="preserve"> </w:t>
            </w:r>
            <w:r w:rsidRPr="00A900DE">
              <w:rPr>
                <w:rFonts w:ascii="Arial" w:hAnsi="Arial" w:cs="Arial"/>
                <w:spacing w:val="-1"/>
                <w:sz w:val="20"/>
                <w:szCs w:val="20"/>
              </w:rPr>
              <w:t>Severe</w:t>
            </w:r>
          </w:p>
        </w:tc>
        <w:tc>
          <w:tcPr>
            <w:tcW w:w="1637"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496"/>
              <w:rPr>
                <w:rFonts w:ascii="Times New Roman" w:hAnsi="Times New Roman" w:cs="Times New Roman"/>
                <w:sz w:val="24"/>
                <w:szCs w:val="24"/>
              </w:rPr>
            </w:pPr>
            <w:r w:rsidRPr="00A900DE">
              <w:rPr>
                <w:rFonts w:ascii="Arial" w:hAnsi="Arial" w:cs="Arial"/>
                <w:spacing w:val="-1"/>
                <w:sz w:val="20"/>
                <w:szCs w:val="20"/>
              </w:rPr>
              <w:t>Severe</w:t>
            </w:r>
          </w:p>
        </w:tc>
        <w:tc>
          <w:tcPr>
            <w:tcW w:w="1409"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423"/>
              <w:rPr>
                <w:rFonts w:ascii="Times New Roman" w:hAnsi="Times New Roman" w:cs="Times New Roman"/>
                <w:sz w:val="24"/>
                <w:szCs w:val="24"/>
              </w:rPr>
            </w:pPr>
            <w:r w:rsidRPr="00A900DE">
              <w:rPr>
                <w:rFonts w:ascii="Arial" w:hAnsi="Arial" w:cs="Arial"/>
                <w:spacing w:val="-1"/>
                <w:sz w:val="20"/>
                <w:szCs w:val="20"/>
              </w:rPr>
              <w:t>0.39**</w:t>
            </w:r>
          </w:p>
        </w:tc>
        <w:tc>
          <w:tcPr>
            <w:tcW w:w="1023"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311"/>
              <w:rPr>
                <w:rFonts w:ascii="Times New Roman" w:hAnsi="Times New Roman" w:cs="Times New Roman"/>
                <w:sz w:val="24"/>
                <w:szCs w:val="24"/>
              </w:rPr>
            </w:pPr>
            <w:r w:rsidRPr="00A900DE">
              <w:rPr>
                <w:rFonts w:ascii="Arial" w:hAnsi="Arial" w:cs="Arial"/>
                <w:spacing w:val="-1"/>
                <w:sz w:val="20"/>
                <w:szCs w:val="20"/>
              </w:rPr>
              <w:t>6.80</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48"/>
        </w:trPr>
        <w:tc>
          <w:tcPr>
            <w:tcW w:w="2095"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7" w:lineRule="exact"/>
              <w:ind w:left="152"/>
              <w:rPr>
                <w:rFonts w:ascii="Times New Roman" w:hAnsi="Times New Roman" w:cs="Times New Roman"/>
                <w:sz w:val="24"/>
                <w:szCs w:val="24"/>
              </w:rPr>
            </w:pPr>
            <w:r w:rsidRPr="00A900DE">
              <w:rPr>
                <w:rFonts w:ascii="Arial" w:hAnsi="Arial" w:cs="Arial"/>
                <w:sz w:val="20"/>
                <w:szCs w:val="20"/>
              </w:rPr>
              <w:t>Distance</w:t>
            </w:r>
            <w:r w:rsidRPr="00A900DE">
              <w:rPr>
                <w:rFonts w:ascii="Arial" w:hAnsi="Arial" w:cs="Arial"/>
                <w:spacing w:val="-10"/>
                <w:sz w:val="20"/>
                <w:szCs w:val="20"/>
              </w:rPr>
              <w:t xml:space="preserve"> </w:t>
            </w:r>
            <w:r w:rsidRPr="00A900DE">
              <w:rPr>
                <w:rFonts w:ascii="Arial" w:hAnsi="Arial" w:cs="Arial"/>
                <w:sz w:val="20"/>
                <w:szCs w:val="20"/>
              </w:rPr>
              <w:t>from</w:t>
            </w:r>
            <w:r w:rsidRPr="00A900DE">
              <w:rPr>
                <w:rFonts w:ascii="Arial" w:hAnsi="Arial" w:cs="Arial"/>
                <w:spacing w:val="-5"/>
                <w:sz w:val="20"/>
                <w:szCs w:val="20"/>
              </w:rPr>
              <w:t xml:space="preserve"> </w:t>
            </w:r>
            <w:r w:rsidRPr="00A900DE">
              <w:rPr>
                <w:rFonts w:ascii="Arial" w:hAnsi="Arial" w:cs="Arial"/>
                <w:spacing w:val="-1"/>
                <w:sz w:val="20"/>
                <w:szCs w:val="20"/>
              </w:rPr>
              <w:t>Clinic</w:t>
            </w:r>
          </w:p>
        </w:tc>
        <w:tc>
          <w:tcPr>
            <w:tcW w:w="1637"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666"/>
              <w:rPr>
                <w:rFonts w:ascii="Times New Roman" w:hAnsi="Times New Roman" w:cs="Times New Roman"/>
                <w:sz w:val="24"/>
                <w:szCs w:val="24"/>
              </w:rPr>
            </w:pPr>
            <w:r w:rsidRPr="00A900DE">
              <w:rPr>
                <w:rFonts w:ascii="Arial" w:hAnsi="Arial" w:cs="Arial"/>
                <w:spacing w:val="-1"/>
                <w:sz w:val="20"/>
                <w:szCs w:val="20"/>
              </w:rPr>
              <w:t>&lt;5</w:t>
            </w:r>
            <w:r w:rsidRPr="00A900DE">
              <w:rPr>
                <w:rFonts w:ascii="Arial" w:hAnsi="Arial" w:cs="Arial"/>
                <w:spacing w:val="-8"/>
                <w:sz w:val="20"/>
                <w:szCs w:val="20"/>
              </w:rPr>
              <w:t xml:space="preserve"> </w:t>
            </w:r>
            <w:r w:rsidRPr="00A900DE">
              <w:rPr>
                <w:rFonts w:ascii="Arial" w:hAnsi="Arial" w:cs="Arial"/>
                <w:sz w:val="20"/>
                <w:szCs w:val="20"/>
              </w:rPr>
              <w:t>miles</w:t>
            </w:r>
          </w:p>
        </w:tc>
        <w:tc>
          <w:tcPr>
            <w:tcW w:w="1637"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383"/>
              <w:rPr>
                <w:rFonts w:ascii="Times New Roman" w:hAnsi="Times New Roman" w:cs="Times New Roman"/>
                <w:sz w:val="24"/>
                <w:szCs w:val="24"/>
              </w:rPr>
            </w:pPr>
            <w:r w:rsidRPr="00A900DE">
              <w:rPr>
                <w:rFonts w:ascii="Arial" w:hAnsi="Arial" w:cs="Arial"/>
                <w:sz w:val="20"/>
                <w:szCs w:val="20"/>
              </w:rPr>
              <w:t>Same</w:t>
            </w:r>
            <w:r w:rsidRPr="00A900DE">
              <w:rPr>
                <w:rFonts w:ascii="Arial" w:hAnsi="Arial" w:cs="Arial"/>
                <w:spacing w:val="-9"/>
                <w:sz w:val="20"/>
                <w:szCs w:val="20"/>
              </w:rPr>
              <w:t xml:space="preserve"> </w:t>
            </w:r>
            <w:r w:rsidRPr="00A900DE">
              <w:rPr>
                <w:rFonts w:ascii="Arial" w:hAnsi="Arial" w:cs="Arial"/>
                <w:spacing w:val="-1"/>
                <w:sz w:val="20"/>
                <w:szCs w:val="20"/>
              </w:rPr>
              <w:t>Zip</w:t>
            </w:r>
          </w:p>
        </w:tc>
        <w:tc>
          <w:tcPr>
            <w:tcW w:w="1409"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-0.05</w:t>
            </w:r>
          </w:p>
        </w:tc>
        <w:tc>
          <w:tcPr>
            <w:tcW w:w="1023"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77"/>
              <w:rPr>
                <w:rFonts w:ascii="Times New Roman" w:hAnsi="Times New Roman" w:cs="Times New Roman"/>
                <w:sz w:val="24"/>
                <w:szCs w:val="24"/>
              </w:rPr>
            </w:pPr>
            <w:r w:rsidRPr="00A900DE">
              <w:rPr>
                <w:rFonts w:ascii="Arial" w:hAnsi="Arial" w:cs="Arial"/>
                <w:spacing w:val="-1"/>
                <w:sz w:val="20"/>
                <w:szCs w:val="20"/>
              </w:rPr>
              <w:t>-0.78</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2"/>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579"/>
              <w:rPr>
                <w:rFonts w:ascii="Times New Roman" w:hAnsi="Times New Roman" w:cs="Times New Roman"/>
                <w:sz w:val="24"/>
                <w:szCs w:val="24"/>
              </w:rPr>
            </w:pPr>
            <w:r w:rsidRPr="00A900DE">
              <w:rPr>
                <w:rFonts w:ascii="Arial" w:hAnsi="Arial" w:cs="Arial"/>
                <w:spacing w:val="-1"/>
                <w:sz w:val="20"/>
                <w:szCs w:val="20"/>
              </w:rPr>
              <w:t>5-10</w:t>
            </w:r>
            <w:r w:rsidRPr="00A900DE">
              <w:rPr>
                <w:rFonts w:ascii="Arial" w:hAnsi="Arial" w:cs="Arial"/>
                <w:spacing w:val="-10"/>
                <w:sz w:val="20"/>
                <w:szCs w:val="20"/>
              </w:rPr>
              <w:t xml:space="preserve"> </w:t>
            </w:r>
            <w:r w:rsidRPr="00A900DE">
              <w:rPr>
                <w:rFonts w:ascii="Arial" w:hAnsi="Arial" w:cs="Arial"/>
                <w:sz w:val="20"/>
                <w:szCs w:val="20"/>
              </w:rPr>
              <w:t>miles</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383"/>
              <w:rPr>
                <w:rFonts w:ascii="Times New Roman" w:hAnsi="Times New Roman" w:cs="Times New Roman"/>
                <w:sz w:val="24"/>
                <w:szCs w:val="24"/>
              </w:rPr>
            </w:pPr>
            <w:r w:rsidRPr="00A900DE">
              <w:rPr>
                <w:rFonts w:ascii="Arial" w:hAnsi="Arial" w:cs="Arial"/>
                <w:sz w:val="20"/>
                <w:szCs w:val="20"/>
              </w:rPr>
              <w:t>Same</w:t>
            </w:r>
            <w:r w:rsidRPr="00A900DE">
              <w:rPr>
                <w:rFonts w:ascii="Arial" w:hAnsi="Arial" w:cs="Arial"/>
                <w:spacing w:val="-9"/>
                <w:sz w:val="20"/>
                <w:szCs w:val="20"/>
              </w:rPr>
              <w:t xml:space="preserve"> </w:t>
            </w:r>
            <w:r w:rsidRPr="00A900DE">
              <w:rPr>
                <w:rFonts w:ascii="Arial" w:hAnsi="Arial" w:cs="Arial"/>
                <w:spacing w:val="-1"/>
                <w:sz w:val="20"/>
                <w:szCs w:val="20"/>
              </w:rPr>
              <w:t>Zip</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-0.09</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77"/>
              <w:rPr>
                <w:rFonts w:ascii="Times New Roman" w:hAnsi="Times New Roman" w:cs="Times New Roman"/>
                <w:sz w:val="24"/>
                <w:szCs w:val="24"/>
              </w:rPr>
            </w:pPr>
            <w:r w:rsidRPr="00A900DE">
              <w:rPr>
                <w:rFonts w:ascii="Arial" w:hAnsi="Arial" w:cs="Arial"/>
                <w:spacing w:val="-1"/>
                <w:sz w:val="20"/>
                <w:szCs w:val="20"/>
              </w:rPr>
              <w:t>-1.45</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6" w:after="0" w:line="240" w:lineRule="auto"/>
              <w:ind w:left="524"/>
              <w:rPr>
                <w:rFonts w:ascii="Times New Roman" w:hAnsi="Times New Roman" w:cs="Times New Roman"/>
                <w:sz w:val="24"/>
                <w:szCs w:val="24"/>
              </w:rPr>
            </w:pPr>
            <w:r w:rsidRPr="00A900DE">
              <w:rPr>
                <w:rFonts w:ascii="Arial" w:hAnsi="Arial" w:cs="Arial"/>
                <w:spacing w:val="-1"/>
                <w:sz w:val="20"/>
                <w:szCs w:val="20"/>
              </w:rPr>
              <w:t>10-20</w:t>
            </w:r>
            <w:r w:rsidRPr="00A900DE">
              <w:rPr>
                <w:rFonts w:ascii="Arial" w:hAnsi="Arial" w:cs="Arial"/>
                <w:spacing w:val="-11"/>
                <w:sz w:val="20"/>
                <w:szCs w:val="20"/>
              </w:rPr>
              <w:t xml:space="preserve"> </w:t>
            </w:r>
            <w:r w:rsidRPr="00A900DE">
              <w:rPr>
                <w:rFonts w:ascii="Arial" w:hAnsi="Arial" w:cs="Arial"/>
                <w:sz w:val="20"/>
                <w:szCs w:val="20"/>
              </w:rPr>
              <w:t>miles</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6" w:after="0" w:line="240" w:lineRule="auto"/>
              <w:ind w:left="383"/>
              <w:rPr>
                <w:rFonts w:ascii="Times New Roman" w:hAnsi="Times New Roman" w:cs="Times New Roman"/>
                <w:sz w:val="24"/>
                <w:szCs w:val="24"/>
              </w:rPr>
            </w:pPr>
            <w:r w:rsidRPr="00A900DE">
              <w:rPr>
                <w:rFonts w:ascii="Arial" w:hAnsi="Arial" w:cs="Arial"/>
                <w:sz w:val="20"/>
                <w:szCs w:val="20"/>
              </w:rPr>
              <w:t>Same</w:t>
            </w:r>
            <w:r w:rsidRPr="00A900DE">
              <w:rPr>
                <w:rFonts w:ascii="Arial" w:hAnsi="Arial" w:cs="Arial"/>
                <w:spacing w:val="-9"/>
                <w:sz w:val="20"/>
                <w:szCs w:val="20"/>
              </w:rPr>
              <w:t xml:space="preserve"> </w:t>
            </w:r>
            <w:r w:rsidRPr="00A900DE">
              <w:rPr>
                <w:rFonts w:ascii="Arial" w:hAnsi="Arial" w:cs="Arial"/>
                <w:spacing w:val="-1"/>
                <w:sz w:val="20"/>
                <w:szCs w:val="20"/>
              </w:rPr>
              <w:t>Zip</w:t>
            </w: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6"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-0.07</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6" w:after="0" w:line="240" w:lineRule="auto"/>
              <w:ind w:left="277"/>
              <w:rPr>
                <w:rFonts w:ascii="Times New Roman" w:hAnsi="Times New Roman" w:cs="Times New Roman"/>
                <w:sz w:val="24"/>
                <w:szCs w:val="24"/>
              </w:rPr>
            </w:pPr>
            <w:r w:rsidRPr="00A900DE">
              <w:rPr>
                <w:rFonts w:ascii="Arial" w:hAnsi="Arial" w:cs="Arial"/>
                <w:spacing w:val="-1"/>
                <w:sz w:val="20"/>
                <w:szCs w:val="20"/>
              </w:rPr>
              <w:t>-1.19</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61"/>
        </w:trPr>
        <w:tc>
          <w:tcPr>
            <w:tcW w:w="2095"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610"/>
              <w:rPr>
                <w:rFonts w:ascii="Times New Roman" w:hAnsi="Times New Roman" w:cs="Times New Roman"/>
                <w:sz w:val="24"/>
                <w:szCs w:val="24"/>
              </w:rPr>
            </w:pPr>
            <w:r w:rsidRPr="00A900DE">
              <w:rPr>
                <w:rFonts w:ascii="Arial" w:hAnsi="Arial" w:cs="Arial"/>
                <w:spacing w:val="-1"/>
                <w:sz w:val="20"/>
                <w:szCs w:val="20"/>
              </w:rPr>
              <w:t>20+</w:t>
            </w:r>
            <w:r w:rsidRPr="00A900DE">
              <w:rPr>
                <w:rFonts w:ascii="Arial" w:hAnsi="Arial" w:cs="Arial"/>
                <w:spacing w:val="-9"/>
                <w:sz w:val="20"/>
                <w:szCs w:val="20"/>
              </w:rPr>
              <w:t xml:space="preserve"> </w:t>
            </w:r>
            <w:r w:rsidRPr="00A900DE">
              <w:rPr>
                <w:rFonts w:ascii="Arial" w:hAnsi="Arial" w:cs="Arial"/>
                <w:sz w:val="20"/>
                <w:szCs w:val="20"/>
              </w:rPr>
              <w:t>miles</w:t>
            </w:r>
          </w:p>
        </w:tc>
        <w:tc>
          <w:tcPr>
            <w:tcW w:w="1637"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383"/>
              <w:rPr>
                <w:rFonts w:ascii="Times New Roman" w:hAnsi="Times New Roman" w:cs="Times New Roman"/>
                <w:sz w:val="24"/>
                <w:szCs w:val="24"/>
              </w:rPr>
            </w:pPr>
            <w:r w:rsidRPr="00A900DE">
              <w:rPr>
                <w:rFonts w:ascii="Arial" w:hAnsi="Arial" w:cs="Arial"/>
                <w:sz w:val="20"/>
                <w:szCs w:val="20"/>
              </w:rPr>
              <w:t>Same</w:t>
            </w:r>
            <w:r w:rsidRPr="00A900DE">
              <w:rPr>
                <w:rFonts w:ascii="Arial" w:hAnsi="Arial" w:cs="Arial"/>
                <w:spacing w:val="-9"/>
                <w:sz w:val="20"/>
                <w:szCs w:val="20"/>
              </w:rPr>
              <w:t xml:space="preserve"> </w:t>
            </w:r>
            <w:r w:rsidRPr="00A900DE">
              <w:rPr>
                <w:rFonts w:ascii="Arial" w:hAnsi="Arial" w:cs="Arial"/>
                <w:spacing w:val="-1"/>
                <w:sz w:val="20"/>
                <w:szCs w:val="20"/>
              </w:rPr>
              <w:t>Zip</w:t>
            </w:r>
          </w:p>
        </w:tc>
        <w:tc>
          <w:tcPr>
            <w:tcW w:w="1409"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-0.09</w:t>
            </w:r>
          </w:p>
        </w:tc>
        <w:tc>
          <w:tcPr>
            <w:tcW w:w="1023"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77"/>
              <w:rPr>
                <w:rFonts w:ascii="Times New Roman" w:hAnsi="Times New Roman" w:cs="Times New Roman"/>
                <w:sz w:val="24"/>
                <w:szCs w:val="24"/>
              </w:rPr>
            </w:pPr>
            <w:r w:rsidRPr="00A900DE">
              <w:rPr>
                <w:rFonts w:ascii="Arial" w:hAnsi="Arial" w:cs="Arial"/>
                <w:spacing w:val="-1"/>
                <w:sz w:val="20"/>
                <w:szCs w:val="20"/>
              </w:rPr>
              <w:t>-1.22</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48"/>
        </w:trPr>
        <w:tc>
          <w:tcPr>
            <w:tcW w:w="2095"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7" w:lineRule="exact"/>
              <w:ind w:left="601"/>
              <w:rPr>
                <w:rFonts w:ascii="Times New Roman" w:hAnsi="Times New Roman" w:cs="Times New Roman"/>
                <w:sz w:val="24"/>
                <w:szCs w:val="24"/>
              </w:rPr>
            </w:pPr>
            <w:r w:rsidRPr="00A900DE">
              <w:rPr>
                <w:rFonts w:ascii="Arial" w:hAnsi="Arial" w:cs="Arial"/>
                <w:sz w:val="20"/>
                <w:szCs w:val="20"/>
              </w:rPr>
              <w:t>Insurance</w:t>
            </w:r>
          </w:p>
        </w:tc>
        <w:tc>
          <w:tcPr>
            <w:tcW w:w="1637"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7" w:space="0" w:color="000000"/>
              <w:left w:val="single" w:sz="4" w:space="0" w:color="000000"/>
              <w:bottom w:val="single" w:sz="7"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470"/>
        </w:trPr>
        <w:tc>
          <w:tcPr>
            <w:tcW w:w="2095"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26" w:lineRule="exact"/>
              <w:ind w:left="630"/>
              <w:rPr>
                <w:rFonts w:ascii="Times New Roman" w:hAnsi="Times New Roman" w:cs="Times New Roman"/>
                <w:sz w:val="24"/>
                <w:szCs w:val="24"/>
              </w:rPr>
            </w:pPr>
            <w:r w:rsidRPr="00A900DE">
              <w:rPr>
                <w:rFonts w:ascii="Arial" w:hAnsi="Arial" w:cs="Arial"/>
                <w:sz w:val="20"/>
                <w:szCs w:val="20"/>
              </w:rPr>
              <w:t>Medicare</w:t>
            </w:r>
          </w:p>
        </w:tc>
        <w:tc>
          <w:tcPr>
            <w:tcW w:w="1637"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277"/>
              <w:rPr>
                <w:rFonts w:ascii="Times New Roman" w:hAnsi="Times New Roman" w:cs="Times New Roman"/>
                <w:sz w:val="24"/>
                <w:szCs w:val="24"/>
              </w:rPr>
            </w:pPr>
            <w:r w:rsidRPr="00A900DE">
              <w:rPr>
                <w:rFonts w:ascii="Arial" w:hAnsi="Arial" w:cs="Arial"/>
                <w:sz w:val="20"/>
                <w:szCs w:val="20"/>
              </w:rPr>
              <w:t>Commercial</w:t>
            </w:r>
          </w:p>
        </w:tc>
        <w:tc>
          <w:tcPr>
            <w:tcW w:w="1409"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390"/>
              <w:rPr>
                <w:rFonts w:ascii="Times New Roman" w:hAnsi="Times New Roman" w:cs="Times New Roman"/>
                <w:sz w:val="24"/>
                <w:szCs w:val="24"/>
              </w:rPr>
            </w:pPr>
            <w:r w:rsidRPr="00A900DE">
              <w:rPr>
                <w:rFonts w:ascii="Arial" w:hAnsi="Arial" w:cs="Arial"/>
                <w:sz w:val="20"/>
                <w:szCs w:val="20"/>
              </w:rPr>
              <w:t>-0.59**</w:t>
            </w:r>
          </w:p>
        </w:tc>
        <w:tc>
          <w:tcPr>
            <w:tcW w:w="1023" w:type="dxa"/>
            <w:tcBorders>
              <w:top w:val="single" w:sz="7"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111" w:after="0" w:line="240" w:lineRule="auto"/>
              <w:ind w:left="277"/>
              <w:rPr>
                <w:rFonts w:ascii="Times New Roman" w:hAnsi="Times New Roman" w:cs="Times New Roman"/>
                <w:sz w:val="24"/>
                <w:szCs w:val="24"/>
              </w:rPr>
            </w:pPr>
            <w:r w:rsidRPr="00A900DE">
              <w:rPr>
                <w:rFonts w:ascii="Arial" w:hAnsi="Arial" w:cs="Arial"/>
                <w:spacing w:val="-1"/>
                <w:sz w:val="20"/>
                <w:szCs w:val="20"/>
              </w:rPr>
              <w:t>-8.74</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708"/>
        </w:trPr>
        <w:tc>
          <w:tcPr>
            <w:tcW w:w="2095"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0" w:lineRule="auto"/>
              <w:ind w:left="106" w:right="108"/>
              <w:jc w:val="center"/>
              <w:rPr>
                <w:rFonts w:ascii="Times New Roman" w:hAnsi="Times New Roman" w:cs="Times New Roman"/>
                <w:sz w:val="24"/>
                <w:szCs w:val="24"/>
              </w:rPr>
            </w:pPr>
            <w:r w:rsidRPr="00A900DE">
              <w:rPr>
                <w:rFonts w:ascii="Arial" w:hAnsi="Arial" w:cs="Arial"/>
                <w:sz w:val="20"/>
                <w:szCs w:val="20"/>
              </w:rPr>
              <w:t>Medicaid</w:t>
            </w:r>
            <w:r w:rsidRPr="00A900DE">
              <w:rPr>
                <w:rFonts w:ascii="Arial" w:hAnsi="Arial" w:cs="Arial"/>
                <w:spacing w:val="-6"/>
                <w:sz w:val="20"/>
                <w:szCs w:val="20"/>
              </w:rPr>
              <w:t xml:space="preserve"> </w:t>
            </w:r>
            <w:r w:rsidRPr="00A900DE">
              <w:rPr>
                <w:rFonts w:ascii="Arial" w:hAnsi="Arial" w:cs="Arial"/>
                <w:sz w:val="20"/>
                <w:szCs w:val="20"/>
              </w:rPr>
              <w:t>/</w:t>
            </w:r>
            <w:r w:rsidRPr="00A900DE">
              <w:rPr>
                <w:rFonts w:ascii="Arial" w:hAnsi="Arial" w:cs="Arial"/>
                <w:spacing w:val="-6"/>
                <w:sz w:val="20"/>
                <w:szCs w:val="20"/>
              </w:rPr>
              <w:t xml:space="preserve"> </w:t>
            </w:r>
            <w:r w:rsidRPr="00A900DE">
              <w:rPr>
                <w:rFonts w:ascii="Arial" w:hAnsi="Arial" w:cs="Arial"/>
                <w:sz w:val="20"/>
                <w:szCs w:val="20"/>
              </w:rPr>
              <w:t>MSHO</w:t>
            </w:r>
            <w:r w:rsidRPr="00A900DE">
              <w:rPr>
                <w:rFonts w:ascii="Arial" w:hAnsi="Arial" w:cs="Arial"/>
                <w:spacing w:val="-6"/>
                <w:sz w:val="20"/>
                <w:szCs w:val="20"/>
              </w:rPr>
              <w:t xml:space="preserve"> </w:t>
            </w:r>
            <w:r w:rsidRPr="00A900DE">
              <w:rPr>
                <w:rFonts w:ascii="Arial" w:hAnsi="Arial" w:cs="Arial"/>
                <w:sz w:val="20"/>
                <w:szCs w:val="20"/>
              </w:rPr>
              <w:t>/</w:t>
            </w:r>
            <w:r w:rsidRPr="00A900DE">
              <w:rPr>
                <w:rFonts w:ascii="Arial" w:hAnsi="Arial" w:cs="Arial"/>
                <w:w w:val="99"/>
                <w:sz w:val="20"/>
                <w:szCs w:val="20"/>
              </w:rPr>
              <w:t xml:space="preserve"> </w:t>
            </w:r>
            <w:r w:rsidRPr="00A900DE">
              <w:rPr>
                <w:rFonts w:ascii="Arial" w:hAnsi="Arial" w:cs="Arial"/>
                <w:sz w:val="20"/>
                <w:szCs w:val="20"/>
              </w:rPr>
              <w:t>Special</w:t>
            </w:r>
            <w:r w:rsidRPr="00A900DE">
              <w:rPr>
                <w:rFonts w:ascii="Arial" w:hAnsi="Arial" w:cs="Arial"/>
                <w:spacing w:val="-6"/>
                <w:sz w:val="20"/>
                <w:szCs w:val="20"/>
              </w:rPr>
              <w:t xml:space="preserve"> </w:t>
            </w:r>
            <w:r w:rsidRPr="00A900DE">
              <w:rPr>
                <w:rFonts w:ascii="Arial" w:hAnsi="Arial" w:cs="Arial"/>
                <w:sz w:val="20"/>
                <w:szCs w:val="20"/>
              </w:rPr>
              <w:t>Needs</w:t>
            </w:r>
            <w:r w:rsidRPr="00A900DE">
              <w:rPr>
                <w:rFonts w:ascii="Arial" w:hAnsi="Arial" w:cs="Arial"/>
                <w:spacing w:val="-6"/>
                <w:sz w:val="20"/>
                <w:szCs w:val="20"/>
              </w:rPr>
              <w:t xml:space="preserve"> </w:t>
            </w:r>
            <w:r w:rsidRPr="00A900DE">
              <w:rPr>
                <w:rFonts w:ascii="Arial" w:hAnsi="Arial" w:cs="Arial"/>
                <w:sz w:val="20"/>
                <w:szCs w:val="20"/>
              </w:rPr>
              <w:t>/</w:t>
            </w:r>
            <w:r w:rsidRPr="00A900DE">
              <w:rPr>
                <w:rFonts w:ascii="Arial" w:hAnsi="Arial" w:cs="Arial"/>
                <w:spacing w:val="-6"/>
                <w:sz w:val="20"/>
                <w:szCs w:val="20"/>
              </w:rPr>
              <w:t xml:space="preserve"> </w:t>
            </w:r>
            <w:r w:rsidRPr="00A900DE">
              <w:rPr>
                <w:rFonts w:ascii="Arial" w:hAnsi="Arial" w:cs="Arial"/>
                <w:sz w:val="20"/>
                <w:szCs w:val="20"/>
              </w:rPr>
              <w:t>Self-</w:t>
            </w:r>
            <w:r w:rsidRPr="00A900DE">
              <w:rPr>
                <w:rFonts w:ascii="Arial" w:hAnsi="Arial" w:cs="Arial"/>
                <w:spacing w:val="22"/>
                <w:w w:val="99"/>
                <w:sz w:val="20"/>
                <w:szCs w:val="20"/>
              </w:rPr>
              <w:t xml:space="preserve"> </w:t>
            </w:r>
            <w:r w:rsidRPr="00A900DE">
              <w:rPr>
                <w:rFonts w:ascii="Arial" w:hAnsi="Arial" w:cs="Arial"/>
                <w:sz w:val="20"/>
                <w:szCs w:val="20"/>
              </w:rPr>
              <w:t>pay</w:t>
            </w:r>
            <w:r w:rsidRPr="00A900DE">
              <w:rPr>
                <w:rFonts w:ascii="Arial" w:hAnsi="Arial" w:cs="Arial"/>
                <w:spacing w:val="-9"/>
                <w:sz w:val="20"/>
                <w:szCs w:val="20"/>
              </w:rPr>
              <w:t xml:space="preserve"> </w:t>
            </w:r>
            <w:r w:rsidRPr="00A900DE">
              <w:rPr>
                <w:rFonts w:ascii="Arial" w:hAnsi="Arial" w:cs="Arial"/>
                <w:sz w:val="20"/>
                <w:szCs w:val="20"/>
              </w:rPr>
              <w:t>/</w:t>
            </w:r>
            <w:r w:rsidRPr="00A900DE">
              <w:rPr>
                <w:rFonts w:ascii="Arial" w:hAnsi="Arial" w:cs="Arial"/>
                <w:spacing w:val="-7"/>
                <w:sz w:val="20"/>
                <w:szCs w:val="20"/>
              </w:rPr>
              <w:t xml:space="preserve"> </w:t>
            </w:r>
            <w:r w:rsidRPr="00A900DE">
              <w:rPr>
                <w:rFonts w:ascii="Arial" w:hAnsi="Arial" w:cs="Arial"/>
                <w:sz w:val="20"/>
                <w:szCs w:val="20"/>
              </w:rPr>
              <w:t>Uninsured</w:t>
            </w:r>
          </w:p>
        </w:tc>
        <w:tc>
          <w:tcPr>
            <w:tcW w:w="1637"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9"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277"/>
              <w:rPr>
                <w:rFonts w:ascii="Times New Roman" w:hAnsi="Times New Roman" w:cs="Times New Roman"/>
                <w:sz w:val="24"/>
                <w:szCs w:val="24"/>
              </w:rPr>
            </w:pPr>
            <w:r w:rsidRPr="00A900DE">
              <w:rPr>
                <w:rFonts w:ascii="Arial" w:hAnsi="Arial" w:cs="Arial"/>
                <w:sz w:val="20"/>
                <w:szCs w:val="20"/>
              </w:rPr>
              <w:t>Commercial</w:t>
            </w:r>
          </w:p>
        </w:tc>
        <w:tc>
          <w:tcPr>
            <w:tcW w:w="1409"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9"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390"/>
              <w:rPr>
                <w:rFonts w:ascii="Times New Roman" w:hAnsi="Times New Roman" w:cs="Times New Roman"/>
                <w:sz w:val="24"/>
                <w:szCs w:val="24"/>
              </w:rPr>
            </w:pPr>
            <w:r w:rsidRPr="00A900DE">
              <w:rPr>
                <w:rFonts w:ascii="Arial" w:hAnsi="Arial" w:cs="Arial"/>
                <w:sz w:val="20"/>
                <w:szCs w:val="20"/>
              </w:rPr>
              <w:t>-0.46**</w:t>
            </w:r>
          </w:p>
        </w:tc>
        <w:tc>
          <w:tcPr>
            <w:tcW w:w="1023" w:type="dxa"/>
            <w:tcBorders>
              <w:top w:val="single" w:sz="4" w:space="0" w:color="000000"/>
              <w:left w:val="single" w:sz="4" w:space="0" w:color="000000"/>
              <w:bottom w:val="single" w:sz="7" w:space="0" w:color="000000"/>
              <w:right w:val="single" w:sz="4" w:space="0" w:color="000000"/>
            </w:tcBorders>
          </w:tcPr>
          <w:p w:rsidR="00A900DE" w:rsidRPr="00A900DE" w:rsidRDefault="00A900DE" w:rsidP="00A900DE">
            <w:pPr>
              <w:kinsoku w:val="0"/>
              <w:overflowPunct w:val="0"/>
              <w:autoSpaceDE w:val="0"/>
              <w:autoSpaceDN w:val="0"/>
              <w:adjustRightInd w:val="0"/>
              <w:spacing w:before="9" w:after="0" w:line="240" w:lineRule="auto"/>
              <w:rPr>
                <w:rFonts w:ascii="Times New Roman" w:hAnsi="Times New Roman" w:cs="Times New Roman"/>
                <w:sz w:val="19"/>
                <w:szCs w:val="19"/>
              </w:rPr>
            </w:pPr>
          </w:p>
          <w:p w:rsidR="00A900DE" w:rsidRPr="00A900DE" w:rsidRDefault="00A900DE" w:rsidP="00A900DE">
            <w:pPr>
              <w:kinsoku w:val="0"/>
              <w:overflowPunct w:val="0"/>
              <w:autoSpaceDE w:val="0"/>
              <w:autoSpaceDN w:val="0"/>
              <w:adjustRightInd w:val="0"/>
              <w:spacing w:after="0" w:line="240" w:lineRule="auto"/>
              <w:ind w:left="277"/>
              <w:rPr>
                <w:rFonts w:ascii="Times New Roman" w:hAnsi="Times New Roman" w:cs="Times New Roman"/>
                <w:sz w:val="24"/>
                <w:szCs w:val="24"/>
              </w:rPr>
            </w:pPr>
            <w:r w:rsidRPr="00A900DE">
              <w:rPr>
                <w:rFonts w:ascii="Arial" w:hAnsi="Arial" w:cs="Arial"/>
                <w:spacing w:val="-1"/>
                <w:sz w:val="20"/>
                <w:szCs w:val="20"/>
              </w:rPr>
              <w:t>-9.43</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46"/>
        </w:trPr>
        <w:tc>
          <w:tcPr>
            <w:tcW w:w="2095" w:type="dxa"/>
            <w:tcBorders>
              <w:top w:val="single" w:sz="7" w:space="0" w:color="000000"/>
              <w:left w:val="single" w:sz="4" w:space="0" w:color="000000"/>
              <w:bottom w:val="single" w:sz="6" w:space="0" w:color="000000"/>
              <w:right w:val="single" w:sz="4" w:space="0" w:color="000000"/>
            </w:tcBorders>
            <w:shd w:val="clear" w:color="auto" w:fill="D9D9D9"/>
          </w:tcPr>
          <w:p w:rsidR="00A900DE" w:rsidRPr="00A900DE" w:rsidRDefault="00A900DE" w:rsidP="00A900DE">
            <w:pPr>
              <w:kinsoku w:val="0"/>
              <w:overflowPunct w:val="0"/>
              <w:autoSpaceDE w:val="0"/>
              <w:autoSpaceDN w:val="0"/>
              <w:adjustRightInd w:val="0"/>
              <w:spacing w:after="0" w:line="227" w:lineRule="exact"/>
              <w:ind w:left="397"/>
              <w:rPr>
                <w:rFonts w:ascii="Times New Roman" w:hAnsi="Times New Roman" w:cs="Times New Roman"/>
                <w:sz w:val="24"/>
                <w:szCs w:val="24"/>
              </w:rPr>
            </w:pPr>
            <w:r w:rsidRPr="00A900DE">
              <w:rPr>
                <w:rFonts w:ascii="Arial" w:hAnsi="Arial" w:cs="Arial"/>
                <w:spacing w:val="-1"/>
                <w:sz w:val="20"/>
                <w:szCs w:val="20"/>
              </w:rPr>
              <w:t>Zip</w:t>
            </w:r>
            <w:r w:rsidRPr="00A900DE">
              <w:rPr>
                <w:rFonts w:ascii="Arial" w:hAnsi="Arial" w:cs="Arial"/>
                <w:spacing w:val="-7"/>
                <w:sz w:val="20"/>
                <w:szCs w:val="20"/>
              </w:rPr>
              <w:t xml:space="preserve"> </w:t>
            </w:r>
            <w:r w:rsidRPr="00A900DE">
              <w:rPr>
                <w:rFonts w:ascii="Arial" w:hAnsi="Arial" w:cs="Arial"/>
                <w:sz w:val="20"/>
                <w:szCs w:val="20"/>
              </w:rPr>
              <w:t>Code</w:t>
            </w:r>
            <w:r w:rsidRPr="00A900DE">
              <w:rPr>
                <w:rFonts w:ascii="Arial" w:hAnsi="Arial" w:cs="Arial"/>
                <w:spacing w:val="-6"/>
                <w:sz w:val="20"/>
                <w:szCs w:val="20"/>
              </w:rPr>
              <w:t xml:space="preserve"> </w:t>
            </w:r>
            <w:r w:rsidRPr="00A900DE">
              <w:rPr>
                <w:rFonts w:ascii="Arial" w:hAnsi="Arial" w:cs="Arial"/>
                <w:sz w:val="20"/>
                <w:szCs w:val="20"/>
              </w:rPr>
              <w:t>Data</w:t>
            </w:r>
          </w:p>
        </w:tc>
        <w:tc>
          <w:tcPr>
            <w:tcW w:w="1637" w:type="dxa"/>
            <w:tcBorders>
              <w:top w:val="single" w:sz="7" w:space="0" w:color="000000"/>
              <w:left w:val="single" w:sz="4" w:space="0" w:color="000000"/>
              <w:bottom w:val="single" w:sz="6"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7" w:space="0" w:color="000000"/>
              <w:left w:val="single" w:sz="4" w:space="0" w:color="000000"/>
              <w:bottom w:val="single" w:sz="6"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7" w:space="0" w:color="000000"/>
              <w:left w:val="single" w:sz="4" w:space="0" w:color="000000"/>
              <w:bottom w:val="single" w:sz="6" w:space="0" w:color="000000"/>
              <w:right w:val="single" w:sz="4" w:space="0" w:color="000000"/>
            </w:tcBorders>
            <w:shd w:val="clear" w:color="auto" w:fill="D9D9D9"/>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6"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5" w:after="0" w:line="240" w:lineRule="auto"/>
              <w:ind w:left="356"/>
              <w:rPr>
                <w:rFonts w:ascii="Times New Roman" w:hAnsi="Times New Roman" w:cs="Times New Roman"/>
                <w:sz w:val="24"/>
                <w:szCs w:val="24"/>
              </w:rPr>
            </w:pPr>
            <w:r w:rsidRPr="00A900DE">
              <w:rPr>
                <w:rFonts w:ascii="Arial" w:hAnsi="Arial" w:cs="Arial"/>
                <w:spacing w:val="-1"/>
                <w:sz w:val="20"/>
                <w:szCs w:val="20"/>
              </w:rPr>
              <w:t>Median</w:t>
            </w:r>
            <w:r w:rsidRPr="00A900DE">
              <w:rPr>
                <w:rFonts w:ascii="Arial" w:hAnsi="Arial" w:cs="Arial"/>
                <w:spacing w:val="-14"/>
                <w:sz w:val="20"/>
                <w:szCs w:val="20"/>
              </w:rPr>
              <w:t xml:space="preserve"> </w:t>
            </w:r>
            <w:r w:rsidRPr="00A900DE">
              <w:rPr>
                <w:rFonts w:ascii="Arial" w:hAnsi="Arial" w:cs="Arial"/>
                <w:sz w:val="20"/>
                <w:szCs w:val="20"/>
              </w:rPr>
              <w:t>Income</w:t>
            </w:r>
          </w:p>
        </w:tc>
        <w:tc>
          <w:tcPr>
            <w:tcW w:w="1637" w:type="dxa"/>
            <w:tcBorders>
              <w:top w:val="single" w:sz="6"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6"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5"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0.03</w:t>
            </w:r>
          </w:p>
        </w:tc>
        <w:tc>
          <w:tcPr>
            <w:tcW w:w="1023" w:type="dxa"/>
            <w:tcBorders>
              <w:top w:val="single" w:sz="6"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5" w:after="0" w:line="240" w:lineRule="auto"/>
              <w:ind w:left="311"/>
              <w:rPr>
                <w:rFonts w:ascii="Times New Roman" w:hAnsi="Times New Roman" w:cs="Times New Roman"/>
                <w:sz w:val="24"/>
                <w:szCs w:val="24"/>
              </w:rPr>
            </w:pPr>
            <w:r w:rsidRPr="00A900DE">
              <w:rPr>
                <w:rFonts w:ascii="Arial" w:hAnsi="Arial" w:cs="Arial"/>
                <w:spacing w:val="-1"/>
                <w:sz w:val="20"/>
                <w:szCs w:val="20"/>
              </w:rPr>
              <w:t>1.91</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423"/>
              <w:rPr>
                <w:rFonts w:ascii="Times New Roman" w:hAnsi="Times New Roman" w:cs="Times New Roman"/>
                <w:sz w:val="24"/>
                <w:szCs w:val="24"/>
              </w:rPr>
            </w:pPr>
            <w:r w:rsidRPr="00A900DE">
              <w:rPr>
                <w:rFonts w:ascii="Arial" w:hAnsi="Arial" w:cs="Arial"/>
                <w:spacing w:val="-1"/>
                <w:sz w:val="20"/>
                <w:szCs w:val="20"/>
              </w:rPr>
              <w:t>Percent</w:t>
            </w:r>
            <w:r w:rsidRPr="00A900DE">
              <w:rPr>
                <w:rFonts w:ascii="Arial" w:hAnsi="Arial" w:cs="Arial"/>
                <w:spacing w:val="-11"/>
                <w:sz w:val="20"/>
                <w:szCs w:val="20"/>
              </w:rPr>
              <w:t xml:space="preserve"> </w:t>
            </w:r>
            <w:r w:rsidRPr="00A900DE">
              <w:rPr>
                <w:rFonts w:ascii="Arial" w:hAnsi="Arial" w:cs="Arial"/>
                <w:sz w:val="20"/>
                <w:szCs w:val="20"/>
              </w:rPr>
              <w:t>Black</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0.00</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77"/>
              <w:rPr>
                <w:rFonts w:ascii="Times New Roman" w:hAnsi="Times New Roman" w:cs="Times New Roman"/>
                <w:sz w:val="24"/>
                <w:szCs w:val="24"/>
              </w:rPr>
            </w:pPr>
            <w:r w:rsidRPr="00A900DE">
              <w:rPr>
                <w:rFonts w:ascii="Arial" w:hAnsi="Arial" w:cs="Arial"/>
                <w:spacing w:val="-1"/>
                <w:sz w:val="20"/>
                <w:szCs w:val="20"/>
              </w:rPr>
              <w:t>-0.81</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84"/>
              <w:rPr>
                <w:rFonts w:ascii="Times New Roman" w:hAnsi="Times New Roman" w:cs="Times New Roman"/>
                <w:sz w:val="24"/>
                <w:szCs w:val="24"/>
              </w:rPr>
            </w:pPr>
            <w:r w:rsidRPr="00A900DE">
              <w:rPr>
                <w:rFonts w:ascii="Arial" w:hAnsi="Arial" w:cs="Arial"/>
                <w:spacing w:val="-1"/>
                <w:sz w:val="20"/>
                <w:szCs w:val="20"/>
              </w:rPr>
              <w:t>Percent</w:t>
            </w:r>
            <w:r w:rsidRPr="00A900DE">
              <w:rPr>
                <w:rFonts w:ascii="Arial" w:hAnsi="Arial" w:cs="Arial"/>
                <w:spacing w:val="-14"/>
                <w:sz w:val="20"/>
                <w:szCs w:val="20"/>
              </w:rPr>
              <w:t xml:space="preserve"> </w:t>
            </w:r>
            <w:r w:rsidRPr="00A900DE">
              <w:rPr>
                <w:rFonts w:ascii="Arial" w:hAnsi="Arial" w:cs="Arial"/>
                <w:spacing w:val="-1"/>
                <w:sz w:val="20"/>
                <w:szCs w:val="20"/>
              </w:rPr>
              <w:t>Hispanic</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0.38</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311"/>
              <w:rPr>
                <w:rFonts w:ascii="Times New Roman" w:hAnsi="Times New Roman" w:cs="Times New Roman"/>
                <w:sz w:val="24"/>
                <w:szCs w:val="24"/>
              </w:rPr>
            </w:pPr>
            <w:r w:rsidRPr="00A900DE">
              <w:rPr>
                <w:rFonts w:ascii="Arial" w:hAnsi="Arial" w:cs="Arial"/>
                <w:spacing w:val="-1"/>
                <w:sz w:val="20"/>
                <w:szCs w:val="20"/>
              </w:rPr>
              <w:t>0.72</w:t>
            </w:r>
          </w:p>
        </w:tc>
        <w:tc>
          <w:tcPr>
            <w:tcW w:w="1024" w:type="dxa"/>
            <w:tcBorders>
              <w:top w:val="nil"/>
              <w:left w:val="single" w:sz="4" w:space="0" w:color="000000"/>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nil"/>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nil"/>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2095"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639"/>
              <w:rPr>
                <w:rFonts w:ascii="Times New Roman" w:hAnsi="Times New Roman" w:cs="Times New Roman"/>
                <w:sz w:val="24"/>
                <w:szCs w:val="24"/>
              </w:rPr>
            </w:pPr>
            <w:r w:rsidRPr="00A900DE">
              <w:rPr>
                <w:rFonts w:ascii="Arial" w:hAnsi="Arial" w:cs="Arial"/>
                <w:sz w:val="20"/>
                <w:szCs w:val="20"/>
              </w:rPr>
              <w:t>Constant</w:t>
            </w:r>
          </w:p>
        </w:tc>
        <w:tc>
          <w:tcPr>
            <w:tcW w:w="1637"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409"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right="4"/>
              <w:jc w:val="center"/>
              <w:rPr>
                <w:rFonts w:ascii="Times New Roman" w:hAnsi="Times New Roman" w:cs="Times New Roman"/>
                <w:sz w:val="24"/>
                <w:szCs w:val="24"/>
              </w:rPr>
            </w:pPr>
            <w:r w:rsidRPr="00A900DE">
              <w:rPr>
                <w:rFonts w:ascii="Arial" w:hAnsi="Arial" w:cs="Arial"/>
                <w:spacing w:val="-1"/>
                <w:sz w:val="20"/>
                <w:szCs w:val="20"/>
              </w:rPr>
              <w:t>-1.99</w:t>
            </w:r>
          </w:p>
        </w:tc>
        <w:tc>
          <w:tcPr>
            <w:tcW w:w="1023" w:type="dxa"/>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before="3" w:after="0" w:line="240" w:lineRule="auto"/>
              <w:ind w:left="277"/>
              <w:rPr>
                <w:rFonts w:ascii="Times New Roman" w:hAnsi="Times New Roman" w:cs="Times New Roman"/>
                <w:sz w:val="24"/>
                <w:szCs w:val="24"/>
              </w:rPr>
            </w:pPr>
            <w:r w:rsidRPr="00A900DE">
              <w:rPr>
                <w:rFonts w:ascii="Arial" w:hAnsi="Arial" w:cs="Arial"/>
                <w:spacing w:val="-1"/>
                <w:sz w:val="20"/>
                <w:szCs w:val="20"/>
              </w:rPr>
              <w:t>-1.89</w:t>
            </w:r>
          </w:p>
        </w:tc>
        <w:tc>
          <w:tcPr>
            <w:tcW w:w="1024" w:type="dxa"/>
            <w:tcBorders>
              <w:top w:val="nil"/>
              <w:left w:val="single" w:sz="4" w:space="0" w:color="000000"/>
              <w:bottom w:val="single" w:sz="4" w:space="0" w:color="000000"/>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021" w:type="dxa"/>
            <w:tcBorders>
              <w:top w:val="nil"/>
              <w:left w:val="nil"/>
              <w:bottom w:val="single" w:sz="4" w:space="0" w:color="000000"/>
              <w:right w:val="nil"/>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c>
          <w:tcPr>
            <w:tcW w:w="1152" w:type="dxa"/>
            <w:tcBorders>
              <w:top w:val="nil"/>
              <w:left w:val="nil"/>
              <w:bottom w:val="single" w:sz="4" w:space="0" w:color="000000"/>
              <w:right w:val="single" w:sz="4" w:space="0" w:color="000000"/>
            </w:tcBorders>
          </w:tcPr>
          <w:p w:rsidR="00A900DE" w:rsidRPr="00A900DE" w:rsidRDefault="00A900DE" w:rsidP="00A900DE">
            <w:pPr>
              <w:autoSpaceDE w:val="0"/>
              <w:autoSpaceDN w:val="0"/>
              <w:adjustRightInd w:val="0"/>
              <w:spacing w:after="0" w:line="240" w:lineRule="auto"/>
              <w:rPr>
                <w:rFonts w:ascii="Times New Roman" w:hAnsi="Times New Roman" w:cs="Times New Roman"/>
                <w:sz w:val="24"/>
                <w:szCs w:val="24"/>
              </w:rPr>
            </w:pPr>
          </w:p>
        </w:tc>
      </w:tr>
      <w:tr w:rsidR="00A900DE" w:rsidRPr="00A900DE" w:rsidTr="006E0C96">
        <w:trPr>
          <w:trHeight w:hRule="exact" w:val="254"/>
        </w:trPr>
        <w:tc>
          <w:tcPr>
            <w:tcW w:w="9361" w:type="dxa"/>
            <w:gridSpan w:val="7"/>
            <w:tcBorders>
              <w:top w:val="single" w:sz="4" w:space="0" w:color="000000"/>
              <w:left w:val="single" w:sz="4" w:space="0" w:color="000000"/>
              <w:bottom w:val="single" w:sz="4" w:space="0" w:color="000000"/>
              <w:right w:val="single" w:sz="4" w:space="0" w:color="000000"/>
            </w:tcBorders>
          </w:tcPr>
          <w:p w:rsidR="00A900DE" w:rsidRPr="00A900DE" w:rsidRDefault="00A900DE" w:rsidP="00A900DE">
            <w:pPr>
              <w:kinsoku w:val="0"/>
              <w:overflowPunct w:val="0"/>
              <w:autoSpaceDE w:val="0"/>
              <w:autoSpaceDN w:val="0"/>
              <w:adjustRightInd w:val="0"/>
              <w:spacing w:after="0" w:line="242" w:lineRule="exact"/>
              <w:ind w:left="102"/>
              <w:rPr>
                <w:rFonts w:ascii="Times New Roman" w:hAnsi="Times New Roman" w:cs="Times New Roman"/>
                <w:sz w:val="24"/>
                <w:szCs w:val="24"/>
              </w:rPr>
            </w:pPr>
            <w:r w:rsidRPr="00A900DE">
              <w:rPr>
                <w:rFonts w:ascii="Calibri" w:hAnsi="Calibri" w:cs="Calibri"/>
                <w:spacing w:val="-1"/>
                <w:sz w:val="20"/>
                <w:szCs w:val="20"/>
              </w:rPr>
              <w:t>**</w:t>
            </w:r>
            <w:r w:rsidRPr="00A900DE">
              <w:rPr>
                <w:rFonts w:ascii="Calibri" w:hAnsi="Calibri" w:cs="Calibri"/>
                <w:spacing w:val="-10"/>
                <w:sz w:val="20"/>
                <w:szCs w:val="20"/>
              </w:rPr>
              <w:t xml:space="preserve"> </w:t>
            </w:r>
            <w:r w:rsidRPr="00A900DE">
              <w:rPr>
                <w:rFonts w:ascii="Calibri" w:hAnsi="Calibri" w:cs="Calibri"/>
                <w:sz w:val="20"/>
                <w:szCs w:val="20"/>
              </w:rPr>
              <w:t>indicates</w:t>
            </w:r>
            <w:r w:rsidRPr="00A900DE">
              <w:rPr>
                <w:rFonts w:ascii="Calibri" w:hAnsi="Calibri" w:cs="Calibri"/>
                <w:spacing w:val="-11"/>
                <w:sz w:val="20"/>
                <w:szCs w:val="20"/>
              </w:rPr>
              <w:t xml:space="preserve"> </w:t>
            </w:r>
            <w:r w:rsidRPr="00A900DE">
              <w:rPr>
                <w:rFonts w:ascii="Calibri" w:hAnsi="Calibri" w:cs="Calibri"/>
                <w:spacing w:val="-1"/>
                <w:sz w:val="20"/>
                <w:szCs w:val="20"/>
              </w:rPr>
              <w:t>statistical</w:t>
            </w:r>
            <w:r w:rsidRPr="00A900DE">
              <w:rPr>
                <w:rFonts w:ascii="Calibri" w:hAnsi="Calibri" w:cs="Calibri"/>
                <w:spacing w:val="-9"/>
                <w:sz w:val="20"/>
                <w:szCs w:val="20"/>
              </w:rPr>
              <w:t xml:space="preserve"> </w:t>
            </w:r>
            <w:r w:rsidRPr="00A900DE">
              <w:rPr>
                <w:rFonts w:ascii="Calibri" w:hAnsi="Calibri" w:cs="Calibri"/>
                <w:sz w:val="20"/>
                <w:szCs w:val="20"/>
              </w:rPr>
              <w:t>significance.</w:t>
            </w:r>
          </w:p>
        </w:tc>
      </w:tr>
    </w:tbl>
    <w:p w:rsidR="00A900DE" w:rsidRDefault="00A900DE" w:rsidP="00092566">
      <w:pPr>
        <w:autoSpaceDE w:val="0"/>
        <w:autoSpaceDN w:val="0"/>
        <w:adjustRightInd w:val="0"/>
        <w:spacing w:after="0" w:line="240" w:lineRule="auto"/>
        <w:rPr>
          <w:rFonts w:cstheme="minorHAnsi"/>
          <w:b/>
          <w:bCs/>
        </w:rPr>
      </w:pPr>
    </w:p>
    <w:p w:rsidR="00FB7B89" w:rsidRDefault="00FB7B89" w:rsidP="00FB7B89">
      <w:pPr>
        <w:autoSpaceDE w:val="0"/>
        <w:autoSpaceDN w:val="0"/>
        <w:adjustRightInd w:val="0"/>
        <w:spacing w:after="120" w:line="240" w:lineRule="auto"/>
        <w:rPr>
          <w:rFonts w:cstheme="minorHAnsi"/>
          <w:b/>
          <w:bCs/>
        </w:rPr>
      </w:pPr>
    </w:p>
    <w:p w:rsidR="00FB7B89" w:rsidRDefault="00FB7B89" w:rsidP="00FB7B89">
      <w:pPr>
        <w:autoSpaceDE w:val="0"/>
        <w:autoSpaceDN w:val="0"/>
        <w:adjustRightInd w:val="0"/>
        <w:spacing w:after="120" w:line="240" w:lineRule="auto"/>
        <w:rPr>
          <w:rFonts w:cstheme="minorHAnsi"/>
          <w:b/>
          <w:bCs/>
        </w:rPr>
      </w:pPr>
    </w:p>
    <w:p w:rsidR="00FB7B89" w:rsidRDefault="00FB7B89" w:rsidP="00FB7B89">
      <w:pPr>
        <w:autoSpaceDE w:val="0"/>
        <w:autoSpaceDN w:val="0"/>
        <w:adjustRightInd w:val="0"/>
        <w:spacing w:after="120" w:line="240" w:lineRule="auto"/>
        <w:rPr>
          <w:rFonts w:cstheme="minorHAnsi"/>
          <w:b/>
          <w:bCs/>
        </w:rPr>
      </w:pPr>
    </w:p>
    <w:p w:rsidR="00FB7B89" w:rsidRDefault="00FB7B89" w:rsidP="00FB7B89">
      <w:pPr>
        <w:autoSpaceDE w:val="0"/>
        <w:autoSpaceDN w:val="0"/>
        <w:adjustRightInd w:val="0"/>
        <w:spacing w:after="120" w:line="240" w:lineRule="auto"/>
        <w:rPr>
          <w:rFonts w:cstheme="minorHAnsi"/>
          <w:b/>
          <w:bCs/>
        </w:rPr>
      </w:pPr>
    </w:p>
    <w:p w:rsidR="00FB7B89" w:rsidRDefault="00FB7B89" w:rsidP="00FB7B89">
      <w:pPr>
        <w:autoSpaceDE w:val="0"/>
        <w:autoSpaceDN w:val="0"/>
        <w:adjustRightInd w:val="0"/>
        <w:spacing w:after="120" w:line="240" w:lineRule="auto"/>
        <w:rPr>
          <w:rFonts w:cstheme="minorHAnsi"/>
          <w:b/>
          <w:bCs/>
        </w:rPr>
      </w:pPr>
    </w:p>
    <w:p w:rsidR="00FB7B89" w:rsidRDefault="00FB7B89" w:rsidP="00FB7B89">
      <w:pPr>
        <w:autoSpaceDE w:val="0"/>
        <w:autoSpaceDN w:val="0"/>
        <w:adjustRightInd w:val="0"/>
        <w:spacing w:after="120" w:line="240" w:lineRule="auto"/>
        <w:rPr>
          <w:rFonts w:cstheme="minorHAnsi"/>
          <w:b/>
          <w:bCs/>
        </w:rPr>
      </w:pPr>
    </w:p>
    <w:p w:rsidR="002F2583" w:rsidRDefault="002F2583" w:rsidP="00FB7B89">
      <w:pPr>
        <w:autoSpaceDE w:val="0"/>
        <w:autoSpaceDN w:val="0"/>
        <w:adjustRightInd w:val="0"/>
        <w:spacing w:after="0" w:line="240" w:lineRule="auto"/>
        <w:rPr>
          <w:rFonts w:cstheme="minorHAnsi"/>
          <w:bCs/>
          <w:color w:val="FF0000"/>
        </w:rPr>
      </w:pPr>
    </w:p>
    <w:p w:rsidR="002F2583" w:rsidRDefault="002F2583" w:rsidP="00FB7B89">
      <w:pPr>
        <w:autoSpaceDE w:val="0"/>
        <w:autoSpaceDN w:val="0"/>
        <w:adjustRightInd w:val="0"/>
        <w:spacing w:after="0" w:line="240" w:lineRule="auto"/>
        <w:rPr>
          <w:rFonts w:cstheme="minorHAnsi"/>
          <w:bCs/>
          <w:color w:val="FF0000"/>
        </w:rPr>
      </w:pPr>
    </w:p>
    <w:p w:rsidR="002F2583" w:rsidRDefault="002F2583" w:rsidP="00FB7B89">
      <w:pPr>
        <w:autoSpaceDE w:val="0"/>
        <w:autoSpaceDN w:val="0"/>
        <w:adjustRightInd w:val="0"/>
        <w:spacing w:after="0" w:line="240" w:lineRule="auto"/>
        <w:rPr>
          <w:rFonts w:cstheme="minorHAnsi"/>
          <w:bCs/>
          <w:color w:val="FF0000"/>
        </w:rPr>
      </w:pPr>
    </w:p>
    <w:p w:rsidR="002F2583" w:rsidRDefault="002F2583" w:rsidP="00FB7B89">
      <w:pPr>
        <w:autoSpaceDE w:val="0"/>
        <w:autoSpaceDN w:val="0"/>
        <w:adjustRightInd w:val="0"/>
        <w:spacing w:after="0" w:line="240" w:lineRule="auto"/>
        <w:rPr>
          <w:rFonts w:cstheme="minorHAnsi"/>
          <w:bCs/>
          <w:color w:val="FF0000"/>
        </w:rPr>
      </w:pPr>
    </w:p>
    <w:p w:rsidR="00FB7B89" w:rsidRPr="00FB7B89" w:rsidRDefault="00FB7B89" w:rsidP="00FB7B89">
      <w:pPr>
        <w:autoSpaceDE w:val="0"/>
        <w:autoSpaceDN w:val="0"/>
        <w:adjustRightInd w:val="0"/>
        <w:spacing w:after="0" w:line="240" w:lineRule="auto"/>
        <w:rPr>
          <w:rFonts w:cstheme="minorHAnsi"/>
          <w:bCs/>
          <w:color w:val="FF0000"/>
        </w:rPr>
      </w:pPr>
      <w:r w:rsidRPr="00FB7B89">
        <w:rPr>
          <w:rFonts w:cstheme="minorHAnsi"/>
          <w:bCs/>
          <w:color w:val="FF0000"/>
        </w:rPr>
        <w:lastRenderedPageBreak/>
        <w:t xml:space="preserve">Updated Analysis [2014]:  Depression Remission at Twelve Months </w:t>
      </w:r>
    </w:p>
    <w:p w:rsidR="00FB7B89" w:rsidRDefault="00FB7B89" w:rsidP="00FB7B89">
      <w:pPr>
        <w:autoSpaceDE w:val="0"/>
        <w:autoSpaceDN w:val="0"/>
        <w:adjustRightInd w:val="0"/>
        <w:spacing w:after="0" w:line="240" w:lineRule="auto"/>
        <w:rPr>
          <w:rFonts w:cstheme="minorHAnsi"/>
          <w:bCs/>
          <w:color w:val="FF0000"/>
        </w:rPr>
      </w:pPr>
      <w:r w:rsidRPr="00FB7B89">
        <w:rPr>
          <w:rFonts w:cstheme="minorHAnsi"/>
          <w:bCs/>
          <w:color w:val="FF0000"/>
        </w:rPr>
        <w:t>Results Segmented by Risk Categories</w:t>
      </w:r>
    </w:p>
    <w:p w:rsidR="002F2583" w:rsidRPr="00FB7B89" w:rsidRDefault="002F2583" w:rsidP="00FB7B89">
      <w:pPr>
        <w:autoSpaceDE w:val="0"/>
        <w:autoSpaceDN w:val="0"/>
        <w:adjustRightInd w:val="0"/>
        <w:spacing w:after="0" w:line="240" w:lineRule="auto"/>
        <w:rPr>
          <w:rFonts w:cstheme="minorHAnsi"/>
          <w:bCs/>
          <w:color w:val="FF0000"/>
        </w:rPr>
      </w:pPr>
      <w:r>
        <w:rPr>
          <w:noProof/>
        </w:rPr>
        <w:drawing>
          <wp:inline distT="0" distB="0" distL="0" distR="0" wp14:anchorId="51A0ABBA" wp14:editId="1BE8D1D1">
            <wp:extent cx="5102943" cy="4618892"/>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6734" t="15258" r="30547" b="12661"/>
                    <a:stretch/>
                  </pic:blipFill>
                  <pic:spPr bwMode="auto">
                    <a:xfrm>
                      <a:off x="0" y="0"/>
                      <a:ext cx="5150800" cy="4662209"/>
                    </a:xfrm>
                    <a:prstGeom prst="rect">
                      <a:avLst/>
                    </a:prstGeom>
                    <a:ln>
                      <a:noFill/>
                    </a:ln>
                    <a:extLst>
                      <a:ext uri="{53640926-AAD7-44D8-BBD7-CCE9431645EC}">
                        <a14:shadowObscured xmlns:a14="http://schemas.microsoft.com/office/drawing/2010/main"/>
                      </a:ext>
                    </a:extLst>
                  </pic:spPr>
                </pic:pic>
              </a:graphicData>
            </a:graphic>
          </wp:inline>
        </w:drawing>
      </w:r>
    </w:p>
    <w:p w:rsidR="00FB7B89" w:rsidRDefault="00FB7B89" w:rsidP="00092566">
      <w:pPr>
        <w:autoSpaceDE w:val="0"/>
        <w:autoSpaceDN w:val="0"/>
        <w:adjustRightInd w:val="0"/>
        <w:spacing w:after="0" w:line="240" w:lineRule="auto"/>
        <w:rPr>
          <w:rFonts w:cstheme="minorHAnsi"/>
          <w:b/>
          <w:bCs/>
        </w:rPr>
      </w:pPr>
    </w:p>
    <w:p w:rsidR="005B2FC3" w:rsidRPr="005B2FC3" w:rsidRDefault="00743E46" w:rsidP="00FB7B89">
      <w:pPr>
        <w:pStyle w:val="ListParagraph"/>
        <w:kinsoku w:val="0"/>
        <w:overflowPunct w:val="0"/>
        <w:spacing w:before="5" w:after="0" w:line="240" w:lineRule="auto"/>
        <w:ind w:left="0"/>
        <w:rPr>
          <w:rFonts w:ascii="Times New Roman" w:hAnsi="Times New Roman" w:cs="Times New Roman"/>
          <w:sz w:val="5"/>
          <w:szCs w:val="5"/>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6E0C96" w:rsidRPr="005D7FEC">
        <w:rPr>
          <w:rFonts w:cstheme="minorHAnsi"/>
          <w:bCs/>
        </w:rPr>
        <w:t>Original Depression Remission at Six Months</w:t>
      </w:r>
    </w:p>
    <w:tbl>
      <w:tblPr>
        <w:tblW w:w="9362" w:type="dxa"/>
        <w:tblInd w:w="100" w:type="dxa"/>
        <w:tblLayout w:type="fixed"/>
        <w:tblCellMar>
          <w:left w:w="0" w:type="dxa"/>
          <w:right w:w="0" w:type="dxa"/>
        </w:tblCellMar>
        <w:tblLook w:val="0000" w:firstRow="0" w:lastRow="0" w:firstColumn="0" w:lastColumn="0" w:noHBand="0" w:noVBand="0"/>
      </w:tblPr>
      <w:tblGrid>
        <w:gridCol w:w="1745"/>
        <w:gridCol w:w="691"/>
        <w:gridCol w:w="692"/>
        <w:gridCol w:w="691"/>
        <w:gridCol w:w="694"/>
        <w:gridCol w:w="691"/>
        <w:gridCol w:w="694"/>
        <w:gridCol w:w="691"/>
        <w:gridCol w:w="694"/>
        <w:gridCol w:w="694"/>
        <w:gridCol w:w="691"/>
        <w:gridCol w:w="694"/>
      </w:tblGrid>
      <w:tr w:rsidR="005B2FC3" w:rsidRPr="005B2FC3" w:rsidTr="00FB7B89">
        <w:trPr>
          <w:trHeight w:hRule="exact" w:val="500"/>
        </w:trPr>
        <w:tc>
          <w:tcPr>
            <w:tcW w:w="9362" w:type="dxa"/>
            <w:gridSpan w:val="12"/>
            <w:tcBorders>
              <w:top w:val="single" w:sz="6" w:space="0" w:color="000000"/>
              <w:left w:val="single" w:sz="6"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40" w:lineRule="auto"/>
              <w:ind w:left="3810" w:right="2225" w:hanging="1587"/>
              <w:rPr>
                <w:rFonts w:ascii="Times New Roman" w:hAnsi="Times New Roman" w:cs="Times New Roman"/>
                <w:sz w:val="24"/>
                <w:szCs w:val="24"/>
              </w:rPr>
            </w:pPr>
            <w:r w:rsidRPr="005B2FC3">
              <w:rPr>
                <w:rFonts w:ascii="Calibri" w:hAnsi="Calibri" w:cs="Calibri"/>
                <w:color w:val="4F81BC"/>
                <w:spacing w:val="-1"/>
                <w:sz w:val="20"/>
                <w:szCs w:val="20"/>
              </w:rPr>
              <w:t>T</w:t>
            </w:r>
            <w:r w:rsidRPr="005B2FC3">
              <w:rPr>
                <w:rFonts w:ascii="Calibri" w:hAnsi="Calibri" w:cs="Calibri"/>
                <w:color w:val="4F81BC"/>
                <w:spacing w:val="-1"/>
                <w:sz w:val="16"/>
                <w:szCs w:val="16"/>
              </w:rPr>
              <w:t>ABLE</w:t>
            </w:r>
            <w:r w:rsidRPr="005B2FC3">
              <w:rPr>
                <w:rFonts w:ascii="Calibri" w:hAnsi="Calibri" w:cs="Calibri"/>
                <w:color w:val="4F81BC"/>
                <w:sz w:val="16"/>
                <w:szCs w:val="16"/>
              </w:rPr>
              <w:t xml:space="preserve"> </w:t>
            </w:r>
            <w:r w:rsidRPr="005B2FC3">
              <w:rPr>
                <w:rFonts w:ascii="Calibri" w:hAnsi="Calibri" w:cs="Calibri"/>
                <w:color w:val="4F81BC"/>
                <w:sz w:val="20"/>
                <w:szCs w:val="20"/>
              </w:rPr>
              <w:t>2</w:t>
            </w:r>
            <w:r w:rsidRPr="005B2FC3">
              <w:rPr>
                <w:rFonts w:ascii="Calibri" w:hAnsi="Calibri" w:cs="Calibri"/>
                <w:color w:val="4F81BC"/>
                <w:spacing w:val="-11"/>
                <w:sz w:val="20"/>
                <w:szCs w:val="20"/>
              </w:rPr>
              <w:t xml:space="preserve"> </w:t>
            </w:r>
            <w:r w:rsidRPr="005B2FC3">
              <w:rPr>
                <w:rFonts w:ascii="Calibri" w:hAnsi="Calibri" w:cs="Calibri"/>
                <w:color w:val="4F81BC"/>
                <w:sz w:val="20"/>
                <w:szCs w:val="20"/>
              </w:rPr>
              <w:t>–</w:t>
            </w:r>
            <w:r w:rsidRPr="005B2FC3">
              <w:rPr>
                <w:rFonts w:ascii="Calibri" w:hAnsi="Calibri" w:cs="Calibri"/>
                <w:color w:val="4F81BC"/>
                <w:spacing w:val="-11"/>
                <w:sz w:val="20"/>
                <w:szCs w:val="20"/>
              </w:rPr>
              <w:t xml:space="preserve"> </w:t>
            </w:r>
            <w:r w:rsidRPr="005B2FC3">
              <w:rPr>
                <w:rFonts w:ascii="Calibri" w:hAnsi="Calibri" w:cs="Calibri"/>
                <w:color w:val="4F81BC"/>
                <w:spacing w:val="-1"/>
                <w:sz w:val="20"/>
                <w:szCs w:val="20"/>
              </w:rPr>
              <w:t>C</w:t>
            </w:r>
            <w:r w:rsidRPr="005B2FC3">
              <w:rPr>
                <w:rFonts w:ascii="Calibri" w:hAnsi="Calibri" w:cs="Calibri"/>
                <w:color w:val="4F81BC"/>
                <w:spacing w:val="-1"/>
                <w:sz w:val="16"/>
                <w:szCs w:val="16"/>
              </w:rPr>
              <w:t>OMPARISON</w:t>
            </w:r>
            <w:r w:rsidRPr="005B2FC3">
              <w:rPr>
                <w:rFonts w:ascii="Calibri" w:hAnsi="Calibri" w:cs="Calibri"/>
                <w:color w:val="4F81BC"/>
                <w:spacing w:val="-2"/>
                <w:sz w:val="16"/>
                <w:szCs w:val="16"/>
              </w:rPr>
              <w:t xml:space="preserve"> </w:t>
            </w:r>
            <w:r w:rsidRPr="005B2FC3">
              <w:rPr>
                <w:rFonts w:ascii="Calibri" w:hAnsi="Calibri" w:cs="Calibri"/>
                <w:color w:val="4F81BC"/>
                <w:spacing w:val="-1"/>
                <w:sz w:val="16"/>
                <w:szCs w:val="16"/>
              </w:rPr>
              <w:t xml:space="preserve">OF </w:t>
            </w:r>
            <w:r w:rsidRPr="005B2FC3">
              <w:rPr>
                <w:rFonts w:ascii="Calibri" w:hAnsi="Calibri" w:cs="Calibri"/>
                <w:color w:val="4F81BC"/>
                <w:spacing w:val="-1"/>
                <w:sz w:val="20"/>
                <w:szCs w:val="20"/>
              </w:rPr>
              <w:t>U</w:t>
            </w:r>
            <w:r w:rsidRPr="005B2FC3">
              <w:rPr>
                <w:rFonts w:ascii="Calibri" w:hAnsi="Calibri" w:cs="Calibri"/>
                <w:color w:val="4F81BC"/>
                <w:spacing w:val="-1"/>
                <w:sz w:val="16"/>
                <w:szCs w:val="16"/>
              </w:rPr>
              <w:t>NADJUSTED</w:t>
            </w:r>
            <w:r w:rsidRPr="005B2FC3">
              <w:rPr>
                <w:rFonts w:ascii="Calibri" w:hAnsi="Calibri" w:cs="Calibri"/>
                <w:color w:val="4F81BC"/>
                <w:spacing w:val="-2"/>
                <w:sz w:val="16"/>
                <w:szCs w:val="16"/>
              </w:rPr>
              <w:t xml:space="preserve"> </w:t>
            </w:r>
            <w:r w:rsidRPr="005B2FC3">
              <w:rPr>
                <w:rFonts w:ascii="Calibri" w:hAnsi="Calibri" w:cs="Calibri"/>
                <w:color w:val="4F81BC"/>
                <w:spacing w:val="-1"/>
                <w:sz w:val="16"/>
                <w:szCs w:val="16"/>
              </w:rPr>
              <w:t xml:space="preserve">AND </w:t>
            </w:r>
            <w:r w:rsidRPr="005B2FC3">
              <w:rPr>
                <w:rFonts w:ascii="Calibri" w:hAnsi="Calibri" w:cs="Calibri"/>
                <w:color w:val="4F81BC"/>
                <w:spacing w:val="-1"/>
                <w:sz w:val="20"/>
                <w:szCs w:val="20"/>
              </w:rPr>
              <w:t>A</w:t>
            </w:r>
            <w:r w:rsidRPr="005B2FC3">
              <w:rPr>
                <w:rFonts w:ascii="Calibri" w:hAnsi="Calibri" w:cs="Calibri"/>
                <w:color w:val="4F81BC"/>
                <w:spacing w:val="-1"/>
                <w:sz w:val="16"/>
                <w:szCs w:val="16"/>
              </w:rPr>
              <w:t>DJUSTED</w:t>
            </w:r>
            <w:r w:rsidRPr="005B2FC3">
              <w:rPr>
                <w:rFonts w:ascii="Calibri" w:hAnsi="Calibri" w:cs="Calibri"/>
                <w:color w:val="4F81BC"/>
                <w:spacing w:val="-2"/>
                <w:sz w:val="16"/>
                <w:szCs w:val="16"/>
              </w:rPr>
              <w:t xml:space="preserve"> </w:t>
            </w:r>
            <w:r w:rsidRPr="005B2FC3">
              <w:rPr>
                <w:rFonts w:ascii="Calibri" w:hAnsi="Calibri" w:cs="Calibri"/>
                <w:color w:val="4F81BC"/>
                <w:spacing w:val="-1"/>
                <w:sz w:val="20"/>
                <w:szCs w:val="20"/>
              </w:rPr>
              <w:t>D</w:t>
            </w:r>
            <w:r w:rsidRPr="005B2FC3">
              <w:rPr>
                <w:rFonts w:ascii="Calibri" w:hAnsi="Calibri" w:cs="Calibri"/>
                <w:color w:val="4F81BC"/>
                <w:spacing w:val="-1"/>
                <w:sz w:val="16"/>
                <w:szCs w:val="16"/>
              </w:rPr>
              <w:t xml:space="preserve">ECILE </w:t>
            </w:r>
            <w:r w:rsidRPr="005B2FC3">
              <w:rPr>
                <w:rFonts w:ascii="Calibri" w:hAnsi="Calibri" w:cs="Calibri"/>
                <w:color w:val="4F81BC"/>
                <w:spacing w:val="-1"/>
                <w:sz w:val="20"/>
                <w:szCs w:val="20"/>
              </w:rPr>
              <w:t>R</w:t>
            </w:r>
            <w:r w:rsidRPr="005B2FC3">
              <w:rPr>
                <w:rFonts w:ascii="Calibri" w:hAnsi="Calibri" w:cs="Calibri"/>
                <w:color w:val="4F81BC"/>
                <w:spacing w:val="-1"/>
                <w:sz w:val="16"/>
                <w:szCs w:val="16"/>
              </w:rPr>
              <w:t>ANKS</w:t>
            </w:r>
            <w:r w:rsidRPr="005B2FC3">
              <w:rPr>
                <w:rFonts w:ascii="Calibri" w:hAnsi="Calibri" w:cs="Calibri"/>
                <w:color w:val="4F81BC"/>
                <w:spacing w:val="41"/>
                <w:sz w:val="16"/>
                <w:szCs w:val="16"/>
              </w:rPr>
              <w:t xml:space="preserve"> </w:t>
            </w:r>
            <w:r w:rsidRPr="005B2FC3">
              <w:rPr>
                <w:rFonts w:ascii="Calibri" w:hAnsi="Calibri" w:cs="Calibri"/>
                <w:color w:val="4F81BC"/>
                <w:spacing w:val="-1"/>
                <w:sz w:val="20"/>
                <w:szCs w:val="20"/>
              </w:rPr>
              <w:t>(N</w:t>
            </w:r>
            <w:r w:rsidRPr="005B2FC3">
              <w:rPr>
                <w:rFonts w:ascii="Calibri" w:hAnsi="Calibri" w:cs="Calibri"/>
                <w:color w:val="4F81BC"/>
                <w:spacing w:val="-11"/>
                <w:sz w:val="20"/>
                <w:szCs w:val="20"/>
              </w:rPr>
              <w:t xml:space="preserve"> </w:t>
            </w:r>
            <w:r w:rsidRPr="005B2FC3">
              <w:rPr>
                <w:rFonts w:ascii="Calibri" w:hAnsi="Calibri" w:cs="Calibri"/>
                <w:color w:val="4F81BC"/>
                <w:sz w:val="20"/>
                <w:szCs w:val="20"/>
              </w:rPr>
              <w:t>/</w:t>
            </w:r>
            <w:r w:rsidRPr="005B2FC3">
              <w:rPr>
                <w:rFonts w:ascii="Calibri" w:hAnsi="Calibri" w:cs="Calibri"/>
                <w:color w:val="4F81BC"/>
                <w:spacing w:val="-12"/>
                <w:sz w:val="20"/>
                <w:szCs w:val="20"/>
              </w:rPr>
              <w:t xml:space="preserve"> </w:t>
            </w:r>
            <w:r w:rsidRPr="005B2FC3">
              <w:rPr>
                <w:rFonts w:ascii="Calibri" w:hAnsi="Calibri" w:cs="Calibri"/>
                <w:color w:val="4F81BC"/>
                <w:spacing w:val="-1"/>
                <w:sz w:val="20"/>
                <w:szCs w:val="20"/>
              </w:rPr>
              <w:t>P</w:t>
            </w:r>
            <w:r w:rsidRPr="005B2FC3">
              <w:rPr>
                <w:rFonts w:ascii="Calibri" w:hAnsi="Calibri" w:cs="Calibri"/>
                <w:color w:val="4F81BC"/>
                <w:spacing w:val="-1"/>
                <w:sz w:val="16"/>
                <w:szCs w:val="16"/>
              </w:rPr>
              <w:t>ERCENT OF</w:t>
            </w:r>
            <w:r w:rsidRPr="005B2FC3">
              <w:rPr>
                <w:rFonts w:ascii="Calibri" w:hAnsi="Calibri" w:cs="Calibri"/>
                <w:color w:val="4F81BC"/>
                <w:spacing w:val="-2"/>
                <w:sz w:val="16"/>
                <w:szCs w:val="16"/>
              </w:rPr>
              <w:t xml:space="preserve"> </w:t>
            </w:r>
            <w:r w:rsidRPr="005B2FC3">
              <w:rPr>
                <w:rFonts w:ascii="Calibri" w:hAnsi="Calibri" w:cs="Calibri"/>
                <w:color w:val="4F81BC"/>
                <w:spacing w:val="-1"/>
                <w:sz w:val="20"/>
                <w:szCs w:val="20"/>
              </w:rPr>
              <w:t>R</w:t>
            </w:r>
            <w:r w:rsidRPr="005B2FC3">
              <w:rPr>
                <w:rFonts w:ascii="Calibri" w:hAnsi="Calibri" w:cs="Calibri"/>
                <w:color w:val="4F81BC"/>
                <w:spacing w:val="-1"/>
                <w:sz w:val="16"/>
                <w:szCs w:val="16"/>
              </w:rPr>
              <w:t>OW</w:t>
            </w:r>
            <w:r w:rsidRPr="005B2FC3">
              <w:rPr>
                <w:rFonts w:ascii="Calibri" w:hAnsi="Calibri" w:cs="Calibri"/>
                <w:color w:val="4F81BC"/>
                <w:spacing w:val="-1"/>
                <w:sz w:val="20"/>
                <w:szCs w:val="20"/>
              </w:rPr>
              <w:t>)*</w:t>
            </w:r>
          </w:p>
        </w:tc>
      </w:tr>
      <w:tr w:rsidR="005B2FC3" w:rsidRPr="005B2FC3" w:rsidTr="00FB7B89">
        <w:trPr>
          <w:trHeight w:hRule="exact" w:val="250"/>
        </w:trPr>
        <w:tc>
          <w:tcPr>
            <w:tcW w:w="1745" w:type="dxa"/>
            <w:vMerge w:val="restart"/>
            <w:tcBorders>
              <w:top w:val="single" w:sz="2" w:space="0" w:color="000000"/>
              <w:left w:val="single" w:sz="6"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before="123" w:after="0" w:line="240" w:lineRule="auto"/>
              <w:ind w:left="663" w:right="128" w:hanging="540"/>
              <w:rPr>
                <w:rFonts w:ascii="Times New Roman" w:hAnsi="Times New Roman" w:cs="Times New Roman"/>
                <w:sz w:val="24"/>
                <w:szCs w:val="24"/>
              </w:rPr>
            </w:pPr>
            <w:r w:rsidRPr="005B2FC3">
              <w:rPr>
                <w:rFonts w:ascii="Calibri" w:hAnsi="Calibri" w:cs="Calibri"/>
                <w:spacing w:val="-1"/>
                <w:sz w:val="20"/>
                <w:szCs w:val="20"/>
              </w:rPr>
              <w:t>Unadjusted</w:t>
            </w:r>
            <w:r w:rsidRPr="005B2FC3">
              <w:rPr>
                <w:rFonts w:ascii="Calibri" w:hAnsi="Calibri" w:cs="Calibri"/>
                <w:spacing w:val="-15"/>
                <w:sz w:val="20"/>
                <w:szCs w:val="20"/>
              </w:rPr>
              <w:t xml:space="preserve"> </w:t>
            </w:r>
            <w:r w:rsidRPr="005B2FC3">
              <w:rPr>
                <w:rFonts w:ascii="Calibri" w:hAnsi="Calibri" w:cs="Calibri"/>
                <w:spacing w:val="-1"/>
                <w:sz w:val="20"/>
                <w:szCs w:val="20"/>
              </w:rPr>
              <w:t>Decile</w:t>
            </w:r>
            <w:r w:rsidRPr="005B2FC3">
              <w:rPr>
                <w:rFonts w:ascii="Calibri" w:hAnsi="Calibri" w:cs="Calibri"/>
                <w:spacing w:val="27"/>
                <w:w w:val="99"/>
                <w:sz w:val="20"/>
                <w:szCs w:val="20"/>
              </w:rPr>
              <w:t xml:space="preserve"> </w:t>
            </w:r>
            <w:r w:rsidRPr="005B2FC3">
              <w:rPr>
                <w:rFonts w:ascii="Calibri" w:hAnsi="Calibri" w:cs="Calibri"/>
                <w:sz w:val="20"/>
                <w:szCs w:val="20"/>
              </w:rPr>
              <w:t>Rank</w:t>
            </w:r>
          </w:p>
        </w:tc>
        <w:tc>
          <w:tcPr>
            <w:tcW w:w="7617" w:type="dxa"/>
            <w:gridSpan w:val="11"/>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42" w:lineRule="exact"/>
              <w:ind w:left="2"/>
              <w:jc w:val="center"/>
              <w:rPr>
                <w:rFonts w:ascii="Times New Roman" w:hAnsi="Times New Roman" w:cs="Times New Roman"/>
                <w:sz w:val="24"/>
                <w:szCs w:val="24"/>
              </w:rPr>
            </w:pPr>
            <w:r w:rsidRPr="005B2FC3">
              <w:rPr>
                <w:rFonts w:ascii="Calibri" w:hAnsi="Calibri" w:cs="Calibri"/>
                <w:spacing w:val="-1"/>
                <w:sz w:val="20"/>
                <w:szCs w:val="20"/>
              </w:rPr>
              <w:t>Risk</w:t>
            </w:r>
            <w:r w:rsidRPr="005B2FC3">
              <w:rPr>
                <w:rFonts w:ascii="Calibri" w:hAnsi="Calibri" w:cs="Calibri"/>
                <w:spacing w:val="-7"/>
                <w:sz w:val="20"/>
                <w:szCs w:val="20"/>
              </w:rPr>
              <w:t xml:space="preserve"> </w:t>
            </w:r>
            <w:r w:rsidRPr="005B2FC3">
              <w:rPr>
                <w:rFonts w:ascii="Calibri" w:hAnsi="Calibri" w:cs="Calibri"/>
                <w:spacing w:val="-1"/>
                <w:sz w:val="20"/>
                <w:szCs w:val="20"/>
              </w:rPr>
              <w:t>Adjusted</w:t>
            </w:r>
            <w:r w:rsidRPr="005B2FC3">
              <w:rPr>
                <w:rFonts w:ascii="Calibri" w:hAnsi="Calibri" w:cs="Calibri"/>
                <w:spacing w:val="-7"/>
                <w:sz w:val="20"/>
                <w:szCs w:val="20"/>
              </w:rPr>
              <w:t xml:space="preserve"> </w:t>
            </w:r>
            <w:r w:rsidRPr="005B2FC3">
              <w:rPr>
                <w:rFonts w:ascii="Calibri" w:hAnsi="Calibri" w:cs="Calibri"/>
                <w:sz w:val="20"/>
                <w:szCs w:val="20"/>
              </w:rPr>
              <w:t>Decile</w:t>
            </w:r>
            <w:r w:rsidRPr="005B2FC3">
              <w:rPr>
                <w:rFonts w:ascii="Calibri" w:hAnsi="Calibri" w:cs="Calibri"/>
                <w:spacing w:val="-7"/>
                <w:sz w:val="20"/>
                <w:szCs w:val="20"/>
              </w:rPr>
              <w:t xml:space="preserve"> </w:t>
            </w:r>
            <w:r w:rsidRPr="005B2FC3">
              <w:rPr>
                <w:rFonts w:ascii="Calibri" w:hAnsi="Calibri" w:cs="Calibri"/>
                <w:sz w:val="20"/>
                <w:szCs w:val="20"/>
              </w:rPr>
              <w:t>Rank</w:t>
            </w:r>
          </w:p>
        </w:tc>
      </w:tr>
      <w:tr w:rsidR="005B2FC3" w:rsidRPr="005B2FC3" w:rsidTr="00FB7B89">
        <w:trPr>
          <w:trHeight w:hRule="exact" w:val="492"/>
        </w:trPr>
        <w:tc>
          <w:tcPr>
            <w:tcW w:w="1745" w:type="dxa"/>
            <w:vMerge/>
            <w:tcBorders>
              <w:top w:val="single" w:sz="2" w:space="0" w:color="000000"/>
              <w:left w:val="single" w:sz="6"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2" w:lineRule="exact"/>
              <w:ind w:left="2"/>
              <w:jc w:val="center"/>
              <w:rPr>
                <w:rFonts w:ascii="Times New Roman" w:hAnsi="Times New Roman" w:cs="Times New Roman"/>
                <w:sz w:val="24"/>
                <w:szCs w:val="24"/>
              </w:rPr>
            </w:pP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ind w:left="181"/>
              <w:rPr>
                <w:rFonts w:ascii="Calibri" w:hAnsi="Calibri" w:cs="Calibri"/>
                <w:sz w:val="20"/>
                <w:szCs w:val="20"/>
              </w:rPr>
            </w:pPr>
            <w:r w:rsidRPr="005B2FC3">
              <w:rPr>
                <w:rFonts w:ascii="Calibri" w:hAnsi="Calibri" w:cs="Calibri"/>
                <w:sz w:val="20"/>
                <w:szCs w:val="20"/>
              </w:rPr>
              <w:t>0</w:t>
            </w:r>
            <w:r w:rsidRPr="005B2FC3">
              <w:rPr>
                <w:rFonts w:ascii="Calibri" w:hAnsi="Calibri" w:cs="Calibri"/>
                <w:spacing w:val="-4"/>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left="169"/>
              <w:rPr>
                <w:rFonts w:ascii="Times New Roman" w:hAnsi="Times New Roman" w:cs="Times New Roman"/>
                <w:sz w:val="24"/>
                <w:szCs w:val="24"/>
              </w:rPr>
            </w:pPr>
            <w:r w:rsidRPr="005B2FC3">
              <w:rPr>
                <w:rFonts w:ascii="Calibri" w:hAnsi="Calibri" w:cs="Calibri"/>
                <w:spacing w:val="-1"/>
                <w:sz w:val="20"/>
                <w:szCs w:val="20"/>
              </w:rPr>
              <w:t>10%</w:t>
            </w:r>
          </w:p>
        </w:tc>
        <w:tc>
          <w:tcPr>
            <w:tcW w:w="692"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10%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right="1"/>
              <w:jc w:val="center"/>
              <w:rPr>
                <w:rFonts w:ascii="Times New Roman" w:hAnsi="Times New Roman" w:cs="Times New Roman"/>
                <w:sz w:val="24"/>
                <w:szCs w:val="24"/>
              </w:rPr>
            </w:pPr>
            <w:r w:rsidRPr="005B2FC3">
              <w:rPr>
                <w:rFonts w:ascii="Calibri" w:hAnsi="Calibri" w:cs="Calibri"/>
                <w:spacing w:val="-1"/>
                <w:sz w:val="20"/>
                <w:szCs w:val="20"/>
              </w:rPr>
              <w:t>20%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jc w:val="center"/>
              <w:rPr>
                <w:rFonts w:ascii="Calibri" w:hAnsi="Calibri" w:cs="Calibri"/>
                <w:sz w:val="20"/>
                <w:szCs w:val="20"/>
              </w:rPr>
            </w:pPr>
            <w:r w:rsidRPr="005B2FC3">
              <w:rPr>
                <w:rFonts w:ascii="Calibri" w:hAnsi="Calibri" w:cs="Calibri"/>
                <w:sz w:val="20"/>
                <w:szCs w:val="20"/>
              </w:rPr>
              <w:t>20%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right="1"/>
              <w:jc w:val="center"/>
              <w:rPr>
                <w:rFonts w:ascii="Times New Roman" w:hAnsi="Times New Roman" w:cs="Times New Roman"/>
                <w:sz w:val="24"/>
                <w:szCs w:val="24"/>
              </w:rPr>
            </w:pPr>
            <w:r w:rsidRPr="005B2FC3">
              <w:rPr>
                <w:rFonts w:ascii="Calibri" w:hAnsi="Calibri" w:cs="Calibri"/>
                <w:spacing w:val="-1"/>
                <w:sz w:val="20"/>
                <w:szCs w:val="20"/>
              </w:rPr>
              <w:t>30%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30%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right="2"/>
              <w:jc w:val="center"/>
              <w:rPr>
                <w:rFonts w:ascii="Times New Roman" w:hAnsi="Times New Roman" w:cs="Times New Roman"/>
                <w:sz w:val="24"/>
                <w:szCs w:val="24"/>
              </w:rPr>
            </w:pPr>
            <w:r w:rsidRPr="005B2FC3">
              <w:rPr>
                <w:rFonts w:ascii="Calibri" w:hAnsi="Calibri" w:cs="Calibri"/>
                <w:spacing w:val="-1"/>
                <w:sz w:val="20"/>
                <w:szCs w:val="20"/>
              </w:rPr>
              <w:t>40%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40%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jc w:val="center"/>
              <w:rPr>
                <w:rFonts w:ascii="Times New Roman" w:hAnsi="Times New Roman" w:cs="Times New Roman"/>
                <w:sz w:val="24"/>
                <w:szCs w:val="24"/>
              </w:rPr>
            </w:pPr>
            <w:r w:rsidRPr="005B2FC3">
              <w:rPr>
                <w:rFonts w:ascii="Calibri" w:hAnsi="Calibri" w:cs="Calibri"/>
                <w:spacing w:val="-1"/>
                <w:sz w:val="20"/>
                <w:szCs w:val="20"/>
              </w:rPr>
              <w:t>50%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50%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right="2"/>
              <w:jc w:val="center"/>
              <w:rPr>
                <w:rFonts w:ascii="Times New Roman" w:hAnsi="Times New Roman" w:cs="Times New Roman"/>
                <w:sz w:val="24"/>
                <w:szCs w:val="24"/>
              </w:rPr>
            </w:pPr>
            <w:r w:rsidRPr="005B2FC3">
              <w:rPr>
                <w:rFonts w:ascii="Calibri" w:hAnsi="Calibri" w:cs="Calibri"/>
                <w:spacing w:val="-1"/>
                <w:sz w:val="20"/>
                <w:szCs w:val="20"/>
              </w:rPr>
              <w:t>60%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jc w:val="center"/>
              <w:rPr>
                <w:rFonts w:ascii="Calibri" w:hAnsi="Calibri" w:cs="Calibri"/>
                <w:sz w:val="20"/>
                <w:szCs w:val="20"/>
              </w:rPr>
            </w:pPr>
            <w:r w:rsidRPr="005B2FC3">
              <w:rPr>
                <w:rFonts w:ascii="Calibri" w:hAnsi="Calibri" w:cs="Calibri"/>
                <w:sz w:val="20"/>
                <w:szCs w:val="20"/>
              </w:rPr>
              <w:t>60%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right="1"/>
              <w:jc w:val="center"/>
              <w:rPr>
                <w:rFonts w:ascii="Times New Roman" w:hAnsi="Times New Roman" w:cs="Times New Roman"/>
                <w:sz w:val="24"/>
                <w:szCs w:val="24"/>
              </w:rPr>
            </w:pPr>
            <w:r w:rsidRPr="005B2FC3">
              <w:rPr>
                <w:rFonts w:ascii="Calibri" w:hAnsi="Calibri" w:cs="Calibri"/>
                <w:spacing w:val="-1"/>
                <w:sz w:val="20"/>
                <w:szCs w:val="20"/>
              </w:rPr>
              <w:t>70%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70%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right="2"/>
              <w:jc w:val="center"/>
              <w:rPr>
                <w:rFonts w:ascii="Times New Roman" w:hAnsi="Times New Roman" w:cs="Times New Roman"/>
                <w:sz w:val="24"/>
                <w:szCs w:val="24"/>
              </w:rPr>
            </w:pPr>
            <w:r w:rsidRPr="005B2FC3">
              <w:rPr>
                <w:rFonts w:ascii="Calibri" w:hAnsi="Calibri" w:cs="Calibri"/>
                <w:spacing w:val="-1"/>
                <w:sz w:val="20"/>
                <w:szCs w:val="20"/>
              </w:rPr>
              <w:t>80%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80%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right="2"/>
              <w:jc w:val="center"/>
              <w:rPr>
                <w:rFonts w:ascii="Times New Roman" w:hAnsi="Times New Roman" w:cs="Times New Roman"/>
                <w:sz w:val="24"/>
                <w:szCs w:val="24"/>
              </w:rPr>
            </w:pPr>
            <w:r w:rsidRPr="005B2FC3">
              <w:rPr>
                <w:rFonts w:ascii="Calibri" w:hAnsi="Calibri" w:cs="Calibri"/>
                <w:spacing w:val="-1"/>
                <w:sz w:val="20"/>
                <w:szCs w:val="20"/>
              </w:rPr>
              <w:t>90%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1" w:lineRule="exact"/>
              <w:ind w:left="59"/>
              <w:rPr>
                <w:rFonts w:ascii="Calibri" w:hAnsi="Calibri" w:cs="Calibri"/>
                <w:sz w:val="20"/>
                <w:szCs w:val="20"/>
              </w:rPr>
            </w:pPr>
            <w:r w:rsidRPr="005B2FC3">
              <w:rPr>
                <w:rFonts w:ascii="Calibri" w:hAnsi="Calibri" w:cs="Calibri"/>
                <w:sz w:val="20"/>
                <w:szCs w:val="20"/>
              </w:rPr>
              <w:t>90%</w:t>
            </w:r>
            <w:r w:rsidRPr="005B2FC3">
              <w:rPr>
                <w:rFonts w:ascii="Calibri" w:hAnsi="Calibri" w:cs="Calibri"/>
                <w:spacing w:val="-8"/>
                <w:sz w:val="20"/>
                <w:szCs w:val="20"/>
              </w:rPr>
              <w:t xml:space="preserve"> </w:t>
            </w:r>
            <w:r w:rsidRPr="005B2FC3">
              <w:rPr>
                <w:rFonts w:ascii="Calibri" w:hAnsi="Calibri" w:cs="Calibri"/>
                <w:sz w:val="20"/>
                <w:szCs w:val="20"/>
              </w:rPr>
              <w:t>to</w:t>
            </w:r>
          </w:p>
          <w:p w:rsidR="005B2FC3" w:rsidRPr="005B2FC3" w:rsidRDefault="005B2FC3" w:rsidP="005B2FC3">
            <w:pPr>
              <w:kinsoku w:val="0"/>
              <w:overflowPunct w:val="0"/>
              <w:autoSpaceDE w:val="0"/>
              <w:autoSpaceDN w:val="0"/>
              <w:adjustRightInd w:val="0"/>
              <w:spacing w:after="0" w:line="243" w:lineRule="exact"/>
              <w:ind w:left="116"/>
              <w:rPr>
                <w:rFonts w:ascii="Times New Roman" w:hAnsi="Times New Roman" w:cs="Times New Roman"/>
                <w:sz w:val="24"/>
                <w:szCs w:val="24"/>
              </w:rPr>
            </w:pPr>
            <w:r w:rsidRPr="005B2FC3">
              <w:rPr>
                <w:rFonts w:ascii="Calibri" w:hAnsi="Calibri" w:cs="Calibri"/>
                <w:spacing w:val="-1"/>
                <w:sz w:val="20"/>
                <w:szCs w:val="20"/>
              </w:rPr>
              <w:t>100%</w:t>
            </w:r>
          </w:p>
        </w:tc>
        <w:tc>
          <w:tcPr>
            <w:tcW w:w="694" w:type="dxa"/>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before="118" w:after="0" w:line="240" w:lineRule="auto"/>
              <w:ind w:left="135"/>
              <w:rPr>
                <w:rFonts w:ascii="Times New Roman" w:hAnsi="Times New Roman" w:cs="Times New Roman"/>
                <w:sz w:val="24"/>
                <w:szCs w:val="24"/>
              </w:rPr>
            </w:pPr>
            <w:r w:rsidRPr="005B2FC3">
              <w:rPr>
                <w:rFonts w:ascii="Calibri" w:hAnsi="Calibri" w:cs="Calibri"/>
                <w:spacing w:val="-1"/>
                <w:sz w:val="20"/>
                <w:szCs w:val="20"/>
              </w:rPr>
              <w:t>Total</w:t>
            </w:r>
          </w:p>
        </w:tc>
      </w:tr>
      <w:tr w:rsidR="005B2FC3" w:rsidRPr="005B2FC3" w:rsidTr="00FB7B89">
        <w:trPr>
          <w:trHeight w:hRule="exact" w:val="466"/>
        </w:trPr>
        <w:tc>
          <w:tcPr>
            <w:tcW w:w="1745" w:type="dxa"/>
            <w:tcBorders>
              <w:top w:val="single" w:sz="2" w:space="0" w:color="000000"/>
              <w:left w:val="single" w:sz="6" w:space="0" w:color="000000"/>
              <w:bottom w:val="single" w:sz="2" w:space="0" w:color="000000"/>
              <w:right w:val="single" w:sz="25" w:space="0" w:color="D9D9D9"/>
            </w:tcBorders>
          </w:tcPr>
          <w:p w:rsidR="005B2FC3" w:rsidRPr="005B2FC3" w:rsidRDefault="005B2FC3" w:rsidP="005B2FC3">
            <w:pPr>
              <w:kinsoku w:val="0"/>
              <w:overflowPunct w:val="0"/>
              <w:autoSpaceDE w:val="0"/>
              <w:autoSpaceDN w:val="0"/>
              <w:adjustRightInd w:val="0"/>
              <w:spacing w:before="106" w:after="0" w:line="240" w:lineRule="auto"/>
              <w:ind w:left="438"/>
              <w:rPr>
                <w:rFonts w:ascii="Times New Roman" w:hAnsi="Times New Roman" w:cs="Times New Roman"/>
                <w:sz w:val="24"/>
                <w:szCs w:val="24"/>
              </w:rPr>
            </w:pPr>
            <w:r w:rsidRPr="005B2FC3">
              <w:rPr>
                <w:rFonts w:ascii="Calibri" w:hAnsi="Calibri" w:cs="Calibri"/>
                <w:sz w:val="20"/>
                <w:szCs w:val="20"/>
              </w:rPr>
              <w:t>0%</w:t>
            </w:r>
            <w:r w:rsidRPr="005B2FC3">
              <w:rPr>
                <w:rFonts w:ascii="Calibri" w:hAnsi="Calibri" w:cs="Calibri"/>
                <w:spacing w:val="-6"/>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10%</w:t>
            </w:r>
          </w:p>
        </w:tc>
        <w:tc>
          <w:tcPr>
            <w:tcW w:w="691" w:type="dxa"/>
            <w:tcBorders>
              <w:top w:val="single" w:sz="2" w:space="0" w:color="000000"/>
              <w:left w:val="single" w:sz="25" w:space="0" w:color="D9D9D9"/>
              <w:bottom w:val="single" w:sz="2" w:space="0" w:color="000000"/>
              <w:right w:val="single" w:sz="48" w:space="0" w:color="B8CCE3"/>
            </w:tcBorders>
            <w:shd w:val="clear" w:color="auto" w:fill="D9D9D9"/>
          </w:tcPr>
          <w:p w:rsidR="005B2FC3" w:rsidRPr="005B2FC3" w:rsidRDefault="005B2FC3" w:rsidP="005B2FC3">
            <w:pPr>
              <w:kinsoku w:val="0"/>
              <w:overflowPunct w:val="0"/>
              <w:autoSpaceDE w:val="0"/>
              <w:autoSpaceDN w:val="0"/>
              <w:adjustRightInd w:val="0"/>
              <w:spacing w:after="0" w:line="226" w:lineRule="exact"/>
              <w:ind w:left="23"/>
              <w:jc w:val="center"/>
              <w:rPr>
                <w:rFonts w:ascii="Arial" w:hAnsi="Arial" w:cs="Arial"/>
                <w:sz w:val="20"/>
                <w:szCs w:val="20"/>
              </w:rPr>
            </w:pPr>
            <w:r w:rsidRPr="005B2FC3">
              <w:rPr>
                <w:rFonts w:ascii="Arial" w:hAnsi="Arial" w:cs="Arial"/>
                <w:spacing w:val="-1"/>
                <w:sz w:val="20"/>
                <w:szCs w:val="20"/>
              </w:rPr>
              <w:t>21</w:t>
            </w:r>
          </w:p>
          <w:p w:rsidR="005B2FC3" w:rsidRPr="005B2FC3" w:rsidRDefault="005B2FC3" w:rsidP="005B2FC3">
            <w:pPr>
              <w:kinsoku w:val="0"/>
              <w:overflowPunct w:val="0"/>
              <w:autoSpaceDE w:val="0"/>
              <w:autoSpaceDN w:val="0"/>
              <w:adjustRightInd w:val="0"/>
              <w:spacing w:after="0" w:line="240" w:lineRule="auto"/>
              <w:ind w:left="23"/>
              <w:jc w:val="center"/>
              <w:rPr>
                <w:rFonts w:ascii="Times New Roman" w:hAnsi="Times New Roman" w:cs="Times New Roman"/>
                <w:sz w:val="24"/>
                <w:szCs w:val="24"/>
              </w:rPr>
            </w:pPr>
            <w:r w:rsidRPr="005B2FC3">
              <w:rPr>
                <w:rFonts w:ascii="Arial" w:hAnsi="Arial" w:cs="Arial"/>
                <w:sz w:val="20"/>
                <w:szCs w:val="20"/>
              </w:rPr>
              <w:t>80.77</w:t>
            </w:r>
          </w:p>
        </w:tc>
        <w:tc>
          <w:tcPr>
            <w:tcW w:w="692" w:type="dxa"/>
            <w:tcBorders>
              <w:top w:val="single" w:sz="2" w:space="0" w:color="000000"/>
              <w:left w:val="single" w:sz="48" w:space="0" w:color="B8CCE3"/>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ind w:right="25"/>
              <w:jc w:val="center"/>
              <w:rPr>
                <w:rFonts w:ascii="Arial" w:hAnsi="Arial" w:cs="Arial"/>
                <w:sz w:val="20"/>
                <w:szCs w:val="20"/>
              </w:rPr>
            </w:pPr>
            <w:r w:rsidRPr="005B2FC3">
              <w:rPr>
                <w:rFonts w:ascii="Arial" w:hAnsi="Arial" w:cs="Arial"/>
                <w:sz w:val="20"/>
                <w:szCs w:val="20"/>
              </w:rPr>
              <w:t>4</w:t>
            </w:r>
          </w:p>
          <w:p w:rsidR="005B2FC3" w:rsidRPr="005B2FC3" w:rsidRDefault="005B2FC3" w:rsidP="005B2FC3">
            <w:pPr>
              <w:kinsoku w:val="0"/>
              <w:overflowPunct w:val="0"/>
              <w:autoSpaceDE w:val="0"/>
              <w:autoSpaceDN w:val="0"/>
              <w:adjustRightInd w:val="0"/>
              <w:spacing w:after="0" w:line="240" w:lineRule="auto"/>
              <w:ind w:right="32"/>
              <w:jc w:val="center"/>
              <w:rPr>
                <w:rFonts w:ascii="Times New Roman" w:hAnsi="Times New Roman" w:cs="Times New Roman"/>
                <w:sz w:val="24"/>
                <w:szCs w:val="24"/>
              </w:rPr>
            </w:pPr>
            <w:r w:rsidRPr="005B2FC3">
              <w:rPr>
                <w:rFonts w:ascii="Arial" w:hAnsi="Arial" w:cs="Arial"/>
                <w:sz w:val="20"/>
                <w:szCs w:val="20"/>
              </w:rPr>
              <w:t>15.38</w:t>
            </w:r>
          </w:p>
        </w:tc>
        <w:tc>
          <w:tcPr>
            <w:tcW w:w="691" w:type="dxa"/>
            <w:tcBorders>
              <w:top w:val="single" w:sz="2" w:space="0" w:color="000000"/>
              <w:left w:val="single" w:sz="25" w:space="0" w:color="B8CCE3"/>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6"/>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29"/>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5" w:space="0" w:color="B8CCE3"/>
            </w:tcBorders>
          </w:tcPr>
          <w:p w:rsidR="005B2FC3" w:rsidRPr="005B2FC3" w:rsidRDefault="005B2FC3" w:rsidP="005B2FC3">
            <w:pPr>
              <w:kinsoku w:val="0"/>
              <w:overflowPunct w:val="0"/>
              <w:autoSpaceDE w:val="0"/>
              <w:autoSpaceDN w:val="0"/>
              <w:adjustRightInd w:val="0"/>
              <w:spacing w:after="0" w:line="226" w:lineRule="exact"/>
              <w:ind w:left="28"/>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left="25"/>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5" w:space="0" w:color="B8CCE3"/>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1</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3.85</w:t>
            </w:r>
          </w:p>
        </w:tc>
        <w:tc>
          <w:tcPr>
            <w:tcW w:w="691" w:type="dxa"/>
            <w:tcBorders>
              <w:top w:val="single" w:sz="2" w:space="0" w:color="000000"/>
              <w:left w:val="single" w:sz="25" w:space="0" w:color="B8CCE3"/>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6"/>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29"/>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5"/>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2"/>
              <w:jc w:val="center"/>
              <w:rPr>
                <w:rFonts w:ascii="Times New Roman" w:hAnsi="Times New Roman" w:cs="Times New Roman"/>
                <w:sz w:val="24"/>
                <w:szCs w:val="24"/>
              </w:rPr>
            </w:pPr>
            <w:r w:rsidRPr="005B2FC3">
              <w:rPr>
                <w:rFonts w:ascii="Arial" w:hAnsi="Arial" w:cs="Arial"/>
                <w:spacing w:val="-1"/>
                <w:sz w:val="20"/>
                <w:szCs w:val="20"/>
              </w:rPr>
              <w:t>26</w:t>
            </w:r>
          </w:p>
        </w:tc>
      </w:tr>
      <w:tr w:rsidR="005B2FC3" w:rsidRPr="005B2FC3" w:rsidTr="00FB7B89">
        <w:trPr>
          <w:trHeight w:hRule="exact" w:val="466"/>
        </w:trPr>
        <w:tc>
          <w:tcPr>
            <w:tcW w:w="1745" w:type="dxa"/>
            <w:tcBorders>
              <w:top w:val="single" w:sz="2" w:space="0" w:color="000000"/>
              <w:left w:val="single" w:sz="6"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before="106" w:after="0" w:line="240" w:lineRule="auto"/>
              <w:ind w:left="385"/>
              <w:rPr>
                <w:rFonts w:ascii="Times New Roman" w:hAnsi="Times New Roman" w:cs="Times New Roman"/>
                <w:sz w:val="24"/>
                <w:szCs w:val="24"/>
              </w:rPr>
            </w:pPr>
            <w:r w:rsidRPr="005B2FC3">
              <w:rPr>
                <w:rFonts w:ascii="Calibri" w:hAnsi="Calibri" w:cs="Calibri"/>
                <w:sz w:val="20"/>
                <w:szCs w:val="20"/>
              </w:rPr>
              <w:t>10%</w:t>
            </w:r>
            <w:r w:rsidRPr="005B2FC3">
              <w:rPr>
                <w:rFonts w:ascii="Calibri" w:hAnsi="Calibri" w:cs="Calibri"/>
                <w:spacing w:val="-7"/>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20%</w:t>
            </w:r>
          </w:p>
        </w:tc>
        <w:tc>
          <w:tcPr>
            <w:tcW w:w="691" w:type="dxa"/>
            <w:tcBorders>
              <w:top w:val="single" w:sz="2" w:space="0" w:color="000000"/>
              <w:left w:val="single" w:sz="25" w:space="0" w:color="E4B8B7"/>
              <w:bottom w:val="single" w:sz="2" w:space="0" w:color="000000"/>
              <w:right w:val="single" w:sz="48" w:space="0" w:color="D9D9D9"/>
            </w:tcBorders>
            <w:shd w:val="clear" w:color="auto" w:fill="E4B8B7"/>
          </w:tcPr>
          <w:p w:rsidR="005B2FC3" w:rsidRPr="005B2FC3" w:rsidRDefault="005B2FC3" w:rsidP="005B2FC3">
            <w:pPr>
              <w:kinsoku w:val="0"/>
              <w:overflowPunct w:val="0"/>
              <w:autoSpaceDE w:val="0"/>
              <w:autoSpaceDN w:val="0"/>
              <w:adjustRightInd w:val="0"/>
              <w:spacing w:after="0" w:line="226" w:lineRule="exact"/>
              <w:ind w:left="29"/>
              <w:jc w:val="center"/>
              <w:rPr>
                <w:rFonts w:ascii="Arial" w:hAnsi="Arial" w:cs="Arial"/>
                <w:sz w:val="20"/>
                <w:szCs w:val="20"/>
              </w:rPr>
            </w:pPr>
            <w:r w:rsidRPr="005B2FC3">
              <w:rPr>
                <w:rFonts w:ascii="Arial" w:hAnsi="Arial" w:cs="Arial"/>
                <w:sz w:val="20"/>
                <w:szCs w:val="20"/>
              </w:rPr>
              <w:t>2</w:t>
            </w:r>
          </w:p>
          <w:p w:rsidR="005B2FC3" w:rsidRPr="005B2FC3" w:rsidRDefault="005B2FC3" w:rsidP="005B2FC3">
            <w:pPr>
              <w:kinsoku w:val="0"/>
              <w:overflowPunct w:val="0"/>
              <w:autoSpaceDE w:val="0"/>
              <w:autoSpaceDN w:val="0"/>
              <w:adjustRightInd w:val="0"/>
              <w:spacing w:after="0" w:line="240" w:lineRule="auto"/>
              <w:ind w:left="26"/>
              <w:jc w:val="center"/>
              <w:rPr>
                <w:rFonts w:ascii="Times New Roman" w:hAnsi="Times New Roman" w:cs="Times New Roman"/>
                <w:sz w:val="24"/>
                <w:szCs w:val="24"/>
              </w:rPr>
            </w:pPr>
            <w:r w:rsidRPr="005B2FC3">
              <w:rPr>
                <w:rFonts w:ascii="Arial" w:hAnsi="Arial" w:cs="Arial"/>
                <w:spacing w:val="-1"/>
                <w:sz w:val="20"/>
                <w:szCs w:val="20"/>
              </w:rPr>
              <w:t>8.33</w:t>
            </w:r>
          </w:p>
        </w:tc>
        <w:tc>
          <w:tcPr>
            <w:tcW w:w="692" w:type="dxa"/>
            <w:tcBorders>
              <w:top w:val="single" w:sz="2" w:space="0" w:color="000000"/>
              <w:left w:val="single" w:sz="48" w:space="0" w:color="D9D9D9"/>
              <w:bottom w:val="single" w:sz="2" w:space="0" w:color="000000"/>
              <w:right w:val="single" w:sz="48" w:space="0" w:color="D9D9D9"/>
            </w:tcBorders>
            <w:shd w:val="clear" w:color="auto" w:fill="D9D9D9"/>
          </w:tcPr>
          <w:p w:rsidR="005B2FC3" w:rsidRPr="005B2FC3" w:rsidRDefault="005B2FC3" w:rsidP="005B2FC3">
            <w:pPr>
              <w:kinsoku w:val="0"/>
              <w:overflowPunct w:val="0"/>
              <w:autoSpaceDE w:val="0"/>
              <w:autoSpaceDN w:val="0"/>
              <w:adjustRightInd w:val="0"/>
              <w:spacing w:after="0" w:line="226" w:lineRule="exact"/>
              <w:ind w:right="2"/>
              <w:jc w:val="center"/>
              <w:rPr>
                <w:rFonts w:ascii="Arial" w:hAnsi="Arial" w:cs="Arial"/>
                <w:sz w:val="20"/>
                <w:szCs w:val="20"/>
              </w:rPr>
            </w:pPr>
            <w:r w:rsidRPr="005B2FC3">
              <w:rPr>
                <w:rFonts w:ascii="Arial" w:hAnsi="Arial" w:cs="Arial"/>
                <w:spacing w:val="-1"/>
                <w:sz w:val="20"/>
                <w:szCs w:val="20"/>
              </w:rPr>
              <w:t>16</w:t>
            </w:r>
          </w:p>
          <w:p w:rsidR="005B2FC3" w:rsidRPr="005B2FC3" w:rsidRDefault="005B2FC3" w:rsidP="005B2FC3">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5B2FC3">
              <w:rPr>
                <w:rFonts w:ascii="Arial" w:hAnsi="Arial" w:cs="Arial"/>
                <w:sz w:val="20"/>
                <w:szCs w:val="20"/>
              </w:rPr>
              <w:t>66.67</w:t>
            </w:r>
          </w:p>
        </w:tc>
        <w:tc>
          <w:tcPr>
            <w:tcW w:w="691" w:type="dxa"/>
            <w:tcBorders>
              <w:top w:val="single" w:sz="2" w:space="0" w:color="000000"/>
              <w:left w:val="single" w:sz="48" w:space="0" w:color="D9D9D9"/>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ind w:right="26"/>
              <w:jc w:val="center"/>
              <w:rPr>
                <w:rFonts w:ascii="Arial" w:hAnsi="Arial" w:cs="Arial"/>
                <w:sz w:val="20"/>
                <w:szCs w:val="20"/>
              </w:rPr>
            </w:pPr>
            <w:r w:rsidRPr="005B2FC3">
              <w:rPr>
                <w:rFonts w:ascii="Arial" w:hAnsi="Arial" w:cs="Arial"/>
                <w:sz w:val="20"/>
                <w:szCs w:val="20"/>
              </w:rPr>
              <w:t>6</w:t>
            </w:r>
          </w:p>
          <w:p w:rsidR="005B2FC3" w:rsidRPr="005B2FC3" w:rsidRDefault="005B2FC3" w:rsidP="005B2FC3">
            <w:pPr>
              <w:kinsoku w:val="0"/>
              <w:overflowPunct w:val="0"/>
              <w:autoSpaceDE w:val="0"/>
              <w:autoSpaceDN w:val="0"/>
              <w:adjustRightInd w:val="0"/>
              <w:spacing w:after="0" w:line="240" w:lineRule="auto"/>
              <w:ind w:right="31"/>
              <w:jc w:val="center"/>
              <w:rPr>
                <w:rFonts w:ascii="Times New Roman" w:hAnsi="Times New Roman" w:cs="Times New Roman"/>
                <w:sz w:val="24"/>
                <w:szCs w:val="24"/>
              </w:rPr>
            </w:pPr>
            <w:r w:rsidRPr="005B2FC3">
              <w:rPr>
                <w:rFonts w:ascii="Arial" w:hAnsi="Arial" w:cs="Arial"/>
                <w:sz w:val="20"/>
                <w:szCs w:val="20"/>
              </w:rPr>
              <w:t>25.00</w:t>
            </w:r>
          </w:p>
        </w:tc>
        <w:tc>
          <w:tcPr>
            <w:tcW w:w="694" w:type="dxa"/>
            <w:tcBorders>
              <w:top w:val="single" w:sz="2" w:space="0" w:color="000000"/>
              <w:left w:val="single" w:sz="25" w:space="0" w:color="B8CCE3"/>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8"/>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31"/>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5"/>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2"/>
              <w:jc w:val="center"/>
              <w:rPr>
                <w:rFonts w:ascii="Times New Roman" w:hAnsi="Times New Roman" w:cs="Times New Roman"/>
                <w:sz w:val="24"/>
                <w:szCs w:val="24"/>
              </w:rPr>
            </w:pPr>
            <w:r w:rsidRPr="005B2FC3">
              <w:rPr>
                <w:rFonts w:ascii="Arial" w:hAnsi="Arial" w:cs="Arial"/>
                <w:spacing w:val="-1"/>
                <w:sz w:val="20"/>
                <w:szCs w:val="20"/>
              </w:rPr>
              <w:t>24</w:t>
            </w:r>
          </w:p>
        </w:tc>
      </w:tr>
      <w:tr w:rsidR="005B2FC3" w:rsidRPr="005B2FC3" w:rsidTr="00FB7B89">
        <w:trPr>
          <w:trHeight w:hRule="exact" w:val="463"/>
        </w:trPr>
        <w:tc>
          <w:tcPr>
            <w:tcW w:w="1745" w:type="dxa"/>
            <w:tcBorders>
              <w:top w:val="single" w:sz="2" w:space="0" w:color="000000"/>
              <w:left w:val="single" w:sz="6"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before="106" w:after="0" w:line="240" w:lineRule="auto"/>
              <w:ind w:left="385"/>
              <w:rPr>
                <w:rFonts w:ascii="Times New Roman" w:hAnsi="Times New Roman" w:cs="Times New Roman"/>
                <w:sz w:val="24"/>
                <w:szCs w:val="24"/>
              </w:rPr>
            </w:pPr>
            <w:r w:rsidRPr="005B2FC3">
              <w:rPr>
                <w:rFonts w:ascii="Calibri" w:hAnsi="Calibri" w:cs="Calibri"/>
                <w:sz w:val="20"/>
                <w:szCs w:val="20"/>
              </w:rPr>
              <w:t>20%</w:t>
            </w:r>
            <w:r w:rsidRPr="005B2FC3">
              <w:rPr>
                <w:rFonts w:ascii="Calibri" w:hAnsi="Calibri" w:cs="Calibri"/>
                <w:spacing w:val="-7"/>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30%</w:t>
            </w:r>
          </w:p>
        </w:tc>
        <w:tc>
          <w:tcPr>
            <w:tcW w:w="691" w:type="dxa"/>
            <w:tcBorders>
              <w:top w:val="single" w:sz="2" w:space="0" w:color="000000"/>
              <w:left w:val="single" w:sz="25"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5" w:lineRule="exact"/>
              <w:ind w:left="29"/>
              <w:jc w:val="center"/>
              <w:rPr>
                <w:rFonts w:ascii="Arial" w:hAnsi="Arial" w:cs="Arial"/>
                <w:sz w:val="20"/>
                <w:szCs w:val="20"/>
              </w:rPr>
            </w:pPr>
            <w:r w:rsidRPr="005B2FC3">
              <w:rPr>
                <w:rFonts w:ascii="Arial" w:hAnsi="Arial" w:cs="Arial"/>
                <w:sz w:val="20"/>
                <w:szCs w:val="20"/>
              </w:rPr>
              <w:t>2</w:t>
            </w:r>
          </w:p>
          <w:p w:rsidR="005B2FC3" w:rsidRPr="005B2FC3" w:rsidRDefault="005B2FC3" w:rsidP="005B2FC3">
            <w:pPr>
              <w:kinsoku w:val="0"/>
              <w:overflowPunct w:val="0"/>
              <w:autoSpaceDE w:val="0"/>
              <w:autoSpaceDN w:val="0"/>
              <w:adjustRightInd w:val="0"/>
              <w:spacing w:after="0" w:line="229" w:lineRule="exact"/>
              <w:ind w:left="26"/>
              <w:jc w:val="center"/>
              <w:rPr>
                <w:rFonts w:ascii="Times New Roman" w:hAnsi="Times New Roman" w:cs="Times New Roman"/>
                <w:sz w:val="24"/>
                <w:szCs w:val="24"/>
              </w:rPr>
            </w:pPr>
            <w:r w:rsidRPr="005B2FC3">
              <w:rPr>
                <w:rFonts w:ascii="Arial" w:hAnsi="Arial" w:cs="Arial"/>
                <w:spacing w:val="-1"/>
                <w:sz w:val="20"/>
                <w:szCs w:val="20"/>
              </w:rPr>
              <w:t>7.14</w:t>
            </w:r>
          </w:p>
        </w:tc>
        <w:tc>
          <w:tcPr>
            <w:tcW w:w="692"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5"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ind w:right="1"/>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48" w:space="0" w:color="E4B8B7"/>
              <w:bottom w:val="single" w:sz="2" w:space="0" w:color="000000"/>
              <w:right w:val="single" w:sz="48" w:space="0" w:color="D9D9D9"/>
            </w:tcBorders>
            <w:shd w:val="clear" w:color="auto" w:fill="D9D9D9"/>
          </w:tcPr>
          <w:p w:rsidR="005B2FC3" w:rsidRPr="005B2FC3" w:rsidRDefault="005B2FC3" w:rsidP="005B2FC3">
            <w:pPr>
              <w:kinsoku w:val="0"/>
              <w:overflowPunct w:val="0"/>
              <w:autoSpaceDE w:val="0"/>
              <w:autoSpaceDN w:val="0"/>
              <w:adjustRightInd w:val="0"/>
              <w:spacing w:after="0" w:line="225" w:lineRule="exact"/>
              <w:ind w:right="2"/>
              <w:jc w:val="center"/>
              <w:rPr>
                <w:rFonts w:ascii="Arial" w:hAnsi="Arial" w:cs="Arial"/>
                <w:sz w:val="20"/>
                <w:szCs w:val="20"/>
              </w:rPr>
            </w:pPr>
            <w:r w:rsidRPr="005B2FC3">
              <w:rPr>
                <w:rFonts w:ascii="Arial" w:hAnsi="Arial" w:cs="Arial"/>
                <w:spacing w:val="-1"/>
                <w:sz w:val="20"/>
                <w:szCs w:val="20"/>
              </w:rPr>
              <w:t>12</w:t>
            </w:r>
          </w:p>
          <w:p w:rsidR="005B2FC3" w:rsidRPr="005B2FC3" w:rsidRDefault="005B2FC3" w:rsidP="005B2FC3">
            <w:pPr>
              <w:kinsoku w:val="0"/>
              <w:overflowPunct w:val="0"/>
              <w:autoSpaceDE w:val="0"/>
              <w:autoSpaceDN w:val="0"/>
              <w:adjustRightInd w:val="0"/>
              <w:spacing w:after="0" w:line="229" w:lineRule="exact"/>
              <w:ind w:right="2"/>
              <w:jc w:val="center"/>
              <w:rPr>
                <w:rFonts w:ascii="Times New Roman" w:hAnsi="Times New Roman" w:cs="Times New Roman"/>
                <w:sz w:val="24"/>
                <w:szCs w:val="24"/>
              </w:rPr>
            </w:pPr>
            <w:r w:rsidRPr="005B2FC3">
              <w:rPr>
                <w:rFonts w:ascii="Arial" w:hAnsi="Arial" w:cs="Arial"/>
                <w:sz w:val="20"/>
                <w:szCs w:val="20"/>
              </w:rPr>
              <w:t>42.86</w:t>
            </w:r>
          </w:p>
        </w:tc>
        <w:tc>
          <w:tcPr>
            <w:tcW w:w="694" w:type="dxa"/>
            <w:tcBorders>
              <w:top w:val="single" w:sz="2" w:space="0" w:color="000000"/>
              <w:left w:val="single" w:sz="48" w:space="0" w:color="D9D9D9"/>
              <w:bottom w:val="single" w:sz="2" w:space="0" w:color="000000"/>
              <w:right w:val="single" w:sz="48" w:space="0" w:color="B8CCE3"/>
            </w:tcBorders>
            <w:shd w:val="clear" w:color="auto" w:fill="B8CCE3"/>
          </w:tcPr>
          <w:p w:rsidR="005B2FC3" w:rsidRPr="005B2FC3" w:rsidRDefault="005B2FC3" w:rsidP="005B2FC3">
            <w:pPr>
              <w:kinsoku w:val="0"/>
              <w:overflowPunct w:val="0"/>
              <w:autoSpaceDE w:val="0"/>
              <w:autoSpaceDN w:val="0"/>
              <w:adjustRightInd w:val="0"/>
              <w:spacing w:after="0" w:line="225" w:lineRule="exact"/>
              <w:jc w:val="center"/>
              <w:rPr>
                <w:rFonts w:ascii="Arial" w:hAnsi="Arial" w:cs="Arial"/>
                <w:sz w:val="20"/>
                <w:szCs w:val="20"/>
              </w:rPr>
            </w:pPr>
            <w:r w:rsidRPr="005B2FC3">
              <w:rPr>
                <w:rFonts w:ascii="Arial" w:hAnsi="Arial" w:cs="Arial"/>
                <w:sz w:val="20"/>
                <w:szCs w:val="20"/>
              </w:rPr>
              <w:t>7</w:t>
            </w:r>
          </w:p>
          <w:p w:rsidR="005B2FC3" w:rsidRPr="005B2FC3" w:rsidRDefault="005B2FC3" w:rsidP="005B2FC3">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5B2FC3">
              <w:rPr>
                <w:rFonts w:ascii="Arial" w:hAnsi="Arial" w:cs="Arial"/>
                <w:sz w:val="20"/>
                <w:szCs w:val="20"/>
              </w:rPr>
              <w:t>25.00</w:t>
            </w:r>
          </w:p>
        </w:tc>
        <w:tc>
          <w:tcPr>
            <w:tcW w:w="691" w:type="dxa"/>
            <w:tcBorders>
              <w:top w:val="single" w:sz="2" w:space="0" w:color="000000"/>
              <w:left w:val="single" w:sz="48" w:space="0" w:color="B8CCE3"/>
              <w:bottom w:val="single" w:sz="2" w:space="0" w:color="000000"/>
              <w:right w:val="single" w:sz="26" w:space="0" w:color="B8CCE3"/>
            </w:tcBorders>
            <w:shd w:val="clear" w:color="auto" w:fill="B8CCE3"/>
          </w:tcPr>
          <w:p w:rsidR="005B2FC3" w:rsidRPr="005B2FC3" w:rsidRDefault="005B2FC3" w:rsidP="005B2FC3">
            <w:pPr>
              <w:kinsoku w:val="0"/>
              <w:overflowPunct w:val="0"/>
              <w:autoSpaceDE w:val="0"/>
              <w:autoSpaceDN w:val="0"/>
              <w:adjustRightInd w:val="0"/>
              <w:spacing w:after="0" w:line="225" w:lineRule="exact"/>
              <w:ind w:right="26"/>
              <w:jc w:val="center"/>
              <w:rPr>
                <w:rFonts w:ascii="Arial" w:hAnsi="Arial" w:cs="Arial"/>
                <w:sz w:val="20"/>
                <w:szCs w:val="20"/>
              </w:rPr>
            </w:pPr>
            <w:r w:rsidRPr="005B2FC3">
              <w:rPr>
                <w:rFonts w:ascii="Arial" w:hAnsi="Arial" w:cs="Arial"/>
                <w:sz w:val="20"/>
                <w:szCs w:val="20"/>
              </w:rPr>
              <w:t>6</w:t>
            </w:r>
          </w:p>
          <w:p w:rsidR="005B2FC3" w:rsidRPr="005B2FC3" w:rsidRDefault="005B2FC3" w:rsidP="005B2FC3">
            <w:pPr>
              <w:kinsoku w:val="0"/>
              <w:overflowPunct w:val="0"/>
              <w:autoSpaceDE w:val="0"/>
              <w:autoSpaceDN w:val="0"/>
              <w:adjustRightInd w:val="0"/>
              <w:spacing w:after="0" w:line="229" w:lineRule="exact"/>
              <w:ind w:right="31"/>
              <w:jc w:val="center"/>
              <w:rPr>
                <w:rFonts w:ascii="Times New Roman" w:hAnsi="Times New Roman" w:cs="Times New Roman"/>
                <w:sz w:val="24"/>
                <w:szCs w:val="24"/>
              </w:rPr>
            </w:pPr>
            <w:r w:rsidRPr="005B2FC3">
              <w:rPr>
                <w:rFonts w:ascii="Arial" w:hAnsi="Arial" w:cs="Arial"/>
                <w:sz w:val="20"/>
                <w:szCs w:val="20"/>
              </w:rPr>
              <w:t>21.43</w:t>
            </w:r>
          </w:p>
        </w:tc>
        <w:tc>
          <w:tcPr>
            <w:tcW w:w="694" w:type="dxa"/>
            <w:tcBorders>
              <w:top w:val="single" w:sz="2" w:space="0" w:color="000000"/>
              <w:left w:val="single" w:sz="26" w:space="0" w:color="B8CCE3"/>
              <w:bottom w:val="single" w:sz="2" w:space="0" w:color="000000"/>
              <w:right w:val="single" w:sz="25" w:space="0" w:color="B8CCE3"/>
            </w:tcBorders>
          </w:tcPr>
          <w:p w:rsidR="005B2FC3" w:rsidRPr="005B2FC3" w:rsidRDefault="005B2FC3" w:rsidP="005B2FC3">
            <w:pPr>
              <w:kinsoku w:val="0"/>
              <w:overflowPunct w:val="0"/>
              <w:autoSpaceDE w:val="0"/>
              <w:autoSpaceDN w:val="0"/>
              <w:adjustRightInd w:val="0"/>
              <w:spacing w:after="0" w:line="225"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ind w:right="3"/>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5" w:space="0" w:color="B8CCE3"/>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5" w:lineRule="exact"/>
              <w:jc w:val="center"/>
              <w:rPr>
                <w:rFonts w:ascii="Arial" w:hAnsi="Arial" w:cs="Arial"/>
                <w:sz w:val="20"/>
                <w:szCs w:val="20"/>
              </w:rPr>
            </w:pPr>
            <w:r w:rsidRPr="005B2FC3">
              <w:rPr>
                <w:rFonts w:ascii="Arial" w:hAnsi="Arial" w:cs="Arial"/>
                <w:sz w:val="20"/>
                <w:szCs w:val="20"/>
              </w:rPr>
              <w:t>1</w:t>
            </w:r>
          </w:p>
          <w:p w:rsidR="005B2FC3" w:rsidRPr="005B2FC3" w:rsidRDefault="005B2FC3" w:rsidP="005B2FC3">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5B2FC3">
              <w:rPr>
                <w:rFonts w:ascii="Arial" w:hAnsi="Arial" w:cs="Arial"/>
                <w:spacing w:val="-1"/>
                <w:sz w:val="20"/>
                <w:szCs w:val="20"/>
              </w:rPr>
              <w:t>3.57</w:t>
            </w:r>
          </w:p>
        </w:tc>
        <w:tc>
          <w:tcPr>
            <w:tcW w:w="694" w:type="dxa"/>
            <w:tcBorders>
              <w:top w:val="single" w:sz="2" w:space="0" w:color="000000"/>
              <w:left w:val="single" w:sz="25" w:space="0" w:color="B8CCE3"/>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5" w:lineRule="exact"/>
              <w:ind w:right="28"/>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ind w:right="31"/>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5"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ind w:right="3"/>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5" w:lineRule="exact"/>
              <w:ind w:right="2"/>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ind w:right="5"/>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2"/>
              <w:jc w:val="center"/>
              <w:rPr>
                <w:rFonts w:ascii="Times New Roman" w:hAnsi="Times New Roman" w:cs="Times New Roman"/>
                <w:sz w:val="24"/>
                <w:szCs w:val="24"/>
              </w:rPr>
            </w:pPr>
            <w:r w:rsidRPr="005B2FC3">
              <w:rPr>
                <w:rFonts w:ascii="Arial" w:hAnsi="Arial" w:cs="Arial"/>
                <w:spacing w:val="-1"/>
                <w:sz w:val="20"/>
                <w:szCs w:val="20"/>
              </w:rPr>
              <w:t>28</w:t>
            </w:r>
          </w:p>
        </w:tc>
      </w:tr>
      <w:tr w:rsidR="005B2FC3" w:rsidRPr="005B2FC3" w:rsidTr="00FB7B89">
        <w:trPr>
          <w:trHeight w:hRule="exact" w:val="466"/>
        </w:trPr>
        <w:tc>
          <w:tcPr>
            <w:tcW w:w="1745" w:type="dxa"/>
            <w:tcBorders>
              <w:top w:val="single" w:sz="2" w:space="0" w:color="000000"/>
              <w:left w:val="single" w:sz="6"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before="106" w:after="0" w:line="240" w:lineRule="auto"/>
              <w:ind w:left="385"/>
              <w:rPr>
                <w:rFonts w:ascii="Times New Roman" w:hAnsi="Times New Roman" w:cs="Times New Roman"/>
                <w:sz w:val="24"/>
                <w:szCs w:val="24"/>
              </w:rPr>
            </w:pPr>
            <w:r w:rsidRPr="005B2FC3">
              <w:rPr>
                <w:rFonts w:ascii="Calibri" w:hAnsi="Calibri" w:cs="Calibri"/>
                <w:sz w:val="20"/>
                <w:szCs w:val="20"/>
              </w:rPr>
              <w:t>30%</w:t>
            </w:r>
            <w:r w:rsidRPr="005B2FC3">
              <w:rPr>
                <w:rFonts w:ascii="Calibri" w:hAnsi="Calibri" w:cs="Calibri"/>
                <w:spacing w:val="-7"/>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40%</w:t>
            </w:r>
          </w:p>
        </w:tc>
        <w:tc>
          <w:tcPr>
            <w:tcW w:w="691" w:type="dxa"/>
            <w:tcBorders>
              <w:top w:val="single" w:sz="2" w:space="0" w:color="000000"/>
              <w:left w:val="single" w:sz="25"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ind w:left="29"/>
              <w:jc w:val="center"/>
              <w:rPr>
                <w:rFonts w:ascii="Arial" w:hAnsi="Arial" w:cs="Arial"/>
                <w:sz w:val="20"/>
                <w:szCs w:val="20"/>
              </w:rPr>
            </w:pPr>
            <w:r w:rsidRPr="005B2FC3">
              <w:rPr>
                <w:rFonts w:ascii="Arial" w:hAnsi="Arial" w:cs="Arial"/>
                <w:sz w:val="20"/>
                <w:szCs w:val="20"/>
              </w:rPr>
              <w:t>1</w:t>
            </w:r>
          </w:p>
          <w:p w:rsidR="005B2FC3" w:rsidRPr="005B2FC3" w:rsidRDefault="005B2FC3" w:rsidP="005B2FC3">
            <w:pPr>
              <w:kinsoku w:val="0"/>
              <w:overflowPunct w:val="0"/>
              <w:autoSpaceDE w:val="0"/>
              <w:autoSpaceDN w:val="0"/>
              <w:adjustRightInd w:val="0"/>
              <w:spacing w:after="0" w:line="240" w:lineRule="auto"/>
              <w:ind w:left="26"/>
              <w:jc w:val="center"/>
              <w:rPr>
                <w:rFonts w:ascii="Times New Roman" w:hAnsi="Times New Roman" w:cs="Times New Roman"/>
                <w:sz w:val="24"/>
                <w:szCs w:val="24"/>
              </w:rPr>
            </w:pPr>
            <w:r w:rsidRPr="005B2FC3">
              <w:rPr>
                <w:rFonts w:ascii="Arial" w:hAnsi="Arial" w:cs="Arial"/>
                <w:spacing w:val="-1"/>
                <w:sz w:val="20"/>
                <w:szCs w:val="20"/>
              </w:rPr>
              <w:t>3.45</w:t>
            </w:r>
          </w:p>
        </w:tc>
        <w:tc>
          <w:tcPr>
            <w:tcW w:w="692"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5</w:t>
            </w:r>
          </w:p>
          <w:p w:rsidR="005B2FC3" w:rsidRPr="005B2FC3" w:rsidRDefault="005B2FC3" w:rsidP="005B2FC3">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5B2FC3">
              <w:rPr>
                <w:rFonts w:ascii="Arial" w:hAnsi="Arial" w:cs="Arial"/>
                <w:sz w:val="20"/>
                <w:szCs w:val="20"/>
              </w:rPr>
              <w:t>17.24</w:t>
            </w:r>
          </w:p>
        </w:tc>
        <w:tc>
          <w:tcPr>
            <w:tcW w:w="691"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5</w:t>
            </w:r>
          </w:p>
          <w:p w:rsidR="005B2FC3" w:rsidRPr="005B2FC3" w:rsidRDefault="005B2FC3" w:rsidP="005B2FC3">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5B2FC3">
              <w:rPr>
                <w:rFonts w:ascii="Arial" w:hAnsi="Arial" w:cs="Arial"/>
                <w:sz w:val="20"/>
                <w:szCs w:val="20"/>
              </w:rPr>
              <w:t>17.24</w:t>
            </w:r>
          </w:p>
        </w:tc>
        <w:tc>
          <w:tcPr>
            <w:tcW w:w="694" w:type="dxa"/>
            <w:tcBorders>
              <w:top w:val="single" w:sz="2" w:space="0" w:color="000000"/>
              <w:left w:val="single" w:sz="48" w:space="0" w:color="E4B8B7"/>
              <w:bottom w:val="single" w:sz="2" w:space="0" w:color="000000"/>
              <w:right w:val="single" w:sz="48" w:space="0" w:color="D9D9D9"/>
            </w:tcBorders>
            <w:shd w:val="clear" w:color="auto" w:fill="D9D9D9"/>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9</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z w:val="20"/>
                <w:szCs w:val="20"/>
              </w:rPr>
              <w:t>31.03</w:t>
            </w:r>
          </w:p>
        </w:tc>
        <w:tc>
          <w:tcPr>
            <w:tcW w:w="691" w:type="dxa"/>
            <w:tcBorders>
              <w:top w:val="single" w:sz="2" w:space="0" w:color="000000"/>
              <w:left w:val="single" w:sz="48" w:space="0" w:color="D9D9D9"/>
              <w:bottom w:val="single" w:sz="2" w:space="0" w:color="000000"/>
              <w:right w:val="single" w:sz="48"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6</w:t>
            </w:r>
          </w:p>
          <w:p w:rsidR="005B2FC3" w:rsidRPr="005B2FC3" w:rsidRDefault="005B2FC3" w:rsidP="005B2FC3">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5B2FC3">
              <w:rPr>
                <w:rFonts w:ascii="Arial" w:hAnsi="Arial" w:cs="Arial"/>
                <w:sz w:val="20"/>
                <w:szCs w:val="20"/>
              </w:rPr>
              <w:t>20.69</w:t>
            </w:r>
          </w:p>
        </w:tc>
        <w:tc>
          <w:tcPr>
            <w:tcW w:w="694" w:type="dxa"/>
            <w:tcBorders>
              <w:top w:val="single" w:sz="2" w:space="0" w:color="000000"/>
              <w:left w:val="single" w:sz="48" w:space="0" w:color="B8CCE3"/>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ind w:right="29"/>
              <w:jc w:val="center"/>
              <w:rPr>
                <w:rFonts w:ascii="Arial" w:hAnsi="Arial" w:cs="Arial"/>
                <w:sz w:val="20"/>
                <w:szCs w:val="20"/>
              </w:rPr>
            </w:pPr>
            <w:r w:rsidRPr="005B2FC3">
              <w:rPr>
                <w:rFonts w:ascii="Arial" w:hAnsi="Arial" w:cs="Arial"/>
                <w:sz w:val="20"/>
                <w:szCs w:val="20"/>
              </w:rPr>
              <w:t>2</w:t>
            </w:r>
          </w:p>
          <w:p w:rsidR="005B2FC3" w:rsidRPr="005B2FC3" w:rsidRDefault="005B2FC3" w:rsidP="005B2FC3">
            <w:pPr>
              <w:kinsoku w:val="0"/>
              <w:overflowPunct w:val="0"/>
              <w:autoSpaceDE w:val="0"/>
              <w:autoSpaceDN w:val="0"/>
              <w:adjustRightInd w:val="0"/>
              <w:spacing w:after="0" w:line="240" w:lineRule="auto"/>
              <w:ind w:right="33"/>
              <w:jc w:val="center"/>
              <w:rPr>
                <w:rFonts w:ascii="Times New Roman" w:hAnsi="Times New Roman" w:cs="Times New Roman"/>
                <w:sz w:val="24"/>
                <w:szCs w:val="24"/>
              </w:rPr>
            </w:pPr>
            <w:r w:rsidRPr="005B2FC3">
              <w:rPr>
                <w:rFonts w:ascii="Arial" w:hAnsi="Arial" w:cs="Arial"/>
                <w:spacing w:val="-1"/>
                <w:sz w:val="20"/>
                <w:szCs w:val="20"/>
              </w:rPr>
              <w:t>6.90</w:t>
            </w:r>
          </w:p>
        </w:tc>
        <w:tc>
          <w:tcPr>
            <w:tcW w:w="691" w:type="dxa"/>
            <w:tcBorders>
              <w:top w:val="single" w:sz="2" w:space="0" w:color="000000"/>
              <w:left w:val="single" w:sz="25" w:space="0" w:color="B8CCE3"/>
              <w:bottom w:val="single" w:sz="2" w:space="0" w:color="000000"/>
              <w:right w:val="single" w:sz="25" w:space="0" w:color="B8CCE3"/>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5" w:space="0" w:color="B8CCE3"/>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1</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3.45</w:t>
            </w:r>
          </w:p>
        </w:tc>
        <w:tc>
          <w:tcPr>
            <w:tcW w:w="694" w:type="dxa"/>
            <w:tcBorders>
              <w:top w:val="single" w:sz="2" w:space="0" w:color="000000"/>
              <w:left w:val="single" w:sz="25" w:space="0" w:color="B8CCE3"/>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9"/>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32"/>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5"/>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2"/>
              <w:jc w:val="center"/>
              <w:rPr>
                <w:rFonts w:ascii="Times New Roman" w:hAnsi="Times New Roman" w:cs="Times New Roman"/>
                <w:sz w:val="24"/>
                <w:szCs w:val="24"/>
              </w:rPr>
            </w:pPr>
            <w:r w:rsidRPr="005B2FC3">
              <w:rPr>
                <w:rFonts w:ascii="Arial" w:hAnsi="Arial" w:cs="Arial"/>
                <w:spacing w:val="-1"/>
                <w:sz w:val="20"/>
                <w:szCs w:val="20"/>
              </w:rPr>
              <w:t>29</w:t>
            </w:r>
          </w:p>
        </w:tc>
      </w:tr>
      <w:tr w:rsidR="005B2FC3" w:rsidRPr="005B2FC3" w:rsidTr="00FB7B89">
        <w:trPr>
          <w:trHeight w:hRule="exact" w:val="466"/>
        </w:trPr>
        <w:tc>
          <w:tcPr>
            <w:tcW w:w="1745" w:type="dxa"/>
            <w:tcBorders>
              <w:top w:val="single" w:sz="2" w:space="0" w:color="000000"/>
              <w:left w:val="single" w:sz="6"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before="106" w:after="0" w:line="240" w:lineRule="auto"/>
              <w:ind w:left="385"/>
              <w:rPr>
                <w:rFonts w:ascii="Times New Roman" w:hAnsi="Times New Roman" w:cs="Times New Roman"/>
                <w:sz w:val="24"/>
                <w:szCs w:val="24"/>
              </w:rPr>
            </w:pPr>
            <w:r w:rsidRPr="005B2FC3">
              <w:rPr>
                <w:rFonts w:ascii="Calibri" w:hAnsi="Calibri" w:cs="Calibri"/>
                <w:sz w:val="20"/>
                <w:szCs w:val="20"/>
              </w:rPr>
              <w:t>40%</w:t>
            </w:r>
            <w:r w:rsidRPr="005B2FC3">
              <w:rPr>
                <w:rFonts w:ascii="Calibri" w:hAnsi="Calibri" w:cs="Calibri"/>
                <w:spacing w:val="-7"/>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50%</w:t>
            </w:r>
          </w:p>
        </w:tc>
        <w:tc>
          <w:tcPr>
            <w:tcW w:w="691" w:type="dxa"/>
            <w:tcBorders>
              <w:top w:val="single" w:sz="2" w:space="0" w:color="000000"/>
              <w:left w:val="single" w:sz="2"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after="0" w:line="226" w:lineRule="exact"/>
              <w:ind w:left="29"/>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left="26"/>
              <w:jc w:val="center"/>
              <w:rPr>
                <w:rFonts w:ascii="Times New Roman" w:hAnsi="Times New Roman" w:cs="Times New Roman"/>
                <w:sz w:val="24"/>
                <w:szCs w:val="24"/>
              </w:rPr>
            </w:pPr>
            <w:r w:rsidRPr="005B2FC3">
              <w:rPr>
                <w:rFonts w:ascii="Arial" w:hAnsi="Arial" w:cs="Arial"/>
                <w:spacing w:val="-1"/>
                <w:sz w:val="20"/>
                <w:szCs w:val="20"/>
              </w:rPr>
              <w:t>0.00</w:t>
            </w:r>
          </w:p>
        </w:tc>
        <w:tc>
          <w:tcPr>
            <w:tcW w:w="692" w:type="dxa"/>
            <w:tcBorders>
              <w:top w:val="single" w:sz="2" w:space="0" w:color="000000"/>
              <w:left w:val="single" w:sz="25"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ind w:left="29"/>
              <w:jc w:val="center"/>
              <w:rPr>
                <w:rFonts w:ascii="Arial" w:hAnsi="Arial" w:cs="Arial"/>
                <w:sz w:val="20"/>
                <w:szCs w:val="20"/>
              </w:rPr>
            </w:pPr>
            <w:r w:rsidRPr="005B2FC3">
              <w:rPr>
                <w:rFonts w:ascii="Arial" w:hAnsi="Arial" w:cs="Arial"/>
                <w:sz w:val="20"/>
                <w:szCs w:val="20"/>
              </w:rPr>
              <w:t>1</w:t>
            </w:r>
          </w:p>
          <w:p w:rsidR="005B2FC3" w:rsidRPr="005B2FC3" w:rsidRDefault="005B2FC3" w:rsidP="005B2FC3">
            <w:pPr>
              <w:kinsoku w:val="0"/>
              <w:overflowPunct w:val="0"/>
              <w:autoSpaceDE w:val="0"/>
              <w:autoSpaceDN w:val="0"/>
              <w:adjustRightInd w:val="0"/>
              <w:spacing w:after="0" w:line="240" w:lineRule="auto"/>
              <w:ind w:left="26"/>
              <w:jc w:val="center"/>
              <w:rPr>
                <w:rFonts w:ascii="Times New Roman" w:hAnsi="Times New Roman" w:cs="Times New Roman"/>
                <w:sz w:val="24"/>
                <w:szCs w:val="24"/>
              </w:rPr>
            </w:pPr>
            <w:r w:rsidRPr="005B2FC3">
              <w:rPr>
                <w:rFonts w:ascii="Arial" w:hAnsi="Arial" w:cs="Arial"/>
                <w:spacing w:val="-1"/>
                <w:sz w:val="20"/>
                <w:szCs w:val="20"/>
              </w:rPr>
              <w:t>4.35</w:t>
            </w:r>
          </w:p>
        </w:tc>
        <w:tc>
          <w:tcPr>
            <w:tcW w:w="691"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3</w:t>
            </w:r>
          </w:p>
          <w:p w:rsidR="005B2FC3" w:rsidRPr="005B2FC3" w:rsidRDefault="005B2FC3" w:rsidP="005B2FC3">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5B2FC3">
              <w:rPr>
                <w:rFonts w:ascii="Arial" w:hAnsi="Arial" w:cs="Arial"/>
                <w:sz w:val="20"/>
                <w:szCs w:val="20"/>
              </w:rPr>
              <w:t>13.04</w:t>
            </w:r>
          </w:p>
        </w:tc>
        <w:tc>
          <w:tcPr>
            <w:tcW w:w="694"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7</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z w:val="20"/>
                <w:szCs w:val="20"/>
              </w:rPr>
              <w:t>30.43</w:t>
            </w:r>
          </w:p>
        </w:tc>
        <w:tc>
          <w:tcPr>
            <w:tcW w:w="691" w:type="dxa"/>
            <w:tcBorders>
              <w:top w:val="single" w:sz="2" w:space="0" w:color="000000"/>
              <w:left w:val="single" w:sz="48" w:space="0" w:color="E4B8B7"/>
              <w:bottom w:val="single" w:sz="2" w:space="0" w:color="000000"/>
              <w:right w:val="single" w:sz="48" w:space="0" w:color="D9D9D9"/>
            </w:tcBorders>
            <w:shd w:val="clear" w:color="auto" w:fill="D9D9D9"/>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7</w:t>
            </w:r>
          </w:p>
          <w:p w:rsidR="005B2FC3" w:rsidRPr="005B2FC3" w:rsidRDefault="005B2FC3" w:rsidP="005B2FC3">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5B2FC3">
              <w:rPr>
                <w:rFonts w:ascii="Arial" w:hAnsi="Arial" w:cs="Arial"/>
                <w:sz w:val="20"/>
                <w:szCs w:val="20"/>
              </w:rPr>
              <w:t>30.43</w:t>
            </w:r>
          </w:p>
        </w:tc>
        <w:tc>
          <w:tcPr>
            <w:tcW w:w="694" w:type="dxa"/>
            <w:tcBorders>
              <w:top w:val="single" w:sz="2" w:space="0" w:color="000000"/>
              <w:left w:val="single" w:sz="48" w:space="0" w:color="D9D9D9"/>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ind w:right="29"/>
              <w:jc w:val="center"/>
              <w:rPr>
                <w:rFonts w:ascii="Arial" w:hAnsi="Arial" w:cs="Arial"/>
                <w:sz w:val="20"/>
                <w:szCs w:val="20"/>
              </w:rPr>
            </w:pPr>
            <w:r w:rsidRPr="005B2FC3">
              <w:rPr>
                <w:rFonts w:ascii="Arial" w:hAnsi="Arial" w:cs="Arial"/>
                <w:sz w:val="20"/>
                <w:szCs w:val="20"/>
              </w:rPr>
              <w:t>5</w:t>
            </w:r>
          </w:p>
          <w:p w:rsidR="005B2FC3" w:rsidRPr="005B2FC3" w:rsidRDefault="005B2FC3" w:rsidP="005B2FC3">
            <w:pPr>
              <w:kinsoku w:val="0"/>
              <w:overflowPunct w:val="0"/>
              <w:autoSpaceDE w:val="0"/>
              <w:autoSpaceDN w:val="0"/>
              <w:adjustRightInd w:val="0"/>
              <w:spacing w:after="0" w:line="240" w:lineRule="auto"/>
              <w:ind w:right="29"/>
              <w:jc w:val="center"/>
              <w:rPr>
                <w:rFonts w:ascii="Times New Roman" w:hAnsi="Times New Roman" w:cs="Times New Roman"/>
                <w:sz w:val="24"/>
                <w:szCs w:val="24"/>
              </w:rPr>
            </w:pPr>
            <w:r w:rsidRPr="005B2FC3">
              <w:rPr>
                <w:rFonts w:ascii="Arial" w:hAnsi="Arial" w:cs="Arial"/>
                <w:sz w:val="20"/>
                <w:szCs w:val="20"/>
              </w:rPr>
              <w:t>21.74</w:t>
            </w:r>
          </w:p>
        </w:tc>
        <w:tc>
          <w:tcPr>
            <w:tcW w:w="691" w:type="dxa"/>
            <w:tcBorders>
              <w:top w:val="single" w:sz="2" w:space="0" w:color="000000"/>
              <w:left w:val="single" w:sz="25" w:space="0" w:color="B8CCE3"/>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6"/>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29"/>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5"/>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2"/>
              <w:jc w:val="center"/>
              <w:rPr>
                <w:rFonts w:ascii="Times New Roman" w:hAnsi="Times New Roman" w:cs="Times New Roman"/>
                <w:sz w:val="24"/>
                <w:szCs w:val="24"/>
              </w:rPr>
            </w:pPr>
            <w:r w:rsidRPr="005B2FC3">
              <w:rPr>
                <w:rFonts w:ascii="Arial" w:hAnsi="Arial" w:cs="Arial"/>
                <w:spacing w:val="-1"/>
                <w:sz w:val="20"/>
                <w:szCs w:val="20"/>
              </w:rPr>
              <w:t>23</w:t>
            </w:r>
          </w:p>
        </w:tc>
      </w:tr>
      <w:tr w:rsidR="005B2FC3" w:rsidRPr="005B2FC3" w:rsidTr="00FB7B89">
        <w:trPr>
          <w:trHeight w:hRule="exact" w:val="464"/>
        </w:trPr>
        <w:tc>
          <w:tcPr>
            <w:tcW w:w="1745" w:type="dxa"/>
            <w:tcBorders>
              <w:top w:val="single" w:sz="2" w:space="0" w:color="000000"/>
              <w:left w:val="single" w:sz="6"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before="106" w:after="0" w:line="240" w:lineRule="auto"/>
              <w:ind w:left="385"/>
              <w:rPr>
                <w:rFonts w:ascii="Times New Roman" w:hAnsi="Times New Roman" w:cs="Times New Roman"/>
                <w:sz w:val="24"/>
                <w:szCs w:val="24"/>
              </w:rPr>
            </w:pPr>
            <w:r w:rsidRPr="005B2FC3">
              <w:rPr>
                <w:rFonts w:ascii="Calibri" w:hAnsi="Calibri" w:cs="Calibri"/>
                <w:sz w:val="20"/>
                <w:szCs w:val="20"/>
              </w:rPr>
              <w:t>50%</w:t>
            </w:r>
            <w:r w:rsidRPr="005B2FC3">
              <w:rPr>
                <w:rFonts w:ascii="Calibri" w:hAnsi="Calibri" w:cs="Calibri"/>
                <w:spacing w:val="-7"/>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60%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7"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2"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7"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after="0" w:line="227" w:lineRule="exact"/>
              <w:ind w:left="29"/>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left="26"/>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5"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7" w:lineRule="exact"/>
              <w:ind w:left="26"/>
              <w:jc w:val="center"/>
              <w:rPr>
                <w:rFonts w:ascii="Arial" w:hAnsi="Arial" w:cs="Arial"/>
                <w:sz w:val="20"/>
                <w:szCs w:val="20"/>
              </w:rPr>
            </w:pPr>
            <w:r w:rsidRPr="005B2FC3">
              <w:rPr>
                <w:rFonts w:ascii="Arial" w:hAnsi="Arial" w:cs="Arial"/>
                <w:sz w:val="20"/>
                <w:szCs w:val="20"/>
              </w:rPr>
              <w:t>3</w:t>
            </w:r>
          </w:p>
          <w:p w:rsidR="005B2FC3" w:rsidRPr="005B2FC3" w:rsidRDefault="005B2FC3" w:rsidP="005B2FC3">
            <w:pPr>
              <w:kinsoku w:val="0"/>
              <w:overflowPunct w:val="0"/>
              <w:autoSpaceDE w:val="0"/>
              <w:autoSpaceDN w:val="0"/>
              <w:adjustRightInd w:val="0"/>
              <w:spacing w:after="0" w:line="240" w:lineRule="auto"/>
              <w:ind w:left="26"/>
              <w:jc w:val="center"/>
              <w:rPr>
                <w:rFonts w:ascii="Times New Roman" w:hAnsi="Times New Roman" w:cs="Times New Roman"/>
                <w:sz w:val="24"/>
                <w:szCs w:val="24"/>
              </w:rPr>
            </w:pPr>
            <w:r w:rsidRPr="005B2FC3">
              <w:rPr>
                <w:rFonts w:ascii="Arial" w:hAnsi="Arial" w:cs="Arial"/>
                <w:sz w:val="20"/>
                <w:szCs w:val="20"/>
              </w:rPr>
              <w:t>11.54</w:t>
            </w:r>
          </w:p>
        </w:tc>
        <w:tc>
          <w:tcPr>
            <w:tcW w:w="691"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7" w:lineRule="exact"/>
              <w:jc w:val="center"/>
              <w:rPr>
                <w:rFonts w:ascii="Arial" w:hAnsi="Arial" w:cs="Arial"/>
                <w:sz w:val="20"/>
                <w:szCs w:val="20"/>
              </w:rPr>
            </w:pPr>
            <w:r w:rsidRPr="005B2FC3">
              <w:rPr>
                <w:rFonts w:ascii="Arial" w:hAnsi="Arial" w:cs="Arial"/>
                <w:sz w:val="20"/>
                <w:szCs w:val="20"/>
              </w:rPr>
              <w:t>6</w:t>
            </w:r>
          </w:p>
          <w:p w:rsidR="005B2FC3" w:rsidRPr="005B2FC3" w:rsidRDefault="005B2FC3" w:rsidP="005B2FC3">
            <w:pPr>
              <w:kinsoku w:val="0"/>
              <w:overflowPunct w:val="0"/>
              <w:autoSpaceDE w:val="0"/>
              <w:autoSpaceDN w:val="0"/>
              <w:adjustRightInd w:val="0"/>
              <w:spacing w:after="0" w:line="240" w:lineRule="auto"/>
              <w:ind w:right="3"/>
              <w:jc w:val="center"/>
              <w:rPr>
                <w:rFonts w:ascii="Times New Roman" w:hAnsi="Times New Roman" w:cs="Times New Roman"/>
                <w:sz w:val="24"/>
                <w:szCs w:val="24"/>
              </w:rPr>
            </w:pPr>
            <w:r w:rsidRPr="005B2FC3">
              <w:rPr>
                <w:rFonts w:ascii="Arial" w:hAnsi="Arial" w:cs="Arial"/>
                <w:sz w:val="20"/>
                <w:szCs w:val="20"/>
              </w:rPr>
              <w:t>23.08</w:t>
            </w:r>
          </w:p>
        </w:tc>
        <w:tc>
          <w:tcPr>
            <w:tcW w:w="694" w:type="dxa"/>
            <w:tcBorders>
              <w:top w:val="single" w:sz="2" w:space="0" w:color="000000"/>
              <w:left w:val="single" w:sz="48" w:space="0" w:color="E4B8B7"/>
              <w:bottom w:val="single" w:sz="2" w:space="0" w:color="000000"/>
              <w:right w:val="single" w:sz="48" w:space="0" w:color="D9D9D9"/>
            </w:tcBorders>
            <w:shd w:val="clear" w:color="auto" w:fill="D9D9D9"/>
          </w:tcPr>
          <w:p w:rsidR="005B2FC3" w:rsidRPr="005B2FC3" w:rsidRDefault="005B2FC3" w:rsidP="005B2FC3">
            <w:pPr>
              <w:kinsoku w:val="0"/>
              <w:overflowPunct w:val="0"/>
              <w:autoSpaceDE w:val="0"/>
              <w:autoSpaceDN w:val="0"/>
              <w:adjustRightInd w:val="0"/>
              <w:spacing w:after="0" w:line="227" w:lineRule="exact"/>
              <w:jc w:val="center"/>
              <w:rPr>
                <w:rFonts w:ascii="Arial" w:hAnsi="Arial" w:cs="Arial"/>
                <w:sz w:val="20"/>
                <w:szCs w:val="20"/>
              </w:rPr>
            </w:pPr>
            <w:r w:rsidRPr="005B2FC3">
              <w:rPr>
                <w:rFonts w:ascii="Arial" w:hAnsi="Arial" w:cs="Arial"/>
                <w:spacing w:val="-1"/>
                <w:sz w:val="20"/>
                <w:szCs w:val="20"/>
              </w:rPr>
              <w:t>10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z w:val="20"/>
                <w:szCs w:val="20"/>
              </w:rPr>
              <w:t>38.46</w:t>
            </w:r>
          </w:p>
        </w:tc>
        <w:tc>
          <w:tcPr>
            <w:tcW w:w="691" w:type="dxa"/>
            <w:tcBorders>
              <w:top w:val="single" w:sz="2" w:space="0" w:color="000000"/>
              <w:left w:val="single" w:sz="48" w:space="0" w:color="D9D9D9"/>
              <w:bottom w:val="single" w:sz="2" w:space="0" w:color="000000"/>
              <w:right w:val="single" w:sz="48" w:space="0" w:color="B8CCE3"/>
            </w:tcBorders>
            <w:shd w:val="clear" w:color="auto" w:fill="B8CCE3"/>
          </w:tcPr>
          <w:p w:rsidR="005B2FC3" w:rsidRPr="005B2FC3" w:rsidRDefault="005B2FC3" w:rsidP="005B2FC3">
            <w:pPr>
              <w:kinsoku w:val="0"/>
              <w:overflowPunct w:val="0"/>
              <w:autoSpaceDE w:val="0"/>
              <w:autoSpaceDN w:val="0"/>
              <w:adjustRightInd w:val="0"/>
              <w:spacing w:after="0" w:line="227" w:lineRule="exact"/>
              <w:jc w:val="center"/>
              <w:rPr>
                <w:rFonts w:ascii="Arial" w:hAnsi="Arial" w:cs="Arial"/>
                <w:sz w:val="20"/>
                <w:szCs w:val="20"/>
              </w:rPr>
            </w:pPr>
            <w:r w:rsidRPr="005B2FC3">
              <w:rPr>
                <w:rFonts w:ascii="Arial" w:hAnsi="Arial" w:cs="Arial"/>
                <w:sz w:val="20"/>
                <w:szCs w:val="20"/>
              </w:rPr>
              <w:t>5</w:t>
            </w:r>
          </w:p>
          <w:p w:rsidR="005B2FC3" w:rsidRPr="005B2FC3" w:rsidRDefault="005B2FC3" w:rsidP="005B2FC3">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5B2FC3">
              <w:rPr>
                <w:rFonts w:ascii="Arial" w:hAnsi="Arial" w:cs="Arial"/>
                <w:sz w:val="20"/>
                <w:szCs w:val="20"/>
              </w:rPr>
              <w:t>19.23</w:t>
            </w:r>
          </w:p>
        </w:tc>
        <w:tc>
          <w:tcPr>
            <w:tcW w:w="694" w:type="dxa"/>
            <w:tcBorders>
              <w:top w:val="single" w:sz="2" w:space="0" w:color="000000"/>
              <w:left w:val="single" w:sz="48" w:space="0" w:color="B8CCE3"/>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7" w:lineRule="exact"/>
              <w:ind w:right="28"/>
              <w:jc w:val="center"/>
              <w:rPr>
                <w:rFonts w:ascii="Arial" w:hAnsi="Arial" w:cs="Arial"/>
                <w:sz w:val="20"/>
                <w:szCs w:val="20"/>
              </w:rPr>
            </w:pPr>
            <w:r w:rsidRPr="005B2FC3">
              <w:rPr>
                <w:rFonts w:ascii="Arial" w:hAnsi="Arial" w:cs="Arial"/>
                <w:sz w:val="20"/>
                <w:szCs w:val="20"/>
              </w:rPr>
              <w:t>2</w:t>
            </w:r>
          </w:p>
          <w:p w:rsidR="005B2FC3" w:rsidRPr="005B2FC3" w:rsidRDefault="005B2FC3" w:rsidP="005B2FC3">
            <w:pPr>
              <w:kinsoku w:val="0"/>
              <w:overflowPunct w:val="0"/>
              <w:autoSpaceDE w:val="0"/>
              <w:autoSpaceDN w:val="0"/>
              <w:adjustRightInd w:val="0"/>
              <w:spacing w:after="0" w:line="240" w:lineRule="auto"/>
              <w:ind w:right="31"/>
              <w:jc w:val="center"/>
              <w:rPr>
                <w:rFonts w:ascii="Times New Roman" w:hAnsi="Times New Roman" w:cs="Times New Roman"/>
                <w:sz w:val="24"/>
                <w:szCs w:val="24"/>
              </w:rPr>
            </w:pPr>
            <w:r w:rsidRPr="005B2FC3">
              <w:rPr>
                <w:rFonts w:ascii="Arial" w:hAnsi="Arial" w:cs="Arial"/>
                <w:spacing w:val="-1"/>
                <w:sz w:val="20"/>
                <w:szCs w:val="20"/>
              </w:rPr>
              <w:t>7.69</w:t>
            </w:r>
          </w:p>
        </w:tc>
        <w:tc>
          <w:tcPr>
            <w:tcW w:w="694" w:type="dxa"/>
            <w:tcBorders>
              <w:top w:val="single" w:sz="2" w:space="0" w:color="000000"/>
              <w:left w:val="single" w:sz="25" w:space="0" w:color="B8CCE3"/>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7" w:lineRule="exact"/>
              <w:ind w:right="29"/>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32"/>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7" w:lineRule="exact"/>
              <w:ind w:right="2"/>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5"/>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7" w:lineRule="exact"/>
              <w:ind w:left="2"/>
              <w:jc w:val="center"/>
              <w:rPr>
                <w:rFonts w:ascii="Times New Roman" w:hAnsi="Times New Roman" w:cs="Times New Roman"/>
                <w:sz w:val="24"/>
                <w:szCs w:val="24"/>
              </w:rPr>
            </w:pPr>
            <w:r w:rsidRPr="005B2FC3">
              <w:rPr>
                <w:rFonts w:ascii="Arial" w:hAnsi="Arial" w:cs="Arial"/>
                <w:spacing w:val="-1"/>
                <w:sz w:val="20"/>
                <w:szCs w:val="20"/>
              </w:rPr>
              <w:t>26</w:t>
            </w:r>
          </w:p>
        </w:tc>
      </w:tr>
      <w:tr w:rsidR="00FB7B89" w:rsidRPr="005B2FC3" w:rsidTr="00D57C0F">
        <w:trPr>
          <w:trHeight w:hRule="exact" w:val="365"/>
        </w:trPr>
        <w:tc>
          <w:tcPr>
            <w:tcW w:w="1745" w:type="dxa"/>
            <w:vMerge w:val="restart"/>
            <w:tcBorders>
              <w:top w:val="single" w:sz="2" w:space="0" w:color="000000"/>
              <w:left w:val="single" w:sz="6"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before="123" w:after="0" w:line="240" w:lineRule="auto"/>
              <w:ind w:left="663" w:right="128" w:hanging="540"/>
              <w:rPr>
                <w:rFonts w:ascii="Times New Roman" w:hAnsi="Times New Roman" w:cs="Times New Roman"/>
                <w:sz w:val="24"/>
                <w:szCs w:val="24"/>
              </w:rPr>
            </w:pPr>
            <w:r w:rsidRPr="005B2FC3">
              <w:rPr>
                <w:rFonts w:ascii="Calibri" w:hAnsi="Calibri" w:cs="Calibri"/>
                <w:spacing w:val="-1"/>
                <w:sz w:val="20"/>
                <w:szCs w:val="20"/>
              </w:rPr>
              <w:lastRenderedPageBreak/>
              <w:t>Unadjusted</w:t>
            </w:r>
            <w:r w:rsidRPr="005B2FC3">
              <w:rPr>
                <w:rFonts w:ascii="Calibri" w:hAnsi="Calibri" w:cs="Calibri"/>
                <w:spacing w:val="-15"/>
                <w:sz w:val="20"/>
                <w:szCs w:val="20"/>
              </w:rPr>
              <w:t xml:space="preserve"> </w:t>
            </w:r>
            <w:r w:rsidRPr="005B2FC3">
              <w:rPr>
                <w:rFonts w:ascii="Calibri" w:hAnsi="Calibri" w:cs="Calibri"/>
                <w:spacing w:val="-1"/>
                <w:sz w:val="20"/>
                <w:szCs w:val="20"/>
              </w:rPr>
              <w:t>Decile</w:t>
            </w:r>
            <w:r w:rsidRPr="005B2FC3">
              <w:rPr>
                <w:rFonts w:ascii="Calibri" w:hAnsi="Calibri" w:cs="Calibri"/>
                <w:spacing w:val="27"/>
                <w:w w:val="99"/>
                <w:sz w:val="20"/>
                <w:szCs w:val="20"/>
              </w:rPr>
              <w:t xml:space="preserve"> </w:t>
            </w:r>
            <w:r w:rsidRPr="005B2FC3">
              <w:rPr>
                <w:rFonts w:ascii="Calibri" w:hAnsi="Calibri" w:cs="Calibri"/>
                <w:sz w:val="20"/>
                <w:szCs w:val="20"/>
              </w:rPr>
              <w:t>Rank</w:t>
            </w:r>
          </w:p>
        </w:tc>
        <w:tc>
          <w:tcPr>
            <w:tcW w:w="7617" w:type="dxa"/>
            <w:gridSpan w:val="11"/>
            <w:tcBorders>
              <w:top w:val="single" w:sz="2" w:space="0" w:color="000000"/>
              <w:left w:val="single" w:sz="2" w:space="0" w:color="000000"/>
              <w:bottom w:val="single" w:sz="2" w:space="0" w:color="000000"/>
              <w:right w:val="single" w:sz="6" w:space="0" w:color="000000"/>
            </w:tcBorders>
          </w:tcPr>
          <w:p w:rsidR="00FB7B89" w:rsidRPr="005B2FC3" w:rsidRDefault="00FB7B89" w:rsidP="00D57C0F">
            <w:pPr>
              <w:kinsoku w:val="0"/>
              <w:overflowPunct w:val="0"/>
              <w:autoSpaceDE w:val="0"/>
              <w:autoSpaceDN w:val="0"/>
              <w:adjustRightInd w:val="0"/>
              <w:spacing w:after="0" w:line="242" w:lineRule="exact"/>
              <w:ind w:left="2"/>
              <w:jc w:val="center"/>
              <w:rPr>
                <w:rFonts w:ascii="Times New Roman" w:hAnsi="Times New Roman" w:cs="Times New Roman"/>
                <w:sz w:val="24"/>
                <w:szCs w:val="24"/>
              </w:rPr>
            </w:pPr>
            <w:r w:rsidRPr="005B2FC3">
              <w:rPr>
                <w:rFonts w:ascii="Calibri" w:hAnsi="Calibri" w:cs="Calibri"/>
                <w:spacing w:val="-1"/>
                <w:sz w:val="20"/>
                <w:szCs w:val="20"/>
              </w:rPr>
              <w:t>Risk</w:t>
            </w:r>
            <w:r w:rsidRPr="005B2FC3">
              <w:rPr>
                <w:rFonts w:ascii="Calibri" w:hAnsi="Calibri" w:cs="Calibri"/>
                <w:spacing w:val="-7"/>
                <w:sz w:val="20"/>
                <w:szCs w:val="20"/>
              </w:rPr>
              <w:t xml:space="preserve"> </w:t>
            </w:r>
            <w:r w:rsidRPr="005B2FC3">
              <w:rPr>
                <w:rFonts w:ascii="Calibri" w:hAnsi="Calibri" w:cs="Calibri"/>
                <w:spacing w:val="-1"/>
                <w:sz w:val="20"/>
                <w:szCs w:val="20"/>
              </w:rPr>
              <w:t>Adjusted</w:t>
            </w:r>
            <w:r w:rsidRPr="005B2FC3">
              <w:rPr>
                <w:rFonts w:ascii="Calibri" w:hAnsi="Calibri" w:cs="Calibri"/>
                <w:spacing w:val="-7"/>
                <w:sz w:val="20"/>
                <w:szCs w:val="20"/>
              </w:rPr>
              <w:t xml:space="preserve"> </w:t>
            </w:r>
            <w:r w:rsidRPr="005B2FC3">
              <w:rPr>
                <w:rFonts w:ascii="Calibri" w:hAnsi="Calibri" w:cs="Calibri"/>
                <w:sz w:val="20"/>
                <w:szCs w:val="20"/>
              </w:rPr>
              <w:t>Decile</w:t>
            </w:r>
            <w:r w:rsidRPr="005B2FC3">
              <w:rPr>
                <w:rFonts w:ascii="Calibri" w:hAnsi="Calibri" w:cs="Calibri"/>
                <w:spacing w:val="-7"/>
                <w:sz w:val="20"/>
                <w:szCs w:val="20"/>
              </w:rPr>
              <w:t xml:space="preserve"> </w:t>
            </w:r>
            <w:r w:rsidRPr="005B2FC3">
              <w:rPr>
                <w:rFonts w:ascii="Calibri" w:hAnsi="Calibri" w:cs="Calibri"/>
                <w:sz w:val="20"/>
                <w:szCs w:val="20"/>
              </w:rPr>
              <w:t>Rank</w:t>
            </w:r>
          </w:p>
        </w:tc>
      </w:tr>
      <w:tr w:rsidR="00FB7B89" w:rsidRPr="005B2FC3" w:rsidTr="00D57C0F">
        <w:trPr>
          <w:trHeight w:hRule="exact" w:val="492"/>
        </w:trPr>
        <w:tc>
          <w:tcPr>
            <w:tcW w:w="1745" w:type="dxa"/>
            <w:vMerge/>
            <w:tcBorders>
              <w:top w:val="single" w:sz="2" w:space="0" w:color="000000"/>
              <w:left w:val="single" w:sz="6"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2" w:lineRule="exact"/>
              <w:ind w:left="2"/>
              <w:jc w:val="center"/>
              <w:rPr>
                <w:rFonts w:ascii="Times New Roman" w:hAnsi="Times New Roman" w:cs="Times New Roman"/>
                <w:sz w:val="24"/>
                <w:szCs w:val="24"/>
              </w:rPr>
            </w:pPr>
          </w:p>
        </w:tc>
        <w:tc>
          <w:tcPr>
            <w:tcW w:w="691"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ind w:left="181"/>
              <w:rPr>
                <w:rFonts w:ascii="Calibri" w:hAnsi="Calibri" w:cs="Calibri"/>
                <w:sz w:val="20"/>
                <w:szCs w:val="20"/>
              </w:rPr>
            </w:pPr>
            <w:r w:rsidRPr="005B2FC3">
              <w:rPr>
                <w:rFonts w:ascii="Calibri" w:hAnsi="Calibri" w:cs="Calibri"/>
                <w:sz w:val="20"/>
                <w:szCs w:val="20"/>
              </w:rPr>
              <w:t>0</w:t>
            </w:r>
            <w:r w:rsidRPr="005B2FC3">
              <w:rPr>
                <w:rFonts w:ascii="Calibri" w:hAnsi="Calibri" w:cs="Calibri"/>
                <w:spacing w:val="-4"/>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left="169"/>
              <w:rPr>
                <w:rFonts w:ascii="Times New Roman" w:hAnsi="Times New Roman" w:cs="Times New Roman"/>
                <w:sz w:val="24"/>
                <w:szCs w:val="24"/>
              </w:rPr>
            </w:pPr>
            <w:r w:rsidRPr="005B2FC3">
              <w:rPr>
                <w:rFonts w:ascii="Calibri" w:hAnsi="Calibri" w:cs="Calibri"/>
                <w:spacing w:val="-1"/>
                <w:sz w:val="20"/>
                <w:szCs w:val="20"/>
              </w:rPr>
              <w:t>10%</w:t>
            </w:r>
          </w:p>
        </w:tc>
        <w:tc>
          <w:tcPr>
            <w:tcW w:w="692"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10%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right="1"/>
              <w:jc w:val="center"/>
              <w:rPr>
                <w:rFonts w:ascii="Times New Roman" w:hAnsi="Times New Roman" w:cs="Times New Roman"/>
                <w:sz w:val="24"/>
                <w:szCs w:val="24"/>
              </w:rPr>
            </w:pPr>
            <w:r w:rsidRPr="005B2FC3">
              <w:rPr>
                <w:rFonts w:ascii="Calibri" w:hAnsi="Calibri" w:cs="Calibri"/>
                <w:spacing w:val="-1"/>
                <w:sz w:val="20"/>
                <w:szCs w:val="20"/>
              </w:rPr>
              <w:t>20%</w:t>
            </w:r>
          </w:p>
        </w:tc>
        <w:tc>
          <w:tcPr>
            <w:tcW w:w="691"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jc w:val="center"/>
              <w:rPr>
                <w:rFonts w:ascii="Calibri" w:hAnsi="Calibri" w:cs="Calibri"/>
                <w:sz w:val="20"/>
                <w:szCs w:val="20"/>
              </w:rPr>
            </w:pPr>
            <w:r w:rsidRPr="005B2FC3">
              <w:rPr>
                <w:rFonts w:ascii="Calibri" w:hAnsi="Calibri" w:cs="Calibri"/>
                <w:sz w:val="20"/>
                <w:szCs w:val="20"/>
              </w:rPr>
              <w:t>20%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right="1"/>
              <w:jc w:val="center"/>
              <w:rPr>
                <w:rFonts w:ascii="Times New Roman" w:hAnsi="Times New Roman" w:cs="Times New Roman"/>
                <w:sz w:val="24"/>
                <w:szCs w:val="24"/>
              </w:rPr>
            </w:pPr>
            <w:r w:rsidRPr="005B2FC3">
              <w:rPr>
                <w:rFonts w:ascii="Calibri" w:hAnsi="Calibri" w:cs="Calibri"/>
                <w:spacing w:val="-1"/>
                <w:sz w:val="20"/>
                <w:szCs w:val="20"/>
              </w:rPr>
              <w:t>30%</w:t>
            </w:r>
          </w:p>
        </w:tc>
        <w:tc>
          <w:tcPr>
            <w:tcW w:w="694"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30%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right="2"/>
              <w:jc w:val="center"/>
              <w:rPr>
                <w:rFonts w:ascii="Times New Roman" w:hAnsi="Times New Roman" w:cs="Times New Roman"/>
                <w:sz w:val="24"/>
                <w:szCs w:val="24"/>
              </w:rPr>
            </w:pPr>
            <w:r w:rsidRPr="005B2FC3">
              <w:rPr>
                <w:rFonts w:ascii="Calibri" w:hAnsi="Calibri" w:cs="Calibri"/>
                <w:spacing w:val="-1"/>
                <w:sz w:val="20"/>
                <w:szCs w:val="20"/>
              </w:rPr>
              <w:t>40%</w:t>
            </w:r>
          </w:p>
        </w:tc>
        <w:tc>
          <w:tcPr>
            <w:tcW w:w="691"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40%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jc w:val="center"/>
              <w:rPr>
                <w:rFonts w:ascii="Times New Roman" w:hAnsi="Times New Roman" w:cs="Times New Roman"/>
                <w:sz w:val="24"/>
                <w:szCs w:val="24"/>
              </w:rPr>
            </w:pPr>
            <w:r w:rsidRPr="005B2FC3">
              <w:rPr>
                <w:rFonts w:ascii="Calibri" w:hAnsi="Calibri" w:cs="Calibri"/>
                <w:spacing w:val="-1"/>
                <w:sz w:val="20"/>
                <w:szCs w:val="20"/>
              </w:rPr>
              <w:t>50%</w:t>
            </w:r>
          </w:p>
        </w:tc>
        <w:tc>
          <w:tcPr>
            <w:tcW w:w="694"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50%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right="2"/>
              <w:jc w:val="center"/>
              <w:rPr>
                <w:rFonts w:ascii="Times New Roman" w:hAnsi="Times New Roman" w:cs="Times New Roman"/>
                <w:sz w:val="24"/>
                <w:szCs w:val="24"/>
              </w:rPr>
            </w:pPr>
            <w:r w:rsidRPr="005B2FC3">
              <w:rPr>
                <w:rFonts w:ascii="Calibri" w:hAnsi="Calibri" w:cs="Calibri"/>
                <w:spacing w:val="-1"/>
                <w:sz w:val="20"/>
                <w:szCs w:val="20"/>
              </w:rPr>
              <w:t>60%</w:t>
            </w:r>
          </w:p>
        </w:tc>
        <w:tc>
          <w:tcPr>
            <w:tcW w:w="691"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jc w:val="center"/>
              <w:rPr>
                <w:rFonts w:ascii="Calibri" w:hAnsi="Calibri" w:cs="Calibri"/>
                <w:sz w:val="20"/>
                <w:szCs w:val="20"/>
              </w:rPr>
            </w:pPr>
            <w:r w:rsidRPr="005B2FC3">
              <w:rPr>
                <w:rFonts w:ascii="Calibri" w:hAnsi="Calibri" w:cs="Calibri"/>
                <w:sz w:val="20"/>
                <w:szCs w:val="20"/>
              </w:rPr>
              <w:t>60%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right="1"/>
              <w:jc w:val="center"/>
              <w:rPr>
                <w:rFonts w:ascii="Times New Roman" w:hAnsi="Times New Roman" w:cs="Times New Roman"/>
                <w:sz w:val="24"/>
                <w:szCs w:val="24"/>
              </w:rPr>
            </w:pPr>
            <w:r w:rsidRPr="005B2FC3">
              <w:rPr>
                <w:rFonts w:ascii="Calibri" w:hAnsi="Calibri" w:cs="Calibri"/>
                <w:spacing w:val="-1"/>
                <w:sz w:val="20"/>
                <w:szCs w:val="20"/>
              </w:rPr>
              <w:t>70%</w:t>
            </w:r>
          </w:p>
        </w:tc>
        <w:tc>
          <w:tcPr>
            <w:tcW w:w="694"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70%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right="2"/>
              <w:jc w:val="center"/>
              <w:rPr>
                <w:rFonts w:ascii="Times New Roman" w:hAnsi="Times New Roman" w:cs="Times New Roman"/>
                <w:sz w:val="24"/>
                <w:szCs w:val="24"/>
              </w:rPr>
            </w:pPr>
            <w:r w:rsidRPr="005B2FC3">
              <w:rPr>
                <w:rFonts w:ascii="Calibri" w:hAnsi="Calibri" w:cs="Calibri"/>
                <w:spacing w:val="-1"/>
                <w:sz w:val="20"/>
                <w:szCs w:val="20"/>
              </w:rPr>
              <w:t>80%</w:t>
            </w:r>
          </w:p>
        </w:tc>
        <w:tc>
          <w:tcPr>
            <w:tcW w:w="694"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ind w:right="1"/>
              <w:jc w:val="center"/>
              <w:rPr>
                <w:rFonts w:ascii="Calibri" w:hAnsi="Calibri" w:cs="Calibri"/>
                <w:sz w:val="20"/>
                <w:szCs w:val="20"/>
              </w:rPr>
            </w:pPr>
            <w:r w:rsidRPr="005B2FC3">
              <w:rPr>
                <w:rFonts w:ascii="Calibri" w:hAnsi="Calibri" w:cs="Calibri"/>
                <w:sz w:val="20"/>
                <w:szCs w:val="20"/>
              </w:rPr>
              <w:t>80%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right="2"/>
              <w:jc w:val="center"/>
              <w:rPr>
                <w:rFonts w:ascii="Times New Roman" w:hAnsi="Times New Roman" w:cs="Times New Roman"/>
                <w:sz w:val="24"/>
                <w:szCs w:val="24"/>
              </w:rPr>
            </w:pPr>
            <w:r w:rsidRPr="005B2FC3">
              <w:rPr>
                <w:rFonts w:ascii="Calibri" w:hAnsi="Calibri" w:cs="Calibri"/>
                <w:spacing w:val="-1"/>
                <w:sz w:val="20"/>
                <w:szCs w:val="20"/>
              </w:rPr>
              <w:t>90%</w:t>
            </w:r>
          </w:p>
        </w:tc>
        <w:tc>
          <w:tcPr>
            <w:tcW w:w="691" w:type="dxa"/>
            <w:tcBorders>
              <w:top w:val="single" w:sz="2" w:space="0" w:color="000000"/>
              <w:left w:val="single" w:sz="2" w:space="0" w:color="000000"/>
              <w:bottom w:val="single" w:sz="2" w:space="0" w:color="000000"/>
              <w:right w:val="single" w:sz="2" w:space="0" w:color="000000"/>
            </w:tcBorders>
          </w:tcPr>
          <w:p w:rsidR="00FB7B89" w:rsidRPr="005B2FC3" w:rsidRDefault="00FB7B89" w:rsidP="00D57C0F">
            <w:pPr>
              <w:kinsoku w:val="0"/>
              <w:overflowPunct w:val="0"/>
              <w:autoSpaceDE w:val="0"/>
              <w:autoSpaceDN w:val="0"/>
              <w:adjustRightInd w:val="0"/>
              <w:spacing w:after="0" w:line="241" w:lineRule="exact"/>
              <w:ind w:left="59"/>
              <w:rPr>
                <w:rFonts w:ascii="Calibri" w:hAnsi="Calibri" w:cs="Calibri"/>
                <w:sz w:val="20"/>
                <w:szCs w:val="20"/>
              </w:rPr>
            </w:pPr>
            <w:r w:rsidRPr="005B2FC3">
              <w:rPr>
                <w:rFonts w:ascii="Calibri" w:hAnsi="Calibri" w:cs="Calibri"/>
                <w:sz w:val="20"/>
                <w:szCs w:val="20"/>
              </w:rPr>
              <w:t>90%</w:t>
            </w:r>
            <w:r w:rsidRPr="005B2FC3">
              <w:rPr>
                <w:rFonts w:ascii="Calibri" w:hAnsi="Calibri" w:cs="Calibri"/>
                <w:spacing w:val="-8"/>
                <w:sz w:val="20"/>
                <w:szCs w:val="20"/>
              </w:rPr>
              <w:t xml:space="preserve"> </w:t>
            </w:r>
            <w:r w:rsidRPr="005B2FC3">
              <w:rPr>
                <w:rFonts w:ascii="Calibri" w:hAnsi="Calibri" w:cs="Calibri"/>
                <w:sz w:val="20"/>
                <w:szCs w:val="20"/>
              </w:rPr>
              <w:t>to</w:t>
            </w:r>
          </w:p>
          <w:p w:rsidR="00FB7B89" w:rsidRPr="005B2FC3" w:rsidRDefault="00FB7B89" w:rsidP="00D57C0F">
            <w:pPr>
              <w:kinsoku w:val="0"/>
              <w:overflowPunct w:val="0"/>
              <w:autoSpaceDE w:val="0"/>
              <w:autoSpaceDN w:val="0"/>
              <w:adjustRightInd w:val="0"/>
              <w:spacing w:after="0" w:line="243" w:lineRule="exact"/>
              <w:ind w:left="116"/>
              <w:rPr>
                <w:rFonts w:ascii="Times New Roman" w:hAnsi="Times New Roman" w:cs="Times New Roman"/>
                <w:sz w:val="24"/>
                <w:szCs w:val="24"/>
              </w:rPr>
            </w:pPr>
            <w:r w:rsidRPr="005B2FC3">
              <w:rPr>
                <w:rFonts w:ascii="Calibri" w:hAnsi="Calibri" w:cs="Calibri"/>
                <w:spacing w:val="-1"/>
                <w:sz w:val="20"/>
                <w:szCs w:val="20"/>
              </w:rPr>
              <w:t>100%</w:t>
            </w:r>
          </w:p>
        </w:tc>
        <w:tc>
          <w:tcPr>
            <w:tcW w:w="694" w:type="dxa"/>
            <w:tcBorders>
              <w:top w:val="single" w:sz="2" w:space="0" w:color="000000"/>
              <w:left w:val="single" w:sz="2" w:space="0" w:color="000000"/>
              <w:bottom w:val="single" w:sz="2" w:space="0" w:color="000000"/>
              <w:right w:val="single" w:sz="6" w:space="0" w:color="000000"/>
            </w:tcBorders>
          </w:tcPr>
          <w:p w:rsidR="00FB7B89" w:rsidRPr="005B2FC3" w:rsidRDefault="00FB7B89" w:rsidP="00D57C0F">
            <w:pPr>
              <w:kinsoku w:val="0"/>
              <w:overflowPunct w:val="0"/>
              <w:autoSpaceDE w:val="0"/>
              <w:autoSpaceDN w:val="0"/>
              <w:adjustRightInd w:val="0"/>
              <w:spacing w:before="118" w:after="0" w:line="240" w:lineRule="auto"/>
              <w:ind w:left="135"/>
              <w:rPr>
                <w:rFonts w:ascii="Times New Roman" w:hAnsi="Times New Roman" w:cs="Times New Roman"/>
                <w:sz w:val="24"/>
                <w:szCs w:val="24"/>
              </w:rPr>
            </w:pPr>
            <w:r w:rsidRPr="005B2FC3">
              <w:rPr>
                <w:rFonts w:ascii="Calibri" w:hAnsi="Calibri" w:cs="Calibri"/>
                <w:spacing w:val="-1"/>
                <w:sz w:val="20"/>
                <w:szCs w:val="20"/>
              </w:rPr>
              <w:t>Total</w:t>
            </w:r>
          </w:p>
        </w:tc>
      </w:tr>
      <w:tr w:rsidR="005B2FC3" w:rsidRPr="005B2FC3" w:rsidTr="00FB7B89">
        <w:trPr>
          <w:trHeight w:hRule="exact" w:val="466"/>
        </w:trPr>
        <w:tc>
          <w:tcPr>
            <w:tcW w:w="1745" w:type="dxa"/>
            <w:tcBorders>
              <w:top w:val="single" w:sz="2" w:space="0" w:color="000000"/>
              <w:left w:val="single" w:sz="6"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before="106" w:after="0" w:line="240" w:lineRule="auto"/>
              <w:ind w:left="385"/>
              <w:rPr>
                <w:rFonts w:ascii="Times New Roman" w:hAnsi="Times New Roman" w:cs="Times New Roman"/>
                <w:sz w:val="24"/>
                <w:szCs w:val="24"/>
              </w:rPr>
            </w:pPr>
            <w:r w:rsidRPr="005B2FC3">
              <w:rPr>
                <w:rFonts w:ascii="Calibri" w:hAnsi="Calibri" w:cs="Calibri"/>
                <w:sz w:val="20"/>
                <w:szCs w:val="20"/>
              </w:rPr>
              <w:t>60%</w:t>
            </w:r>
            <w:r w:rsidRPr="005B2FC3">
              <w:rPr>
                <w:rFonts w:ascii="Calibri" w:hAnsi="Calibri" w:cs="Calibri"/>
                <w:spacing w:val="-7"/>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70%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8"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5B2FC3">
              <w:rPr>
                <w:rFonts w:ascii="Arial" w:hAnsi="Arial" w:cs="Arial"/>
                <w:spacing w:val="-1"/>
                <w:sz w:val="20"/>
                <w:szCs w:val="20"/>
              </w:rPr>
              <w:t>0.00</w:t>
            </w:r>
          </w:p>
        </w:tc>
        <w:tc>
          <w:tcPr>
            <w:tcW w:w="692"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8"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ind w:right="1"/>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8"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after="0" w:line="228" w:lineRule="exact"/>
              <w:ind w:left="26"/>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29" w:lineRule="exact"/>
              <w:ind w:left="23"/>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5"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8" w:lineRule="exact"/>
              <w:ind w:left="28"/>
              <w:jc w:val="center"/>
              <w:rPr>
                <w:rFonts w:ascii="Arial" w:hAnsi="Arial" w:cs="Arial"/>
                <w:sz w:val="20"/>
                <w:szCs w:val="20"/>
              </w:rPr>
            </w:pPr>
            <w:r w:rsidRPr="005B2FC3">
              <w:rPr>
                <w:rFonts w:ascii="Arial" w:hAnsi="Arial" w:cs="Arial"/>
                <w:sz w:val="20"/>
                <w:szCs w:val="20"/>
              </w:rPr>
              <w:t>1</w:t>
            </w:r>
          </w:p>
          <w:p w:rsidR="005B2FC3" w:rsidRPr="005B2FC3" w:rsidRDefault="005B2FC3" w:rsidP="005B2FC3">
            <w:pPr>
              <w:kinsoku w:val="0"/>
              <w:overflowPunct w:val="0"/>
              <w:autoSpaceDE w:val="0"/>
              <w:autoSpaceDN w:val="0"/>
              <w:adjustRightInd w:val="0"/>
              <w:spacing w:after="0" w:line="229" w:lineRule="exact"/>
              <w:ind w:left="26"/>
              <w:jc w:val="center"/>
              <w:rPr>
                <w:rFonts w:ascii="Times New Roman" w:hAnsi="Times New Roman" w:cs="Times New Roman"/>
                <w:sz w:val="24"/>
                <w:szCs w:val="24"/>
              </w:rPr>
            </w:pPr>
            <w:r w:rsidRPr="005B2FC3">
              <w:rPr>
                <w:rFonts w:ascii="Arial" w:hAnsi="Arial" w:cs="Arial"/>
                <w:spacing w:val="-1"/>
                <w:sz w:val="20"/>
                <w:szCs w:val="20"/>
              </w:rPr>
              <w:t>3.85</w:t>
            </w:r>
          </w:p>
        </w:tc>
        <w:tc>
          <w:tcPr>
            <w:tcW w:w="694"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8" w:lineRule="exact"/>
              <w:jc w:val="center"/>
              <w:rPr>
                <w:rFonts w:ascii="Arial" w:hAnsi="Arial" w:cs="Arial"/>
                <w:sz w:val="20"/>
                <w:szCs w:val="20"/>
              </w:rPr>
            </w:pPr>
            <w:r w:rsidRPr="005B2FC3">
              <w:rPr>
                <w:rFonts w:ascii="Arial" w:hAnsi="Arial" w:cs="Arial"/>
                <w:sz w:val="20"/>
                <w:szCs w:val="20"/>
              </w:rPr>
              <w:t>6</w:t>
            </w:r>
          </w:p>
          <w:p w:rsidR="005B2FC3" w:rsidRPr="005B2FC3" w:rsidRDefault="005B2FC3" w:rsidP="005B2FC3">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5B2FC3">
              <w:rPr>
                <w:rFonts w:ascii="Arial" w:hAnsi="Arial" w:cs="Arial"/>
                <w:sz w:val="20"/>
                <w:szCs w:val="20"/>
              </w:rPr>
              <w:t>23.08</w:t>
            </w:r>
          </w:p>
        </w:tc>
        <w:tc>
          <w:tcPr>
            <w:tcW w:w="691" w:type="dxa"/>
            <w:tcBorders>
              <w:top w:val="single" w:sz="2" w:space="0" w:color="000000"/>
              <w:left w:val="single" w:sz="48" w:space="0" w:color="E4B8B7"/>
              <w:bottom w:val="single" w:sz="2" w:space="0" w:color="000000"/>
              <w:right w:val="single" w:sz="48" w:space="0" w:color="D9D9D9"/>
            </w:tcBorders>
            <w:shd w:val="clear" w:color="auto" w:fill="D9D9D9"/>
          </w:tcPr>
          <w:p w:rsidR="005B2FC3" w:rsidRPr="005B2FC3" w:rsidRDefault="005B2FC3" w:rsidP="005B2FC3">
            <w:pPr>
              <w:kinsoku w:val="0"/>
              <w:overflowPunct w:val="0"/>
              <w:autoSpaceDE w:val="0"/>
              <w:autoSpaceDN w:val="0"/>
              <w:adjustRightInd w:val="0"/>
              <w:spacing w:after="0" w:line="228" w:lineRule="exact"/>
              <w:ind w:right="2"/>
              <w:jc w:val="center"/>
              <w:rPr>
                <w:rFonts w:ascii="Arial" w:hAnsi="Arial" w:cs="Arial"/>
                <w:sz w:val="20"/>
                <w:szCs w:val="20"/>
              </w:rPr>
            </w:pPr>
            <w:r w:rsidRPr="005B2FC3">
              <w:rPr>
                <w:rFonts w:ascii="Arial" w:hAnsi="Arial" w:cs="Arial"/>
                <w:spacing w:val="-1"/>
                <w:sz w:val="20"/>
                <w:szCs w:val="20"/>
              </w:rPr>
              <w:t>10</w:t>
            </w:r>
          </w:p>
          <w:p w:rsidR="005B2FC3" w:rsidRPr="005B2FC3" w:rsidRDefault="005B2FC3" w:rsidP="005B2FC3">
            <w:pPr>
              <w:kinsoku w:val="0"/>
              <w:overflowPunct w:val="0"/>
              <w:autoSpaceDE w:val="0"/>
              <w:autoSpaceDN w:val="0"/>
              <w:adjustRightInd w:val="0"/>
              <w:spacing w:after="0" w:line="229" w:lineRule="exact"/>
              <w:ind w:right="2"/>
              <w:jc w:val="center"/>
              <w:rPr>
                <w:rFonts w:ascii="Times New Roman" w:hAnsi="Times New Roman" w:cs="Times New Roman"/>
                <w:sz w:val="24"/>
                <w:szCs w:val="24"/>
              </w:rPr>
            </w:pPr>
            <w:r w:rsidRPr="005B2FC3">
              <w:rPr>
                <w:rFonts w:ascii="Arial" w:hAnsi="Arial" w:cs="Arial"/>
                <w:sz w:val="20"/>
                <w:szCs w:val="20"/>
              </w:rPr>
              <w:t>38.46</w:t>
            </w:r>
          </w:p>
        </w:tc>
        <w:tc>
          <w:tcPr>
            <w:tcW w:w="694" w:type="dxa"/>
            <w:tcBorders>
              <w:top w:val="single" w:sz="2" w:space="0" w:color="000000"/>
              <w:left w:val="single" w:sz="48" w:space="0" w:color="D9D9D9"/>
              <w:bottom w:val="single" w:sz="2" w:space="0" w:color="000000"/>
              <w:right w:val="single" w:sz="48" w:space="0" w:color="B8CCE3"/>
            </w:tcBorders>
            <w:shd w:val="clear" w:color="auto" w:fill="B8CCE3"/>
          </w:tcPr>
          <w:p w:rsidR="005B2FC3" w:rsidRPr="005B2FC3" w:rsidRDefault="005B2FC3" w:rsidP="005B2FC3">
            <w:pPr>
              <w:kinsoku w:val="0"/>
              <w:overflowPunct w:val="0"/>
              <w:autoSpaceDE w:val="0"/>
              <w:autoSpaceDN w:val="0"/>
              <w:adjustRightInd w:val="0"/>
              <w:spacing w:after="0" w:line="228" w:lineRule="exact"/>
              <w:jc w:val="center"/>
              <w:rPr>
                <w:rFonts w:ascii="Arial" w:hAnsi="Arial" w:cs="Arial"/>
                <w:sz w:val="20"/>
                <w:szCs w:val="20"/>
              </w:rPr>
            </w:pPr>
            <w:r w:rsidRPr="005B2FC3">
              <w:rPr>
                <w:rFonts w:ascii="Arial" w:hAnsi="Arial" w:cs="Arial"/>
                <w:sz w:val="20"/>
                <w:szCs w:val="20"/>
              </w:rPr>
              <w:t>7</w:t>
            </w:r>
          </w:p>
          <w:p w:rsidR="005B2FC3" w:rsidRPr="005B2FC3" w:rsidRDefault="005B2FC3" w:rsidP="005B2FC3">
            <w:pPr>
              <w:kinsoku w:val="0"/>
              <w:overflowPunct w:val="0"/>
              <w:autoSpaceDE w:val="0"/>
              <w:autoSpaceDN w:val="0"/>
              <w:adjustRightInd w:val="0"/>
              <w:spacing w:after="0" w:line="229" w:lineRule="exact"/>
              <w:jc w:val="center"/>
              <w:rPr>
                <w:rFonts w:ascii="Times New Roman" w:hAnsi="Times New Roman" w:cs="Times New Roman"/>
                <w:sz w:val="24"/>
                <w:szCs w:val="24"/>
              </w:rPr>
            </w:pPr>
            <w:r w:rsidRPr="005B2FC3">
              <w:rPr>
                <w:rFonts w:ascii="Arial" w:hAnsi="Arial" w:cs="Arial"/>
                <w:sz w:val="20"/>
                <w:szCs w:val="20"/>
              </w:rPr>
              <w:t>26.92</w:t>
            </w:r>
          </w:p>
        </w:tc>
        <w:tc>
          <w:tcPr>
            <w:tcW w:w="694" w:type="dxa"/>
            <w:tcBorders>
              <w:top w:val="single" w:sz="2" w:space="0" w:color="000000"/>
              <w:left w:val="single" w:sz="48" w:space="0" w:color="B8CCE3"/>
              <w:bottom w:val="single" w:sz="2" w:space="0" w:color="000000"/>
              <w:right w:val="single" w:sz="48" w:space="0" w:color="B8CCE3"/>
            </w:tcBorders>
            <w:shd w:val="clear" w:color="auto" w:fill="B8CCE3"/>
          </w:tcPr>
          <w:p w:rsidR="005B2FC3" w:rsidRPr="005B2FC3" w:rsidRDefault="005B2FC3" w:rsidP="005B2FC3">
            <w:pPr>
              <w:kinsoku w:val="0"/>
              <w:overflowPunct w:val="0"/>
              <w:autoSpaceDE w:val="0"/>
              <w:autoSpaceDN w:val="0"/>
              <w:adjustRightInd w:val="0"/>
              <w:spacing w:after="0" w:line="228" w:lineRule="exact"/>
              <w:ind w:right="1"/>
              <w:jc w:val="center"/>
              <w:rPr>
                <w:rFonts w:ascii="Arial" w:hAnsi="Arial" w:cs="Arial"/>
                <w:sz w:val="20"/>
                <w:szCs w:val="20"/>
              </w:rPr>
            </w:pPr>
            <w:r w:rsidRPr="005B2FC3">
              <w:rPr>
                <w:rFonts w:ascii="Arial" w:hAnsi="Arial" w:cs="Arial"/>
                <w:sz w:val="20"/>
                <w:szCs w:val="20"/>
              </w:rPr>
              <w:t>1</w:t>
            </w:r>
          </w:p>
          <w:p w:rsidR="005B2FC3" w:rsidRPr="005B2FC3" w:rsidRDefault="005B2FC3" w:rsidP="005B2FC3">
            <w:pPr>
              <w:kinsoku w:val="0"/>
              <w:overflowPunct w:val="0"/>
              <w:autoSpaceDE w:val="0"/>
              <w:autoSpaceDN w:val="0"/>
              <w:adjustRightInd w:val="0"/>
              <w:spacing w:after="0" w:line="229" w:lineRule="exact"/>
              <w:ind w:right="4"/>
              <w:jc w:val="center"/>
              <w:rPr>
                <w:rFonts w:ascii="Times New Roman" w:hAnsi="Times New Roman" w:cs="Times New Roman"/>
                <w:sz w:val="24"/>
                <w:szCs w:val="24"/>
              </w:rPr>
            </w:pPr>
            <w:r w:rsidRPr="005B2FC3">
              <w:rPr>
                <w:rFonts w:ascii="Arial" w:hAnsi="Arial" w:cs="Arial"/>
                <w:spacing w:val="-1"/>
                <w:sz w:val="20"/>
                <w:szCs w:val="20"/>
              </w:rPr>
              <w:t>3.85</w:t>
            </w:r>
          </w:p>
        </w:tc>
        <w:tc>
          <w:tcPr>
            <w:tcW w:w="691" w:type="dxa"/>
            <w:tcBorders>
              <w:top w:val="single" w:sz="2" w:space="0" w:color="000000"/>
              <w:left w:val="single" w:sz="48" w:space="0" w:color="B8CCE3"/>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8" w:lineRule="exact"/>
              <w:ind w:right="30"/>
              <w:jc w:val="center"/>
              <w:rPr>
                <w:rFonts w:ascii="Arial" w:hAnsi="Arial" w:cs="Arial"/>
                <w:sz w:val="20"/>
                <w:szCs w:val="20"/>
              </w:rPr>
            </w:pPr>
            <w:r w:rsidRPr="005B2FC3">
              <w:rPr>
                <w:rFonts w:ascii="Arial" w:hAnsi="Arial" w:cs="Arial"/>
                <w:sz w:val="20"/>
                <w:szCs w:val="20"/>
              </w:rPr>
              <w:t>1</w:t>
            </w:r>
          </w:p>
          <w:p w:rsidR="005B2FC3" w:rsidRPr="005B2FC3" w:rsidRDefault="005B2FC3" w:rsidP="005B2FC3">
            <w:pPr>
              <w:kinsoku w:val="0"/>
              <w:overflowPunct w:val="0"/>
              <w:autoSpaceDE w:val="0"/>
              <w:autoSpaceDN w:val="0"/>
              <w:adjustRightInd w:val="0"/>
              <w:spacing w:after="0" w:line="229" w:lineRule="exact"/>
              <w:ind w:right="34"/>
              <w:jc w:val="center"/>
              <w:rPr>
                <w:rFonts w:ascii="Times New Roman" w:hAnsi="Times New Roman" w:cs="Times New Roman"/>
                <w:sz w:val="24"/>
                <w:szCs w:val="24"/>
              </w:rPr>
            </w:pPr>
            <w:r w:rsidRPr="005B2FC3">
              <w:rPr>
                <w:rFonts w:ascii="Arial" w:hAnsi="Arial" w:cs="Arial"/>
                <w:spacing w:val="-1"/>
                <w:sz w:val="20"/>
                <w:szCs w:val="20"/>
              </w:rPr>
              <w:t>3.85</w:t>
            </w:r>
          </w:p>
        </w:tc>
        <w:tc>
          <w:tcPr>
            <w:tcW w:w="694" w:type="dxa"/>
            <w:tcBorders>
              <w:top w:val="single" w:sz="2" w:space="0" w:color="000000"/>
              <w:left w:val="single" w:sz="25" w:space="0" w:color="B8CCE3"/>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9" w:lineRule="exact"/>
              <w:ind w:left="203"/>
              <w:rPr>
                <w:rFonts w:ascii="Times New Roman" w:hAnsi="Times New Roman" w:cs="Times New Roman"/>
                <w:sz w:val="24"/>
                <w:szCs w:val="24"/>
              </w:rPr>
            </w:pPr>
            <w:r w:rsidRPr="005B2FC3">
              <w:rPr>
                <w:rFonts w:ascii="Arial" w:hAnsi="Arial" w:cs="Arial"/>
                <w:spacing w:val="-1"/>
                <w:sz w:val="20"/>
                <w:szCs w:val="20"/>
              </w:rPr>
              <w:t>26</w:t>
            </w:r>
          </w:p>
        </w:tc>
      </w:tr>
      <w:tr w:rsidR="005B2FC3" w:rsidRPr="005B2FC3" w:rsidTr="00FB7B89">
        <w:trPr>
          <w:trHeight w:hRule="exact" w:val="466"/>
        </w:trPr>
        <w:tc>
          <w:tcPr>
            <w:tcW w:w="1745" w:type="dxa"/>
            <w:tcBorders>
              <w:top w:val="single" w:sz="2" w:space="0" w:color="000000"/>
              <w:left w:val="single" w:sz="6"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before="106" w:after="0" w:line="240" w:lineRule="auto"/>
              <w:ind w:left="385"/>
              <w:rPr>
                <w:rFonts w:ascii="Times New Roman" w:hAnsi="Times New Roman" w:cs="Times New Roman"/>
                <w:sz w:val="24"/>
                <w:szCs w:val="24"/>
              </w:rPr>
            </w:pPr>
            <w:r w:rsidRPr="005B2FC3">
              <w:rPr>
                <w:rFonts w:ascii="Calibri" w:hAnsi="Calibri" w:cs="Calibri"/>
                <w:sz w:val="20"/>
                <w:szCs w:val="20"/>
              </w:rPr>
              <w:t>70%</w:t>
            </w:r>
            <w:r w:rsidRPr="005B2FC3">
              <w:rPr>
                <w:rFonts w:ascii="Calibri" w:hAnsi="Calibri" w:cs="Calibri"/>
                <w:spacing w:val="-7"/>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80%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2"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after="0" w:line="226" w:lineRule="exact"/>
              <w:ind w:left="28"/>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left="25"/>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5"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ind w:left="26"/>
              <w:jc w:val="center"/>
              <w:rPr>
                <w:rFonts w:ascii="Arial" w:hAnsi="Arial" w:cs="Arial"/>
                <w:sz w:val="20"/>
                <w:szCs w:val="20"/>
              </w:rPr>
            </w:pPr>
            <w:r w:rsidRPr="005B2FC3">
              <w:rPr>
                <w:rFonts w:ascii="Arial" w:hAnsi="Arial" w:cs="Arial"/>
                <w:sz w:val="20"/>
                <w:szCs w:val="20"/>
              </w:rPr>
              <w:t>2</w:t>
            </w:r>
          </w:p>
          <w:p w:rsidR="005B2FC3" w:rsidRPr="005B2FC3" w:rsidRDefault="005B2FC3" w:rsidP="005B2FC3">
            <w:pPr>
              <w:kinsoku w:val="0"/>
              <w:overflowPunct w:val="0"/>
              <w:autoSpaceDE w:val="0"/>
              <w:autoSpaceDN w:val="0"/>
              <w:adjustRightInd w:val="0"/>
              <w:spacing w:after="0" w:line="240" w:lineRule="auto"/>
              <w:ind w:left="23"/>
              <w:jc w:val="center"/>
              <w:rPr>
                <w:rFonts w:ascii="Times New Roman" w:hAnsi="Times New Roman" w:cs="Times New Roman"/>
                <w:sz w:val="24"/>
                <w:szCs w:val="24"/>
              </w:rPr>
            </w:pPr>
            <w:r w:rsidRPr="005B2FC3">
              <w:rPr>
                <w:rFonts w:ascii="Arial" w:hAnsi="Arial" w:cs="Arial"/>
                <w:spacing w:val="-1"/>
                <w:sz w:val="20"/>
                <w:szCs w:val="20"/>
              </w:rPr>
              <w:t>7.69</w:t>
            </w:r>
          </w:p>
        </w:tc>
        <w:tc>
          <w:tcPr>
            <w:tcW w:w="691"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8</w:t>
            </w:r>
          </w:p>
          <w:p w:rsidR="005B2FC3" w:rsidRPr="005B2FC3" w:rsidRDefault="005B2FC3" w:rsidP="005B2FC3">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5B2FC3">
              <w:rPr>
                <w:rFonts w:ascii="Arial" w:hAnsi="Arial" w:cs="Arial"/>
                <w:sz w:val="20"/>
                <w:szCs w:val="20"/>
              </w:rPr>
              <w:t>30.77</w:t>
            </w:r>
          </w:p>
        </w:tc>
        <w:tc>
          <w:tcPr>
            <w:tcW w:w="694" w:type="dxa"/>
            <w:tcBorders>
              <w:top w:val="single" w:sz="2" w:space="0" w:color="000000"/>
              <w:left w:val="single" w:sz="48" w:space="0" w:color="E4B8B7"/>
              <w:bottom w:val="single" w:sz="2" w:space="0" w:color="000000"/>
              <w:right w:val="single" w:sz="48" w:space="0" w:color="D9D9D9"/>
            </w:tcBorders>
            <w:shd w:val="clear" w:color="auto" w:fill="D9D9D9"/>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pacing w:val="-1"/>
                <w:sz w:val="20"/>
                <w:szCs w:val="20"/>
              </w:rPr>
              <w:t>12</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z w:val="20"/>
                <w:szCs w:val="20"/>
              </w:rPr>
              <w:t>46.15</w:t>
            </w:r>
          </w:p>
        </w:tc>
        <w:tc>
          <w:tcPr>
            <w:tcW w:w="694" w:type="dxa"/>
            <w:tcBorders>
              <w:top w:val="single" w:sz="2" w:space="0" w:color="000000"/>
              <w:left w:val="single" w:sz="48" w:space="0" w:color="D9D9D9"/>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ind w:right="29"/>
              <w:jc w:val="center"/>
              <w:rPr>
                <w:rFonts w:ascii="Arial" w:hAnsi="Arial" w:cs="Arial"/>
                <w:sz w:val="20"/>
                <w:szCs w:val="20"/>
              </w:rPr>
            </w:pPr>
            <w:r w:rsidRPr="005B2FC3">
              <w:rPr>
                <w:rFonts w:ascii="Arial" w:hAnsi="Arial" w:cs="Arial"/>
                <w:sz w:val="20"/>
                <w:szCs w:val="20"/>
              </w:rPr>
              <w:t>4</w:t>
            </w:r>
          </w:p>
          <w:p w:rsidR="005B2FC3" w:rsidRPr="005B2FC3" w:rsidRDefault="005B2FC3" w:rsidP="005B2FC3">
            <w:pPr>
              <w:kinsoku w:val="0"/>
              <w:overflowPunct w:val="0"/>
              <w:autoSpaceDE w:val="0"/>
              <w:autoSpaceDN w:val="0"/>
              <w:adjustRightInd w:val="0"/>
              <w:spacing w:after="0" w:line="240" w:lineRule="auto"/>
              <w:ind w:right="34"/>
              <w:jc w:val="center"/>
              <w:rPr>
                <w:rFonts w:ascii="Times New Roman" w:hAnsi="Times New Roman" w:cs="Times New Roman"/>
                <w:sz w:val="24"/>
                <w:szCs w:val="24"/>
              </w:rPr>
            </w:pPr>
            <w:r w:rsidRPr="005B2FC3">
              <w:rPr>
                <w:rFonts w:ascii="Arial" w:hAnsi="Arial" w:cs="Arial"/>
                <w:sz w:val="20"/>
                <w:szCs w:val="20"/>
              </w:rPr>
              <w:t>15.38</w:t>
            </w:r>
          </w:p>
        </w:tc>
        <w:tc>
          <w:tcPr>
            <w:tcW w:w="691" w:type="dxa"/>
            <w:tcBorders>
              <w:top w:val="single" w:sz="2" w:space="0" w:color="000000"/>
              <w:left w:val="single" w:sz="25" w:space="0" w:color="B8CCE3"/>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31"/>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34"/>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2"/>
              <w:jc w:val="center"/>
              <w:rPr>
                <w:rFonts w:ascii="Times New Roman" w:hAnsi="Times New Roman" w:cs="Times New Roman"/>
                <w:sz w:val="24"/>
                <w:szCs w:val="24"/>
              </w:rPr>
            </w:pPr>
            <w:r w:rsidRPr="005B2FC3">
              <w:rPr>
                <w:rFonts w:ascii="Arial" w:hAnsi="Arial" w:cs="Arial"/>
                <w:spacing w:val="-1"/>
                <w:sz w:val="20"/>
                <w:szCs w:val="20"/>
              </w:rPr>
              <w:t>26</w:t>
            </w:r>
          </w:p>
        </w:tc>
      </w:tr>
      <w:tr w:rsidR="005B2FC3" w:rsidRPr="005B2FC3" w:rsidTr="00FB7B89">
        <w:trPr>
          <w:trHeight w:hRule="exact" w:val="466"/>
        </w:trPr>
        <w:tc>
          <w:tcPr>
            <w:tcW w:w="1745" w:type="dxa"/>
            <w:tcBorders>
              <w:top w:val="single" w:sz="2" w:space="0" w:color="000000"/>
              <w:left w:val="single" w:sz="6"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before="106" w:after="0" w:line="240" w:lineRule="auto"/>
              <w:ind w:left="385"/>
              <w:rPr>
                <w:rFonts w:ascii="Times New Roman" w:hAnsi="Times New Roman" w:cs="Times New Roman"/>
                <w:sz w:val="24"/>
                <w:szCs w:val="24"/>
              </w:rPr>
            </w:pPr>
            <w:r w:rsidRPr="005B2FC3">
              <w:rPr>
                <w:rFonts w:ascii="Calibri" w:hAnsi="Calibri" w:cs="Calibri"/>
                <w:sz w:val="20"/>
                <w:szCs w:val="20"/>
              </w:rPr>
              <w:t>80%</w:t>
            </w:r>
            <w:r w:rsidRPr="005B2FC3">
              <w:rPr>
                <w:rFonts w:ascii="Calibri" w:hAnsi="Calibri" w:cs="Calibri"/>
                <w:spacing w:val="-6"/>
                <w:sz w:val="20"/>
                <w:szCs w:val="20"/>
              </w:rPr>
              <w:t xml:space="preserve"> </w:t>
            </w:r>
            <w:r w:rsidRPr="005B2FC3">
              <w:rPr>
                <w:rFonts w:ascii="Calibri" w:hAnsi="Calibri" w:cs="Calibri"/>
                <w:sz w:val="20"/>
                <w:szCs w:val="20"/>
              </w:rPr>
              <w:t>to</w:t>
            </w:r>
            <w:r w:rsidRPr="005B2FC3">
              <w:rPr>
                <w:rFonts w:ascii="Calibri" w:hAnsi="Calibri" w:cs="Calibri"/>
                <w:spacing w:val="-4"/>
                <w:sz w:val="20"/>
                <w:szCs w:val="20"/>
              </w:rPr>
              <w:t xml:space="preserve"> </w:t>
            </w:r>
            <w:r w:rsidRPr="005B2FC3">
              <w:rPr>
                <w:rFonts w:ascii="Calibri" w:hAnsi="Calibri" w:cs="Calibri"/>
                <w:sz w:val="20"/>
                <w:szCs w:val="20"/>
              </w:rPr>
              <w:t>90%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2"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after="0" w:line="226" w:lineRule="exact"/>
              <w:ind w:left="26"/>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left="23"/>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5"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ind w:left="29"/>
              <w:jc w:val="center"/>
              <w:rPr>
                <w:rFonts w:ascii="Arial" w:hAnsi="Arial" w:cs="Arial"/>
                <w:sz w:val="20"/>
                <w:szCs w:val="20"/>
              </w:rPr>
            </w:pPr>
            <w:r w:rsidRPr="005B2FC3">
              <w:rPr>
                <w:rFonts w:ascii="Arial" w:hAnsi="Arial" w:cs="Arial"/>
                <w:sz w:val="20"/>
                <w:szCs w:val="20"/>
              </w:rPr>
              <w:t>2</w:t>
            </w:r>
          </w:p>
          <w:p w:rsidR="005B2FC3" w:rsidRPr="005B2FC3" w:rsidRDefault="005B2FC3" w:rsidP="005B2FC3">
            <w:pPr>
              <w:kinsoku w:val="0"/>
              <w:overflowPunct w:val="0"/>
              <w:autoSpaceDE w:val="0"/>
              <w:autoSpaceDN w:val="0"/>
              <w:adjustRightInd w:val="0"/>
              <w:spacing w:after="0" w:line="240" w:lineRule="auto"/>
              <w:ind w:left="26"/>
              <w:jc w:val="center"/>
              <w:rPr>
                <w:rFonts w:ascii="Times New Roman" w:hAnsi="Times New Roman" w:cs="Times New Roman"/>
                <w:sz w:val="24"/>
                <w:szCs w:val="24"/>
              </w:rPr>
            </w:pPr>
            <w:r w:rsidRPr="005B2FC3">
              <w:rPr>
                <w:rFonts w:ascii="Arial" w:hAnsi="Arial" w:cs="Arial"/>
                <w:spacing w:val="-1"/>
                <w:sz w:val="20"/>
                <w:szCs w:val="20"/>
              </w:rPr>
              <w:t>7.69</w:t>
            </w:r>
          </w:p>
        </w:tc>
        <w:tc>
          <w:tcPr>
            <w:tcW w:w="694" w:type="dxa"/>
            <w:tcBorders>
              <w:top w:val="single" w:sz="2" w:space="0" w:color="000000"/>
              <w:left w:val="single" w:sz="48"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4</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z w:val="20"/>
                <w:szCs w:val="20"/>
              </w:rPr>
              <w:t>15.38</w:t>
            </w:r>
          </w:p>
        </w:tc>
        <w:tc>
          <w:tcPr>
            <w:tcW w:w="694" w:type="dxa"/>
            <w:tcBorders>
              <w:top w:val="single" w:sz="2" w:space="0" w:color="000000"/>
              <w:left w:val="single" w:sz="48" w:space="0" w:color="E4B8B7"/>
              <w:bottom w:val="single" w:sz="2" w:space="0" w:color="000000"/>
              <w:right w:val="single" w:sz="48" w:space="0" w:color="D9D9D9"/>
            </w:tcBorders>
            <w:shd w:val="clear" w:color="auto" w:fill="D9D9D9"/>
          </w:tcPr>
          <w:p w:rsidR="005B2FC3" w:rsidRPr="005B2FC3" w:rsidRDefault="005B2FC3" w:rsidP="005B2FC3">
            <w:pPr>
              <w:kinsoku w:val="0"/>
              <w:overflowPunct w:val="0"/>
              <w:autoSpaceDE w:val="0"/>
              <w:autoSpaceDN w:val="0"/>
              <w:adjustRightInd w:val="0"/>
              <w:spacing w:after="0" w:line="226" w:lineRule="exact"/>
              <w:ind w:right="7"/>
              <w:jc w:val="center"/>
              <w:rPr>
                <w:rFonts w:ascii="Arial" w:hAnsi="Arial" w:cs="Arial"/>
                <w:sz w:val="20"/>
                <w:szCs w:val="20"/>
              </w:rPr>
            </w:pPr>
            <w:r w:rsidRPr="005B2FC3">
              <w:rPr>
                <w:rFonts w:ascii="Arial" w:hAnsi="Arial" w:cs="Arial"/>
                <w:spacing w:val="-1"/>
                <w:sz w:val="20"/>
                <w:szCs w:val="20"/>
              </w:rPr>
              <w:t>17</w:t>
            </w:r>
          </w:p>
          <w:p w:rsidR="005B2FC3" w:rsidRPr="005B2FC3" w:rsidRDefault="005B2FC3" w:rsidP="005B2FC3">
            <w:pPr>
              <w:kinsoku w:val="0"/>
              <w:overflowPunct w:val="0"/>
              <w:autoSpaceDE w:val="0"/>
              <w:autoSpaceDN w:val="0"/>
              <w:adjustRightInd w:val="0"/>
              <w:spacing w:after="0" w:line="240" w:lineRule="auto"/>
              <w:ind w:right="7"/>
              <w:jc w:val="center"/>
              <w:rPr>
                <w:rFonts w:ascii="Times New Roman" w:hAnsi="Times New Roman" w:cs="Times New Roman"/>
                <w:sz w:val="24"/>
                <w:szCs w:val="24"/>
              </w:rPr>
            </w:pPr>
            <w:r w:rsidRPr="005B2FC3">
              <w:rPr>
                <w:rFonts w:ascii="Arial" w:hAnsi="Arial" w:cs="Arial"/>
                <w:sz w:val="20"/>
                <w:szCs w:val="20"/>
              </w:rPr>
              <w:t>65.38</w:t>
            </w:r>
          </w:p>
        </w:tc>
        <w:tc>
          <w:tcPr>
            <w:tcW w:w="691" w:type="dxa"/>
            <w:tcBorders>
              <w:top w:val="single" w:sz="2" w:space="0" w:color="000000"/>
              <w:left w:val="single" w:sz="48" w:space="0" w:color="D9D9D9"/>
              <w:bottom w:val="single" w:sz="2" w:space="0" w:color="000000"/>
              <w:right w:val="single" w:sz="25" w:space="0" w:color="B8CCE3"/>
            </w:tcBorders>
            <w:shd w:val="clear" w:color="auto" w:fill="B8CCE3"/>
          </w:tcPr>
          <w:p w:rsidR="005B2FC3" w:rsidRPr="005B2FC3" w:rsidRDefault="005B2FC3" w:rsidP="005B2FC3">
            <w:pPr>
              <w:kinsoku w:val="0"/>
              <w:overflowPunct w:val="0"/>
              <w:autoSpaceDE w:val="0"/>
              <w:autoSpaceDN w:val="0"/>
              <w:adjustRightInd w:val="0"/>
              <w:spacing w:after="0" w:line="226" w:lineRule="exact"/>
              <w:ind w:right="30"/>
              <w:jc w:val="center"/>
              <w:rPr>
                <w:rFonts w:ascii="Arial" w:hAnsi="Arial" w:cs="Arial"/>
                <w:sz w:val="20"/>
                <w:szCs w:val="20"/>
              </w:rPr>
            </w:pPr>
            <w:r w:rsidRPr="005B2FC3">
              <w:rPr>
                <w:rFonts w:ascii="Arial" w:hAnsi="Arial" w:cs="Arial"/>
                <w:sz w:val="20"/>
                <w:szCs w:val="20"/>
              </w:rPr>
              <w:t>3</w:t>
            </w:r>
          </w:p>
          <w:p w:rsidR="005B2FC3" w:rsidRPr="005B2FC3" w:rsidRDefault="005B2FC3" w:rsidP="005B2FC3">
            <w:pPr>
              <w:kinsoku w:val="0"/>
              <w:overflowPunct w:val="0"/>
              <w:autoSpaceDE w:val="0"/>
              <w:autoSpaceDN w:val="0"/>
              <w:adjustRightInd w:val="0"/>
              <w:spacing w:after="0" w:line="240" w:lineRule="auto"/>
              <w:ind w:right="30"/>
              <w:jc w:val="center"/>
              <w:rPr>
                <w:rFonts w:ascii="Times New Roman" w:hAnsi="Times New Roman" w:cs="Times New Roman"/>
                <w:sz w:val="24"/>
                <w:szCs w:val="24"/>
              </w:rPr>
            </w:pPr>
            <w:r w:rsidRPr="005B2FC3">
              <w:rPr>
                <w:rFonts w:ascii="Arial" w:hAnsi="Arial" w:cs="Arial"/>
                <w:sz w:val="20"/>
                <w:szCs w:val="20"/>
              </w:rPr>
              <w:t>11.54</w:t>
            </w:r>
          </w:p>
        </w:tc>
        <w:tc>
          <w:tcPr>
            <w:tcW w:w="694" w:type="dxa"/>
            <w:tcBorders>
              <w:top w:val="single" w:sz="2" w:space="0" w:color="000000"/>
              <w:left w:val="single" w:sz="25" w:space="0" w:color="B8CCE3"/>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203"/>
              <w:rPr>
                <w:rFonts w:ascii="Times New Roman" w:hAnsi="Times New Roman" w:cs="Times New Roman"/>
                <w:sz w:val="24"/>
                <w:szCs w:val="24"/>
              </w:rPr>
            </w:pPr>
            <w:r w:rsidRPr="005B2FC3">
              <w:rPr>
                <w:rFonts w:ascii="Arial" w:hAnsi="Arial" w:cs="Arial"/>
                <w:spacing w:val="-1"/>
                <w:sz w:val="20"/>
                <w:szCs w:val="20"/>
              </w:rPr>
              <w:t>26</w:t>
            </w:r>
          </w:p>
        </w:tc>
      </w:tr>
      <w:tr w:rsidR="005B2FC3" w:rsidRPr="005B2FC3" w:rsidTr="00FB7B89">
        <w:trPr>
          <w:trHeight w:hRule="exact" w:val="463"/>
        </w:trPr>
        <w:tc>
          <w:tcPr>
            <w:tcW w:w="1745" w:type="dxa"/>
            <w:tcBorders>
              <w:top w:val="single" w:sz="2" w:space="0" w:color="000000"/>
              <w:left w:val="single" w:sz="6"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before="106" w:after="0" w:line="240" w:lineRule="auto"/>
              <w:ind w:left="335"/>
              <w:rPr>
                <w:rFonts w:ascii="Times New Roman" w:hAnsi="Times New Roman" w:cs="Times New Roman"/>
                <w:sz w:val="24"/>
                <w:szCs w:val="24"/>
              </w:rPr>
            </w:pPr>
            <w:r w:rsidRPr="005B2FC3">
              <w:rPr>
                <w:rFonts w:ascii="Calibri" w:hAnsi="Calibri" w:cs="Calibri"/>
                <w:sz w:val="20"/>
                <w:szCs w:val="20"/>
              </w:rPr>
              <w:t>90%</w:t>
            </w:r>
            <w:r w:rsidRPr="005B2FC3">
              <w:rPr>
                <w:rFonts w:ascii="Calibri" w:hAnsi="Calibri" w:cs="Calibri"/>
                <w:spacing w:val="-7"/>
                <w:sz w:val="20"/>
                <w:szCs w:val="20"/>
              </w:rPr>
              <w:t xml:space="preserve"> </w:t>
            </w:r>
            <w:r w:rsidRPr="005B2FC3">
              <w:rPr>
                <w:rFonts w:ascii="Calibri" w:hAnsi="Calibri" w:cs="Calibri"/>
                <w:sz w:val="20"/>
                <w:szCs w:val="20"/>
              </w:rPr>
              <w:t>to</w:t>
            </w:r>
            <w:r w:rsidRPr="005B2FC3">
              <w:rPr>
                <w:rFonts w:ascii="Calibri" w:hAnsi="Calibri" w:cs="Calibri"/>
                <w:spacing w:val="-5"/>
                <w:sz w:val="20"/>
                <w:szCs w:val="20"/>
              </w:rPr>
              <w:t xml:space="preserve"> </w:t>
            </w:r>
            <w:r w:rsidRPr="005B2FC3">
              <w:rPr>
                <w:rFonts w:ascii="Calibri" w:hAnsi="Calibri" w:cs="Calibri"/>
                <w:sz w:val="20"/>
                <w:szCs w:val="20"/>
              </w:rPr>
              <w:t>100%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2"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1"/>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2"/>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right="4"/>
              <w:jc w:val="center"/>
              <w:rPr>
                <w:rFonts w:ascii="Times New Roman" w:hAnsi="Times New Roman" w:cs="Times New Roman"/>
                <w:sz w:val="24"/>
                <w:szCs w:val="24"/>
              </w:rPr>
            </w:pPr>
            <w:r w:rsidRPr="005B2FC3">
              <w:rPr>
                <w:rFonts w:ascii="Arial" w:hAnsi="Arial" w:cs="Arial"/>
                <w:spacing w:val="-1"/>
                <w:sz w:val="20"/>
                <w:szCs w:val="20"/>
              </w:rPr>
              <w:t>0.00</w:t>
            </w:r>
          </w:p>
        </w:tc>
        <w:tc>
          <w:tcPr>
            <w:tcW w:w="691" w:type="dxa"/>
            <w:tcBorders>
              <w:top w:val="single" w:sz="2" w:space="0" w:color="000000"/>
              <w:left w:val="single" w:sz="2" w:space="0" w:color="000000"/>
              <w:bottom w:val="single" w:sz="2"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 w:space="0" w:color="000000"/>
              <w:bottom w:val="single" w:sz="2" w:space="0" w:color="000000"/>
              <w:right w:val="single" w:sz="25" w:space="0" w:color="E4B8B7"/>
            </w:tcBorders>
          </w:tcPr>
          <w:p w:rsidR="005B2FC3" w:rsidRPr="005B2FC3" w:rsidRDefault="005B2FC3" w:rsidP="005B2FC3">
            <w:pPr>
              <w:kinsoku w:val="0"/>
              <w:overflowPunct w:val="0"/>
              <w:autoSpaceDE w:val="0"/>
              <w:autoSpaceDN w:val="0"/>
              <w:adjustRightInd w:val="0"/>
              <w:spacing w:after="0" w:line="226" w:lineRule="exact"/>
              <w:ind w:left="26"/>
              <w:jc w:val="center"/>
              <w:rPr>
                <w:rFonts w:ascii="Arial" w:hAnsi="Arial" w:cs="Arial"/>
                <w:sz w:val="20"/>
                <w:szCs w:val="20"/>
              </w:rPr>
            </w:pPr>
            <w:r w:rsidRPr="005B2FC3">
              <w:rPr>
                <w:rFonts w:ascii="Arial" w:hAnsi="Arial" w:cs="Arial"/>
                <w:sz w:val="20"/>
                <w:szCs w:val="20"/>
              </w:rPr>
              <w:t>0</w:t>
            </w:r>
          </w:p>
          <w:p w:rsidR="005B2FC3" w:rsidRPr="005B2FC3" w:rsidRDefault="005B2FC3" w:rsidP="005B2FC3">
            <w:pPr>
              <w:kinsoku w:val="0"/>
              <w:overflowPunct w:val="0"/>
              <w:autoSpaceDE w:val="0"/>
              <w:autoSpaceDN w:val="0"/>
              <w:adjustRightInd w:val="0"/>
              <w:spacing w:after="0" w:line="240" w:lineRule="auto"/>
              <w:ind w:left="23"/>
              <w:jc w:val="center"/>
              <w:rPr>
                <w:rFonts w:ascii="Times New Roman" w:hAnsi="Times New Roman" w:cs="Times New Roman"/>
                <w:sz w:val="24"/>
                <w:szCs w:val="24"/>
              </w:rPr>
            </w:pPr>
            <w:r w:rsidRPr="005B2FC3">
              <w:rPr>
                <w:rFonts w:ascii="Arial" w:hAnsi="Arial" w:cs="Arial"/>
                <w:spacing w:val="-1"/>
                <w:sz w:val="20"/>
                <w:szCs w:val="20"/>
              </w:rPr>
              <w:t>0.00</w:t>
            </w:r>
          </w:p>
        </w:tc>
        <w:tc>
          <w:tcPr>
            <w:tcW w:w="694" w:type="dxa"/>
            <w:tcBorders>
              <w:top w:val="single" w:sz="2" w:space="0" w:color="000000"/>
              <w:left w:val="single" w:sz="25" w:space="0" w:color="E4B8B7"/>
              <w:bottom w:val="single" w:sz="2" w:space="0" w:color="000000"/>
              <w:right w:val="single" w:sz="48" w:space="0" w:color="E4B8B7"/>
            </w:tcBorders>
            <w:shd w:val="clear" w:color="auto" w:fill="E4B8B7"/>
          </w:tcPr>
          <w:p w:rsidR="005B2FC3" w:rsidRPr="005B2FC3" w:rsidRDefault="005B2FC3" w:rsidP="005B2FC3">
            <w:pPr>
              <w:kinsoku w:val="0"/>
              <w:overflowPunct w:val="0"/>
              <w:autoSpaceDE w:val="0"/>
              <w:autoSpaceDN w:val="0"/>
              <w:adjustRightInd w:val="0"/>
              <w:spacing w:after="0" w:line="226" w:lineRule="exact"/>
              <w:ind w:left="24"/>
              <w:jc w:val="center"/>
              <w:rPr>
                <w:rFonts w:ascii="Arial" w:hAnsi="Arial" w:cs="Arial"/>
                <w:sz w:val="20"/>
                <w:szCs w:val="20"/>
              </w:rPr>
            </w:pPr>
            <w:r w:rsidRPr="005B2FC3">
              <w:rPr>
                <w:rFonts w:ascii="Arial" w:hAnsi="Arial" w:cs="Arial"/>
                <w:sz w:val="20"/>
                <w:szCs w:val="20"/>
              </w:rPr>
              <w:t>4</w:t>
            </w:r>
          </w:p>
          <w:p w:rsidR="005B2FC3" w:rsidRPr="005B2FC3" w:rsidRDefault="005B2FC3" w:rsidP="005B2FC3">
            <w:pPr>
              <w:kinsoku w:val="0"/>
              <w:overflowPunct w:val="0"/>
              <w:autoSpaceDE w:val="0"/>
              <w:autoSpaceDN w:val="0"/>
              <w:adjustRightInd w:val="0"/>
              <w:spacing w:after="0" w:line="240" w:lineRule="auto"/>
              <w:ind w:left="19"/>
              <w:jc w:val="center"/>
              <w:rPr>
                <w:rFonts w:ascii="Times New Roman" w:hAnsi="Times New Roman" w:cs="Times New Roman"/>
                <w:sz w:val="24"/>
                <w:szCs w:val="24"/>
              </w:rPr>
            </w:pPr>
            <w:r w:rsidRPr="005B2FC3">
              <w:rPr>
                <w:rFonts w:ascii="Arial" w:hAnsi="Arial" w:cs="Arial"/>
                <w:sz w:val="20"/>
                <w:szCs w:val="20"/>
              </w:rPr>
              <w:t>15.38</w:t>
            </w:r>
          </w:p>
        </w:tc>
        <w:tc>
          <w:tcPr>
            <w:tcW w:w="691" w:type="dxa"/>
            <w:tcBorders>
              <w:top w:val="single" w:sz="2" w:space="0" w:color="000000"/>
              <w:left w:val="single" w:sz="48" w:space="0" w:color="E4B8B7"/>
              <w:bottom w:val="single" w:sz="2" w:space="0" w:color="000000"/>
              <w:right w:val="single" w:sz="25" w:space="0" w:color="D9D9D9"/>
            </w:tcBorders>
            <w:shd w:val="clear" w:color="auto" w:fill="D9D9D9"/>
          </w:tcPr>
          <w:p w:rsidR="005B2FC3" w:rsidRPr="005B2FC3" w:rsidRDefault="005B2FC3" w:rsidP="005B2FC3">
            <w:pPr>
              <w:kinsoku w:val="0"/>
              <w:overflowPunct w:val="0"/>
              <w:autoSpaceDE w:val="0"/>
              <w:autoSpaceDN w:val="0"/>
              <w:adjustRightInd w:val="0"/>
              <w:spacing w:after="0" w:line="226" w:lineRule="exact"/>
              <w:ind w:right="30"/>
              <w:jc w:val="center"/>
              <w:rPr>
                <w:rFonts w:ascii="Arial" w:hAnsi="Arial" w:cs="Arial"/>
                <w:sz w:val="20"/>
                <w:szCs w:val="20"/>
              </w:rPr>
            </w:pPr>
            <w:r w:rsidRPr="005B2FC3">
              <w:rPr>
                <w:rFonts w:ascii="Arial" w:hAnsi="Arial" w:cs="Arial"/>
                <w:spacing w:val="-1"/>
                <w:sz w:val="20"/>
                <w:szCs w:val="20"/>
              </w:rPr>
              <w:t>22</w:t>
            </w:r>
          </w:p>
          <w:p w:rsidR="005B2FC3" w:rsidRPr="005B2FC3" w:rsidRDefault="005B2FC3" w:rsidP="005B2FC3">
            <w:pPr>
              <w:kinsoku w:val="0"/>
              <w:overflowPunct w:val="0"/>
              <w:autoSpaceDE w:val="0"/>
              <w:autoSpaceDN w:val="0"/>
              <w:adjustRightInd w:val="0"/>
              <w:spacing w:after="0" w:line="240" w:lineRule="auto"/>
              <w:ind w:right="30"/>
              <w:jc w:val="center"/>
              <w:rPr>
                <w:rFonts w:ascii="Times New Roman" w:hAnsi="Times New Roman" w:cs="Times New Roman"/>
                <w:sz w:val="24"/>
                <w:szCs w:val="24"/>
              </w:rPr>
            </w:pPr>
            <w:r w:rsidRPr="005B2FC3">
              <w:rPr>
                <w:rFonts w:ascii="Arial" w:hAnsi="Arial" w:cs="Arial"/>
                <w:sz w:val="20"/>
                <w:szCs w:val="20"/>
              </w:rPr>
              <w:t>84.62</w:t>
            </w:r>
          </w:p>
        </w:tc>
        <w:tc>
          <w:tcPr>
            <w:tcW w:w="694" w:type="dxa"/>
            <w:tcBorders>
              <w:top w:val="single" w:sz="2" w:space="0" w:color="000000"/>
              <w:left w:val="single" w:sz="25" w:space="0" w:color="D9D9D9"/>
              <w:bottom w:val="single" w:sz="2"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203"/>
              <w:rPr>
                <w:rFonts w:ascii="Times New Roman" w:hAnsi="Times New Roman" w:cs="Times New Roman"/>
                <w:sz w:val="24"/>
                <w:szCs w:val="24"/>
              </w:rPr>
            </w:pPr>
            <w:r w:rsidRPr="005B2FC3">
              <w:rPr>
                <w:rFonts w:ascii="Arial" w:hAnsi="Arial" w:cs="Arial"/>
                <w:spacing w:val="-1"/>
                <w:sz w:val="20"/>
                <w:szCs w:val="20"/>
              </w:rPr>
              <w:t>26</w:t>
            </w:r>
          </w:p>
        </w:tc>
      </w:tr>
      <w:tr w:rsidR="005B2FC3" w:rsidRPr="005B2FC3" w:rsidTr="00FB7B89">
        <w:trPr>
          <w:trHeight w:hRule="exact" w:val="252"/>
        </w:trPr>
        <w:tc>
          <w:tcPr>
            <w:tcW w:w="1745" w:type="dxa"/>
            <w:tcBorders>
              <w:top w:val="single" w:sz="2" w:space="0" w:color="000000"/>
              <w:left w:val="single" w:sz="6"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42" w:lineRule="exact"/>
              <w:ind w:right="8"/>
              <w:jc w:val="center"/>
              <w:rPr>
                <w:rFonts w:ascii="Times New Roman" w:hAnsi="Times New Roman" w:cs="Times New Roman"/>
                <w:sz w:val="24"/>
                <w:szCs w:val="24"/>
              </w:rPr>
            </w:pPr>
            <w:r w:rsidRPr="005B2FC3">
              <w:rPr>
                <w:rFonts w:ascii="Calibri" w:hAnsi="Calibri" w:cs="Calibri"/>
                <w:spacing w:val="-1"/>
                <w:sz w:val="20"/>
                <w:szCs w:val="20"/>
              </w:rPr>
              <w:t>Total</w:t>
            </w:r>
          </w:p>
        </w:tc>
        <w:tc>
          <w:tcPr>
            <w:tcW w:w="691"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Times New Roman" w:hAnsi="Times New Roman" w:cs="Times New Roman"/>
                <w:sz w:val="24"/>
                <w:szCs w:val="24"/>
              </w:rPr>
            </w:pPr>
            <w:r w:rsidRPr="005B2FC3">
              <w:rPr>
                <w:rFonts w:ascii="Arial" w:hAnsi="Arial" w:cs="Arial"/>
                <w:spacing w:val="-1"/>
                <w:sz w:val="20"/>
                <w:szCs w:val="20"/>
              </w:rPr>
              <w:t>26</w:t>
            </w:r>
          </w:p>
        </w:tc>
        <w:tc>
          <w:tcPr>
            <w:tcW w:w="692"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Times New Roman" w:hAnsi="Times New Roman" w:cs="Times New Roman"/>
                <w:sz w:val="24"/>
                <w:szCs w:val="24"/>
              </w:rPr>
            </w:pPr>
            <w:r w:rsidRPr="005B2FC3">
              <w:rPr>
                <w:rFonts w:ascii="Arial" w:hAnsi="Arial" w:cs="Arial"/>
                <w:spacing w:val="-1"/>
                <w:sz w:val="20"/>
                <w:szCs w:val="20"/>
              </w:rPr>
              <w:t>26</w:t>
            </w:r>
          </w:p>
        </w:tc>
        <w:tc>
          <w:tcPr>
            <w:tcW w:w="691"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Times New Roman" w:hAnsi="Times New Roman" w:cs="Times New Roman"/>
                <w:sz w:val="24"/>
                <w:szCs w:val="24"/>
              </w:rPr>
            </w:pPr>
            <w:r w:rsidRPr="005B2FC3">
              <w:rPr>
                <w:rFonts w:ascii="Arial" w:hAnsi="Arial" w:cs="Arial"/>
                <w:spacing w:val="-1"/>
                <w:sz w:val="20"/>
                <w:szCs w:val="20"/>
              </w:rPr>
              <w:t>26</w:t>
            </w:r>
          </w:p>
        </w:tc>
        <w:tc>
          <w:tcPr>
            <w:tcW w:w="694"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5B2FC3">
              <w:rPr>
                <w:rFonts w:ascii="Arial" w:hAnsi="Arial" w:cs="Arial"/>
                <w:spacing w:val="-1"/>
                <w:sz w:val="20"/>
                <w:szCs w:val="20"/>
              </w:rPr>
              <w:t>26</w:t>
            </w:r>
          </w:p>
        </w:tc>
        <w:tc>
          <w:tcPr>
            <w:tcW w:w="691"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3"/>
              <w:jc w:val="center"/>
              <w:rPr>
                <w:rFonts w:ascii="Times New Roman" w:hAnsi="Times New Roman" w:cs="Times New Roman"/>
                <w:sz w:val="24"/>
                <w:szCs w:val="24"/>
              </w:rPr>
            </w:pPr>
            <w:r w:rsidRPr="005B2FC3">
              <w:rPr>
                <w:rFonts w:ascii="Arial" w:hAnsi="Arial" w:cs="Arial"/>
                <w:spacing w:val="-1"/>
                <w:sz w:val="20"/>
                <w:szCs w:val="20"/>
              </w:rPr>
              <w:t>26</w:t>
            </w:r>
          </w:p>
        </w:tc>
        <w:tc>
          <w:tcPr>
            <w:tcW w:w="694"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5B2FC3">
              <w:rPr>
                <w:rFonts w:ascii="Arial" w:hAnsi="Arial" w:cs="Arial"/>
                <w:spacing w:val="-1"/>
                <w:sz w:val="20"/>
                <w:szCs w:val="20"/>
              </w:rPr>
              <w:t>26</w:t>
            </w:r>
          </w:p>
        </w:tc>
        <w:tc>
          <w:tcPr>
            <w:tcW w:w="691"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Times New Roman" w:hAnsi="Times New Roman" w:cs="Times New Roman"/>
                <w:sz w:val="24"/>
                <w:szCs w:val="24"/>
              </w:rPr>
            </w:pPr>
            <w:r w:rsidRPr="005B2FC3">
              <w:rPr>
                <w:rFonts w:ascii="Arial" w:hAnsi="Arial" w:cs="Arial"/>
                <w:spacing w:val="-1"/>
                <w:sz w:val="20"/>
                <w:szCs w:val="20"/>
              </w:rPr>
              <w:t>26</w:t>
            </w:r>
          </w:p>
        </w:tc>
        <w:tc>
          <w:tcPr>
            <w:tcW w:w="694"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jc w:val="center"/>
              <w:rPr>
                <w:rFonts w:ascii="Times New Roman" w:hAnsi="Times New Roman" w:cs="Times New Roman"/>
                <w:sz w:val="24"/>
                <w:szCs w:val="24"/>
              </w:rPr>
            </w:pPr>
            <w:r w:rsidRPr="005B2FC3">
              <w:rPr>
                <w:rFonts w:ascii="Arial" w:hAnsi="Arial" w:cs="Arial"/>
                <w:spacing w:val="-1"/>
                <w:sz w:val="20"/>
                <w:szCs w:val="20"/>
              </w:rPr>
              <w:t>26</w:t>
            </w:r>
          </w:p>
        </w:tc>
        <w:tc>
          <w:tcPr>
            <w:tcW w:w="694"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5"/>
              <w:jc w:val="center"/>
              <w:rPr>
                <w:rFonts w:ascii="Times New Roman" w:hAnsi="Times New Roman" w:cs="Times New Roman"/>
                <w:sz w:val="24"/>
                <w:szCs w:val="24"/>
              </w:rPr>
            </w:pPr>
            <w:r w:rsidRPr="005B2FC3">
              <w:rPr>
                <w:rFonts w:ascii="Arial" w:hAnsi="Arial" w:cs="Arial"/>
                <w:spacing w:val="-1"/>
                <w:sz w:val="20"/>
                <w:szCs w:val="20"/>
              </w:rPr>
              <w:t>26</w:t>
            </w:r>
          </w:p>
        </w:tc>
        <w:tc>
          <w:tcPr>
            <w:tcW w:w="691" w:type="dxa"/>
            <w:tcBorders>
              <w:top w:val="single" w:sz="2" w:space="0" w:color="000000"/>
              <w:left w:val="single" w:sz="2" w:space="0" w:color="000000"/>
              <w:bottom w:val="single" w:sz="4" w:space="0" w:color="000000"/>
              <w:right w:val="single" w:sz="2" w:space="0" w:color="000000"/>
            </w:tcBorders>
          </w:tcPr>
          <w:p w:rsidR="005B2FC3" w:rsidRPr="005B2FC3" w:rsidRDefault="005B2FC3" w:rsidP="005B2FC3">
            <w:pPr>
              <w:kinsoku w:val="0"/>
              <w:overflowPunct w:val="0"/>
              <w:autoSpaceDE w:val="0"/>
              <w:autoSpaceDN w:val="0"/>
              <w:adjustRightInd w:val="0"/>
              <w:spacing w:after="0" w:line="226" w:lineRule="exact"/>
              <w:ind w:right="2"/>
              <w:jc w:val="center"/>
              <w:rPr>
                <w:rFonts w:ascii="Times New Roman" w:hAnsi="Times New Roman" w:cs="Times New Roman"/>
                <w:sz w:val="24"/>
                <w:szCs w:val="24"/>
              </w:rPr>
            </w:pPr>
            <w:r w:rsidRPr="005B2FC3">
              <w:rPr>
                <w:rFonts w:ascii="Arial" w:hAnsi="Arial" w:cs="Arial"/>
                <w:spacing w:val="-1"/>
                <w:sz w:val="20"/>
                <w:szCs w:val="20"/>
              </w:rPr>
              <w:t>26</w:t>
            </w:r>
          </w:p>
        </w:tc>
        <w:tc>
          <w:tcPr>
            <w:tcW w:w="694" w:type="dxa"/>
            <w:tcBorders>
              <w:top w:val="single" w:sz="2" w:space="0" w:color="000000"/>
              <w:left w:val="single" w:sz="2" w:space="0" w:color="000000"/>
              <w:bottom w:val="single" w:sz="4" w:space="0" w:color="000000"/>
              <w:right w:val="single" w:sz="6" w:space="0" w:color="000000"/>
            </w:tcBorders>
          </w:tcPr>
          <w:p w:rsidR="005B2FC3" w:rsidRPr="005B2FC3" w:rsidRDefault="005B2FC3" w:rsidP="005B2FC3">
            <w:pPr>
              <w:kinsoku w:val="0"/>
              <w:overflowPunct w:val="0"/>
              <w:autoSpaceDE w:val="0"/>
              <w:autoSpaceDN w:val="0"/>
              <w:adjustRightInd w:val="0"/>
              <w:spacing w:after="0" w:line="226" w:lineRule="exact"/>
              <w:ind w:left="176"/>
              <w:rPr>
                <w:rFonts w:ascii="Times New Roman" w:hAnsi="Times New Roman" w:cs="Times New Roman"/>
                <w:sz w:val="24"/>
                <w:szCs w:val="24"/>
              </w:rPr>
            </w:pPr>
            <w:r w:rsidRPr="005B2FC3">
              <w:rPr>
                <w:rFonts w:ascii="Arial" w:hAnsi="Arial" w:cs="Arial"/>
                <w:spacing w:val="-1"/>
                <w:sz w:val="20"/>
                <w:szCs w:val="20"/>
              </w:rPr>
              <w:t>260</w:t>
            </w:r>
          </w:p>
        </w:tc>
      </w:tr>
      <w:tr w:rsidR="005B2FC3" w:rsidRPr="005B2FC3" w:rsidTr="00FB7B89">
        <w:trPr>
          <w:trHeight w:hRule="exact" w:val="744"/>
        </w:trPr>
        <w:tc>
          <w:tcPr>
            <w:tcW w:w="9362" w:type="dxa"/>
            <w:gridSpan w:val="12"/>
            <w:tcBorders>
              <w:top w:val="single" w:sz="4" w:space="0" w:color="000000"/>
              <w:left w:val="single" w:sz="6" w:space="0" w:color="000000"/>
              <w:bottom w:val="single" w:sz="4" w:space="0" w:color="000000"/>
              <w:right w:val="single" w:sz="6" w:space="0" w:color="000000"/>
            </w:tcBorders>
          </w:tcPr>
          <w:p w:rsidR="005B2FC3" w:rsidRPr="005B2FC3" w:rsidRDefault="005B2FC3" w:rsidP="005B2FC3">
            <w:pPr>
              <w:kinsoku w:val="0"/>
              <w:overflowPunct w:val="0"/>
              <w:autoSpaceDE w:val="0"/>
              <w:autoSpaceDN w:val="0"/>
              <w:adjustRightInd w:val="0"/>
              <w:spacing w:after="0" w:line="240" w:lineRule="auto"/>
              <w:ind w:left="51" w:right="293"/>
              <w:rPr>
                <w:rFonts w:ascii="Times New Roman" w:hAnsi="Times New Roman" w:cs="Times New Roman"/>
                <w:sz w:val="24"/>
                <w:szCs w:val="24"/>
              </w:rPr>
            </w:pPr>
            <w:r w:rsidRPr="005B2FC3">
              <w:rPr>
                <w:rFonts w:ascii="Calibri" w:hAnsi="Calibri" w:cs="Calibri"/>
                <w:spacing w:val="-1"/>
                <w:sz w:val="20"/>
                <w:szCs w:val="20"/>
              </w:rPr>
              <w:t>*Grey</w:t>
            </w:r>
            <w:r w:rsidRPr="005B2FC3">
              <w:rPr>
                <w:rFonts w:ascii="Calibri" w:hAnsi="Calibri" w:cs="Calibri"/>
                <w:spacing w:val="-5"/>
                <w:sz w:val="20"/>
                <w:szCs w:val="20"/>
              </w:rPr>
              <w:t xml:space="preserve"> </w:t>
            </w:r>
            <w:r w:rsidRPr="005B2FC3">
              <w:rPr>
                <w:rFonts w:ascii="Calibri" w:hAnsi="Calibri" w:cs="Calibri"/>
                <w:sz w:val="20"/>
                <w:szCs w:val="20"/>
              </w:rPr>
              <w:t>cells</w:t>
            </w:r>
            <w:r w:rsidRPr="005B2FC3">
              <w:rPr>
                <w:rFonts w:ascii="Calibri" w:hAnsi="Calibri" w:cs="Calibri"/>
                <w:spacing w:val="-6"/>
                <w:sz w:val="20"/>
                <w:szCs w:val="20"/>
              </w:rPr>
              <w:t xml:space="preserve"> </w:t>
            </w:r>
            <w:r w:rsidRPr="005B2FC3">
              <w:rPr>
                <w:rFonts w:ascii="Calibri" w:hAnsi="Calibri" w:cs="Calibri"/>
                <w:sz w:val="20"/>
                <w:szCs w:val="20"/>
              </w:rPr>
              <w:t>indicate</w:t>
            </w:r>
            <w:r w:rsidRPr="005B2FC3">
              <w:rPr>
                <w:rFonts w:ascii="Calibri" w:hAnsi="Calibri" w:cs="Calibri"/>
                <w:spacing w:val="-6"/>
                <w:sz w:val="20"/>
                <w:szCs w:val="20"/>
              </w:rPr>
              <w:t xml:space="preserve"> </w:t>
            </w:r>
            <w:r w:rsidRPr="005B2FC3">
              <w:rPr>
                <w:rFonts w:ascii="Calibri" w:hAnsi="Calibri" w:cs="Calibri"/>
                <w:sz w:val="20"/>
                <w:szCs w:val="20"/>
              </w:rPr>
              <w:t>no</w:t>
            </w:r>
            <w:r w:rsidRPr="005B2FC3">
              <w:rPr>
                <w:rFonts w:ascii="Calibri" w:hAnsi="Calibri" w:cs="Calibri"/>
                <w:spacing w:val="-4"/>
                <w:sz w:val="20"/>
                <w:szCs w:val="20"/>
              </w:rPr>
              <w:t xml:space="preserve"> </w:t>
            </w:r>
            <w:r w:rsidRPr="005B2FC3">
              <w:rPr>
                <w:rFonts w:ascii="Calibri" w:hAnsi="Calibri" w:cs="Calibri"/>
                <w:sz w:val="20"/>
                <w:szCs w:val="20"/>
              </w:rPr>
              <w:t>change</w:t>
            </w:r>
            <w:r w:rsidRPr="005B2FC3">
              <w:rPr>
                <w:rFonts w:ascii="Calibri" w:hAnsi="Calibri" w:cs="Calibri"/>
                <w:spacing w:val="-6"/>
                <w:sz w:val="20"/>
                <w:szCs w:val="20"/>
              </w:rPr>
              <w:t xml:space="preserve"> </w:t>
            </w:r>
            <w:r w:rsidRPr="005B2FC3">
              <w:rPr>
                <w:rFonts w:ascii="Calibri" w:hAnsi="Calibri" w:cs="Calibri"/>
                <w:sz w:val="20"/>
                <w:szCs w:val="20"/>
              </w:rPr>
              <w:t>in</w:t>
            </w:r>
            <w:r w:rsidRPr="005B2FC3">
              <w:rPr>
                <w:rFonts w:ascii="Calibri" w:hAnsi="Calibri" w:cs="Calibri"/>
                <w:spacing w:val="-5"/>
                <w:sz w:val="20"/>
                <w:szCs w:val="20"/>
              </w:rPr>
              <w:t xml:space="preserve"> </w:t>
            </w:r>
            <w:r w:rsidRPr="005B2FC3">
              <w:rPr>
                <w:rFonts w:ascii="Calibri" w:hAnsi="Calibri" w:cs="Calibri"/>
                <w:sz w:val="20"/>
                <w:szCs w:val="20"/>
              </w:rPr>
              <w:t>rank.</w:t>
            </w:r>
            <w:r w:rsidRPr="005B2FC3">
              <w:rPr>
                <w:rFonts w:ascii="Calibri" w:hAnsi="Calibri" w:cs="Calibri"/>
                <w:spacing w:val="-4"/>
                <w:sz w:val="20"/>
                <w:szCs w:val="20"/>
              </w:rPr>
              <w:t xml:space="preserve"> </w:t>
            </w:r>
            <w:r w:rsidRPr="005B2FC3">
              <w:rPr>
                <w:rFonts w:ascii="Calibri" w:hAnsi="Calibri" w:cs="Calibri"/>
                <w:sz w:val="20"/>
                <w:szCs w:val="20"/>
              </w:rPr>
              <w:t>Blue</w:t>
            </w:r>
            <w:r w:rsidRPr="005B2FC3">
              <w:rPr>
                <w:rFonts w:ascii="Calibri" w:hAnsi="Calibri" w:cs="Calibri"/>
                <w:spacing w:val="-6"/>
                <w:sz w:val="20"/>
                <w:szCs w:val="20"/>
              </w:rPr>
              <w:t xml:space="preserve"> </w:t>
            </w:r>
            <w:r w:rsidRPr="005B2FC3">
              <w:rPr>
                <w:rFonts w:ascii="Calibri" w:hAnsi="Calibri" w:cs="Calibri"/>
                <w:sz w:val="20"/>
                <w:szCs w:val="20"/>
              </w:rPr>
              <w:t>cells</w:t>
            </w:r>
            <w:r w:rsidRPr="005B2FC3">
              <w:rPr>
                <w:rFonts w:ascii="Calibri" w:hAnsi="Calibri" w:cs="Calibri"/>
                <w:spacing w:val="-6"/>
                <w:sz w:val="20"/>
                <w:szCs w:val="20"/>
              </w:rPr>
              <w:t xml:space="preserve"> </w:t>
            </w:r>
            <w:r w:rsidRPr="005B2FC3">
              <w:rPr>
                <w:rFonts w:ascii="Calibri" w:hAnsi="Calibri" w:cs="Calibri"/>
                <w:sz w:val="20"/>
                <w:szCs w:val="20"/>
              </w:rPr>
              <w:t>indicate</w:t>
            </w:r>
            <w:r w:rsidRPr="005B2FC3">
              <w:rPr>
                <w:rFonts w:ascii="Calibri" w:hAnsi="Calibri" w:cs="Calibri"/>
                <w:spacing w:val="-6"/>
                <w:sz w:val="20"/>
                <w:szCs w:val="20"/>
              </w:rPr>
              <w:t xml:space="preserve"> </w:t>
            </w:r>
            <w:r w:rsidRPr="005B2FC3">
              <w:rPr>
                <w:rFonts w:ascii="Calibri" w:hAnsi="Calibri" w:cs="Calibri"/>
                <w:sz w:val="20"/>
                <w:szCs w:val="20"/>
              </w:rPr>
              <w:t>increase</w:t>
            </w:r>
            <w:r w:rsidRPr="005B2FC3">
              <w:rPr>
                <w:rFonts w:ascii="Calibri" w:hAnsi="Calibri" w:cs="Calibri"/>
                <w:spacing w:val="-5"/>
                <w:sz w:val="20"/>
                <w:szCs w:val="20"/>
              </w:rPr>
              <w:t xml:space="preserve"> </w:t>
            </w:r>
            <w:r w:rsidRPr="005B2FC3">
              <w:rPr>
                <w:rFonts w:ascii="Calibri" w:hAnsi="Calibri" w:cs="Calibri"/>
                <w:sz w:val="20"/>
                <w:szCs w:val="20"/>
              </w:rPr>
              <w:t>in</w:t>
            </w:r>
            <w:r w:rsidRPr="005B2FC3">
              <w:rPr>
                <w:rFonts w:ascii="Calibri" w:hAnsi="Calibri" w:cs="Calibri"/>
                <w:spacing w:val="-4"/>
                <w:sz w:val="20"/>
                <w:szCs w:val="20"/>
              </w:rPr>
              <w:t xml:space="preserve"> </w:t>
            </w:r>
            <w:r w:rsidRPr="005B2FC3">
              <w:rPr>
                <w:rFonts w:ascii="Calibri" w:hAnsi="Calibri" w:cs="Calibri"/>
                <w:sz w:val="20"/>
                <w:szCs w:val="20"/>
              </w:rPr>
              <w:t>rank</w:t>
            </w:r>
            <w:r w:rsidRPr="005B2FC3">
              <w:rPr>
                <w:rFonts w:ascii="Calibri" w:hAnsi="Calibri" w:cs="Calibri"/>
                <w:spacing w:val="-5"/>
                <w:sz w:val="20"/>
                <w:szCs w:val="20"/>
              </w:rPr>
              <w:t xml:space="preserve"> </w:t>
            </w:r>
            <w:r w:rsidRPr="005B2FC3">
              <w:rPr>
                <w:rFonts w:ascii="Calibri" w:hAnsi="Calibri" w:cs="Calibri"/>
                <w:sz w:val="20"/>
                <w:szCs w:val="20"/>
              </w:rPr>
              <w:t>after</w:t>
            </w:r>
            <w:r w:rsidRPr="005B2FC3">
              <w:rPr>
                <w:rFonts w:ascii="Calibri" w:hAnsi="Calibri" w:cs="Calibri"/>
                <w:spacing w:val="-5"/>
                <w:sz w:val="20"/>
                <w:szCs w:val="20"/>
              </w:rPr>
              <w:t xml:space="preserve"> </w:t>
            </w:r>
            <w:r w:rsidRPr="005B2FC3">
              <w:rPr>
                <w:rFonts w:ascii="Calibri" w:hAnsi="Calibri" w:cs="Calibri"/>
                <w:spacing w:val="-1"/>
                <w:sz w:val="20"/>
                <w:szCs w:val="20"/>
              </w:rPr>
              <w:t>risk</w:t>
            </w:r>
            <w:r w:rsidRPr="005B2FC3">
              <w:rPr>
                <w:rFonts w:ascii="Calibri" w:hAnsi="Calibri" w:cs="Calibri"/>
                <w:spacing w:val="-5"/>
                <w:sz w:val="20"/>
                <w:szCs w:val="20"/>
              </w:rPr>
              <w:t xml:space="preserve"> </w:t>
            </w:r>
            <w:r w:rsidRPr="005B2FC3">
              <w:rPr>
                <w:rFonts w:ascii="Calibri" w:hAnsi="Calibri" w:cs="Calibri"/>
                <w:sz w:val="20"/>
                <w:szCs w:val="20"/>
              </w:rPr>
              <w:t>adjustment,</w:t>
            </w:r>
            <w:r w:rsidRPr="005B2FC3">
              <w:rPr>
                <w:rFonts w:ascii="Calibri" w:hAnsi="Calibri" w:cs="Calibri"/>
                <w:spacing w:val="-4"/>
                <w:sz w:val="20"/>
                <w:szCs w:val="20"/>
              </w:rPr>
              <w:t xml:space="preserve"> </w:t>
            </w:r>
            <w:r w:rsidRPr="005B2FC3">
              <w:rPr>
                <w:rFonts w:ascii="Calibri" w:hAnsi="Calibri" w:cs="Calibri"/>
                <w:sz w:val="20"/>
                <w:szCs w:val="20"/>
              </w:rPr>
              <w:t>and</w:t>
            </w:r>
            <w:r w:rsidRPr="005B2FC3">
              <w:rPr>
                <w:rFonts w:ascii="Calibri" w:hAnsi="Calibri" w:cs="Calibri"/>
                <w:spacing w:val="-5"/>
                <w:sz w:val="20"/>
                <w:szCs w:val="20"/>
              </w:rPr>
              <w:t xml:space="preserve"> </w:t>
            </w:r>
            <w:r w:rsidRPr="005B2FC3">
              <w:rPr>
                <w:rFonts w:ascii="Calibri" w:hAnsi="Calibri" w:cs="Calibri"/>
                <w:spacing w:val="-1"/>
                <w:sz w:val="20"/>
                <w:szCs w:val="20"/>
              </w:rPr>
              <w:t>red</w:t>
            </w:r>
            <w:r w:rsidRPr="005B2FC3">
              <w:rPr>
                <w:rFonts w:ascii="Calibri" w:hAnsi="Calibri" w:cs="Calibri"/>
                <w:spacing w:val="-4"/>
                <w:sz w:val="20"/>
                <w:szCs w:val="20"/>
              </w:rPr>
              <w:t xml:space="preserve"> </w:t>
            </w:r>
            <w:r w:rsidRPr="005B2FC3">
              <w:rPr>
                <w:rFonts w:ascii="Calibri" w:hAnsi="Calibri" w:cs="Calibri"/>
                <w:spacing w:val="-1"/>
                <w:sz w:val="20"/>
                <w:szCs w:val="20"/>
              </w:rPr>
              <w:t>cells</w:t>
            </w:r>
            <w:r w:rsidRPr="005B2FC3">
              <w:rPr>
                <w:rFonts w:ascii="Calibri" w:hAnsi="Calibri" w:cs="Calibri"/>
                <w:spacing w:val="52"/>
                <w:w w:val="99"/>
                <w:sz w:val="20"/>
                <w:szCs w:val="20"/>
              </w:rPr>
              <w:t xml:space="preserve"> </w:t>
            </w:r>
            <w:r w:rsidRPr="005B2FC3">
              <w:rPr>
                <w:rFonts w:ascii="Calibri" w:hAnsi="Calibri" w:cs="Calibri"/>
                <w:sz w:val="20"/>
                <w:szCs w:val="20"/>
              </w:rPr>
              <w:t>indicate</w:t>
            </w:r>
            <w:r w:rsidRPr="005B2FC3">
              <w:rPr>
                <w:rFonts w:ascii="Calibri" w:hAnsi="Calibri" w:cs="Calibri"/>
                <w:spacing w:val="-5"/>
                <w:sz w:val="20"/>
                <w:szCs w:val="20"/>
              </w:rPr>
              <w:t xml:space="preserve"> </w:t>
            </w:r>
            <w:r w:rsidRPr="005B2FC3">
              <w:rPr>
                <w:rFonts w:ascii="Calibri" w:hAnsi="Calibri" w:cs="Calibri"/>
                <w:sz w:val="20"/>
                <w:szCs w:val="20"/>
              </w:rPr>
              <w:t>decrease</w:t>
            </w:r>
            <w:r w:rsidRPr="005B2FC3">
              <w:rPr>
                <w:rFonts w:ascii="Calibri" w:hAnsi="Calibri" w:cs="Calibri"/>
                <w:spacing w:val="-5"/>
                <w:sz w:val="20"/>
                <w:szCs w:val="20"/>
              </w:rPr>
              <w:t xml:space="preserve"> </w:t>
            </w:r>
            <w:r w:rsidRPr="005B2FC3">
              <w:rPr>
                <w:rFonts w:ascii="Calibri" w:hAnsi="Calibri" w:cs="Calibri"/>
                <w:sz w:val="20"/>
                <w:szCs w:val="20"/>
              </w:rPr>
              <w:t>in</w:t>
            </w:r>
            <w:r w:rsidRPr="005B2FC3">
              <w:rPr>
                <w:rFonts w:ascii="Calibri" w:hAnsi="Calibri" w:cs="Calibri"/>
                <w:spacing w:val="-4"/>
                <w:sz w:val="20"/>
                <w:szCs w:val="20"/>
              </w:rPr>
              <w:t xml:space="preserve"> </w:t>
            </w:r>
            <w:r w:rsidRPr="005B2FC3">
              <w:rPr>
                <w:rFonts w:ascii="Calibri" w:hAnsi="Calibri" w:cs="Calibri"/>
                <w:sz w:val="20"/>
                <w:szCs w:val="20"/>
              </w:rPr>
              <w:t>rank</w:t>
            </w:r>
            <w:r w:rsidRPr="005B2FC3">
              <w:rPr>
                <w:rFonts w:ascii="Calibri" w:hAnsi="Calibri" w:cs="Calibri"/>
                <w:spacing w:val="-4"/>
                <w:sz w:val="20"/>
                <w:szCs w:val="20"/>
              </w:rPr>
              <w:t xml:space="preserve"> </w:t>
            </w:r>
            <w:r w:rsidRPr="005B2FC3">
              <w:rPr>
                <w:rFonts w:ascii="Calibri" w:hAnsi="Calibri" w:cs="Calibri"/>
                <w:sz w:val="20"/>
                <w:szCs w:val="20"/>
              </w:rPr>
              <w:t>after</w:t>
            </w:r>
            <w:r w:rsidRPr="005B2FC3">
              <w:rPr>
                <w:rFonts w:ascii="Calibri" w:hAnsi="Calibri" w:cs="Calibri"/>
                <w:spacing w:val="-4"/>
                <w:sz w:val="20"/>
                <w:szCs w:val="20"/>
              </w:rPr>
              <w:t xml:space="preserve"> </w:t>
            </w:r>
            <w:r w:rsidRPr="005B2FC3">
              <w:rPr>
                <w:rFonts w:ascii="Calibri" w:hAnsi="Calibri" w:cs="Calibri"/>
                <w:spacing w:val="-1"/>
                <w:sz w:val="20"/>
                <w:szCs w:val="20"/>
              </w:rPr>
              <w:t>risk</w:t>
            </w:r>
            <w:r w:rsidRPr="005B2FC3">
              <w:rPr>
                <w:rFonts w:ascii="Calibri" w:hAnsi="Calibri" w:cs="Calibri"/>
                <w:spacing w:val="-4"/>
                <w:sz w:val="20"/>
                <w:szCs w:val="20"/>
              </w:rPr>
              <w:t xml:space="preserve"> </w:t>
            </w:r>
            <w:r w:rsidRPr="005B2FC3">
              <w:rPr>
                <w:rFonts w:ascii="Calibri" w:hAnsi="Calibri" w:cs="Calibri"/>
                <w:spacing w:val="-1"/>
                <w:sz w:val="20"/>
                <w:szCs w:val="20"/>
              </w:rPr>
              <w:t>adjustment.</w:t>
            </w:r>
            <w:r w:rsidRPr="005B2FC3">
              <w:rPr>
                <w:rFonts w:ascii="Calibri" w:hAnsi="Calibri" w:cs="Calibri"/>
                <w:spacing w:val="-3"/>
                <w:sz w:val="20"/>
                <w:szCs w:val="20"/>
              </w:rPr>
              <w:t xml:space="preserve"> </w:t>
            </w:r>
            <w:r w:rsidRPr="005B2FC3">
              <w:rPr>
                <w:rFonts w:ascii="Calibri" w:hAnsi="Calibri" w:cs="Calibri"/>
                <w:sz w:val="20"/>
                <w:szCs w:val="20"/>
              </w:rPr>
              <w:t>N</w:t>
            </w:r>
            <w:r w:rsidRPr="005B2FC3">
              <w:rPr>
                <w:rFonts w:ascii="Calibri" w:hAnsi="Calibri" w:cs="Calibri"/>
                <w:spacing w:val="-3"/>
                <w:sz w:val="20"/>
                <w:szCs w:val="20"/>
              </w:rPr>
              <w:t xml:space="preserve"> </w:t>
            </w:r>
            <w:r w:rsidRPr="005B2FC3">
              <w:rPr>
                <w:rFonts w:ascii="Calibri" w:hAnsi="Calibri" w:cs="Calibri"/>
                <w:sz w:val="20"/>
                <w:szCs w:val="20"/>
              </w:rPr>
              <w:t>is</w:t>
            </w:r>
            <w:r w:rsidRPr="005B2FC3">
              <w:rPr>
                <w:rFonts w:ascii="Calibri" w:hAnsi="Calibri" w:cs="Calibri"/>
                <w:spacing w:val="-5"/>
                <w:sz w:val="20"/>
                <w:szCs w:val="20"/>
              </w:rPr>
              <w:t xml:space="preserve"> </w:t>
            </w:r>
            <w:r w:rsidRPr="005B2FC3">
              <w:rPr>
                <w:rFonts w:ascii="Calibri" w:hAnsi="Calibri" w:cs="Calibri"/>
                <w:sz w:val="20"/>
                <w:szCs w:val="20"/>
              </w:rPr>
              <w:t>the</w:t>
            </w:r>
            <w:r w:rsidRPr="005B2FC3">
              <w:rPr>
                <w:rFonts w:ascii="Calibri" w:hAnsi="Calibri" w:cs="Calibri"/>
                <w:spacing w:val="-5"/>
                <w:sz w:val="20"/>
                <w:szCs w:val="20"/>
              </w:rPr>
              <w:t xml:space="preserve"> </w:t>
            </w:r>
            <w:r w:rsidRPr="005B2FC3">
              <w:rPr>
                <w:rFonts w:ascii="Calibri" w:hAnsi="Calibri" w:cs="Calibri"/>
                <w:sz w:val="20"/>
                <w:szCs w:val="20"/>
              </w:rPr>
              <w:t>number</w:t>
            </w:r>
            <w:r w:rsidRPr="005B2FC3">
              <w:rPr>
                <w:rFonts w:ascii="Calibri" w:hAnsi="Calibri" w:cs="Calibri"/>
                <w:spacing w:val="-4"/>
                <w:sz w:val="20"/>
                <w:szCs w:val="20"/>
              </w:rPr>
              <w:t xml:space="preserve"> </w:t>
            </w:r>
            <w:r w:rsidRPr="005B2FC3">
              <w:rPr>
                <w:rFonts w:ascii="Calibri" w:hAnsi="Calibri" w:cs="Calibri"/>
                <w:sz w:val="20"/>
                <w:szCs w:val="20"/>
              </w:rPr>
              <w:t>of</w:t>
            </w:r>
            <w:r w:rsidRPr="005B2FC3">
              <w:rPr>
                <w:rFonts w:ascii="Calibri" w:hAnsi="Calibri" w:cs="Calibri"/>
                <w:spacing w:val="-5"/>
                <w:sz w:val="20"/>
                <w:szCs w:val="20"/>
              </w:rPr>
              <w:t xml:space="preserve"> </w:t>
            </w:r>
            <w:r w:rsidRPr="005B2FC3">
              <w:rPr>
                <w:rFonts w:ascii="Calibri" w:hAnsi="Calibri" w:cs="Calibri"/>
                <w:sz w:val="20"/>
                <w:szCs w:val="20"/>
              </w:rPr>
              <w:t>clinics</w:t>
            </w:r>
            <w:r w:rsidRPr="005B2FC3">
              <w:rPr>
                <w:rFonts w:ascii="Calibri" w:hAnsi="Calibri" w:cs="Calibri"/>
                <w:spacing w:val="-5"/>
                <w:sz w:val="20"/>
                <w:szCs w:val="20"/>
              </w:rPr>
              <w:t xml:space="preserve"> </w:t>
            </w:r>
            <w:r w:rsidRPr="005B2FC3">
              <w:rPr>
                <w:rFonts w:ascii="Calibri" w:hAnsi="Calibri" w:cs="Calibri"/>
                <w:sz w:val="20"/>
                <w:szCs w:val="20"/>
              </w:rPr>
              <w:t>in</w:t>
            </w:r>
            <w:r w:rsidRPr="005B2FC3">
              <w:rPr>
                <w:rFonts w:ascii="Calibri" w:hAnsi="Calibri" w:cs="Calibri"/>
                <w:spacing w:val="-4"/>
                <w:sz w:val="20"/>
                <w:szCs w:val="20"/>
              </w:rPr>
              <w:t xml:space="preserve"> </w:t>
            </w:r>
            <w:r w:rsidRPr="005B2FC3">
              <w:rPr>
                <w:rFonts w:ascii="Calibri" w:hAnsi="Calibri" w:cs="Calibri"/>
                <w:sz w:val="20"/>
                <w:szCs w:val="20"/>
              </w:rPr>
              <w:t>each</w:t>
            </w:r>
            <w:r w:rsidRPr="005B2FC3">
              <w:rPr>
                <w:rFonts w:ascii="Calibri" w:hAnsi="Calibri" w:cs="Calibri"/>
                <w:spacing w:val="-4"/>
                <w:sz w:val="20"/>
                <w:szCs w:val="20"/>
              </w:rPr>
              <w:t xml:space="preserve"> </w:t>
            </w:r>
            <w:r w:rsidRPr="005B2FC3">
              <w:rPr>
                <w:rFonts w:ascii="Calibri" w:hAnsi="Calibri" w:cs="Calibri"/>
                <w:sz w:val="20"/>
                <w:szCs w:val="20"/>
              </w:rPr>
              <w:t>cell,</w:t>
            </w:r>
            <w:r w:rsidRPr="005B2FC3">
              <w:rPr>
                <w:rFonts w:ascii="Calibri" w:hAnsi="Calibri" w:cs="Calibri"/>
                <w:spacing w:val="-4"/>
                <w:sz w:val="20"/>
                <w:szCs w:val="20"/>
              </w:rPr>
              <w:t xml:space="preserve"> </w:t>
            </w:r>
            <w:r w:rsidRPr="005B2FC3">
              <w:rPr>
                <w:rFonts w:ascii="Calibri" w:hAnsi="Calibri" w:cs="Calibri"/>
                <w:sz w:val="20"/>
                <w:szCs w:val="20"/>
              </w:rPr>
              <w:t>and</w:t>
            </w:r>
            <w:r w:rsidRPr="005B2FC3">
              <w:rPr>
                <w:rFonts w:ascii="Calibri" w:hAnsi="Calibri" w:cs="Calibri"/>
                <w:spacing w:val="-4"/>
                <w:sz w:val="20"/>
                <w:szCs w:val="20"/>
              </w:rPr>
              <w:t xml:space="preserve"> </w:t>
            </w:r>
            <w:r w:rsidRPr="005B2FC3">
              <w:rPr>
                <w:rFonts w:ascii="Calibri" w:hAnsi="Calibri" w:cs="Calibri"/>
                <w:sz w:val="20"/>
                <w:szCs w:val="20"/>
              </w:rPr>
              <w:t>the</w:t>
            </w:r>
            <w:r w:rsidRPr="005B2FC3">
              <w:rPr>
                <w:rFonts w:ascii="Calibri" w:hAnsi="Calibri" w:cs="Calibri"/>
                <w:spacing w:val="-5"/>
                <w:sz w:val="20"/>
                <w:szCs w:val="20"/>
              </w:rPr>
              <w:t xml:space="preserve"> </w:t>
            </w:r>
            <w:r w:rsidRPr="005B2FC3">
              <w:rPr>
                <w:rFonts w:ascii="Calibri" w:hAnsi="Calibri" w:cs="Calibri"/>
                <w:spacing w:val="-1"/>
                <w:sz w:val="20"/>
                <w:szCs w:val="20"/>
              </w:rPr>
              <w:t>percent</w:t>
            </w:r>
            <w:r w:rsidRPr="005B2FC3">
              <w:rPr>
                <w:rFonts w:ascii="Calibri" w:hAnsi="Calibri" w:cs="Calibri"/>
                <w:spacing w:val="-3"/>
                <w:sz w:val="20"/>
                <w:szCs w:val="20"/>
              </w:rPr>
              <w:t xml:space="preserve"> </w:t>
            </w:r>
            <w:r w:rsidRPr="005B2FC3">
              <w:rPr>
                <w:rFonts w:ascii="Calibri" w:hAnsi="Calibri" w:cs="Calibri"/>
                <w:sz w:val="20"/>
                <w:szCs w:val="20"/>
              </w:rPr>
              <w:t>of</w:t>
            </w:r>
            <w:r w:rsidRPr="005B2FC3">
              <w:rPr>
                <w:rFonts w:ascii="Calibri" w:hAnsi="Calibri" w:cs="Calibri"/>
                <w:spacing w:val="-5"/>
                <w:sz w:val="20"/>
                <w:szCs w:val="20"/>
              </w:rPr>
              <w:t xml:space="preserve"> </w:t>
            </w:r>
            <w:r w:rsidRPr="005B2FC3">
              <w:rPr>
                <w:rFonts w:ascii="Calibri" w:hAnsi="Calibri" w:cs="Calibri"/>
                <w:sz w:val="20"/>
                <w:szCs w:val="20"/>
              </w:rPr>
              <w:t>row</w:t>
            </w:r>
            <w:r w:rsidRPr="005B2FC3">
              <w:rPr>
                <w:rFonts w:ascii="Calibri" w:hAnsi="Calibri" w:cs="Calibri"/>
                <w:spacing w:val="-5"/>
                <w:sz w:val="20"/>
                <w:szCs w:val="20"/>
              </w:rPr>
              <w:t xml:space="preserve"> </w:t>
            </w:r>
            <w:r w:rsidRPr="005B2FC3">
              <w:rPr>
                <w:rFonts w:ascii="Calibri" w:hAnsi="Calibri" w:cs="Calibri"/>
                <w:spacing w:val="1"/>
                <w:sz w:val="20"/>
                <w:szCs w:val="20"/>
              </w:rPr>
              <w:t>is</w:t>
            </w:r>
            <w:r w:rsidRPr="005B2FC3">
              <w:rPr>
                <w:rFonts w:ascii="Calibri" w:hAnsi="Calibri" w:cs="Calibri"/>
                <w:spacing w:val="52"/>
                <w:w w:val="99"/>
                <w:sz w:val="20"/>
                <w:szCs w:val="20"/>
              </w:rPr>
              <w:t xml:space="preserve"> </w:t>
            </w:r>
            <w:r w:rsidRPr="005B2FC3">
              <w:rPr>
                <w:rFonts w:ascii="Calibri" w:hAnsi="Calibri" w:cs="Calibri"/>
                <w:sz w:val="20"/>
                <w:szCs w:val="20"/>
              </w:rPr>
              <w:t>the</w:t>
            </w:r>
            <w:r w:rsidRPr="005B2FC3">
              <w:rPr>
                <w:rFonts w:ascii="Calibri" w:hAnsi="Calibri" w:cs="Calibri"/>
                <w:spacing w:val="-6"/>
                <w:sz w:val="20"/>
                <w:szCs w:val="20"/>
              </w:rPr>
              <w:t xml:space="preserve"> </w:t>
            </w:r>
            <w:r w:rsidRPr="005B2FC3">
              <w:rPr>
                <w:rFonts w:ascii="Calibri" w:hAnsi="Calibri" w:cs="Calibri"/>
                <w:spacing w:val="-1"/>
                <w:sz w:val="20"/>
                <w:szCs w:val="20"/>
              </w:rPr>
              <w:t>percent</w:t>
            </w:r>
            <w:r w:rsidRPr="005B2FC3">
              <w:rPr>
                <w:rFonts w:ascii="Calibri" w:hAnsi="Calibri" w:cs="Calibri"/>
                <w:spacing w:val="-5"/>
                <w:sz w:val="20"/>
                <w:szCs w:val="20"/>
              </w:rPr>
              <w:t xml:space="preserve"> </w:t>
            </w:r>
            <w:r w:rsidRPr="005B2FC3">
              <w:rPr>
                <w:rFonts w:ascii="Calibri" w:hAnsi="Calibri" w:cs="Calibri"/>
                <w:sz w:val="20"/>
                <w:szCs w:val="20"/>
              </w:rPr>
              <w:t>of</w:t>
            </w:r>
            <w:r w:rsidRPr="005B2FC3">
              <w:rPr>
                <w:rFonts w:ascii="Calibri" w:hAnsi="Calibri" w:cs="Calibri"/>
                <w:spacing w:val="-5"/>
                <w:sz w:val="20"/>
                <w:szCs w:val="20"/>
              </w:rPr>
              <w:t xml:space="preserve"> </w:t>
            </w:r>
            <w:r w:rsidRPr="005B2FC3">
              <w:rPr>
                <w:rFonts w:ascii="Calibri" w:hAnsi="Calibri" w:cs="Calibri"/>
                <w:sz w:val="20"/>
                <w:szCs w:val="20"/>
              </w:rPr>
              <w:t>the</w:t>
            </w:r>
            <w:r w:rsidRPr="005B2FC3">
              <w:rPr>
                <w:rFonts w:ascii="Calibri" w:hAnsi="Calibri" w:cs="Calibri"/>
                <w:spacing w:val="-6"/>
                <w:sz w:val="20"/>
                <w:szCs w:val="20"/>
              </w:rPr>
              <w:t xml:space="preserve"> </w:t>
            </w:r>
            <w:r w:rsidRPr="005B2FC3">
              <w:rPr>
                <w:rFonts w:ascii="Calibri" w:hAnsi="Calibri" w:cs="Calibri"/>
                <w:sz w:val="20"/>
                <w:szCs w:val="20"/>
              </w:rPr>
              <w:t>total</w:t>
            </w:r>
            <w:r w:rsidRPr="005B2FC3">
              <w:rPr>
                <w:rFonts w:ascii="Calibri" w:hAnsi="Calibri" w:cs="Calibri"/>
                <w:spacing w:val="-5"/>
                <w:sz w:val="20"/>
                <w:szCs w:val="20"/>
              </w:rPr>
              <w:t xml:space="preserve"> </w:t>
            </w:r>
            <w:r w:rsidRPr="005B2FC3">
              <w:rPr>
                <w:rFonts w:ascii="Calibri" w:hAnsi="Calibri" w:cs="Calibri"/>
                <w:sz w:val="20"/>
                <w:szCs w:val="20"/>
              </w:rPr>
              <w:t>unadjusted</w:t>
            </w:r>
            <w:r w:rsidRPr="005B2FC3">
              <w:rPr>
                <w:rFonts w:ascii="Calibri" w:hAnsi="Calibri" w:cs="Calibri"/>
                <w:spacing w:val="-5"/>
                <w:sz w:val="20"/>
                <w:szCs w:val="20"/>
              </w:rPr>
              <w:t xml:space="preserve"> </w:t>
            </w:r>
            <w:r w:rsidRPr="005B2FC3">
              <w:rPr>
                <w:rFonts w:ascii="Calibri" w:hAnsi="Calibri" w:cs="Calibri"/>
                <w:sz w:val="20"/>
                <w:szCs w:val="20"/>
              </w:rPr>
              <w:t>decile</w:t>
            </w:r>
            <w:r w:rsidRPr="005B2FC3">
              <w:rPr>
                <w:rFonts w:ascii="Calibri" w:hAnsi="Calibri" w:cs="Calibri"/>
                <w:spacing w:val="-5"/>
                <w:sz w:val="20"/>
                <w:szCs w:val="20"/>
              </w:rPr>
              <w:t xml:space="preserve"> </w:t>
            </w:r>
            <w:r w:rsidRPr="005B2FC3">
              <w:rPr>
                <w:rFonts w:ascii="Calibri" w:hAnsi="Calibri" w:cs="Calibri"/>
                <w:sz w:val="20"/>
                <w:szCs w:val="20"/>
              </w:rPr>
              <w:t>ranked</w:t>
            </w:r>
            <w:r w:rsidRPr="005B2FC3">
              <w:rPr>
                <w:rFonts w:ascii="Calibri" w:hAnsi="Calibri" w:cs="Calibri"/>
                <w:spacing w:val="-5"/>
                <w:sz w:val="20"/>
                <w:szCs w:val="20"/>
              </w:rPr>
              <w:t xml:space="preserve"> </w:t>
            </w:r>
            <w:r w:rsidRPr="005B2FC3">
              <w:rPr>
                <w:rFonts w:ascii="Calibri" w:hAnsi="Calibri" w:cs="Calibri"/>
                <w:sz w:val="20"/>
                <w:szCs w:val="20"/>
              </w:rPr>
              <w:t>clinics</w:t>
            </w:r>
            <w:r w:rsidRPr="005B2FC3">
              <w:rPr>
                <w:rFonts w:ascii="Calibri" w:hAnsi="Calibri" w:cs="Calibri"/>
                <w:spacing w:val="-6"/>
                <w:sz w:val="20"/>
                <w:szCs w:val="20"/>
              </w:rPr>
              <w:t xml:space="preserve"> </w:t>
            </w:r>
            <w:r w:rsidRPr="005B2FC3">
              <w:rPr>
                <w:rFonts w:ascii="Calibri" w:hAnsi="Calibri" w:cs="Calibri"/>
                <w:sz w:val="20"/>
                <w:szCs w:val="20"/>
              </w:rPr>
              <w:t>in</w:t>
            </w:r>
            <w:r w:rsidRPr="005B2FC3">
              <w:rPr>
                <w:rFonts w:ascii="Calibri" w:hAnsi="Calibri" w:cs="Calibri"/>
                <w:spacing w:val="-2"/>
                <w:sz w:val="20"/>
                <w:szCs w:val="20"/>
              </w:rPr>
              <w:t xml:space="preserve"> </w:t>
            </w:r>
            <w:r w:rsidRPr="005B2FC3">
              <w:rPr>
                <w:rFonts w:ascii="Calibri" w:hAnsi="Calibri" w:cs="Calibri"/>
                <w:spacing w:val="-1"/>
                <w:sz w:val="20"/>
                <w:szCs w:val="20"/>
              </w:rPr>
              <w:t>each</w:t>
            </w:r>
            <w:r w:rsidRPr="005B2FC3">
              <w:rPr>
                <w:rFonts w:ascii="Calibri" w:hAnsi="Calibri" w:cs="Calibri"/>
                <w:spacing w:val="-5"/>
                <w:sz w:val="20"/>
                <w:szCs w:val="20"/>
              </w:rPr>
              <w:t xml:space="preserve"> </w:t>
            </w:r>
            <w:r w:rsidRPr="005B2FC3">
              <w:rPr>
                <w:rFonts w:ascii="Calibri" w:hAnsi="Calibri" w:cs="Calibri"/>
                <w:spacing w:val="-1"/>
                <w:sz w:val="20"/>
                <w:szCs w:val="20"/>
              </w:rPr>
              <w:t>cell.</w:t>
            </w:r>
          </w:p>
        </w:tc>
      </w:tr>
    </w:tbl>
    <w:p w:rsidR="002F2583" w:rsidRDefault="002F2583" w:rsidP="002F2583">
      <w:pPr>
        <w:pStyle w:val="NoSpacing"/>
        <w:rPr>
          <w:rFonts w:cstheme="minorHAnsi"/>
        </w:rPr>
      </w:pPr>
    </w:p>
    <w:p w:rsidR="002F2583" w:rsidRPr="00827B7B" w:rsidRDefault="002F2583" w:rsidP="002F2583">
      <w:pPr>
        <w:pStyle w:val="NoSpacing"/>
        <w:rPr>
          <w:rFonts w:asciiTheme="minorHAnsi" w:hAnsiTheme="minorHAnsi"/>
          <w:b/>
          <w:szCs w:val="20"/>
        </w:rPr>
      </w:pPr>
      <w:r w:rsidRPr="00827B7B">
        <w:rPr>
          <w:rFonts w:asciiTheme="minorHAnsi" w:hAnsiTheme="minorHAnsi"/>
          <w:b/>
          <w:szCs w:val="20"/>
        </w:rPr>
        <w:t xml:space="preserve">Depression at </w:t>
      </w:r>
      <w:r>
        <w:rPr>
          <w:rFonts w:asciiTheme="minorHAnsi" w:hAnsiTheme="minorHAnsi"/>
          <w:b/>
          <w:szCs w:val="20"/>
        </w:rPr>
        <w:t>12 M</w:t>
      </w:r>
      <w:r w:rsidRPr="00827B7B">
        <w:rPr>
          <w:rFonts w:asciiTheme="minorHAnsi" w:hAnsiTheme="minorHAnsi"/>
          <w:b/>
          <w:szCs w:val="20"/>
        </w:rPr>
        <w:t xml:space="preserve">onths </w:t>
      </w:r>
      <w:r>
        <w:rPr>
          <w:rFonts w:asciiTheme="minorHAnsi" w:hAnsiTheme="minorHAnsi"/>
          <w:b/>
          <w:szCs w:val="20"/>
        </w:rPr>
        <w:t>Response</w:t>
      </w:r>
    </w:p>
    <w:p w:rsidR="002F2583" w:rsidRPr="00827B7B" w:rsidRDefault="002F2583" w:rsidP="002F2583">
      <w:pPr>
        <w:pStyle w:val="NoSpacing"/>
        <w:rPr>
          <w:rFonts w:asciiTheme="minorHAnsi" w:hAnsiTheme="minorHAnsi"/>
          <w:b/>
          <w:i/>
          <w:szCs w:val="20"/>
        </w:rPr>
      </w:pPr>
      <w:r w:rsidRPr="00827B7B">
        <w:rPr>
          <w:rFonts w:asciiTheme="minorHAnsi" w:hAnsiTheme="minorHAnsi"/>
          <w:b/>
          <w:i/>
          <w:szCs w:val="20"/>
        </w:rPr>
        <w:t>Risk Variables: Product, Severity, Age Band</w:t>
      </w:r>
    </w:p>
    <w:p w:rsidR="002F2583" w:rsidRDefault="002F2583" w:rsidP="002F2583">
      <w:pPr>
        <w:pStyle w:val="NoSpacing"/>
        <w:rPr>
          <w:rFonts w:asciiTheme="minorHAnsi" w:hAnsiTheme="minorHAnsi"/>
          <w:szCs w:val="20"/>
        </w:rPr>
      </w:pPr>
      <w:r w:rsidRPr="00827B7B">
        <w:rPr>
          <w:rFonts w:asciiTheme="minorHAnsi" w:hAnsiTheme="minorHAnsi"/>
          <w:szCs w:val="20"/>
        </w:rPr>
        <w:t>Clinic Distribution 2013 Dates</w:t>
      </w:r>
    </w:p>
    <w:p w:rsidR="002F2583" w:rsidRDefault="002F2583" w:rsidP="002F2583">
      <w:pPr>
        <w:pStyle w:val="NoSpacing"/>
        <w:rPr>
          <w:rFonts w:asciiTheme="minorHAnsi" w:hAnsiTheme="minorHAnsi"/>
          <w:szCs w:val="20"/>
        </w:rPr>
      </w:pPr>
    </w:p>
    <w:p w:rsidR="002F2583" w:rsidRPr="00A75DC6" w:rsidRDefault="002F2583" w:rsidP="002F2583">
      <w:pPr>
        <w:pStyle w:val="NoSpacing"/>
        <w:rPr>
          <w:rFonts w:asciiTheme="minorHAnsi" w:hAnsiTheme="minorHAnsi"/>
          <w:b/>
          <w:sz w:val="20"/>
          <w:szCs w:val="20"/>
        </w:rPr>
      </w:pPr>
      <w:r w:rsidRPr="00A75DC6">
        <w:rPr>
          <w:rFonts w:asciiTheme="minorHAnsi" w:hAnsiTheme="minorHAnsi"/>
          <w:b/>
          <w:sz w:val="20"/>
          <w:szCs w:val="20"/>
        </w:rPr>
        <w:t>Result Compared to Expected</w:t>
      </w:r>
    </w:p>
    <w:tbl>
      <w:tblPr>
        <w:tblStyle w:val="TableGrid"/>
        <w:tblW w:w="0" w:type="auto"/>
        <w:tblLook w:val="04A0" w:firstRow="1" w:lastRow="0" w:firstColumn="1" w:lastColumn="0" w:noHBand="0" w:noVBand="1"/>
      </w:tblPr>
      <w:tblGrid>
        <w:gridCol w:w="1230"/>
        <w:gridCol w:w="960"/>
        <w:gridCol w:w="962"/>
        <w:gridCol w:w="960"/>
        <w:gridCol w:w="960"/>
      </w:tblGrid>
      <w:tr w:rsidR="002F2583" w:rsidRPr="00A75DC6" w:rsidTr="00BA71C1">
        <w:trPr>
          <w:trHeight w:val="300"/>
        </w:trPr>
        <w:tc>
          <w:tcPr>
            <w:tcW w:w="1230" w:type="dxa"/>
            <w:tcBorders>
              <w:top w:val="nil"/>
              <w:left w:val="nil"/>
              <w:bottom w:val="single" w:sz="4" w:space="0" w:color="auto"/>
              <w:right w:val="single" w:sz="4" w:space="0" w:color="auto"/>
            </w:tcBorders>
            <w:noWrap/>
          </w:tcPr>
          <w:p w:rsidR="002F2583" w:rsidRPr="00A75DC6" w:rsidRDefault="002F2583" w:rsidP="00BA71C1">
            <w:pPr>
              <w:pStyle w:val="NoSpacing"/>
              <w:rPr>
                <w:rFonts w:asciiTheme="minorHAnsi" w:hAnsiTheme="minorHAnsi"/>
                <w:sz w:val="20"/>
                <w:szCs w:val="20"/>
              </w:rPr>
            </w:pPr>
          </w:p>
        </w:tc>
        <w:tc>
          <w:tcPr>
            <w:tcW w:w="3842" w:type="dxa"/>
            <w:gridSpan w:val="4"/>
            <w:tcBorders>
              <w:left w:val="single" w:sz="4" w:space="0" w:color="auto"/>
            </w:tcBorders>
            <w:noWrap/>
          </w:tcPr>
          <w:p w:rsidR="002F2583" w:rsidRPr="00A75DC6" w:rsidRDefault="002F2583" w:rsidP="00BA71C1">
            <w:pPr>
              <w:pStyle w:val="NoSpacing"/>
              <w:rPr>
                <w:rFonts w:asciiTheme="minorHAnsi" w:hAnsiTheme="minorHAnsi"/>
                <w:sz w:val="20"/>
                <w:szCs w:val="20"/>
              </w:rPr>
            </w:pPr>
            <w:r w:rsidRPr="00827B7B">
              <w:rPr>
                <w:rFonts w:asciiTheme="minorHAnsi" w:hAnsiTheme="minorHAnsi"/>
                <w:b/>
                <w:szCs w:val="20"/>
              </w:rPr>
              <w:t>After Risk Adjustment</w:t>
            </w:r>
          </w:p>
        </w:tc>
      </w:tr>
      <w:tr w:rsidR="002F2583" w:rsidRPr="00A75DC6" w:rsidTr="00BA71C1">
        <w:trPr>
          <w:trHeight w:val="300"/>
        </w:trPr>
        <w:tc>
          <w:tcPr>
            <w:tcW w:w="1230" w:type="dxa"/>
            <w:tcBorders>
              <w:top w:val="single" w:sz="4" w:space="0" w:color="auto"/>
            </w:tcBorders>
            <w:noWrap/>
            <w:hideMark/>
          </w:tcPr>
          <w:p w:rsidR="002F2583" w:rsidRPr="00A75DC6" w:rsidRDefault="002F2583" w:rsidP="00BA71C1">
            <w:pPr>
              <w:pStyle w:val="NoSpacing"/>
              <w:rPr>
                <w:rFonts w:asciiTheme="minorHAnsi" w:hAnsiTheme="minorHAnsi"/>
                <w:sz w:val="20"/>
                <w:szCs w:val="20"/>
              </w:rPr>
            </w:pPr>
            <w:r w:rsidRPr="00827B7B">
              <w:rPr>
                <w:rFonts w:asciiTheme="minorHAnsi" w:hAnsiTheme="minorHAnsi"/>
                <w:b/>
                <w:szCs w:val="20"/>
              </w:rPr>
              <w:t>Before RA</w:t>
            </w:r>
          </w:p>
        </w:tc>
        <w:tc>
          <w:tcPr>
            <w:tcW w:w="96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Below</w:t>
            </w:r>
          </w:p>
        </w:tc>
        <w:tc>
          <w:tcPr>
            <w:tcW w:w="962"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Expected</w:t>
            </w:r>
          </w:p>
        </w:tc>
        <w:tc>
          <w:tcPr>
            <w:tcW w:w="96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Above</w:t>
            </w:r>
          </w:p>
        </w:tc>
        <w:tc>
          <w:tcPr>
            <w:tcW w:w="96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Total</w:t>
            </w:r>
          </w:p>
        </w:tc>
      </w:tr>
      <w:tr w:rsidR="002F2583" w:rsidRPr="00A75DC6" w:rsidTr="00BA71C1">
        <w:trPr>
          <w:trHeight w:val="300"/>
        </w:trPr>
        <w:tc>
          <w:tcPr>
            <w:tcW w:w="1230" w:type="dxa"/>
            <w:noWrap/>
            <w:hideMark/>
          </w:tcPr>
          <w:p w:rsidR="002F2583" w:rsidRPr="00A75DC6" w:rsidRDefault="002F2583" w:rsidP="00BA71C1">
            <w:pPr>
              <w:pStyle w:val="NoSpacing"/>
              <w:rPr>
                <w:rFonts w:asciiTheme="minorHAnsi" w:hAnsiTheme="minorHAnsi"/>
                <w:sz w:val="20"/>
                <w:szCs w:val="20"/>
              </w:rPr>
            </w:pPr>
            <w:r>
              <w:rPr>
                <w:rFonts w:asciiTheme="minorHAnsi" w:hAnsiTheme="minorHAnsi"/>
                <w:sz w:val="20"/>
                <w:szCs w:val="20"/>
              </w:rPr>
              <w:t xml:space="preserve">Significantly </w:t>
            </w:r>
            <w:r w:rsidRPr="00A75DC6">
              <w:rPr>
                <w:rFonts w:asciiTheme="minorHAnsi" w:hAnsiTheme="minorHAnsi"/>
                <w:sz w:val="20"/>
                <w:szCs w:val="20"/>
              </w:rPr>
              <w:t>Below</w:t>
            </w:r>
          </w:p>
        </w:tc>
        <w:tc>
          <w:tcPr>
            <w:tcW w:w="960" w:type="dxa"/>
            <w:shd w:val="clear" w:color="auto" w:fill="D9D9D9" w:themeFill="background1" w:themeFillShade="D9"/>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66</w:t>
            </w:r>
          </w:p>
        </w:tc>
        <w:tc>
          <w:tcPr>
            <w:tcW w:w="962" w:type="dxa"/>
            <w:shd w:val="clear" w:color="auto" w:fill="C2D69B" w:themeFill="accent3" w:themeFillTint="99"/>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63</w:t>
            </w:r>
          </w:p>
        </w:tc>
        <w:tc>
          <w:tcPr>
            <w:tcW w:w="960" w:type="dxa"/>
            <w:shd w:val="clear" w:color="auto" w:fill="C2D69B" w:themeFill="accent3" w:themeFillTint="99"/>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0</w:t>
            </w:r>
          </w:p>
        </w:tc>
        <w:tc>
          <w:tcPr>
            <w:tcW w:w="960" w:type="dxa"/>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129</w:t>
            </w:r>
          </w:p>
        </w:tc>
      </w:tr>
      <w:tr w:rsidR="002F2583" w:rsidRPr="00A75DC6" w:rsidTr="00BA71C1">
        <w:trPr>
          <w:trHeight w:val="300"/>
        </w:trPr>
        <w:tc>
          <w:tcPr>
            <w:tcW w:w="123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Average</w:t>
            </w:r>
          </w:p>
        </w:tc>
        <w:tc>
          <w:tcPr>
            <w:tcW w:w="960" w:type="dxa"/>
            <w:shd w:val="clear" w:color="auto" w:fill="E5B8B7" w:themeFill="accent2" w:themeFillTint="66"/>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0</w:t>
            </w:r>
          </w:p>
        </w:tc>
        <w:tc>
          <w:tcPr>
            <w:tcW w:w="962" w:type="dxa"/>
            <w:shd w:val="clear" w:color="auto" w:fill="D9D9D9" w:themeFill="background1" w:themeFillShade="D9"/>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200</w:t>
            </w:r>
          </w:p>
        </w:tc>
        <w:tc>
          <w:tcPr>
            <w:tcW w:w="960" w:type="dxa"/>
            <w:shd w:val="clear" w:color="auto" w:fill="C2D69B" w:themeFill="accent3" w:themeFillTint="99"/>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0</w:t>
            </w:r>
          </w:p>
        </w:tc>
        <w:tc>
          <w:tcPr>
            <w:tcW w:w="960" w:type="dxa"/>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200</w:t>
            </w:r>
          </w:p>
        </w:tc>
      </w:tr>
      <w:tr w:rsidR="002F2583" w:rsidRPr="00A75DC6" w:rsidTr="00BA71C1">
        <w:trPr>
          <w:trHeight w:val="300"/>
        </w:trPr>
        <w:tc>
          <w:tcPr>
            <w:tcW w:w="1230" w:type="dxa"/>
            <w:noWrap/>
            <w:hideMark/>
          </w:tcPr>
          <w:p w:rsidR="002F2583" w:rsidRPr="00A75DC6" w:rsidRDefault="002F2583" w:rsidP="00BA71C1">
            <w:pPr>
              <w:pStyle w:val="NoSpacing"/>
              <w:rPr>
                <w:rFonts w:asciiTheme="minorHAnsi" w:hAnsiTheme="minorHAnsi"/>
                <w:sz w:val="20"/>
                <w:szCs w:val="20"/>
              </w:rPr>
            </w:pPr>
            <w:r>
              <w:rPr>
                <w:rFonts w:asciiTheme="minorHAnsi" w:hAnsiTheme="minorHAnsi"/>
                <w:sz w:val="20"/>
                <w:szCs w:val="20"/>
              </w:rPr>
              <w:t xml:space="preserve">Significantly </w:t>
            </w:r>
            <w:r w:rsidRPr="00A75DC6">
              <w:rPr>
                <w:rFonts w:asciiTheme="minorHAnsi" w:hAnsiTheme="minorHAnsi"/>
                <w:sz w:val="20"/>
                <w:szCs w:val="20"/>
              </w:rPr>
              <w:t>Above</w:t>
            </w:r>
          </w:p>
        </w:tc>
        <w:tc>
          <w:tcPr>
            <w:tcW w:w="960" w:type="dxa"/>
            <w:shd w:val="clear" w:color="auto" w:fill="E5B8B7" w:themeFill="accent2" w:themeFillTint="66"/>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0</w:t>
            </w:r>
          </w:p>
        </w:tc>
        <w:tc>
          <w:tcPr>
            <w:tcW w:w="962" w:type="dxa"/>
            <w:shd w:val="clear" w:color="auto" w:fill="E5B8B7" w:themeFill="accent2" w:themeFillTint="66"/>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13</w:t>
            </w:r>
          </w:p>
        </w:tc>
        <w:tc>
          <w:tcPr>
            <w:tcW w:w="960" w:type="dxa"/>
            <w:shd w:val="clear" w:color="auto" w:fill="D9D9D9" w:themeFill="background1" w:themeFillShade="D9"/>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54</w:t>
            </w:r>
          </w:p>
        </w:tc>
        <w:tc>
          <w:tcPr>
            <w:tcW w:w="960" w:type="dxa"/>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67</w:t>
            </w:r>
          </w:p>
        </w:tc>
      </w:tr>
      <w:tr w:rsidR="002F2583" w:rsidRPr="00A75DC6" w:rsidTr="00BA71C1">
        <w:trPr>
          <w:trHeight w:val="300"/>
        </w:trPr>
        <w:tc>
          <w:tcPr>
            <w:tcW w:w="1230" w:type="dxa"/>
            <w:noWrap/>
            <w:hideMark/>
          </w:tcPr>
          <w:p w:rsidR="002F2583" w:rsidRPr="00A75DC6" w:rsidRDefault="002F2583" w:rsidP="00BA71C1">
            <w:pPr>
              <w:pStyle w:val="NoSpacing"/>
              <w:rPr>
                <w:rFonts w:asciiTheme="minorHAnsi" w:hAnsiTheme="minorHAnsi"/>
                <w:sz w:val="20"/>
                <w:szCs w:val="20"/>
              </w:rPr>
            </w:pPr>
          </w:p>
        </w:tc>
        <w:tc>
          <w:tcPr>
            <w:tcW w:w="960" w:type="dxa"/>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66</w:t>
            </w:r>
          </w:p>
        </w:tc>
        <w:tc>
          <w:tcPr>
            <w:tcW w:w="962" w:type="dxa"/>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276</w:t>
            </w:r>
          </w:p>
        </w:tc>
        <w:tc>
          <w:tcPr>
            <w:tcW w:w="960" w:type="dxa"/>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54</w:t>
            </w:r>
          </w:p>
        </w:tc>
        <w:tc>
          <w:tcPr>
            <w:tcW w:w="960" w:type="dxa"/>
            <w:shd w:val="clear" w:color="auto" w:fill="D9D9D9" w:themeFill="background1" w:themeFillShade="D9"/>
            <w:noWrap/>
            <w:vAlign w:val="center"/>
            <w:hideMark/>
          </w:tcPr>
          <w:p w:rsidR="002F2583" w:rsidRPr="00A75DC6" w:rsidRDefault="002F2583" w:rsidP="00BA71C1">
            <w:pPr>
              <w:pStyle w:val="NoSpacing"/>
              <w:jc w:val="center"/>
              <w:rPr>
                <w:rFonts w:asciiTheme="minorHAnsi" w:hAnsiTheme="minorHAnsi"/>
                <w:sz w:val="20"/>
                <w:szCs w:val="20"/>
              </w:rPr>
            </w:pPr>
            <w:r w:rsidRPr="00A75DC6">
              <w:rPr>
                <w:rFonts w:asciiTheme="minorHAnsi" w:hAnsiTheme="minorHAnsi"/>
                <w:sz w:val="20"/>
                <w:szCs w:val="20"/>
              </w:rPr>
              <w:t>396</w:t>
            </w:r>
          </w:p>
        </w:tc>
      </w:tr>
      <w:tr w:rsidR="002F2583" w:rsidRPr="00A75DC6" w:rsidTr="00BA71C1">
        <w:trPr>
          <w:trHeight w:val="300"/>
        </w:trPr>
        <w:tc>
          <w:tcPr>
            <w:tcW w:w="1230" w:type="dxa"/>
            <w:shd w:val="clear" w:color="auto" w:fill="000000" w:themeFill="text1"/>
            <w:noWrap/>
            <w:hideMark/>
          </w:tcPr>
          <w:p w:rsidR="002F2583" w:rsidRPr="00A75DC6" w:rsidRDefault="002F2583" w:rsidP="00BA71C1">
            <w:pPr>
              <w:pStyle w:val="NoSpacing"/>
              <w:rPr>
                <w:rFonts w:asciiTheme="minorHAnsi" w:hAnsiTheme="minorHAnsi"/>
                <w:sz w:val="20"/>
                <w:szCs w:val="20"/>
              </w:rPr>
            </w:pPr>
          </w:p>
        </w:tc>
        <w:tc>
          <w:tcPr>
            <w:tcW w:w="960" w:type="dxa"/>
            <w:shd w:val="clear" w:color="auto" w:fill="000000" w:themeFill="text1"/>
            <w:noWrap/>
            <w:hideMark/>
          </w:tcPr>
          <w:p w:rsidR="002F2583" w:rsidRPr="00A75DC6" w:rsidRDefault="002F2583" w:rsidP="00BA71C1">
            <w:pPr>
              <w:pStyle w:val="NoSpacing"/>
              <w:rPr>
                <w:rFonts w:asciiTheme="minorHAnsi" w:hAnsiTheme="minorHAnsi"/>
                <w:sz w:val="20"/>
                <w:szCs w:val="20"/>
              </w:rPr>
            </w:pPr>
          </w:p>
        </w:tc>
        <w:tc>
          <w:tcPr>
            <w:tcW w:w="962" w:type="dxa"/>
            <w:shd w:val="clear" w:color="auto" w:fill="000000" w:themeFill="text1"/>
            <w:noWrap/>
            <w:hideMark/>
          </w:tcPr>
          <w:p w:rsidR="002F2583" w:rsidRPr="00A75DC6" w:rsidRDefault="002F2583" w:rsidP="00BA71C1">
            <w:pPr>
              <w:pStyle w:val="NoSpacing"/>
              <w:rPr>
                <w:rFonts w:asciiTheme="minorHAnsi" w:hAnsiTheme="minorHAnsi"/>
                <w:sz w:val="20"/>
                <w:szCs w:val="20"/>
              </w:rPr>
            </w:pPr>
          </w:p>
        </w:tc>
        <w:tc>
          <w:tcPr>
            <w:tcW w:w="960" w:type="dxa"/>
            <w:tcBorders>
              <w:bottom w:val="nil"/>
            </w:tcBorders>
            <w:shd w:val="clear" w:color="auto" w:fill="000000" w:themeFill="text1"/>
            <w:noWrap/>
            <w:hideMark/>
          </w:tcPr>
          <w:p w:rsidR="002F2583" w:rsidRPr="00A75DC6" w:rsidRDefault="002F2583" w:rsidP="00BA71C1">
            <w:pPr>
              <w:pStyle w:val="NoSpacing"/>
              <w:rPr>
                <w:rFonts w:asciiTheme="minorHAnsi" w:hAnsiTheme="minorHAnsi"/>
                <w:sz w:val="20"/>
                <w:szCs w:val="20"/>
              </w:rPr>
            </w:pPr>
          </w:p>
        </w:tc>
        <w:tc>
          <w:tcPr>
            <w:tcW w:w="960" w:type="dxa"/>
            <w:tcBorders>
              <w:bottom w:val="nil"/>
            </w:tcBorders>
            <w:shd w:val="clear" w:color="auto" w:fill="000000" w:themeFill="text1"/>
            <w:noWrap/>
            <w:hideMark/>
          </w:tcPr>
          <w:p w:rsidR="002F2583" w:rsidRPr="00A75DC6" w:rsidRDefault="002F2583" w:rsidP="00BA71C1">
            <w:pPr>
              <w:pStyle w:val="NoSpacing"/>
              <w:rPr>
                <w:rFonts w:asciiTheme="minorHAnsi" w:hAnsiTheme="minorHAnsi"/>
                <w:sz w:val="20"/>
                <w:szCs w:val="20"/>
              </w:rPr>
            </w:pPr>
          </w:p>
        </w:tc>
      </w:tr>
      <w:tr w:rsidR="002F2583" w:rsidRPr="00A75DC6" w:rsidTr="00BA71C1">
        <w:trPr>
          <w:trHeight w:val="300"/>
        </w:trPr>
        <w:tc>
          <w:tcPr>
            <w:tcW w:w="123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Better</w:t>
            </w:r>
          </w:p>
        </w:tc>
        <w:tc>
          <w:tcPr>
            <w:tcW w:w="96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63</w:t>
            </w:r>
          </w:p>
        </w:tc>
        <w:tc>
          <w:tcPr>
            <w:tcW w:w="962"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16%</w:t>
            </w:r>
          </w:p>
        </w:tc>
        <w:tc>
          <w:tcPr>
            <w:tcW w:w="960" w:type="dxa"/>
            <w:tcBorders>
              <w:top w:val="nil"/>
              <w:bottom w:val="nil"/>
              <w:right w:val="nil"/>
            </w:tcBorders>
            <w:noWrap/>
            <w:hideMark/>
          </w:tcPr>
          <w:p w:rsidR="002F2583" w:rsidRPr="00A75DC6" w:rsidRDefault="002F2583" w:rsidP="00BA71C1">
            <w:pPr>
              <w:pStyle w:val="NoSpacing"/>
              <w:rPr>
                <w:rFonts w:asciiTheme="minorHAnsi" w:hAnsiTheme="minorHAnsi"/>
                <w:sz w:val="20"/>
                <w:szCs w:val="20"/>
              </w:rPr>
            </w:pPr>
          </w:p>
        </w:tc>
        <w:tc>
          <w:tcPr>
            <w:tcW w:w="960" w:type="dxa"/>
            <w:tcBorders>
              <w:top w:val="nil"/>
              <w:left w:val="nil"/>
              <w:bottom w:val="nil"/>
              <w:right w:val="nil"/>
            </w:tcBorders>
            <w:noWrap/>
            <w:hideMark/>
          </w:tcPr>
          <w:p w:rsidR="002F2583" w:rsidRPr="00A75DC6" w:rsidRDefault="002F2583" w:rsidP="00BA71C1">
            <w:pPr>
              <w:pStyle w:val="NoSpacing"/>
              <w:rPr>
                <w:rFonts w:asciiTheme="minorHAnsi" w:hAnsiTheme="minorHAnsi"/>
                <w:sz w:val="20"/>
                <w:szCs w:val="20"/>
              </w:rPr>
            </w:pPr>
          </w:p>
        </w:tc>
      </w:tr>
      <w:tr w:rsidR="002F2583" w:rsidRPr="00A75DC6" w:rsidTr="00BA71C1">
        <w:trPr>
          <w:trHeight w:val="300"/>
        </w:trPr>
        <w:tc>
          <w:tcPr>
            <w:tcW w:w="123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 xml:space="preserve">Same </w:t>
            </w:r>
          </w:p>
        </w:tc>
        <w:tc>
          <w:tcPr>
            <w:tcW w:w="96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320</w:t>
            </w:r>
          </w:p>
        </w:tc>
        <w:tc>
          <w:tcPr>
            <w:tcW w:w="962"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81%</w:t>
            </w:r>
          </w:p>
        </w:tc>
        <w:tc>
          <w:tcPr>
            <w:tcW w:w="960" w:type="dxa"/>
            <w:tcBorders>
              <w:top w:val="nil"/>
              <w:bottom w:val="nil"/>
              <w:right w:val="nil"/>
            </w:tcBorders>
            <w:noWrap/>
            <w:hideMark/>
          </w:tcPr>
          <w:p w:rsidR="002F2583" w:rsidRPr="00A75DC6" w:rsidRDefault="002F2583" w:rsidP="00BA71C1">
            <w:pPr>
              <w:pStyle w:val="NoSpacing"/>
              <w:rPr>
                <w:rFonts w:asciiTheme="minorHAnsi" w:hAnsiTheme="minorHAnsi"/>
                <w:sz w:val="20"/>
                <w:szCs w:val="20"/>
              </w:rPr>
            </w:pPr>
          </w:p>
        </w:tc>
        <w:tc>
          <w:tcPr>
            <w:tcW w:w="960" w:type="dxa"/>
            <w:tcBorders>
              <w:top w:val="nil"/>
              <w:left w:val="nil"/>
              <w:bottom w:val="nil"/>
              <w:right w:val="nil"/>
            </w:tcBorders>
            <w:noWrap/>
            <w:hideMark/>
          </w:tcPr>
          <w:p w:rsidR="002F2583" w:rsidRPr="00A75DC6" w:rsidRDefault="002F2583" w:rsidP="00BA71C1">
            <w:pPr>
              <w:pStyle w:val="NoSpacing"/>
              <w:rPr>
                <w:rFonts w:asciiTheme="minorHAnsi" w:hAnsiTheme="minorHAnsi"/>
                <w:sz w:val="20"/>
                <w:szCs w:val="20"/>
              </w:rPr>
            </w:pPr>
          </w:p>
        </w:tc>
      </w:tr>
      <w:tr w:rsidR="002F2583" w:rsidRPr="00A75DC6" w:rsidTr="00BA71C1">
        <w:trPr>
          <w:trHeight w:val="300"/>
        </w:trPr>
        <w:tc>
          <w:tcPr>
            <w:tcW w:w="123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Worse</w:t>
            </w:r>
          </w:p>
        </w:tc>
        <w:tc>
          <w:tcPr>
            <w:tcW w:w="960"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13</w:t>
            </w:r>
          </w:p>
        </w:tc>
        <w:tc>
          <w:tcPr>
            <w:tcW w:w="962" w:type="dxa"/>
            <w:noWrap/>
            <w:hideMark/>
          </w:tcPr>
          <w:p w:rsidR="002F2583" w:rsidRPr="00A75DC6" w:rsidRDefault="002F2583" w:rsidP="00BA71C1">
            <w:pPr>
              <w:pStyle w:val="NoSpacing"/>
              <w:rPr>
                <w:rFonts w:asciiTheme="minorHAnsi" w:hAnsiTheme="minorHAnsi"/>
                <w:sz w:val="20"/>
                <w:szCs w:val="20"/>
              </w:rPr>
            </w:pPr>
            <w:r w:rsidRPr="00A75DC6">
              <w:rPr>
                <w:rFonts w:asciiTheme="minorHAnsi" w:hAnsiTheme="minorHAnsi"/>
                <w:sz w:val="20"/>
                <w:szCs w:val="20"/>
              </w:rPr>
              <w:t>3%</w:t>
            </w:r>
          </w:p>
        </w:tc>
        <w:tc>
          <w:tcPr>
            <w:tcW w:w="960" w:type="dxa"/>
            <w:tcBorders>
              <w:top w:val="nil"/>
              <w:bottom w:val="nil"/>
              <w:right w:val="nil"/>
            </w:tcBorders>
            <w:noWrap/>
            <w:hideMark/>
          </w:tcPr>
          <w:p w:rsidR="002F2583" w:rsidRPr="00A75DC6" w:rsidRDefault="002F2583" w:rsidP="00BA71C1">
            <w:pPr>
              <w:pStyle w:val="NoSpacing"/>
              <w:rPr>
                <w:rFonts w:asciiTheme="minorHAnsi" w:hAnsiTheme="minorHAnsi"/>
                <w:sz w:val="20"/>
                <w:szCs w:val="20"/>
              </w:rPr>
            </w:pPr>
          </w:p>
        </w:tc>
        <w:tc>
          <w:tcPr>
            <w:tcW w:w="960" w:type="dxa"/>
            <w:tcBorders>
              <w:top w:val="nil"/>
              <w:left w:val="nil"/>
              <w:bottom w:val="nil"/>
              <w:right w:val="nil"/>
            </w:tcBorders>
            <w:noWrap/>
            <w:hideMark/>
          </w:tcPr>
          <w:p w:rsidR="002F2583" w:rsidRPr="00A75DC6" w:rsidRDefault="002F2583" w:rsidP="00BA71C1">
            <w:pPr>
              <w:pStyle w:val="NoSpacing"/>
              <w:rPr>
                <w:rFonts w:asciiTheme="minorHAnsi" w:hAnsiTheme="minorHAnsi"/>
                <w:sz w:val="20"/>
                <w:szCs w:val="20"/>
              </w:rPr>
            </w:pPr>
          </w:p>
        </w:tc>
      </w:tr>
    </w:tbl>
    <w:p w:rsidR="002F2583" w:rsidRDefault="002F2583" w:rsidP="002F2583">
      <w:pPr>
        <w:autoSpaceDE w:val="0"/>
        <w:autoSpaceDN w:val="0"/>
        <w:adjustRightInd w:val="0"/>
        <w:spacing w:after="0" w:line="240" w:lineRule="auto"/>
        <w:rPr>
          <w:rFonts w:cstheme="minorHAnsi"/>
          <w:bCs/>
          <w:color w:val="1F497D" w:themeColor="text2"/>
        </w:rPr>
      </w:pPr>
    </w:p>
    <w:p w:rsidR="0075271E" w:rsidRDefault="0075271E" w:rsidP="002F2583">
      <w:pPr>
        <w:pStyle w:val="NoSpacing"/>
        <w:rPr>
          <w:rFonts w:cstheme="minorHAnsi"/>
          <w:b/>
        </w:rPr>
      </w:pPr>
    </w:p>
    <w:p w:rsidR="00092566"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A94B33" w:rsidRPr="00A94B33" w:rsidRDefault="00A94B33" w:rsidP="00092566">
      <w:pPr>
        <w:autoSpaceDE w:val="0"/>
        <w:autoSpaceDN w:val="0"/>
        <w:adjustRightInd w:val="0"/>
        <w:spacing w:after="0" w:line="240" w:lineRule="auto"/>
        <w:rPr>
          <w:rFonts w:cstheme="minorHAnsi"/>
          <w:bCs/>
          <w:color w:val="1F497D" w:themeColor="text2"/>
          <w:sz w:val="12"/>
        </w:rPr>
      </w:pPr>
    </w:p>
    <w:p w:rsidR="002F2583" w:rsidRDefault="00A900DE" w:rsidP="002F2583">
      <w:pPr>
        <w:pStyle w:val="NoSpacing"/>
        <w:rPr>
          <w:rFonts w:cstheme="minorHAnsi"/>
          <w:bCs/>
        </w:rPr>
      </w:pPr>
      <w:r w:rsidRPr="00FB7B89">
        <w:rPr>
          <w:rFonts w:cstheme="minorHAnsi"/>
          <w:bCs/>
        </w:rPr>
        <w:t>We tested the overall correlation between the unadjusted and risk adjusted depression measure using two methods, a Pearson correlation and a Kendall’s Tau correlation. In both cases, the value 1 represents a perfect correlation and the value 0 represents a complete lack of correlation between unadjusted and adjusted measures. The Pearson correlation compares the risk adjusted and unadjusted clinic depression values, and is .95 which shows a very strong correlation between the unadjusted and adjusted depression measure. The Kendall’s Tau correlation compares unadjusted and adjusted rank order of clinics, and was .81. This is still a strong correlation, but not as strong as the .95 correlation between risk adjusted and unadjusted clinic values.</w:t>
      </w:r>
      <w:r w:rsidR="00FB7B89" w:rsidRPr="00FB7B89">
        <w:rPr>
          <w:rFonts w:cstheme="minorHAnsi"/>
          <w:bCs/>
        </w:rPr>
        <w:t xml:space="preserve"> </w:t>
      </w:r>
    </w:p>
    <w:p w:rsidR="002F2583" w:rsidRDefault="002F2583" w:rsidP="002F2583">
      <w:pPr>
        <w:pStyle w:val="NoSpacing"/>
        <w:rPr>
          <w:rFonts w:cstheme="minorHAnsi"/>
          <w:bCs/>
        </w:rPr>
      </w:pPr>
    </w:p>
    <w:p w:rsidR="002F2583" w:rsidRDefault="002F2583" w:rsidP="00FD460E">
      <w:pPr>
        <w:pStyle w:val="NoSpacing"/>
        <w:rPr>
          <w:rFonts w:cstheme="minorHAnsi"/>
          <w:bCs/>
          <w:color w:val="1F497D" w:themeColor="text2"/>
        </w:rPr>
      </w:pPr>
    </w:p>
    <w:p w:rsidR="00FD460E" w:rsidRPr="00FD460E" w:rsidRDefault="00FD460E" w:rsidP="00FD460E">
      <w:pPr>
        <w:pStyle w:val="NoSpacing"/>
        <w:rPr>
          <w:rFonts w:asciiTheme="minorHAnsi" w:hAnsiTheme="minorHAnsi"/>
          <w:b/>
          <w:szCs w:val="20"/>
        </w:rPr>
      </w:pPr>
    </w:p>
    <w:p w:rsidR="00FB7B89" w:rsidRPr="00D6558D" w:rsidRDefault="00FB7B89" w:rsidP="00D6558D">
      <w:pPr>
        <w:autoSpaceDE w:val="0"/>
        <w:autoSpaceDN w:val="0"/>
        <w:adjustRightInd w:val="0"/>
        <w:spacing w:after="0" w:line="240" w:lineRule="auto"/>
        <w:rPr>
          <w:rFonts w:cstheme="minorHAnsi"/>
          <w:bCs/>
          <w:color w:val="FF0000"/>
        </w:rPr>
      </w:pPr>
      <w:r w:rsidRPr="003E7EC7">
        <w:rPr>
          <w:rFonts w:cstheme="minorHAnsi"/>
          <w:bCs/>
          <w:color w:val="FF0000"/>
        </w:rPr>
        <w:lastRenderedPageBreak/>
        <w:t>Updated</w:t>
      </w:r>
      <w:r>
        <w:rPr>
          <w:rFonts w:cstheme="minorHAnsi"/>
          <w:bCs/>
          <w:color w:val="FF0000"/>
        </w:rPr>
        <w:t xml:space="preserve"> [2014]</w:t>
      </w:r>
      <w:r w:rsidRPr="003E7EC7">
        <w:rPr>
          <w:rFonts w:cstheme="minorHAnsi"/>
          <w:bCs/>
          <w:color w:val="FF0000"/>
        </w:rPr>
        <w:t xml:space="preserve">:  </w:t>
      </w:r>
      <w:r w:rsidR="00D6558D" w:rsidRPr="00D6558D">
        <w:rPr>
          <w:rFonts w:cstheme="minorHAnsi"/>
          <w:bCs/>
          <w:color w:val="FF0000"/>
        </w:rPr>
        <w:t xml:space="preserve"> </w:t>
      </w:r>
      <w:r w:rsidRPr="00D6558D">
        <w:rPr>
          <w:rFonts w:cstheme="minorHAnsi"/>
          <w:bCs/>
          <w:color w:val="FF0000"/>
        </w:rPr>
        <w:t>Depression R</w:t>
      </w:r>
      <w:r w:rsidR="00FD460E">
        <w:rPr>
          <w:rFonts w:cstheme="minorHAnsi"/>
          <w:bCs/>
          <w:color w:val="FF0000"/>
        </w:rPr>
        <w:t>esponse</w:t>
      </w:r>
      <w:r w:rsidRPr="00D6558D">
        <w:rPr>
          <w:rFonts w:cstheme="minorHAnsi"/>
          <w:bCs/>
          <w:color w:val="FF0000"/>
        </w:rPr>
        <w:t xml:space="preserve"> at Twelve Months </w:t>
      </w:r>
    </w:p>
    <w:p w:rsidR="00FB7B89" w:rsidRPr="00D6558D" w:rsidRDefault="00FB7B89" w:rsidP="00D6558D">
      <w:pPr>
        <w:autoSpaceDE w:val="0"/>
        <w:autoSpaceDN w:val="0"/>
        <w:adjustRightInd w:val="0"/>
        <w:spacing w:after="120" w:line="240" w:lineRule="auto"/>
        <w:rPr>
          <w:rFonts w:cstheme="minorHAnsi"/>
          <w:bCs/>
          <w:color w:val="FF0000"/>
        </w:rPr>
      </w:pPr>
      <w:r w:rsidRPr="00D6558D">
        <w:rPr>
          <w:rFonts w:cstheme="minorHAnsi"/>
          <w:bCs/>
          <w:color w:val="FF0000"/>
        </w:rPr>
        <w:t>Summary of Variables Significance Testing (T test at .01)</w:t>
      </w:r>
    </w:p>
    <w:tbl>
      <w:tblPr>
        <w:tblW w:w="7377" w:type="dxa"/>
        <w:tblInd w:w="93" w:type="dxa"/>
        <w:tblLook w:val="04A0" w:firstRow="1" w:lastRow="0" w:firstColumn="1" w:lastColumn="0" w:noHBand="0" w:noVBand="1"/>
      </w:tblPr>
      <w:tblGrid>
        <w:gridCol w:w="3303"/>
        <w:gridCol w:w="1302"/>
        <w:gridCol w:w="1512"/>
        <w:gridCol w:w="611"/>
        <w:gridCol w:w="649"/>
      </w:tblGrid>
      <w:tr w:rsidR="00FB7B89" w:rsidRPr="00A31513" w:rsidTr="00D6558D">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p>
        </w:tc>
        <w:tc>
          <w:tcPr>
            <w:tcW w:w="3425" w:type="dxa"/>
            <w:gridSpan w:val="3"/>
            <w:tcBorders>
              <w:top w:val="single" w:sz="4" w:space="0" w:color="auto"/>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b/>
                <w:bCs/>
                <w:color w:val="000000"/>
              </w:rPr>
            </w:pPr>
            <w:r w:rsidRPr="00A31513">
              <w:rPr>
                <w:rFonts w:ascii="Calibri" w:eastAsia="Times New Roman" w:hAnsi="Calibri" w:cs="Times New Roman"/>
                <w:b/>
                <w:bCs/>
                <w:color w:val="000000"/>
              </w:rPr>
              <w:t>12 Month Depression Measure Suite</w:t>
            </w:r>
          </w:p>
        </w:tc>
        <w:tc>
          <w:tcPr>
            <w:tcW w:w="649" w:type="dxa"/>
            <w:tcBorders>
              <w:top w:val="single" w:sz="4" w:space="0" w:color="auto"/>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b/>
                <w:bCs/>
                <w:color w:val="000000"/>
                <w:u w:val="single"/>
              </w:rPr>
            </w:pPr>
            <w:r w:rsidRPr="00A31513">
              <w:rPr>
                <w:rFonts w:ascii="Calibri" w:eastAsia="Times New Roman" w:hAnsi="Calibri" w:cs="Times New Roman"/>
                <w:b/>
                <w:bCs/>
                <w:color w:val="000000"/>
                <w:u w:val="single"/>
              </w:rPr>
              <w:t>Follow Up</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b/>
                <w:bCs/>
                <w:color w:val="000000"/>
                <w:u w:val="single"/>
              </w:rPr>
            </w:pPr>
            <w:r w:rsidRPr="00A31513">
              <w:rPr>
                <w:rFonts w:ascii="Calibri" w:eastAsia="Times New Roman" w:hAnsi="Calibri" w:cs="Times New Roman"/>
                <w:b/>
                <w:bCs/>
                <w:color w:val="000000"/>
                <w:u w:val="single"/>
              </w:rPr>
              <w:t>Re</w:t>
            </w:r>
            <w:r>
              <w:rPr>
                <w:rFonts w:ascii="Calibri" w:eastAsia="Times New Roman" w:hAnsi="Calibri" w:cs="Times New Roman"/>
                <w:b/>
                <w:bCs/>
                <w:color w:val="000000"/>
                <w:u w:val="single"/>
              </w:rPr>
              <w:t>s</w:t>
            </w:r>
            <w:r w:rsidRPr="00A31513">
              <w:rPr>
                <w:rFonts w:ascii="Calibri" w:eastAsia="Times New Roman" w:hAnsi="Calibri" w:cs="Times New Roman"/>
                <w:b/>
                <w:bCs/>
                <w:color w:val="000000"/>
                <w:u w:val="single"/>
              </w:rPr>
              <w:t>ponse</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b/>
                <w:bCs/>
                <w:color w:val="000000"/>
                <w:u w:val="single"/>
              </w:rPr>
            </w:pPr>
            <w:r w:rsidRPr="00A31513">
              <w:rPr>
                <w:rFonts w:ascii="Calibri" w:eastAsia="Times New Roman" w:hAnsi="Calibri" w:cs="Times New Roman"/>
                <w:b/>
                <w:bCs/>
                <w:color w:val="000000"/>
                <w:u w:val="single"/>
              </w:rPr>
              <w:t>Remission</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b/>
                <w:bCs/>
                <w:color w:val="000000"/>
              </w:rPr>
            </w:pPr>
            <w:r w:rsidRPr="00A31513">
              <w:rPr>
                <w:rFonts w:ascii="Calibri" w:eastAsia="Times New Roman" w:hAnsi="Calibri" w:cs="Times New Roman"/>
                <w:b/>
                <w:bCs/>
                <w:color w:val="000000"/>
              </w:rPr>
              <w:t>Product - Compared to Commercial</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Medicare</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0.182</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0.068</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MHCP</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Uninsured</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b/>
                <w:bCs/>
                <w:color w:val="000000"/>
              </w:rPr>
            </w:pPr>
            <w:r w:rsidRPr="00A31513">
              <w:rPr>
                <w:rFonts w:ascii="Calibri" w:eastAsia="Times New Roman" w:hAnsi="Calibri" w:cs="Times New Roman"/>
                <w:b/>
                <w:bCs/>
                <w:color w:val="000000"/>
              </w:rPr>
              <w:t>Age - Compared to 51-65</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18-25</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r>
      <w:tr w:rsidR="00FB7B89" w:rsidRPr="00A31513" w:rsidTr="00FD460E">
        <w:trPr>
          <w:trHeight w:val="324"/>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26-50</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Over 65</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0.144</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b/>
                <w:bCs/>
                <w:color w:val="000000"/>
              </w:rPr>
            </w:pPr>
            <w:r w:rsidRPr="00A31513">
              <w:rPr>
                <w:rFonts w:ascii="Calibri" w:eastAsia="Times New Roman" w:hAnsi="Calibri" w:cs="Times New Roman"/>
                <w:b/>
                <w:bCs/>
                <w:color w:val="000000"/>
              </w:rPr>
              <w:t>Severity- Compared to Moderate</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Moderately Severe</w:t>
            </w:r>
          </w:p>
        </w:tc>
        <w:tc>
          <w:tcPr>
            <w:tcW w:w="1302" w:type="dxa"/>
            <w:tcBorders>
              <w:top w:val="nil"/>
              <w:left w:val="single" w:sz="4" w:space="0" w:color="auto"/>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0.01</w:t>
            </w:r>
          </w:p>
        </w:tc>
        <w:tc>
          <w:tcPr>
            <w:tcW w:w="1512" w:type="dxa"/>
            <w:tcBorders>
              <w:top w:val="nil"/>
              <w:left w:val="nil"/>
              <w:bottom w:val="nil"/>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0.233</w:t>
            </w:r>
          </w:p>
        </w:tc>
        <w:tc>
          <w:tcPr>
            <w:tcW w:w="1260" w:type="dxa"/>
            <w:gridSpan w:val="2"/>
            <w:tcBorders>
              <w:top w:val="nil"/>
              <w:left w:val="nil"/>
              <w:bottom w:val="nil"/>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r>
      <w:tr w:rsidR="00FB7B89" w:rsidRPr="00A31513" w:rsidTr="00FD460E">
        <w:trPr>
          <w:trHeight w:val="288"/>
        </w:trPr>
        <w:tc>
          <w:tcPr>
            <w:tcW w:w="3303" w:type="dxa"/>
            <w:tcBorders>
              <w:top w:val="nil"/>
              <w:left w:val="nil"/>
              <w:bottom w:val="nil"/>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sidRPr="00A31513">
              <w:rPr>
                <w:rFonts w:ascii="Calibri" w:eastAsia="Times New Roman" w:hAnsi="Calibri" w:cs="Times New Roman"/>
                <w:color w:val="000000"/>
              </w:rPr>
              <w:t xml:space="preserve">Severe </w:t>
            </w:r>
          </w:p>
        </w:tc>
        <w:tc>
          <w:tcPr>
            <w:tcW w:w="1302" w:type="dxa"/>
            <w:tcBorders>
              <w:top w:val="nil"/>
              <w:left w:val="single" w:sz="4" w:space="0" w:color="auto"/>
              <w:bottom w:val="single" w:sz="4" w:space="0" w:color="auto"/>
              <w:right w:val="nil"/>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0.01</w:t>
            </w:r>
          </w:p>
        </w:tc>
        <w:tc>
          <w:tcPr>
            <w:tcW w:w="1512" w:type="dxa"/>
            <w:tcBorders>
              <w:top w:val="nil"/>
              <w:left w:val="nil"/>
              <w:bottom w:val="single" w:sz="4" w:space="0" w:color="auto"/>
              <w:right w:val="nil"/>
            </w:tcBorders>
            <w:shd w:val="clear" w:color="auto" w:fill="DBE5F1" w:themeFill="accent1" w:themeFillTint="33"/>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0.05</w:t>
            </w:r>
          </w:p>
        </w:tc>
        <w:tc>
          <w:tcPr>
            <w:tcW w:w="1260" w:type="dxa"/>
            <w:gridSpan w:val="2"/>
            <w:tcBorders>
              <w:top w:val="nil"/>
              <w:left w:val="nil"/>
              <w:bottom w:val="single" w:sz="4" w:space="0" w:color="auto"/>
              <w:right w:val="single" w:sz="4" w:space="0" w:color="auto"/>
            </w:tcBorders>
            <w:shd w:val="clear" w:color="auto" w:fill="auto"/>
            <w:noWrap/>
            <w:vAlign w:val="bottom"/>
            <w:hideMark/>
          </w:tcPr>
          <w:p w:rsidR="00FB7B89" w:rsidRPr="00A31513" w:rsidRDefault="00FB7B89" w:rsidP="00D57C0F">
            <w:pPr>
              <w:spacing w:after="0" w:line="240" w:lineRule="auto"/>
              <w:rPr>
                <w:rFonts w:ascii="Calibri" w:eastAsia="Times New Roman" w:hAnsi="Calibri" w:cs="Times New Roman"/>
                <w:color w:val="000000"/>
              </w:rPr>
            </w:pPr>
            <w:r>
              <w:rPr>
                <w:rFonts w:ascii="Calibri" w:eastAsia="Times New Roman" w:hAnsi="Calibri" w:cs="Times New Roman"/>
                <w:color w:val="000000"/>
              </w:rPr>
              <w:t>&lt;=.01</w:t>
            </w:r>
          </w:p>
        </w:tc>
      </w:tr>
      <w:tr w:rsidR="00FD460E" w:rsidRPr="00A31513" w:rsidTr="00D6558D">
        <w:trPr>
          <w:trHeight w:val="288"/>
        </w:trPr>
        <w:tc>
          <w:tcPr>
            <w:tcW w:w="3303" w:type="dxa"/>
            <w:tcBorders>
              <w:top w:val="nil"/>
              <w:left w:val="nil"/>
              <w:bottom w:val="nil"/>
              <w:right w:val="nil"/>
            </w:tcBorders>
            <w:shd w:val="clear" w:color="auto" w:fill="auto"/>
            <w:noWrap/>
            <w:vAlign w:val="bottom"/>
          </w:tcPr>
          <w:p w:rsidR="00FD460E" w:rsidRPr="00A31513" w:rsidRDefault="00FD460E" w:rsidP="00D57C0F">
            <w:pPr>
              <w:spacing w:after="0" w:line="240" w:lineRule="auto"/>
              <w:rPr>
                <w:rFonts w:ascii="Calibri" w:eastAsia="Times New Roman" w:hAnsi="Calibri" w:cs="Times New Roman"/>
                <w:color w:val="000000"/>
              </w:rPr>
            </w:pPr>
          </w:p>
        </w:tc>
        <w:tc>
          <w:tcPr>
            <w:tcW w:w="1302" w:type="dxa"/>
            <w:tcBorders>
              <w:top w:val="nil"/>
              <w:left w:val="nil"/>
              <w:bottom w:val="nil"/>
              <w:right w:val="nil"/>
            </w:tcBorders>
            <w:shd w:val="clear" w:color="auto" w:fill="auto"/>
            <w:noWrap/>
            <w:vAlign w:val="bottom"/>
          </w:tcPr>
          <w:p w:rsidR="00FD460E" w:rsidRPr="00A31513" w:rsidRDefault="00FD460E" w:rsidP="00D57C0F">
            <w:pPr>
              <w:spacing w:after="0" w:line="240" w:lineRule="auto"/>
              <w:rPr>
                <w:rFonts w:ascii="Calibri" w:eastAsia="Times New Roman" w:hAnsi="Calibri" w:cs="Times New Roman"/>
                <w:color w:val="000000"/>
              </w:rPr>
            </w:pPr>
          </w:p>
        </w:tc>
        <w:tc>
          <w:tcPr>
            <w:tcW w:w="2123" w:type="dxa"/>
            <w:gridSpan w:val="2"/>
            <w:tcBorders>
              <w:top w:val="nil"/>
              <w:left w:val="nil"/>
              <w:bottom w:val="nil"/>
              <w:right w:val="nil"/>
            </w:tcBorders>
            <w:shd w:val="clear" w:color="auto" w:fill="auto"/>
            <w:noWrap/>
            <w:vAlign w:val="bottom"/>
          </w:tcPr>
          <w:p w:rsidR="00FD460E" w:rsidRPr="00A31513" w:rsidRDefault="00FD460E" w:rsidP="00D57C0F">
            <w:pPr>
              <w:spacing w:after="0" w:line="240" w:lineRule="auto"/>
              <w:rPr>
                <w:rFonts w:ascii="Calibri" w:eastAsia="Times New Roman" w:hAnsi="Calibri" w:cs="Times New Roman"/>
                <w:color w:val="000000"/>
              </w:rPr>
            </w:pPr>
          </w:p>
        </w:tc>
        <w:tc>
          <w:tcPr>
            <w:tcW w:w="649" w:type="dxa"/>
            <w:tcBorders>
              <w:top w:val="nil"/>
              <w:left w:val="nil"/>
              <w:bottom w:val="nil"/>
              <w:right w:val="nil"/>
            </w:tcBorders>
            <w:shd w:val="clear" w:color="auto" w:fill="auto"/>
            <w:noWrap/>
            <w:vAlign w:val="bottom"/>
          </w:tcPr>
          <w:p w:rsidR="00FD460E" w:rsidRPr="00A31513" w:rsidRDefault="00FD460E" w:rsidP="00D57C0F">
            <w:pPr>
              <w:spacing w:after="0" w:line="240" w:lineRule="auto"/>
              <w:rPr>
                <w:rFonts w:ascii="Calibri" w:eastAsia="Times New Roman" w:hAnsi="Calibri" w:cs="Times New Roman"/>
                <w:color w:val="000000"/>
              </w:rPr>
            </w:pPr>
          </w:p>
        </w:tc>
      </w:tr>
    </w:tbl>
    <w:p w:rsidR="00FD460E" w:rsidRPr="00FD460E" w:rsidRDefault="00FD460E" w:rsidP="00FD460E">
      <w:pPr>
        <w:autoSpaceDE w:val="0"/>
        <w:autoSpaceDN w:val="0"/>
        <w:adjustRightInd w:val="0"/>
        <w:spacing w:after="0" w:line="240" w:lineRule="auto"/>
        <w:rPr>
          <w:rFonts w:cstheme="minorHAnsi"/>
          <w:bCs/>
          <w:color w:val="FF0000"/>
        </w:rPr>
      </w:pPr>
      <w:r w:rsidRPr="00FD460E">
        <w:rPr>
          <w:rFonts w:cstheme="minorHAnsi"/>
          <w:bCs/>
          <w:color w:val="FF0000"/>
        </w:rPr>
        <w:t>* Severity levels for Depression Response at Twelve Months demonstrate one category of the depression severity level (moderately severe) that has a lower chi square t score statistic.  The MNCM Risk Adjustment Committee reviewed and determined that based on this variable’s performance in all other measures in the depression suite and because the measures are applied to the same population of patients that it is important to retain this variable.</w:t>
      </w:r>
    </w:p>
    <w:p w:rsidR="00FB7B89" w:rsidRPr="00A94B33" w:rsidRDefault="00FB7B89" w:rsidP="00A94B33">
      <w:pPr>
        <w:autoSpaceDE w:val="0"/>
        <w:autoSpaceDN w:val="0"/>
        <w:adjustRightInd w:val="0"/>
        <w:spacing w:after="0" w:line="240" w:lineRule="auto"/>
        <w:rPr>
          <w:rFonts w:cstheme="minorHAnsi"/>
          <w:bCs/>
          <w:color w:val="1F497D" w:themeColor="text2"/>
        </w:rPr>
      </w:pPr>
    </w:p>
    <w:p w:rsidR="00A94B33" w:rsidRPr="00A94B33" w:rsidRDefault="00743E46" w:rsidP="00092566">
      <w:pPr>
        <w:autoSpaceDE w:val="0"/>
        <w:autoSpaceDN w:val="0"/>
        <w:adjustRightInd w:val="0"/>
        <w:spacing w:after="0" w:line="240" w:lineRule="auto"/>
        <w:rPr>
          <w:rFonts w:cstheme="minorHAnsi"/>
          <w:bCs/>
          <w:color w:val="1F497D" w:themeColor="text2"/>
          <w:sz w:val="12"/>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rsidR="00092566" w:rsidRPr="007C6967" w:rsidRDefault="00A900DE" w:rsidP="00092566">
      <w:pPr>
        <w:autoSpaceDE w:val="0"/>
        <w:autoSpaceDN w:val="0"/>
        <w:adjustRightInd w:val="0"/>
        <w:spacing w:after="0" w:line="240" w:lineRule="auto"/>
        <w:rPr>
          <w:rFonts w:cstheme="minorHAnsi"/>
          <w:bCs/>
        </w:rPr>
      </w:pPr>
      <w:r w:rsidRPr="007C6967">
        <w:rPr>
          <w:rFonts w:cstheme="minorHAnsi"/>
          <w:bCs/>
        </w:rPr>
        <w:t>Our analysis of risk adjustment factors for the measure indicates that age, depression severity at diagnosis and some insurance provider variables (MSHO, Medicaid, and Medicare) are related to depression remission.</w:t>
      </w:r>
    </w:p>
    <w:p w:rsidR="007C6967" w:rsidRDefault="007C6967" w:rsidP="00FB7B89">
      <w:pPr>
        <w:autoSpaceDE w:val="0"/>
        <w:autoSpaceDN w:val="0"/>
        <w:adjustRightInd w:val="0"/>
        <w:spacing w:after="0" w:line="240" w:lineRule="auto"/>
        <w:rPr>
          <w:rFonts w:cstheme="minorHAnsi"/>
          <w:bCs/>
        </w:rPr>
      </w:pPr>
    </w:p>
    <w:p w:rsidR="00FB7B89" w:rsidRPr="007C6967" w:rsidRDefault="00FB7B89" w:rsidP="00FB7B89">
      <w:pPr>
        <w:autoSpaceDE w:val="0"/>
        <w:autoSpaceDN w:val="0"/>
        <w:adjustRightInd w:val="0"/>
        <w:spacing w:after="0" w:line="240" w:lineRule="auto"/>
        <w:rPr>
          <w:rFonts w:cstheme="minorHAnsi"/>
          <w:bCs/>
          <w:color w:val="FF0000"/>
        </w:rPr>
      </w:pPr>
      <w:r w:rsidRPr="007C6967">
        <w:rPr>
          <w:rFonts w:cstheme="minorHAnsi"/>
          <w:bCs/>
          <w:color w:val="FF0000"/>
        </w:rPr>
        <w:t xml:space="preserve">Tests of significance at .01% </w:t>
      </w:r>
    </w:p>
    <w:p w:rsidR="00FD460E" w:rsidRPr="00FD460E" w:rsidRDefault="00FD460E" w:rsidP="00FD460E">
      <w:pPr>
        <w:pStyle w:val="ListParagraph"/>
        <w:numPr>
          <w:ilvl w:val="0"/>
          <w:numId w:val="36"/>
        </w:numPr>
        <w:autoSpaceDE w:val="0"/>
        <w:autoSpaceDN w:val="0"/>
        <w:adjustRightInd w:val="0"/>
        <w:spacing w:after="0" w:line="240" w:lineRule="auto"/>
        <w:rPr>
          <w:rFonts w:cstheme="minorHAnsi"/>
          <w:bCs/>
          <w:color w:val="FF0000"/>
        </w:rPr>
      </w:pPr>
      <w:r w:rsidRPr="00FD460E">
        <w:rPr>
          <w:rFonts w:cstheme="minorHAnsi"/>
          <w:bCs/>
          <w:color w:val="FF0000"/>
        </w:rPr>
        <w:t xml:space="preserve">All four products are significant from each other  </w:t>
      </w:r>
    </w:p>
    <w:p w:rsidR="00FD460E" w:rsidRPr="00FD460E" w:rsidRDefault="00FD460E" w:rsidP="00FD460E">
      <w:pPr>
        <w:pStyle w:val="ListParagraph"/>
        <w:numPr>
          <w:ilvl w:val="0"/>
          <w:numId w:val="36"/>
        </w:numPr>
        <w:autoSpaceDE w:val="0"/>
        <w:autoSpaceDN w:val="0"/>
        <w:adjustRightInd w:val="0"/>
        <w:spacing w:after="0" w:line="240" w:lineRule="auto"/>
        <w:rPr>
          <w:rFonts w:cstheme="minorHAnsi"/>
          <w:bCs/>
          <w:color w:val="FF0000"/>
        </w:rPr>
      </w:pPr>
      <w:r w:rsidRPr="00FD460E">
        <w:rPr>
          <w:rFonts w:cstheme="minorHAnsi"/>
          <w:bCs/>
          <w:color w:val="FF0000"/>
        </w:rPr>
        <w:t xml:space="preserve">All four age ranges are significant from each other </w:t>
      </w:r>
    </w:p>
    <w:p w:rsidR="00FD460E" w:rsidRPr="00FD460E" w:rsidRDefault="00FD460E" w:rsidP="00FD460E">
      <w:pPr>
        <w:pStyle w:val="ListParagraph"/>
        <w:numPr>
          <w:ilvl w:val="0"/>
          <w:numId w:val="36"/>
        </w:numPr>
        <w:autoSpaceDE w:val="0"/>
        <w:autoSpaceDN w:val="0"/>
        <w:adjustRightInd w:val="0"/>
        <w:spacing w:after="0" w:line="240" w:lineRule="auto"/>
        <w:rPr>
          <w:rFonts w:cstheme="minorHAnsi"/>
          <w:bCs/>
          <w:color w:val="FF0000"/>
        </w:rPr>
      </w:pPr>
      <w:r w:rsidRPr="00FD460E">
        <w:rPr>
          <w:rFonts w:cstheme="minorHAnsi"/>
          <w:bCs/>
          <w:color w:val="FF0000"/>
        </w:rPr>
        <w:t xml:space="preserve">Severity is not significant  </w:t>
      </w:r>
    </w:p>
    <w:p w:rsidR="00FD460E" w:rsidRPr="00FD460E" w:rsidRDefault="00FD460E" w:rsidP="00FD460E">
      <w:pPr>
        <w:autoSpaceDE w:val="0"/>
        <w:autoSpaceDN w:val="0"/>
        <w:adjustRightInd w:val="0"/>
        <w:spacing w:before="120" w:after="0" w:line="240" w:lineRule="auto"/>
        <w:rPr>
          <w:rFonts w:cstheme="minorHAnsi"/>
          <w:bCs/>
          <w:color w:val="FF0000"/>
        </w:rPr>
      </w:pPr>
      <w:r w:rsidRPr="00FD460E">
        <w:rPr>
          <w:rFonts w:cstheme="minorHAnsi"/>
          <w:bCs/>
          <w:color w:val="FF0000"/>
        </w:rPr>
        <w:t>Results at 12 months follow the same pattern as with the six month measure.</w:t>
      </w:r>
    </w:p>
    <w:p w:rsidR="00FB7B89" w:rsidRPr="007C6967" w:rsidRDefault="00FB7B89" w:rsidP="00FB7B89">
      <w:pPr>
        <w:autoSpaceDE w:val="0"/>
        <w:autoSpaceDN w:val="0"/>
        <w:adjustRightInd w:val="0"/>
        <w:spacing w:before="120" w:after="0" w:line="240" w:lineRule="auto"/>
        <w:rPr>
          <w:rFonts w:cstheme="minorHAnsi"/>
          <w:bCs/>
          <w:color w:val="FF0000"/>
        </w:rPr>
      </w:pPr>
      <w:r w:rsidRPr="007C6967">
        <w:rPr>
          <w:rFonts w:cstheme="minorHAnsi"/>
          <w:bCs/>
          <w:color w:val="FF0000"/>
        </w:rPr>
        <w:t>After analyzing the entire Depression suite of measures, it was reconfirmed that Age, Product and Severity Levels are important and significant factors in the outcome, are present at the initial patient encounter, are beyond the control of the provider and all variables are already being collected so no additional provider burden is required.</w:t>
      </w:r>
    </w:p>
    <w:p w:rsidR="00092566" w:rsidRPr="00A94B33" w:rsidRDefault="00092566" w:rsidP="00092566">
      <w:pPr>
        <w:spacing w:after="0" w:line="240" w:lineRule="auto"/>
        <w:rPr>
          <w:rFonts w:cstheme="minorHAnsi"/>
          <w:bCs/>
          <w:color w:val="1F497D" w:themeColor="text2"/>
        </w:rPr>
      </w:pPr>
    </w:p>
    <w:p w:rsidR="003755CB" w:rsidRPr="007C6967" w:rsidRDefault="009B1A15" w:rsidP="007C6967">
      <w:pPr>
        <w:spacing w:after="0" w:line="240" w:lineRule="auto"/>
        <w:rPr>
          <w:rFonts w:cstheme="minorHAnsi"/>
        </w:rPr>
      </w:pPr>
      <w:r w:rsidRPr="009B1A15">
        <w:rPr>
          <w:rFonts w:cstheme="minorHAnsi"/>
          <w:b/>
          <w:highlight w:val="green"/>
        </w:rPr>
        <w:lastRenderedPageBreak/>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A26B60" w:rsidRDefault="00D61410" w:rsidP="00A26B60">
      <w:pPr>
        <w:autoSpaceDE w:val="0"/>
        <w:autoSpaceDN w:val="0"/>
        <w:adjustRightInd w:val="0"/>
        <w:spacing w:after="0" w:line="240" w:lineRule="auto"/>
        <w:rPr>
          <w:rFonts w:cstheme="minorHAnsi"/>
          <w:bCs/>
          <w:sz w:val="12"/>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A26B60">
        <w:rPr>
          <w:rFonts w:cstheme="minorHAnsi"/>
          <w:bCs/>
        </w:rPr>
        <w:br/>
      </w:r>
    </w:p>
    <w:p w:rsidR="009135BF" w:rsidRDefault="00A26B60" w:rsidP="00A26B60">
      <w:pPr>
        <w:autoSpaceDE w:val="0"/>
        <w:autoSpaceDN w:val="0"/>
        <w:adjustRightInd w:val="0"/>
        <w:spacing w:after="0" w:line="240" w:lineRule="auto"/>
        <w:rPr>
          <w:color w:val="1F497D" w:themeColor="text2"/>
        </w:rPr>
      </w:pPr>
      <w:r w:rsidRPr="007C6967">
        <w:t xml:space="preserve">Measure continues to demonstrate significant opportunity for both maintaining contact with the patients with depression (ongoing follow-up) and achieving an outcome of remission.  </w:t>
      </w:r>
      <w:r w:rsidR="009A63A2" w:rsidRPr="00A00D72">
        <w:t xml:space="preserve">Meaningful </w:t>
      </w:r>
      <w:r w:rsidR="009A63A2">
        <w:t xml:space="preserve">differences are demonstrated in the MNCM annual Health Care Quality Report </w:t>
      </w:r>
      <w:hyperlink r:id="rId14" w:history="1">
        <w:r w:rsidR="009A63A2">
          <w:rPr>
            <w:rStyle w:val="Hyperlink"/>
            <w:rFonts w:cstheme="minorHAnsi"/>
            <w:bCs/>
          </w:rPr>
          <w:t>l</w:t>
        </w:r>
      </w:hyperlink>
      <w:r w:rsidR="009A63A2">
        <w:rPr>
          <w:rStyle w:val="Hyperlink"/>
          <w:rFonts w:cstheme="minorHAnsi"/>
          <w:bCs/>
        </w:rPr>
        <w:t>ink</w:t>
      </w:r>
      <w:r w:rsidR="009A63A2">
        <w:rPr>
          <w:color w:val="1F497D" w:themeColor="text2"/>
        </w:rPr>
        <w:t xml:space="preserve"> </w:t>
      </w:r>
      <w:r w:rsidR="009A63A2">
        <w:t xml:space="preserve">as well as our consumer facing website </w:t>
      </w:r>
      <w:proofErr w:type="spellStart"/>
      <w:r w:rsidR="009A63A2">
        <w:t>MNHealthscores</w:t>
      </w:r>
      <w:proofErr w:type="spellEnd"/>
      <w:r w:rsidR="009A63A2">
        <w:t>.  Please see example below:</w:t>
      </w:r>
    </w:p>
    <w:p w:rsidR="00F66CD8" w:rsidRDefault="007C6967" w:rsidP="00F42A2E">
      <w:pPr>
        <w:autoSpaceDE w:val="0"/>
        <w:autoSpaceDN w:val="0"/>
        <w:adjustRightInd w:val="0"/>
        <w:spacing w:after="0" w:line="240" w:lineRule="auto"/>
        <w:rPr>
          <w:rFonts w:cstheme="minorHAnsi"/>
          <w:bCs/>
          <w:color w:val="1F497D" w:themeColor="text2"/>
        </w:rPr>
      </w:pPr>
      <w:r>
        <w:rPr>
          <w:noProof/>
        </w:rPr>
        <w:drawing>
          <wp:inline distT="0" distB="0" distL="0" distR="0" wp14:anchorId="5BFCDC40" wp14:editId="0E9A6EDA">
            <wp:extent cx="4358640" cy="5911102"/>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l="31230" t="11787" r="33048" b="2088"/>
                    <a:stretch/>
                  </pic:blipFill>
                  <pic:spPr bwMode="auto">
                    <a:xfrm>
                      <a:off x="0" y="0"/>
                      <a:ext cx="4371989" cy="5929206"/>
                    </a:xfrm>
                    <a:prstGeom prst="rect">
                      <a:avLst/>
                    </a:prstGeom>
                    <a:ln>
                      <a:noFill/>
                    </a:ln>
                    <a:extLst>
                      <a:ext uri="{53640926-AAD7-44D8-BBD7-CCE9431645EC}">
                        <a14:shadowObscured xmlns:a14="http://schemas.microsoft.com/office/drawing/2010/main"/>
                      </a:ext>
                    </a:extLst>
                  </pic:spPr>
                </pic:pic>
              </a:graphicData>
            </a:graphic>
          </wp:inline>
        </w:drawing>
      </w:r>
    </w:p>
    <w:p w:rsidR="00996D65" w:rsidRPr="00F42A2E" w:rsidRDefault="00996D65" w:rsidP="00F42A2E">
      <w:pPr>
        <w:autoSpaceDE w:val="0"/>
        <w:autoSpaceDN w:val="0"/>
        <w:adjustRightInd w:val="0"/>
        <w:spacing w:after="0" w:line="240" w:lineRule="auto"/>
        <w:rPr>
          <w:rFonts w:cstheme="minorHAnsi"/>
          <w:bCs/>
          <w:color w:val="1F497D" w:themeColor="text2"/>
        </w:rPr>
      </w:pPr>
      <w:r w:rsidRPr="007C6967">
        <w:lastRenderedPageBreak/>
        <w:t>Identifying High Performing Medical Groups/Clinics</w:t>
      </w:r>
    </w:p>
    <w:p w:rsidR="00996D65" w:rsidRPr="007C6967" w:rsidRDefault="00996D65" w:rsidP="00996D65">
      <w:pPr>
        <w:autoSpaceDE w:val="0"/>
        <w:autoSpaceDN w:val="0"/>
        <w:adjustRightInd w:val="0"/>
        <w:spacing w:after="0" w:line="240" w:lineRule="auto"/>
      </w:pPr>
      <w:r w:rsidRPr="007C6967">
        <w:t xml:space="preserve">Medical groups that had rates that were fully above the medical group average and 95 percent confidence intervals were noted as high performers. These high performers were highlighted in the results by measure section for each measure. The performance rates for all medical groups were presented in descending order. </w:t>
      </w:r>
    </w:p>
    <w:p w:rsidR="00996D65" w:rsidRPr="007C6967" w:rsidRDefault="00996D65" w:rsidP="00996D65">
      <w:pPr>
        <w:autoSpaceDE w:val="0"/>
        <w:autoSpaceDN w:val="0"/>
        <w:adjustRightInd w:val="0"/>
        <w:spacing w:after="0" w:line="240" w:lineRule="auto"/>
        <w:rPr>
          <w:sz w:val="14"/>
        </w:rPr>
      </w:pPr>
    </w:p>
    <w:p w:rsidR="00996D65" w:rsidRPr="007C6967" w:rsidRDefault="00996D65" w:rsidP="00996D65">
      <w:pPr>
        <w:autoSpaceDE w:val="0"/>
        <w:autoSpaceDN w:val="0"/>
        <w:adjustRightInd w:val="0"/>
        <w:spacing w:after="0" w:line="240" w:lineRule="auto"/>
      </w:pPr>
      <w:r w:rsidRPr="007C6967">
        <w:t>Identifying Medical Groups and Clinics with Biggest Improvements</w:t>
      </w:r>
    </w:p>
    <w:p w:rsidR="00996D65" w:rsidRPr="007C6967" w:rsidRDefault="00996D65" w:rsidP="00996D65">
      <w:pPr>
        <w:autoSpaceDE w:val="0"/>
        <w:autoSpaceDN w:val="0"/>
        <w:adjustRightInd w:val="0"/>
        <w:spacing w:after="0" w:line="240" w:lineRule="auto"/>
      </w:pPr>
      <w:r w:rsidRPr="007C6967">
        <w:t>For each measure, individual medical group and clinic rates during report year 2013 were compared with their rates during report year 2012, calculating an absolute percentage point difference. Medical groups and clinics with the largest percentage point increases were identified.</w:t>
      </w:r>
    </w:p>
    <w:p w:rsidR="00996D65" w:rsidRPr="007C6967" w:rsidRDefault="00996D65" w:rsidP="00996D65">
      <w:pPr>
        <w:autoSpaceDE w:val="0"/>
        <w:autoSpaceDN w:val="0"/>
        <w:adjustRightInd w:val="0"/>
        <w:spacing w:after="0" w:line="240" w:lineRule="auto"/>
      </w:pPr>
    </w:p>
    <w:p w:rsidR="00996D65" w:rsidRPr="007C6967" w:rsidRDefault="00996D65" w:rsidP="00996D65">
      <w:pPr>
        <w:autoSpaceDE w:val="0"/>
        <w:autoSpaceDN w:val="0"/>
        <w:adjustRightInd w:val="0"/>
        <w:spacing w:after="0" w:line="240" w:lineRule="auto"/>
      </w:pPr>
      <w:r w:rsidRPr="007C6967">
        <w:t xml:space="preserve">Medical Group and Clinic Performance </w:t>
      </w:r>
      <w:proofErr w:type="gramStart"/>
      <w:r w:rsidRPr="007C6967">
        <w:t>Over</w:t>
      </w:r>
      <w:proofErr w:type="gramEnd"/>
      <w:r w:rsidRPr="007C6967">
        <w:t xml:space="preserve"> Time (Three Years)</w:t>
      </w:r>
    </w:p>
    <w:p w:rsidR="00996D65" w:rsidRPr="007C6967" w:rsidRDefault="00996D65" w:rsidP="00996D65">
      <w:pPr>
        <w:autoSpaceDE w:val="0"/>
        <w:autoSpaceDN w:val="0"/>
        <w:adjustRightInd w:val="0"/>
        <w:spacing w:after="0" w:line="240" w:lineRule="auto"/>
      </w:pPr>
      <w:r w:rsidRPr="007C6967">
        <w:t xml:space="preserve">This analysis was done to determine patterns of medical group and clinic performance over time per measure. Patterns were reviewed for the three reporting years (2011, 2012 and 2013). </w:t>
      </w:r>
    </w:p>
    <w:p w:rsidR="00996D65" w:rsidRPr="007C6967" w:rsidRDefault="00996D65" w:rsidP="00996D65">
      <w:pPr>
        <w:autoSpaceDE w:val="0"/>
        <w:autoSpaceDN w:val="0"/>
        <w:adjustRightInd w:val="0"/>
        <w:spacing w:after="0" w:line="240" w:lineRule="auto"/>
      </w:pPr>
      <w:r w:rsidRPr="007C6967">
        <w:t>• Consistently improved: Medical groups with more than a two percentage point increase between each consecutive year.</w:t>
      </w:r>
    </w:p>
    <w:p w:rsidR="00996D65" w:rsidRPr="007C6967" w:rsidRDefault="00996D65" w:rsidP="00996D65">
      <w:pPr>
        <w:autoSpaceDE w:val="0"/>
        <w:autoSpaceDN w:val="0"/>
        <w:adjustRightInd w:val="0"/>
        <w:spacing w:after="0" w:line="240" w:lineRule="auto"/>
      </w:pPr>
      <w:r w:rsidRPr="007C6967">
        <w:t>• Relatively stable: Medical groups that had no more than a two percentage point increase or decrease between each consecutive year (-2 percent − +2 percent).</w:t>
      </w:r>
    </w:p>
    <w:p w:rsidR="00996D65" w:rsidRPr="007C6967" w:rsidRDefault="00996D65" w:rsidP="00996D65">
      <w:pPr>
        <w:autoSpaceDE w:val="0"/>
        <w:autoSpaceDN w:val="0"/>
        <w:adjustRightInd w:val="0"/>
        <w:spacing w:after="0" w:line="240" w:lineRule="auto"/>
      </w:pPr>
      <w:r w:rsidRPr="007C6967">
        <w:t>• Consistently decreased: Medical groups with more than a two percentage point decrease between each consecutive year.</w:t>
      </w:r>
    </w:p>
    <w:p w:rsidR="00996D65" w:rsidRPr="007C6967" w:rsidRDefault="00996D65" w:rsidP="00996D65">
      <w:pPr>
        <w:autoSpaceDE w:val="0"/>
        <w:autoSpaceDN w:val="0"/>
        <w:adjustRightInd w:val="0"/>
        <w:spacing w:after="0" w:line="240" w:lineRule="auto"/>
      </w:pPr>
      <w:r w:rsidRPr="007C6967">
        <w:t>• Variable performance (with an improvement or with a decline): Medical groups with an up/down pattern that was not consistent and did not fall into one of the other categories.</w:t>
      </w:r>
    </w:p>
    <w:p w:rsidR="00F73E50" w:rsidRDefault="00F73E50" w:rsidP="00996D65">
      <w:pPr>
        <w:autoSpaceDE w:val="0"/>
        <w:autoSpaceDN w:val="0"/>
        <w:adjustRightInd w:val="0"/>
        <w:spacing w:after="0" w:line="240" w:lineRule="auto"/>
        <w:rPr>
          <w:color w:val="1F497D" w:themeColor="text2"/>
        </w:rPr>
      </w:pPr>
    </w:p>
    <w:p w:rsidR="00F73E50" w:rsidRPr="00996D65" w:rsidRDefault="00F73E50" w:rsidP="00996D65">
      <w:pPr>
        <w:autoSpaceDE w:val="0"/>
        <w:autoSpaceDN w:val="0"/>
        <w:adjustRightInd w:val="0"/>
        <w:spacing w:after="0" w:line="240" w:lineRule="auto"/>
        <w:rPr>
          <w:color w:val="1F497D" w:themeColor="text2"/>
        </w:rPr>
      </w:pPr>
      <w:r>
        <w:rPr>
          <w:noProof/>
        </w:rPr>
        <mc:AlternateContent>
          <mc:Choice Requires="wps">
            <w:drawing>
              <wp:anchor distT="0" distB="0" distL="114300" distR="114300" simplePos="0" relativeHeight="251659264" behindDoc="0" locked="0" layoutInCell="1" allowOverlap="1">
                <wp:simplePos x="0" y="0"/>
                <wp:positionH relativeFrom="column">
                  <wp:posOffset>3473450</wp:posOffset>
                </wp:positionH>
                <wp:positionV relativeFrom="paragraph">
                  <wp:posOffset>153035</wp:posOffset>
                </wp:positionV>
                <wp:extent cx="2565400" cy="1187450"/>
                <wp:effectExtent l="0" t="0" r="25400" b="12700"/>
                <wp:wrapNone/>
                <wp:docPr id="5" name="Text Box 5"/>
                <wp:cNvGraphicFramePr/>
                <a:graphic xmlns:a="http://schemas.openxmlformats.org/drawingml/2006/main">
                  <a:graphicData uri="http://schemas.microsoft.com/office/word/2010/wordprocessingShape">
                    <wps:wsp>
                      <wps:cNvSpPr txBox="1"/>
                      <wps:spPr>
                        <a:xfrm>
                          <a:off x="0" y="0"/>
                          <a:ext cx="2565400" cy="1187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57C0F" w:rsidRPr="007C6967" w:rsidRDefault="00D57C0F">
                            <w:r w:rsidRPr="007C6967">
                              <w:t>The Wilson method for calculating confidence intervals for all clinic rates and statewide rates.</w:t>
                            </w:r>
                          </w:p>
                          <w:p w:rsidR="00D57C0F" w:rsidRDefault="00D57C0F">
                            <w:hyperlink r:id="rId16" w:history="1">
                              <w:r>
                                <w:rPr>
                                  <w:rStyle w:val="Hyperlink"/>
                                </w:rPr>
                                <w:t>www.itl.nist.gov/div898/handbook/prc/section2/prc241.htm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7" type="#_x0000_t202" style="position:absolute;margin-left:273.5pt;margin-top:12.05pt;width:202pt;height:9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" fillcolor="white [3201]" strokeweight=".5pt">
                <v:textbox>
                  <w:txbxContent>
                    <w:p w:rsidR="00D57C0F" w:rsidRPr="007C6967" w:rsidRDefault="00D57C0F">
                      <w:r w:rsidRPr="007C6967">
                        <w:t>The Wilson method for calculating confidence intervals for all clinic rates and statewide rates.</w:t>
                      </w:r>
                    </w:p>
                    <w:p w:rsidR="00D57C0F" w:rsidRDefault="00D57C0F">
                      <w:hyperlink r:id="rId17" w:history="1">
                        <w:r>
                          <w:rPr>
                            <w:rStyle w:val="Hyperlink"/>
                          </w:rPr>
                          <w:t>www.itl.nist.gov/div898/handbook/prc/section2/prc241.htm</w:t>
                        </w:r>
                      </w:hyperlink>
                    </w:p>
                  </w:txbxContent>
                </v:textbox>
              </v:shape>
            </w:pict>
          </mc:Fallback>
        </mc:AlternateContent>
      </w:r>
      <w:r>
        <w:rPr>
          <w:noProof/>
        </w:rPr>
        <w:drawing>
          <wp:inline distT="0" distB="0" distL="0" distR="0" wp14:anchorId="046BCFCD" wp14:editId="6B2C9AA6">
            <wp:extent cx="3286394" cy="2597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t="21696" r="64850" b="27021"/>
                    <a:stretch/>
                  </pic:blipFill>
                  <pic:spPr bwMode="auto">
                    <a:xfrm>
                      <a:off x="0" y="0"/>
                      <a:ext cx="3286394" cy="2597150"/>
                    </a:xfrm>
                    <a:prstGeom prst="rect">
                      <a:avLst/>
                    </a:prstGeom>
                    <a:ln>
                      <a:noFill/>
                    </a:ln>
                    <a:extLst>
                      <a:ext uri="{53640926-AAD7-44D8-BBD7-CCE9431645EC}">
                        <a14:shadowObscured xmlns:a14="http://schemas.microsoft.com/office/drawing/2010/main"/>
                      </a:ext>
                    </a:extLst>
                  </pic:spPr>
                </pic:pic>
              </a:graphicData>
            </a:graphic>
          </wp:inline>
        </w:drawing>
      </w:r>
    </w:p>
    <w:p w:rsidR="00996D65" w:rsidRDefault="00996D65" w:rsidP="00D61410">
      <w:pPr>
        <w:autoSpaceDE w:val="0"/>
        <w:autoSpaceDN w:val="0"/>
        <w:adjustRightInd w:val="0"/>
        <w:spacing w:after="0" w:line="240" w:lineRule="auto"/>
        <w:rPr>
          <w:rFonts w:cstheme="minorHAnsi"/>
          <w:b/>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9135BF" w:rsidRPr="007C6967" w:rsidRDefault="009135BF" w:rsidP="00D61410">
      <w:pPr>
        <w:autoSpaceDE w:val="0"/>
        <w:autoSpaceDN w:val="0"/>
        <w:adjustRightInd w:val="0"/>
        <w:spacing w:after="0" w:line="240" w:lineRule="auto"/>
        <w:rPr>
          <w:rFonts w:cstheme="minorHAnsi"/>
          <w:bCs/>
        </w:rPr>
      </w:pPr>
      <w:r w:rsidRPr="007C6967">
        <w:rPr>
          <w:rFonts w:cstheme="minorHAnsi"/>
          <w:bCs/>
        </w:rPr>
        <w:t>Please see above in 2b5.1</w:t>
      </w:r>
    </w:p>
    <w:p w:rsidR="00D61410" w:rsidRPr="00927027" w:rsidRDefault="00D61410" w:rsidP="00D61410">
      <w:pPr>
        <w:autoSpaceDE w:val="0"/>
        <w:autoSpaceDN w:val="0"/>
        <w:adjustRightInd w:val="0"/>
        <w:spacing w:after="0" w:line="240" w:lineRule="auto"/>
        <w:rPr>
          <w:rFonts w:cstheme="minorHAnsi"/>
          <w:bCs/>
        </w:rPr>
      </w:pPr>
    </w:p>
    <w:p w:rsidR="00D61410" w:rsidRPr="009135BF" w:rsidRDefault="00D61410" w:rsidP="00D61410">
      <w:pPr>
        <w:autoSpaceDE w:val="0"/>
        <w:autoSpaceDN w:val="0"/>
        <w:adjustRightInd w:val="0"/>
        <w:spacing w:after="0" w:line="240" w:lineRule="auto"/>
        <w:rPr>
          <w:rFonts w:cstheme="minorHAnsi"/>
          <w:bCs/>
          <w:sz w:val="12"/>
        </w:rPr>
      </w:pPr>
      <w:r>
        <w:rPr>
          <w:rFonts w:cstheme="minorHAnsi"/>
          <w:b/>
          <w:bCs/>
        </w:rPr>
        <w:lastRenderedPageBreak/>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9135BF" w:rsidRPr="007C6967" w:rsidRDefault="009135BF" w:rsidP="00D61410">
      <w:pPr>
        <w:autoSpaceDE w:val="0"/>
        <w:autoSpaceDN w:val="0"/>
        <w:adjustRightInd w:val="0"/>
        <w:spacing w:after="0" w:line="240" w:lineRule="auto"/>
        <w:rPr>
          <w:rFonts w:cstheme="minorHAnsi"/>
          <w:bCs/>
        </w:rPr>
      </w:pPr>
      <w:r w:rsidRPr="007C6967">
        <w:rPr>
          <w:rFonts w:cstheme="minorHAnsi"/>
          <w:bCs/>
        </w:rPr>
        <w:t>Measure identifies both opportunity for improvement in depression outcomes and identifies meaningful differences among providers.</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007C6967">
        <w:rPr>
          <w:rFonts w:cstheme="minorHAnsi"/>
          <w:bCs/>
        </w:rPr>
        <w:t>)</w:t>
      </w:r>
    </w:p>
    <w:p w:rsidR="002E09C5" w:rsidRPr="007C6967" w:rsidRDefault="002E09C5" w:rsidP="007C6967">
      <w:pPr>
        <w:autoSpaceDE w:val="0"/>
        <w:autoSpaceDN w:val="0"/>
        <w:adjustRightInd w:val="0"/>
        <w:spacing w:before="120" w:after="0" w:line="240" w:lineRule="auto"/>
      </w:pPr>
      <w:r w:rsidRPr="007C6967">
        <w:t xml:space="preserve">Please note: This outcome measure is paired with a process measure (NQF# 0712 Depression Utilization of the PHQ-9 tool) to allow understanding of the actual administration of the PRO tool within the population of patients who have major depression or dysthymia. NQF# 0712 is rate reflected by the number of patients with major depression or dysthymia who were given at least one PHQ-9 PRO over all patients with major depression or dysthymia who had a visit within a four month measurement period.  The process measure adds value/ understanding and promotes frequent use of the PRO. It is not necessary to display the results together.  </w:t>
      </w:r>
    </w:p>
    <w:p w:rsidR="007F3C3F" w:rsidRPr="007C6967" w:rsidRDefault="002E09C5" w:rsidP="007C6967">
      <w:pPr>
        <w:autoSpaceDE w:val="0"/>
        <w:autoSpaceDN w:val="0"/>
        <w:adjustRightInd w:val="0"/>
        <w:spacing w:before="120" w:after="0" w:line="240" w:lineRule="auto"/>
      </w:pPr>
      <w:r w:rsidRPr="007C6967">
        <w:t xml:space="preserve">Though well recognized that maintaining ongoing contact with this population of patients with depression is critical to their successful remission of symptoms, it is also very challenging to do so.  Of </w:t>
      </w:r>
      <w:r w:rsidRPr="007C6967">
        <w:lastRenderedPageBreak/>
        <w:t>any patient population, patients with depression are least likely to be able self-advocate and require processes and systems in place for maintaining contact.  MN has made small incremental improvements in rates of follow-up PHQ-9</w:t>
      </w:r>
      <w:r w:rsidR="007F3C3F" w:rsidRPr="007C6967">
        <w:t xml:space="preserve"> at </w:t>
      </w:r>
      <w:r w:rsidR="00943A1B" w:rsidRPr="007C6967">
        <w:t>12</w:t>
      </w:r>
      <w:r w:rsidR="007F3C3F" w:rsidRPr="007C6967">
        <w:t xml:space="preserve"> months,</w:t>
      </w:r>
      <w:r w:rsidR="00943A1B" w:rsidRPr="007C6967">
        <w:t xml:space="preserve"> from 17.0% in 2010 to 22.2% in 2014.</w:t>
      </w:r>
      <w:r w:rsidR="007C6967">
        <w:rPr>
          <w:rFonts w:ascii="Trebuchet MS" w:eastAsia="Times New Roman" w:hAnsi="Trebuchet MS" w:cs="Times New Roman"/>
          <w:sz w:val="18"/>
          <w:szCs w:val="18"/>
          <w:lang w:val="en"/>
        </w:rPr>
        <w:t xml:space="preserve"> </w:t>
      </w:r>
    </w:p>
    <w:p w:rsidR="00943A1B" w:rsidRPr="007C6967" w:rsidRDefault="007F3C3F" w:rsidP="007C6967">
      <w:pPr>
        <w:autoSpaceDE w:val="0"/>
        <w:autoSpaceDN w:val="0"/>
        <w:adjustRightInd w:val="0"/>
        <w:spacing w:before="120" w:after="0" w:line="240" w:lineRule="auto"/>
      </w:pPr>
      <w:r w:rsidRPr="007C6967">
        <w:t xml:space="preserve">Missing data, in this case follow-up PHQ-9 patient reported outcome assessment, is not an issue as those patients who are not re-assessed in follow-up remain in the denominator and are treated as if they are not in remission.  </w:t>
      </w:r>
      <w:r w:rsidR="00F90C84" w:rsidRPr="007C6967">
        <w:t xml:space="preserve">Low outcome rates are not solely attributed to lack of follow-up.  </w:t>
      </w:r>
    </w:p>
    <w:p w:rsidR="008F7E67" w:rsidRPr="007C6967" w:rsidRDefault="00943A1B" w:rsidP="007C6967">
      <w:pPr>
        <w:autoSpaceDE w:val="0"/>
        <w:autoSpaceDN w:val="0"/>
        <w:adjustRightInd w:val="0"/>
        <w:spacing w:before="120" w:after="0" w:line="240" w:lineRule="auto"/>
      </w:pPr>
      <w:r w:rsidRPr="007C6967">
        <w:t>Additional analysis of denominator patients who do have a follow PHQ-9 score at twelve months (+/-30 days), only 25% of patients are in remission with a PHQ-9 &lt; 5 and another 24% of patients demonstrate PHQ- 9 scores between 15 and 27 (major to severe symptoms)</w:t>
      </w:r>
      <w:r w:rsidRPr="007C6967">
        <w:rPr>
          <w:rFonts w:ascii="Trebuchet MS" w:eastAsia="Times New Roman" w:hAnsi="Trebuchet MS" w:cs="Times New Roman"/>
          <w:sz w:val="18"/>
          <w:szCs w:val="18"/>
          <w:lang w:val="en"/>
        </w:rPr>
        <w:br/>
      </w:r>
    </w:p>
    <w:p w:rsidR="00F90C84" w:rsidRPr="00F90C84" w:rsidRDefault="008F7E67" w:rsidP="008F7E67">
      <w:pPr>
        <w:autoSpaceDE w:val="0"/>
        <w:autoSpaceDN w:val="0"/>
        <w:adjustRightInd w:val="0"/>
        <w:spacing w:after="0" w:line="240" w:lineRule="auto"/>
        <w:rPr>
          <w:rFonts w:cstheme="minorHAnsi"/>
          <w:bCs/>
          <w:color w:val="1F497D" w:themeColor="text2"/>
          <w:sz w:val="12"/>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7C6967" w:rsidRDefault="00F90C84" w:rsidP="008F7E67">
      <w:pPr>
        <w:autoSpaceDE w:val="0"/>
        <w:autoSpaceDN w:val="0"/>
        <w:adjustRightInd w:val="0"/>
        <w:spacing w:after="0" w:line="240" w:lineRule="auto"/>
        <w:rPr>
          <w:rFonts w:cstheme="minorHAnsi"/>
          <w:bCs/>
        </w:rPr>
      </w:pPr>
      <w:r w:rsidRPr="007C6967">
        <w:rPr>
          <w:rFonts w:cstheme="minorHAnsi"/>
          <w:bCs/>
        </w:rPr>
        <w:t xml:space="preserve">Patients who are not assessed with a follow-up PHQ-9 at </w:t>
      </w:r>
      <w:r w:rsidR="006B7A44" w:rsidRPr="007C6967">
        <w:rPr>
          <w:rFonts w:cstheme="minorHAnsi"/>
          <w:bCs/>
        </w:rPr>
        <w:t>twelve</w:t>
      </w:r>
      <w:r w:rsidRPr="007C6967">
        <w:rPr>
          <w:rFonts w:cstheme="minorHAnsi"/>
          <w:bCs/>
        </w:rPr>
        <w:t xml:space="preserve"> months (+/- 30 days) are included in the denominator and treated as if they are not </w:t>
      </w:r>
      <w:r w:rsidR="00F66CD8">
        <w:rPr>
          <w:rFonts w:cstheme="minorHAnsi"/>
          <w:bCs/>
        </w:rPr>
        <w:t>achieving a response</w:t>
      </w:r>
      <w:r w:rsidRPr="007C6967">
        <w:rPr>
          <w:rFonts w:cstheme="minorHAnsi"/>
          <w:bCs/>
        </w:rPr>
        <w:t>.</w:t>
      </w:r>
    </w:p>
    <w:p w:rsidR="008F7E67" w:rsidRPr="00F90C84" w:rsidRDefault="008F7E67" w:rsidP="008F7E67">
      <w:pPr>
        <w:autoSpaceDE w:val="0"/>
        <w:autoSpaceDN w:val="0"/>
        <w:adjustRightInd w:val="0"/>
        <w:spacing w:after="0" w:line="240" w:lineRule="auto"/>
        <w:rPr>
          <w:rFonts w:cstheme="minorHAnsi"/>
          <w:bCs/>
          <w:sz w:val="14"/>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F90C84" w:rsidRPr="00F90C84" w:rsidRDefault="00F90C84">
      <w:pPr>
        <w:autoSpaceDE w:val="0"/>
        <w:autoSpaceDN w:val="0"/>
        <w:adjustRightInd w:val="0"/>
        <w:spacing w:after="0" w:line="240" w:lineRule="auto"/>
        <w:rPr>
          <w:color w:val="1F497D" w:themeColor="text2"/>
          <w:sz w:val="10"/>
        </w:rPr>
      </w:pPr>
    </w:p>
    <w:p w:rsidR="00BA053B" w:rsidRPr="007C6967" w:rsidRDefault="00F90C84">
      <w:pPr>
        <w:autoSpaceDE w:val="0"/>
        <w:autoSpaceDN w:val="0"/>
        <w:adjustRightInd w:val="0"/>
        <w:spacing w:after="0" w:line="240" w:lineRule="auto"/>
      </w:pPr>
      <w:r w:rsidRPr="007C6967">
        <w:t>Missing data is not a</w:t>
      </w:r>
      <w:bookmarkStart w:id="14" w:name="_GoBack"/>
      <w:bookmarkEnd w:id="14"/>
      <w:r w:rsidRPr="007C6967">
        <w:t>n issue for this measure as constructed; please see discussion in 2b7.1</w:t>
      </w:r>
    </w:p>
    <w:sectPr w:rsidR="00BA053B" w:rsidRPr="007C6967" w:rsidSect="008505D1">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C0F" w:rsidRDefault="00D57C0F" w:rsidP="005C73CA">
      <w:pPr>
        <w:spacing w:after="0" w:line="240" w:lineRule="auto"/>
      </w:pPr>
      <w:r>
        <w:separator/>
      </w:r>
    </w:p>
  </w:endnote>
  <w:endnote w:type="continuationSeparator" w:id="0">
    <w:p w:rsidR="00D57C0F" w:rsidRDefault="00D57C0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0F" w:rsidRDefault="00D57C0F">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F66CD8">
      <w:rPr>
        <w:noProof/>
      </w:rPr>
      <w:t>23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C0F" w:rsidRDefault="00D57C0F" w:rsidP="005C73CA">
      <w:pPr>
        <w:spacing w:after="0" w:line="240" w:lineRule="auto"/>
      </w:pPr>
      <w:r>
        <w:separator/>
      </w:r>
    </w:p>
  </w:footnote>
  <w:footnote w:type="continuationSeparator" w:id="0">
    <w:p w:rsidR="00D57C0F" w:rsidRDefault="00D57C0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C0F" w:rsidRPr="00105D8B" w:rsidRDefault="00D57C0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6C5920"/>
    <w:multiLevelType w:val="hybridMultilevel"/>
    <w:tmpl w:val="B8B8090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CB54A9"/>
    <w:multiLevelType w:val="hybridMultilevel"/>
    <w:tmpl w:val="33F6B8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564A03"/>
    <w:multiLevelType w:val="hybridMultilevel"/>
    <w:tmpl w:val="64F209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ED2ED6"/>
    <w:multiLevelType w:val="hybridMultilevel"/>
    <w:tmpl w:val="12689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E110E9"/>
    <w:multiLevelType w:val="hybridMultilevel"/>
    <w:tmpl w:val="D83E6A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836857"/>
    <w:multiLevelType w:val="hybridMultilevel"/>
    <w:tmpl w:val="62526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6880830"/>
    <w:multiLevelType w:val="hybridMultilevel"/>
    <w:tmpl w:val="965A660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6DE058F"/>
    <w:multiLevelType w:val="hybridMultilevel"/>
    <w:tmpl w:val="D45EA8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6FD1FE0"/>
    <w:multiLevelType w:val="hybridMultilevel"/>
    <w:tmpl w:val="0FBCF39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99109EB"/>
    <w:multiLevelType w:val="hybridMultilevel"/>
    <w:tmpl w:val="6F660E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2"/>
  </w:num>
  <w:num w:numId="4">
    <w:abstractNumId w:val="6"/>
  </w:num>
  <w:num w:numId="5">
    <w:abstractNumId w:val="1"/>
  </w:num>
  <w:num w:numId="6">
    <w:abstractNumId w:val="0"/>
  </w:num>
  <w:num w:numId="7">
    <w:abstractNumId w:val="3"/>
  </w:num>
  <w:num w:numId="8">
    <w:abstractNumId w:val="24"/>
  </w:num>
  <w:num w:numId="9">
    <w:abstractNumId w:val="12"/>
  </w:num>
  <w:num w:numId="10">
    <w:abstractNumId w:val="33"/>
  </w:num>
  <w:num w:numId="11">
    <w:abstractNumId w:val="14"/>
  </w:num>
  <w:num w:numId="12">
    <w:abstractNumId w:val="31"/>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8"/>
  </w:num>
  <w:num w:numId="17">
    <w:abstractNumId w:val="32"/>
  </w:num>
  <w:num w:numId="18">
    <w:abstractNumId w:val="30"/>
  </w:num>
  <w:num w:numId="19">
    <w:abstractNumId w:val="28"/>
  </w:num>
  <w:num w:numId="20">
    <w:abstractNumId w:val="18"/>
  </w:num>
  <w:num w:numId="21">
    <w:abstractNumId w:val="22"/>
  </w:num>
  <w:num w:numId="22">
    <w:abstractNumId w:val="17"/>
  </w:num>
  <w:num w:numId="23">
    <w:abstractNumId w:val="7"/>
  </w:num>
  <w:num w:numId="24">
    <w:abstractNumId w:val="16"/>
  </w:num>
  <w:num w:numId="25">
    <w:abstractNumId w:val="15"/>
  </w:num>
  <w:num w:numId="26">
    <w:abstractNumId w:val="34"/>
  </w:num>
  <w:num w:numId="27">
    <w:abstractNumId w:val="11"/>
  </w:num>
  <w:num w:numId="28">
    <w:abstractNumId w:val="25"/>
  </w:num>
  <w:num w:numId="29">
    <w:abstractNumId w:val="9"/>
  </w:num>
  <w:num w:numId="30">
    <w:abstractNumId w:val="23"/>
  </w:num>
  <w:num w:numId="31">
    <w:abstractNumId w:val="10"/>
  </w:num>
  <w:num w:numId="32">
    <w:abstractNumId w:val="4"/>
  </w:num>
  <w:num w:numId="33">
    <w:abstractNumId w:val="26"/>
  </w:num>
  <w:num w:numId="34">
    <w:abstractNumId w:val="19"/>
  </w:num>
  <w:num w:numId="35">
    <w:abstractNumId w:val="2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cumentProtection w:edit="forms" w:enforcement="0"/>
  <w:defaultTabStop w:val="720"/>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31C9"/>
    <w:rsid w:val="000968F8"/>
    <w:rsid w:val="00097012"/>
    <w:rsid w:val="000B032A"/>
    <w:rsid w:val="000B2DF7"/>
    <w:rsid w:val="000B3880"/>
    <w:rsid w:val="000D243F"/>
    <w:rsid w:val="000D3419"/>
    <w:rsid w:val="000D7948"/>
    <w:rsid w:val="000D7C84"/>
    <w:rsid w:val="000D7D88"/>
    <w:rsid w:val="000E4E13"/>
    <w:rsid w:val="000E5AD4"/>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52FAE"/>
    <w:rsid w:val="0017696D"/>
    <w:rsid w:val="001848FC"/>
    <w:rsid w:val="001969C5"/>
    <w:rsid w:val="001A6CDD"/>
    <w:rsid w:val="001C12EE"/>
    <w:rsid w:val="001C7B02"/>
    <w:rsid w:val="001E4DD4"/>
    <w:rsid w:val="001E590C"/>
    <w:rsid w:val="001E69DC"/>
    <w:rsid w:val="001F169D"/>
    <w:rsid w:val="001F1DA1"/>
    <w:rsid w:val="001F6F93"/>
    <w:rsid w:val="001F7A20"/>
    <w:rsid w:val="0021195A"/>
    <w:rsid w:val="00213383"/>
    <w:rsid w:val="002155FD"/>
    <w:rsid w:val="00220250"/>
    <w:rsid w:val="0022691B"/>
    <w:rsid w:val="00232163"/>
    <w:rsid w:val="002376F8"/>
    <w:rsid w:val="002408E4"/>
    <w:rsid w:val="00241591"/>
    <w:rsid w:val="00250B4F"/>
    <w:rsid w:val="0025762F"/>
    <w:rsid w:val="0028114D"/>
    <w:rsid w:val="00287649"/>
    <w:rsid w:val="00287E84"/>
    <w:rsid w:val="00291B82"/>
    <w:rsid w:val="0029286C"/>
    <w:rsid w:val="0029300E"/>
    <w:rsid w:val="002B0C3A"/>
    <w:rsid w:val="002B2116"/>
    <w:rsid w:val="002B2D9B"/>
    <w:rsid w:val="002B5016"/>
    <w:rsid w:val="002B742C"/>
    <w:rsid w:val="002B7F4D"/>
    <w:rsid w:val="002C23B6"/>
    <w:rsid w:val="002C285C"/>
    <w:rsid w:val="002C7BE4"/>
    <w:rsid w:val="002D417D"/>
    <w:rsid w:val="002D5E5D"/>
    <w:rsid w:val="002D663C"/>
    <w:rsid w:val="002E09C5"/>
    <w:rsid w:val="002E78A0"/>
    <w:rsid w:val="002F2583"/>
    <w:rsid w:val="002F2687"/>
    <w:rsid w:val="002F48E1"/>
    <w:rsid w:val="002F4F3B"/>
    <w:rsid w:val="003059EB"/>
    <w:rsid w:val="0030791B"/>
    <w:rsid w:val="003116AC"/>
    <w:rsid w:val="00313E7A"/>
    <w:rsid w:val="00315567"/>
    <w:rsid w:val="00324860"/>
    <w:rsid w:val="00327B24"/>
    <w:rsid w:val="00330144"/>
    <w:rsid w:val="003404AF"/>
    <w:rsid w:val="00343B0B"/>
    <w:rsid w:val="00346245"/>
    <w:rsid w:val="00356267"/>
    <w:rsid w:val="00356BAD"/>
    <w:rsid w:val="003605B4"/>
    <w:rsid w:val="003627AC"/>
    <w:rsid w:val="00366914"/>
    <w:rsid w:val="00372FE3"/>
    <w:rsid w:val="003755CB"/>
    <w:rsid w:val="00383F85"/>
    <w:rsid w:val="003A306C"/>
    <w:rsid w:val="003A7DE7"/>
    <w:rsid w:val="003B1006"/>
    <w:rsid w:val="003C1F12"/>
    <w:rsid w:val="003C5F11"/>
    <w:rsid w:val="003D4796"/>
    <w:rsid w:val="003D6401"/>
    <w:rsid w:val="003E1863"/>
    <w:rsid w:val="003F3A85"/>
    <w:rsid w:val="0041044D"/>
    <w:rsid w:val="0041606D"/>
    <w:rsid w:val="00416962"/>
    <w:rsid w:val="004348CC"/>
    <w:rsid w:val="00446538"/>
    <w:rsid w:val="004658FF"/>
    <w:rsid w:val="00474ED7"/>
    <w:rsid w:val="004756E1"/>
    <w:rsid w:val="0048008A"/>
    <w:rsid w:val="00483E94"/>
    <w:rsid w:val="00484120"/>
    <w:rsid w:val="004853A0"/>
    <w:rsid w:val="00490A6A"/>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83A3D"/>
    <w:rsid w:val="00594C86"/>
    <w:rsid w:val="0059559F"/>
    <w:rsid w:val="005A49FF"/>
    <w:rsid w:val="005A7634"/>
    <w:rsid w:val="005B2FC3"/>
    <w:rsid w:val="005B4786"/>
    <w:rsid w:val="005B50DC"/>
    <w:rsid w:val="005C0447"/>
    <w:rsid w:val="005C739F"/>
    <w:rsid w:val="005C73CA"/>
    <w:rsid w:val="005D4768"/>
    <w:rsid w:val="005E2CAB"/>
    <w:rsid w:val="005E429E"/>
    <w:rsid w:val="00601ED4"/>
    <w:rsid w:val="006030BC"/>
    <w:rsid w:val="00604BAB"/>
    <w:rsid w:val="00612866"/>
    <w:rsid w:val="00616EB5"/>
    <w:rsid w:val="006269D4"/>
    <w:rsid w:val="006327D8"/>
    <w:rsid w:val="0064070A"/>
    <w:rsid w:val="00643A01"/>
    <w:rsid w:val="006574D2"/>
    <w:rsid w:val="006676D4"/>
    <w:rsid w:val="00675535"/>
    <w:rsid w:val="00681359"/>
    <w:rsid w:val="00685B5F"/>
    <w:rsid w:val="00696262"/>
    <w:rsid w:val="006B7A44"/>
    <w:rsid w:val="006C3A4F"/>
    <w:rsid w:val="006C4845"/>
    <w:rsid w:val="006D6BC1"/>
    <w:rsid w:val="006E0C96"/>
    <w:rsid w:val="006E2BFC"/>
    <w:rsid w:val="006E5C57"/>
    <w:rsid w:val="006F22A5"/>
    <w:rsid w:val="00702C73"/>
    <w:rsid w:val="00713394"/>
    <w:rsid w:val="007156D2"/>
    <w:rsid w:val="00724677"/>
    <w:rsid w:val="00725AC2"/>
    <w:rsid w:val="00732880"/>
    <w:rsid w:val="007416B9"/>
    <w:rsid w:val="007422FD"/>
    <w:rsid w:val="00743E46"/>
    <w:rsid w:val="00747C45"/>
    <w:rsid w:val="0075271E"/>
    <w:rsid w:val="007562E2"/>
    <w:rsid w:val="00756FDB"/>
    <w:rsid w:val="00760CF4"/>
    <w:rsid w:val="007629B6"/>
    <w:rsid w:val="007665BF"/>
    <w:rsid w:val="00770A91"/>
    <w:rsid w:val="00771B2A"/>
    <w:rsid w:val="007757CE"/>
    <w:rsid w:val="00775800"/>
    <w:rsid w:val="0079180E"/>
    <w:rsid w:val="007950CC"/>
    <w:rsid w:val="0079538B"/>
    <w:rsid w:val="007961B8"/>
    <w:rsid w:val="00797624"/>
    <w:rsid w:val="007A0BD6"/>
    <w:rsid w:val="007A0D17"/>
    <w:rsid w:val="007A4828"/>
    <w:rsid w:val="007B093D"/>
    <w:rsid w:val="007B2069"/>
    <w:rsid w:val="007C04A1"/>
    <w:rsid w:val="007C21FA"/>
    <w:rsid w:val="007C2E03"/>
    <w:rsid w:val="007C6967"/>
    <w:rsid w:val="007D4351"/>
    <w:rsid w:val="007D7019"/>
    <w:rsid w:val="007E18DB"/>
    <w:rsid w:val="007E6F1C"/>
    <w:rsid w:val="007F3C3F"/>
    <w:rsid w:val="007F3F89"/>
    <w:rsid w:val="00804C69"/>
    <w:rsid w:val="0080711D"/>
    <w:rsid w:val="008072F1"/>
    <w:rsid w:val="00812EC9"/>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97BF1"/>
    <w:rsid w:val="008A1DB7"/>
    <w:rsid w:val="008A403A"/>
    <w:rsid w:val="008A4C13"/>
    <w:rsid w:val="008A6831"/>
    <w:rsid w:val="008B604D"/>
    <w:rsid w:val="008C54A9"/>
    <w:rsid w:val="008E10FC"/>
    <w:rsid w:val="008E1B42"/>
    <w:rsid w:val="008E67C3"/>
    <w:rsid w:val="008F589F"/>
    <w:rsid w:val="008F76A9"/>
    <w:rsid w:val="008F7E67"/>
    <w:rsid w:val="00900DBF"/>
    <w:rsid w:val="009048B9"/>
    <w:rsid w:val="00904E91"/>
    <w:rsid w:val="009135BF"/>
    <w:rsid w:val="00915886"/>
    <w:rsid w:val="009214DC"/>
    <w:rsid w:val="00927027"/>
    <w:rsid w:val="009344BA"/>
    <w:rsid w:val="00943A1B"/>
    <w:rsid w:val="00947F78"/>
    <w:rsid w:val="00953234"/>
    <w:rsid w:val="009616A5"/>
    <w:rsid w:val="00961EAF"/>
    <w:rsid w:val="0096278F"/>
    <w:rsid w:val="0096371A"/>
    <w:rsid w:val="00963A73"/>
    <w:rsid w:val="009726E1"/>
    <w:rsid w:val="00977591"/>
    <w:rsid w:val="00980E75"/>
    <w:rsid w:val="00994BE0"/>
    <w:rsid w:val="00996D65"/>
    <w:rsid w:val="009A02E6"/>
    <w:rsid w:val="009A25B1"/>
    <w:rsid w:val="009A4608"/>
    <w:rsid w:val="009A63A2"/>
    <w:rsid w:val="009A6A57"/>
    <w:rsid w:val="009A70BF"/>
    <w:rsid w:val="009B1A15"/>
    <w:rsid w:val="009C0852"/>
    <w:rsid w:val="009C13CA"/>
    <w:rsid w:val="009C32C6"/>
    <w:rsid w:val="009C665F"/>
    <w:rsid w:val="009D7E38"/>
    <w:rsid w:val="009E095B"/>
    <w:rsid w:val="009E1846"/>
    <w:rsid w:val="009E78FF"/>
    <w:rsid w:val="00A00AE8"/>
    <w:rsid w:val="00A01494"/>
    <w:rsid w:val="00A1742B"/>
    <w:rsid w:val="00A22FA9"/>
    <w:rsid w:val="00A23F7C"/>
    <w:rsid w:val="00A25024"/>
    <w:rsid w:val="00A25ED7"/>
    <w:rsid w:val="00A26B60"/>
    <w:rsid w:val="00A35F8F"/>
    <w:rsid w:val="00A41377"/>
    <w:rsid w:val="00A4263D"/>
    <w:rsid w:val="00A509B8"/>
    <w:rsid w:val="00A52AB9"/>
    <w:rsid w:val="00A6210B"/>
    <w:rsid w:val="00A7323A"/>
    <w:rsid w:val="00A831B4"/>
    <w:rsid w:val="00A900DE"/>
    <w:rsid w:val="00A94B33"/>
    <w:rsid w:val="00A97798"/>
    <w:rsid w:val="00AA5213"/>
    <w:rsid w:val="00AA65A6"/>
    <w:rsid w:val="00AC1D8E"/>
    <w:rsid w:val="00AC48FA"/>
    <w:rsid w:val="00AD0240"/>
    <w:rsid w:val="00AD4137"/>
    <w:rsid w:val="00AE5E9D"/>
    <w:rsid w:val="00B037BA"/>
    <w:rsid w:val="00B20139"/>
    <w:rsid w:val="00B218DA"/>
    <w:rsid w:val="00B342FA"/>
    <w:rsid w:val="00B41B86"/>
    <w:rsid w:val="00B52441"/>
    <w:rsid w:val="00B53E8B"/>
    <w:rsid w:val="00B627CA"/>
    <w:rsid w:val="00B774D2"/>
    <w:rsid w:val="00B8015A"/>
    <w:rsid w:val="00B82A57"/>
    <w:rsid w:val="00B91955"/>
    <w:rsid w:val="00BA053B"/>
    <w:rsid w:val="00BA45E5"/>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048D"/>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57C0F"/>
    <w:rsid w:val="00D57EE2"/>
    <w:rsid w:val="00D61410"/>
    <w:rsid w:val="00D6558D"/>
    <w:rsid w:val="00D8181D"/>
    <w:rsid w:val="00D968D8"/>
    <w:rsid w:val="00DA001A"/>
    <w:rsid w:val="00DA563D"/>
    <w:rsid w:val="00DA7277"/>
    <w:rsid w:val="00DB3627"/>
    <w:rsid w:val="00DB4724"/>
    <w:rsid w:val="00DC4746"/>
    <w:rsid w:val="00DE1271"/>
    <w:rsid w:val="00DE7149"/>
    <w:rsid w:val="00E0314C"/>
    <w:rsid w:val="00E05C46"/>
    <w:rsid w:val="00E1508F"/>
    <w:rsid w:val="00E27240"/>
    <w:rsid w:val="00E27EDD"/>
    <w:rsid w:val="00E30584"/>
    <w:rsid w:val="00E310B9"/>
    <w:rsid w:val="00E37E1B"/>
    <w:rsid w:val="00E51C0D"/>
    <w:rsid w:val="00E562C0"/>
    <w:rsid w:val="00E672D6"/>
    <w:rsid w:val="00E76024"/>
    <w:rsid w:val="00E856A2"/>
    <w:rsid w:val="00E96884"/>
    <w:rsid w:val="00E96E27"/>
    <w:rsid w:val="00EA442C"/>
    <w:rsid w:val="00EA5435"/>
    <w:rsid w:val="00EA5F47"/>
    <w:rsid w:val="00EB1869"/>
    <w:rsid w:val="00EC79DE"/>
    <w:rsid w:val="00ED4ACE"/>
    <w:rsid w:val="00EE4D35"/>
    <w:rsid w:val="00EE7315"/>
    <w:rsid w:val="00EF2DA7"/>
    <w:rsid w:val="00EF5D7F"/>
    <w:rsid w:val="00F1092E"/>
    <w:rsid w:val="00F42A2E"/>
    <w:rsid w:val="00F435AA"/>
    <w:rsid w:val="00F5738A"/>
    <w:rsid w:val="00F612D4"/>
    <w:rsid w:val="00F66CD8"/>
    <w:rsid w:val="00F73E50"/>
    <w:rsid w:val="00F77F1D"/>
    <w:rsid w:val="00F81A61"/>
    <w:rsid w:val="00F854D5"/>
    <w:rsid w:val="00F87CCB"/>
    <w:rsid w:val="00F90C84"/>
    <w:rsid w:val="00F978F3"/>
    <w:rsid w:val="00FA48C7"/>
    <w:rsid w:val="00FB73C1"/>
    <w:rsid w:val="00FB7B89"/>
    <w:rsid w:val="00FD460E"/>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21BDF4B2-AAF2-4174-899D-B7F76D0A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EndnoteText">
    <w:name w:val="endnote text"/>
    <w:basedOn w:val="Normal"/>
    <w:link w:val="EndnoteTextChar"/>
    <w:uiPriority w:val="99"/>
    <w:semiHidden/>
    <w:unhideWhenUsed/>
    <w:rsid w:val="002C23B6"/>
    <w:pPr>
      <w:spacing w:after="0" w:line="240" w:lineRule="auto"/>
    </w:pPr>
    <w:rPr>
      <w:spacing w:val="4"/>
      <w:sz w:val="20"/>
      <w:szCs w:val="20"/>
      <w:lang w:eastAsia="ja-JP"/>
    </w:rPr>
  </w:style>
  <w:style w:type="character" w:customStyle="1" w:styleId="EndnoteTextChar">
    <w:name w:val="Endnote Text Char"/>
    <w:basedOn w:val="DefaultParagraphFont"/>
    <w:link w:val="EndnoteText"/>
    <w:uiPriority w:val="99"/>
    <w:semiHidden/>
    <w:rsid w:val="002C23B6"/>
    <w:rPr>
      <w:spacing w:val="4"/>
      <w:sz w:val="20"/>
      <w:szCs w:val="20"/>
      <w:lang w:eastAsia="ja-JP"/>
    </w:rPr>
  </w:style>
  <w:style w:type="character" w:styleId="EndnoteReference">
    <w:name w:val="endnote reference"/>
    <w:basedOn w:val="DefaultParagraphFont"/>
    <w:uiPriority w:val="99"/>
    <w:semiHidden/>
    <w:unhideWhenUsed/>
    <w:rsid w:val="002C23B6"/>
    <w:rPr>
      <w:vertAlign w:val="superscript"/>
    </w:rPr>
  </w:style>
  <w:style w:type="paragraph" w:customStyle="1" w:styleId="Default">
    <w:name w:val="Default"/>
    <w:rsid w:val="00A900DE"/>
    <w:pPr>
      <w:autoSpaceDE w:val="0"/>
      <w:autoSpaceDN w:val="0"/>
      <w:adjustRightInd w:val="0"/>
      <w:spacing w:after="0" w:line="240" w:lineRule="auto"/>
    </w:pPr>
    <w:rPr>
      <w:rFonts w:ascii="Arial" w:hAnsi="Arial" w:cs="Arial"/>
      <w:color w:val="000000"/>
      <w:sz w:val="24"/>
      <w:szCs w:val="24"/>
    </w:rPr>
  </w:style>
  <w:style w:type="paragraph" w:customStyle="1" w:styleId="Style5">
    <w:name w:val="Style5"/>
    <w:basedOn w:val="Normal"/>
    <w:link w:val="Style5Char"/>
    <w:qFormat/>
    <w:rsid w:val="00E96E27"/>
    <w:pPr>
      <w:autoSpaceDE w:val="0"/>
      <w:autoSpaceDN w:val="0"/>
      <w:adjustRightInd w:val="0"/>
      <w:spacing w:after="0" w:line="240" w:lineRule="auto"/>
    </w:pPr>
    <w:rPr>
      <w:rFonts w:ascii="Trebuchet MS" w:hAnsi="Trebuchet MS" w:cstheme="minorHAnsi"/>
      <w:i/>
      <w:color w:val="FF0000"/>
      <w:sz w:val="20"/>
      <w:szCs w:val="20"/>
    </w:rPr>
  </w:style>
  <w:style w:type="character" w:customStyle="1" w:styleId="Style5Char">
    <w:name w:val="Style5 Char"/>
    <w:basedOn w:val="DefaultParagraphFont"/>
    <w:link w:val="Style5"/>
    <w:rsid w:val="00E96E27"/>
    <w:rPr>
      <w:rFonts w:ascii="Trebuchet MS" w:hAnsi="Trebuchet MS" w:cstheme="minorHAnsi"/>
      <w:i/>
      <w:color w:val="FF0000"/>
      <w:sz w:val="20"/>
      <w:szCs w:val="20"/>
    </w:rPr>
  </w:style>
  <w:style w:type="paragraph" w:styleId="NoSpacing">
    <w:name w:val="No Spacing"/>
    <w:uiPriority w:val="1"/>
    <w:qFormat/>
    <w:rsid w:val="00FB7B89"/>
    <w:pPr>
      <w:spacing w:after="0" w:line="240" w:lineRule="auto"/>
    </w:pPr>
    <w:rPr>
      <w:rFonts w:ascii="Calibri Light" w:eastAsiaTheme="minorHAnsi" w:hAnsi="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76025767">
      <w:bodyDiv w:val="1"/>
      <w:marLeft w:val="0"/>
      <w:marRight w:val="0"/>
      <w:marTop w:val="0"/>
      <w:marBottom w:val="0"/>
      <w:divBdr>
        <w:top w:val="none" w:sz="0" w:space="0" w:color="auto"/>
        <w:left w:val="none" w:sz="0" w:space="0" w:color="auto"/>
        <w:bottom w:val="none" w:sz="0" w:space="0" w:color="auto"/>
        <w:right w:val="none" w:sz="0" w:space="0" w:color="auto"/>
      </w:divBdr>
      <w:divsChild>
        <w:div w:id="442771515">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mc/articles/PMC1495268/" TargetMode="External"/><Relationship Id="rId13" Type="http://schemas.openxmlformats.org/officeDocument/2006/relationships/image" Target="media/image3.png"/><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qualityforum.org/Measuring_Performance/Submitting_Standards.aspx" TargetMode="External"/><Relationship Id="rId12" Type="http://schemas.openxmlformats.org/officeDocument/2006/relationships/image" Target="media/image2.png"/><Relationship Id="rId17" Type="http://schemas.openxmlformats.org/officeDocument/2006/relationships/hyperlink" Target="http://www.itl.nist.gov/div898/handbook/prc/section2/prc241.htm" TargetMode="External"/><Relationship Id="rId2" Type="http://schemas.openxmlformats.org/officeDocument/2006/relationships/styles" Target="styles.xml"/><Relationship Id="rId16" Type="http://schemas.openxmlformats.org/officeDocument/2006/relationships/hyperlink" Target="http://www.itl.nist.gov/div898/handbook/prc/section2/prc241.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mc/articles/PMC1495268/"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sychiatry.org/psychiatrists/practice/dsm/dsm-5/online-assessment-measures" TargetMode="External"/><Relationship Id="rId14" Type="http://schemas.openxmlformats.org/officeDocument/2006/relationships/hyperlink" Target="http://mncm.org/wp-content/uploads/2014/02/2013-HCQR-Final-2.4.2014.pdf"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480641"/>
    <w:rsid w:val="0053654E"/>
    <w:rsid w:val="00632A7E"/>
    <w:rsid w:val="00632AB6"/>
    <w:rsid w:val="00730B33"/>
    <w:rsid w:val="00772B2A"/>
    <w:rsid w:val="007C672A"/>
    <w:rsid w:val="007D23CF"/>
    <w:rsid w:val="007D4368"/>
    <w:rsid w:val="00822666"/>
    <w:rsid w:val="00823ECC"/>
    <w:rsid w:val="00866C97"/>
    <w:rsid w:val="009017AE"/>
    <w:rsid w:val="009332AB"/>
    <w:rsid w:val="009C542D"/>
    <w:rsid w:val="00A05E19"/>
    <w:rsid w:val="00A95183"/>
    <w:rsid w:val="00AB4AF7"/>
    <w:rsid w:val="00AD7C4F"/>
    <w:rsid w:val="00B4250D"/>
    <w:rsid w:val="00B445F5"/>
    <w:rsid w:val="00BD40CB"/>
    <w:rsid w:val="00BE70BE"/>
    <w:rsid w:val="00C362A2"/>
    <w:rsid w:val="00C40B3A"/>
    <w:rsid w:val="00C673D8"/>
    <w:rsid w:val="00C90121"/>
    <w:rsid w:val="00CA344F"/>
    <w:rsid w:val="00D1676E"/>
    <w:rsid w:val="00DB2E99"/>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23</Pages>
  <Words>9625</Words>
  <Characters>54864</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64361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Collette Pitzen</cp:lastModifiedBy>
  <cp:revision>10</cp:revision>
  <cp:lastPrinted>2014-06-25T20:55:00Z</cp:lastPrinted>
  <dcterms:created xsi:type="dcterms:W3CDTF">2016-12-01T22:06:00Z</dcterms:created>
  <dcterms:modified xsi:type="dcterms:W3CDTF">2016-12-01T23:07:00Z</dcterms:modified>
</cp:coreProperties>
</file>