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50903B6A"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A121E7">
            <w:rPr>
              <w:rStyle w:val="Style1"/>
            </w:rPr>
            <w:t>2152</w:t>
          </w:r>
        </w:sdtContent>
      </w:sdt>
    </w:p>
    <w:p w14:paraId="55B8DA2F" w14:textId="21BC976A"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A121E7" w:rsidRPr="00A121E7">
            <w:rPr>
              <w:iCs/>
              <w:color w:val="0000FF"/>
            </w:rPr>
            <w:t>Unhealthy Alcohol Use: Screening &amp; Brief Counseling</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28A6963F"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8-11-01T00:00:00Z">
            <w:dateFormat w:val="M/d/yyyy"/>
            <w:lid w:val="en-US"/>
            <w:storeMappedDataAs w:val="dateTime"/>
            <w:calendar w:val="gregorian"/>
          </w:date>
        </w:sdtPr>
        <w:sdtEndPr>
          <w:rPr>
            <w:rStyle w:val="DefaultParagraphFont"/>
            <w:noProof/>
            <w:color w:val="auto"/>
            <w:u w:val="none"/>
          </w:rPr>
        </w:sdtEndPr>
        <w:sdtContent>
          <w:r w:rsidR="00103C8B">
            <w:rPr>
              <w:rStyle w:val="Style2"/>
            </w:rPr>
            <w:t>11/1/2018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1" w:name="Note2"/>
            <w:bookmarkEnd w:id="1"/>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361D96"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361D96"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361D96"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31DC3D4A" w:rsidR="00D73685" w:rsidRDefault="00361D96"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A121E7">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r w:rsidR="002835A2" w:rsidRPr="002835A2">
        <w:rPr>
          <w:rFonts w:cstheme="minorHAnsi"/>
          <w:color w:val="0000FF"/>
        </w:rPr>
        <w:t>The measure focuses on screening adults for unhealthy alcohol use and the provision of brief counseling for those identified as unhealthy alcohol users</w:t>
      </w:r>
      <w:r w:rsidR="002835A2">
        <w:rPr>
          <w:rStyle w:val="Style2"/>
          <w:rFonts w:cstheme="minorHAnsi"/>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2835A2">
            <w:rPr>
              <w:rStyle w:val="Style2"/>
              <w:rFonts w:cstheme="minorHAnsi"/>
            </w:rPr>
            <w:t xml:space="preserve">     </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361D96"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361D96"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342D1C20" w:rsidR="002B06BD"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C53A2F9" w14:textId="77777777" w:rsidR="00AF1043" w:rsidRPr="009776BC" w:rsidRDefault="00AF1043" w:rsidP="00AF1043">
      <w:pPr>
        <w:ind w:firstLine="0"/>
        <w:rPr>
          <w:rFonts w:cstheme="minorHAnsi"/>
          <w:b/>
        </w:rPr>
      </w:pPr>
      <w:r w:rsidRPr="009776BC">
        <w:rPr>
          <w:rFonts w:cstheme="minorHAnsi"/>
          <w:color w:val="0000FF"/>
        </w:rPr>
        <w:t>This measure is intended to promote unhealthy alcohol use screening and brief counseling which has been shown to be effective in reducing alcohol consumption, particularly in primary care settings.  Unhealthy alcohol use “contributes to hypertension, cirrhosis, gastritis, gastric ulcers, pancreatitis, breast cancer, neuropathy, cardiomyopathy, anemia, osteoporosis, cognitive impairment, depression, insomnia, anxiety, suicide, injury, and violence.”(1)</w:t>
      </w:r>
    </w:p>
    <w:p w14:paraId="0FA01396" w14:textId="77777777" w:rsidR="00AF1043" w:rsidRPr="009776BC" w:rsidRDefault="00AF1043" w:rsidP="00AF1043">
      <w:pPr>
        <w:rPr>
          <w:rFonts w:cstheme="minorHAnsi"/>
          <w:color w:val="0000FF"/>
        </w:rPr>
      </w:pPr>
    </w:p>
    <w:p w14:paraId="0B1C0EE7" w14:textId="77777777" w:rsidR="00AF1043" w:rsidRPr="009776BC" w:rsidRDefault="00AF1043" w:rsidP="00AF1043">
      <w:pPr>
        <w:ind w:firstLine="0"/>
        <w:rPr>
          <w:rFonts w:cstheme="minorHAnsi"/>
          <w:color w:val="0000FF"/>
        </w:rPr>
      </w:pPr>
      <w:r w:rsidRPr="009776BC">
        <w:rPr>
          <w:rFonts w:cstheme="minorHAnsi"/>
          <w:color w:val="0000FF"/>
        </w:rPr>
        <w:t>Reference:</w:t>
      </w:r>
    </w:p>
    <w:p w14:paraId="4E746A3E" w14:textId="77777777" w:rsidR="00AF1043" w:rsidRPr="009776BC" w:rsidRDefault="00AF1043" w:rsidP="00AF1043">
      <w:pPr>
        <w:ind w:firstLine="0"/>
        <w:rPr>
          <w:rFonts w:cstheme="minorHAnsi"/>
          <w:color w:val="0000FF"/>
        </w:rPr>
      </w:pPr>
      <w:r w:rsidRPr="009776BC">
        <w:rPr>
          <w:rFonts w:cstheme="minorHAnsi"/>
          <w:color w:val="0000FF"/>
        </w:rPr>
        <w:t>1.  Jonas DE, Garbutt JC, Amick HR, et al.  Behavioral Counseling After Screening for Alcohol Misuse in Primary Care: A Systematic Review and Meta-analysis for the U.S. Preventive Services Task Force.  Ann Intern Med. 2012 Sep 25</w:t>
      </w:r>
    </w:p>
    <w:p w14:paraId="419CB66A" w14:textId="77777777" w:rsidR="00DE6540" w:rsidRPr="00676BD4" w:rsidRDefault="00DE6540" w:rsidP="002B06BD">
      <w:pPr>
        <w:ind w:left="432" w:hanging="432"/>
        <w:rPr>
          <w:iCs/>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35FA7F26" w14:textId="77777777" w:rsidR="007A1AE8" w:rsidRDefault="007A1AE8" w:rsidP="002E2177">
      <w:pPr>
        <w:ind w:left="432" w:hanging="432"/>
        <w:rPr>
          <w:color w:val="0000FF"/>
        </w:rPr>
      </w:pPr>
    </w:p>
    <w:p w14:paraId="5BCFDB54" w14:textId="07612CA6" w:rsidR="004922E4" w:rsidRPr="007A1AE8" w:rsidRDefault="007A1AE8" w:rsidP="007A1AE8">
      <w:pPr>
        <w:ind w:left="432" w:hanging="72"/>
        <w:rPr>
          <w:color w:val="0000FF"/>
        </w:rPr>
      </w:pPr>
      <w:bookmarkStart w:id="6" w:name="_Hlk510079244"/>
      <w:r w:rsidRPr="007A1AE8">
        <w:rPr>
          <w:color w:val="0000FF"/>
        </w:rPr>
        <w:t>Not applicable</w:t>
      </w:r>
    </w:p>
    <w:bookmarkEnd w:id="6"/>
    <w:p w14:paraId="55B8DA5D" w14:textId="77777777" w:rsidR="00676BD4" w:rsidRDefault="00676BD4" w:rsidP="002E2177">
      <w:pPr>
        <w:ind w:left="432" w:hanging="432"/>
        <w:rPr>
          <w:b/>
          <w:color w:val="0000FF"/>
        </w:rPr>
      </w:pPr>
    </w:p>
    <w:p w14:paraId="55B8DA61" w14:textId="142787D1"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4E8AFEF8" w14:textId="77777777" w:rsidR="007A1AE8" w:rsidRDefault="007A1AE8" w:rsidP="007A1AE8">
      <w:pPr>
        <w:ind w:left="432" w:hanging="72"/>
        <w:rPr>
          <w:color w:val="0000FF"/>
        </w:rPr>
      </w:pPr>
    </w:p>
    <w:p w14:paraId="3B3D71BF" w14:textId="3F417DFC" w:rsidR="007A1AE8" w:rsidRPr="007A1AE8" w:rsidRDefault="007A1AE8" w:rsidP="007A1AE8">
      <w:pPr>
        <w:ind w:left="432" w:hanging="72"/>
        <w:rPr>
          <w:color w:val="0000FF"/>
        </w:rPr>
      </w:pPr>
      <w:r w:rsidRPr="007A1AE8">
        <w:rPr>
          <w:color w:val="0000FF"/>
        </w:rPr>
        <w:t>Not applicable</w:t>
      </w:r>
    </w:p>
    <w:p w14:paraId="55B8DA64" w14:textId="4B92253B" w:rsidR="00D14F0B" w:rsidRPr="007A1AE8" w:rsidRDefault="00D14F0B" w:rsidP="002E2177">
      <w:pPr>
        <w:ind w:left="0" w:firstLine="0"/>
        <w:rPr>
          <w:iCs/>
        </w:rPr>
      </w:pPr>
    </w:p>
    <w:p w14:paraId="40AB2D23" w14:textId="77777777" w:rsidR="00AF1043" w:rsidRPr="003B1CC5" w:rsidRDefault="00AF1043" w:rsidP="002E2177">
      <w:pPr>
        <w:ind w:left="0" w:firstLine="0"/>
        <w:rPr>
          <w:iCs/>
        </w:rPr>
      </w:pP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7" w:name="Section1a3"/>
      <w:bookmarkEnd w:id="7"/>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16832255" w:rsidR="00A9011D" w:rsidRPr="00A9011D" w:rsidRDefault="009F6679" w:rsidP="00A9011D">
      <w:pPr>
        <w:ind w:left="0" w:firstLine="0"/>
        <w:rPr>
          <w:rFonts w:ascii="Calibri" w:eastAsia="Calibri" w:hAnsi="Calibri" w:cs="Times New Roman"/>
          <w:b/>
          <w:i/>
        </w:rPr>
      </w:pPr>
      <w:r>
        <w:rPr>
          <w:rFonts w:ascii="Times New Roman" w:eastAsia="Arial Unicode MS" w:hAnsi="Times New Roman" w:cs="Mangal" w:hint="cs"/>
          <w:color w:val="0000FF"/>
          <w:kern w:val="1"/>
          <w:sz w:val="24"/>
          <w:szCs w:val="24"/>
          <w:highlight w:val="yellow"/>
          <w:cs/>
          <w:lang w:eastAsia="hi-IN" w:bidi="hi-IN"/>
        </w:rPr>
        <w:t>x</w:t>
      </w:r>
      <w:r w:rsidR="00A9011D" w:rsidRPr="00AF1043">
        <w:rPr>
          <w:rFonts w:ascii="Calibri" w:eastAsia="Calibri" w:hAnsi="Calibri" w:cs="Times New Roman"/>
          <w:highlight w:val="yellow"/>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Ind w:w="-725" w:type="dxa"/>
        <w:tblLook w:val="04A0" w:firstRow="1" w:lastRow="0" w:firstColumn="1" w:lastColumn="0" w:noHBand="0" w:noVBand="1"/>
      </w:tblPr>
      <w:tblGrid>
        <w:gridCol w:w="1578"/>
        <w:gridCol w:w="8497"/>
      </w:tblGrid>
      <w:tr w:rsidR="00AB4ECE" w14:paraId="55B8DA76" w14:textId="77777777" w:rsidTr="003654F9">
        <w:tc>
          <w:tcPr>
            <w:tcW w:w="1800" w:type="dxa"/>
          </w:tcPr>
          <w:p w14:paraId="55B8DA6F" w14:textId="77777777" w:rsidR="00AB4ECE" w:rsidRPr="009F6679" w:rsidRDefault="00AB4ECE" w:rsidP="002E2177">
            <w:pPr>
              <w:ind w:left="0" w:firstLine="0"/>
              <w:rPr>
                <w:b/>
                <w:sz w:val="20"/>
                <w:szCs w:val="20"/>
              </w:rPr>
            </w:pPr>
            <w:r w:rsidRPr="009F6679">
              <w:rPr>
                <w:b/>
                <w:sz w:val="20"/>
                <w:szCs w:val="20"/>
              </w:rPr>
              <w:t>Source of Systematic Review:</w:t>
            </w:r>
          </w:p>
          <w:p w14:paraId="55B8DA70" w14:textId="77777777" w:rsidR="00AB4ECE" w:rsidRPr="009F6679" w:rsidRDefault="00AB4ECE" w:rsidP="009F6679">
            <w:pPr>
              <w:pStyle w:val="ListParagraph"/>
              <w:numPr>
                <w:ilvl w:val="0"/>
                <w:numId w:val="9"/>
              </w:numPr>
              <w:ind w:left="166" w:hanging="194"/>
              <w:rPr>
                <w:b/>
                <w:sz w:val="20"/>
                <w:szCs w:val="20"/>
              </w:rPr>
            </w:pPr>
            <w:r w:rsidRPr="009F6679">
              <w:rPr>
                <w:b/>
                <w:sz w:val="20"/>
                <w:szCs w:val="20"/>
              </w:rPr>
              <w:t>Title</w:t>
            </w:r>
          </w:p>
          <w:p w14:paraId="55B8DA71" w14:textId="77777777" w:rsidR="00AB4ECE" w:rsidRPr="009F6679" w:rsidRDefault="00AB4ECE" w:rsidP="009F6679">
            <w:pPr>
              <w:pStyle w:val="ListParagraph"/>
              <w:numPr>
                <w:ilvl w:val="0"/>
                <w:numId w:val="9"/>
              </w:numPr>
              <w:ind w:left="166" w:hanging="180"/>
              <w:rPr>
                <w:b/>
                <w:sz w:val="20"/>
                <w:szCs w:val="20"/>
              </w:rPr>
            </w:pPr>
            <w:r w:rsidRPr="009F6679">
              <w:rPr>
                <w:b/>
                <w:sz w:val="20"/>
                <w:szCs w:val="20"/>
              </w:rPr>
              <w:t>Author</w:t>
            </w:r>
          </w:p>
          <w:p w14:paraId="55B8DA72" w14:textId="77777777" w:rsidR="00AB4ECE" w:rsidRPr="009F6679" w:rsidRDefault="00AB4ECE" w:rsidP="009F6679">
            <w:pPr>
              <w:pStyle w:val="ListParagraph"/>
              <w:numPr>
                <w:ilvl w:val="0"/>
                <w:numId w:val="9"/>
              </w:numPr>
              <w:ind w:left="166" w:hanging="180"/>
              <w:rPr>
                <w:b/>
                <w:sz w:val="20"/>
                <w:szCs w:val="20"/>
              </w:rPr>
            </w:pPr>
            <w:r w:rsidRPr="009F6679">
              <w:rPr>
                <w:b/>
                <w:sz w:val="20"/>
                <w:szCs w:val="20"/>
              </w:rPr>
              <w:t>Date</w:t>
            </w:r>
          </w:p>
          <w:p w14:paraId="55B8DA73" w14:textId="77777777" w:rsidR="00AB4ECE" w:rsidRPr="009F6679" w:rsidRDefault="00AB4ECE" w:rsidP="009F6679">
            <w:pPr>
              <w:pStyle w:val="ListParagraph"/>
              <w:numPr>
                <w:ilvl w:val="0"/>
                <w:numId w:val="9"/>
              </w:numPr>
              <w:ind w:left="166" w:hanging="180"/>
              <w:rPr>
                <w:b/>
                <w:sz w:val="20"/>
                <w:szCs w:val="20"/>
              </w:rPr>
            </w:pPr>
            <w:r w:rsidRPr="009F6679">
              <w:rPr>
                <w:b/>
                <w:sz w:val="20"/>
                <w:szCs w:val="20"/>
              </w:rPr>
              <w:t>Citation, including page number</w:t>
            </w:r>
          </w:p>
          <w:p w14:paraId="55B8DA74" w14:textId="77777777" w:rsidR="00AB4ECE" w:rsidRPr="00AB4ECE" w:rsidRDefault="00AB4ECE" w:rsidP="009F6679">
            <w:pPr>
              <w:pStyle w:val="ListParagraph"/>
              <w:numPr>
                <w:ilvl w:val="0"/>
                <w:numId w:val="9"/>
              </w:numPr>
              <w:ind w:left="166" w:hanging="180"/>
              <w:rPr>
                <w:b/>
              </w:rPr>
            </w:pPr>
            <w:r w:rsidRPr="009F6679">
              <w:rPr>
                <w:b/>
                <w:sz w:val="20"/>
                <w:szCs w:val="20"/>
              </w:rPr>
              <w:t>URL</w:t>
            </w:r>
          </w:p>
        </w:tc>
        <w:tc>
          <w:tcPr>
            <w:tcW w:w="8275" w:type="dxa"/>
          </w:tcPr>
          <w:p w14:paraId="79CD4252" w14:textId="77777777" w:rsidR="00AB4ECE" w:rsidRPr="00633D14" w:rsidRDefault="00683A19" w:rsidP="00633D14">
            <w:pPr>
              <w:pStyle w:val="ListParagraph"/>
              <w:numPr>
                <w:ilvl w:val="0"/>
                <w:numId w:val="9"/>
              </w:numPr>
              <w:rPr>
                <w:b/>
              </w:rPr>
            </w:pPr>
            <w:r w:rsidRPr="00633D14">
              <w:rPr>
                <w:b/>
              </w:rPr>
              <w:t xml:space="preserve">Title: </w:t>
            </w:r>
            <w:r w:rsidR="00694842" w:rsidRPr="007A50B5">
              <w:rPr>
                <w:color w:val="0000FF"/>
              </w:rPr>
              <w:t xml:space="preserve">Behavioral Counseling </w:t>
            </w:r>
            <w:r w:rsidRPr="007A50B5">
              <w:rPr>
                <w:color w:val="0000FF"/>
              </w:rPr>
              <w:t>After Screening for Alcohol Misuse in Primary Care: A Systematic Review and Meta-analysis for the U.S. Preventive Services Task Force</w:t>
            </w:r>
          </w:p>
          <w:p w14:paraId="174675BB" w14:textId="237E9028" w:rsidR="00683A19" w:rsidRPr="007A50B5" w:rsidRDefault="00683A19" w:rsidP="00633D14">
            <w:pPr>
              <w:pStyle w:val="ListParagraph"/>
              <w:numPr>
                <w:ilvl w:val="0"/>
                <w:numId w:val="9"/>
              </w:numPr>
              <w:rPr>
                <w:color w:val="0000FF"/>
              </w:rPr>
            </w:pPr>
            <w:r w:rsidRPr="00633D14">
              <w:rPr>
                <w:b/>
              </w:rPr>
              <w:t>Author</w:t>
            </w:r>
            <w:r w:rsidRPr="007A50B5">
              <w:rPr>
                <w:b/>
                <w:color w:val="0000FF"/>
              </w:rPr>
              <w:t xml:space="preserve">: </w:t>
            </w:r>
            <w:r w:rsidRPr="007A50B5">
              <w:rPr>
                <w:color w:val="0000FF"/>
              </w:rPr>
              <w:t>Jonas DE, Garbutt JC, Amick HR, Brown JM, Brownley KA, Council CL, Viera AJ, Wilkins TM</w:t>
            </w:r>
            <w:r w:rsidR="003B38E4" w:rsidRPr="007A50B5">
              <w:rPr>
                <w:color w:val="0000FF"/>
              </w:rPr>
              <w:t>, Schwa</w:t>
            </w:r>
            <w:r w:rsidR="008D5CA4">
              <w:rPr>
                <w:color w:val="0000FF"/>
              </w:rPr>
              <w:t>r</w:t>
            </w:r>
            <w:r w:rsidR="003B38E4" w:rsidRPr="007A50B5">
              <w:rPr>
                <w:color w:val="0000FF"/>
              </w:rPr>
              <w:t xml:space="preserve">tz CJ, Richmond EM, </w:t>
            </w:r>
            <w:r w:rsidR="00053FEC" w:rsidRPr="007A50B5">
              <w:rPr>
                <w:color w:val="0000FF"/>
              </w:rPr>
              <w:t xml:space="preserve">Yeatts J, </w:t>
            </w:r>
            <w:r w:rsidR="00622A41" w:rsidRPr="007A50B5">
              <w:rPr>
                <w:color w:val="0000FF"/>
              </w:rPr>
              <w:t>Swinson Evans T, Wood SD, and Harris RP.</w:t>
            </w:r>
          </w:p>
          <w:p w14:paraId="58D48838" w14:textId="77777777" w:rsidR="00622A41" w:rsidRPr="009776BC" w:rsidRDefault="00622A41" w:rsidP="00633D14">
            <w:pPr>
              <w:pStyle w:val="ListParagraph"/>
              <w:numPr>
                <w:ilvl w:val="0"/>
                <w:numId w:val="9"/>
              </w:numPr>
            </w:pPr>
            <w:r w:rsidRPr="00633D14">
              <w:rPr>
                <w:b/>
              </w:rPr>
              <w:t xml:space="preserve">Date: </w:t>
            </w:r>
            <w:r w:rsidRPr="007A50B5">
              <w:rPr>
                <w:color w:val="0000FF"/>
              </w:rPr>
              <w:t>November 6, 2012</w:t>
            </w:r>
          </w:p>
          <w:p w14:paraId="14F46BFF" w14:textId="496D1FD4" w:rsidR="00622A41" w:rsidRPr="009776BC" w:rsidRDefault="00622A41" w:rsidP="00633D14">
            <w:pPr>
              <w:pStyle w:val="ListParagraph"/>
              <w:numPr>
                <w:ilvl w:val="0"/>
                <w:numId w:val="9"/>
              </w:numPr>
            </w:pPr>
            <w:r w:rsidRPr="00633D14">
              <w:rPr>
                <w:b/>
              </w:rPr>
              <w:t xml:space="preserve">Citation: </w:t>
            </w:r>
            <w:r w:rsidRPr="007A50B5">
              <w:rPr>
                <w:color w:val="0000FF"/>
              </w:rPr>
              <w:t>Jonas DE, Garbutt JC, Amick HR, Brown JM, Brownley KA, Council CL, Viera AJ, Wilkins TM, Schwa</w:t>
            </w:r>
            <w:r w:rsidR="008D5CA4">
              <w:rPr>
                <w:color w:val="0000FF"/>
              </w:rPr>
              <w:t>r</w:t>
            </w:r>
            <w:r w:rsidRPr="007A50B5">
              <w:rPr>
                <w:color w:val="0000FF"/>
              </w:rPr>
              <w:t>tz CJ, Richmond EM, Yeatts J, Swinson Evans T, Wood SD, and Harris RP. Behavioral counseling after screening for alcohol misuse in primary care: A systematic review and meta-analysis for the U.S. Preventive Services Task Force</w:t>
            </w:r>
            <w:r w:rsidR="006937B0" w:rsidRPr="007A50B5">
              <w:rPr>
                <w:color w:val="0000FF"/>
              </w:rPr>
              <w:t>.  Ann Intern Med.</w:t>
            </w:r>
            <w:r w:rsidR="00633D14" w:rsidRPr="007A50B5">
              <w:rPr>
                <w:color w:val="0000FF"/>
              </w:rPr>
              <w:t xml:space="preserve">  2012;157:645-654</w:t>
            </w:r>
            <w:r w:rsidR="00633D14" w:rsidRPr="009776BC">
              <w:t>.</w:t>
            </w:r>
          </w:p>
          <w:p w14:paraId="55B8DA75" w14:textId="2E2381B6" w:rsidR="00622A41" w:rsidRPr="00633D14" w:rsidRDefault="00633D14" w:rsidP="00633D14">
            <w:pPr>
              <w:pStyle w:val="ListParagraph"/>
              <w:numPr>
                <w:ilvl w:val="0"/>
                <w:numId w:val="9"/>
              </w:numPr>
              <w:rPr>
                <w:b/>
              </w:rPr>
            </w:pPr>
            <w:r w:rsidRPr="00633D14">
              <w:rPr>
                <w:b/>
              </w:rPr>
              <w:t xml:space="preserve">URL: </w:t>
            </w:r>
            <w:hyperlink r:id="rId16" w:history="1">
              <w:r w:rsidRPr="00633D14">
                <w:rPr>
                  <w:rStyle w:val="Hyperlink"/>
                  <w:b/>
                </w:rPr>
                <w:t>https://www.uspreventiveservicestaskforce.org/Page/Document/UpdateSummaryFinal/alcohol-misuse-screening-and-behavioral-counseling-interventions-in-primary-care</w:t>
              </w:r>
            </w:hyperlink>
          </w:p>
        </w:tc>
      </w:tr>
      <w:tr w:rsidR="00AB4ECE" w14:paraId="55B8DA79" w14:textId="77777777" w:rsidTr="003654F9">
        <w:tc>
          <w:tcPr>
            <w:tcW w:w="1800" w:type="dxa"/>
          </w:tcPr>
          <w:p w14:paraId="55B8DA77" w14:textId="77777777" w:rsidR="00AB4ECE" w:rsidRDefault="00AB4ECE" w:rsidP="002E2177">
            <w:pPr>
              <w:ind w:left="0" w:firstLine="0"/>
            </w:pPr>
            <w:r>
              <w:t xml:space="preserve">Quote the guideline or recommendation verbatim about the process, structure or intermediate outcome being </w:t>
            </w:r>
            <w:r>
              <w:lastRenderedPageBreak/>
              <w:t>measured.</w:t>
            </w:r>
            <w:r w:rsidR="000E5C93">
              <w:t xml:space="preserve"> If not a guideline, summarize the conclusions from the SR.</w:t>
            </w:r>
          </w:p>
        </w:tc>
        <w:tc>
          <w:tcPr>
            <w:tcW w:w="8275" w:type="dxa"/>
          </w:tcPr>
          <w:p w14:paraId="55B8DA78" w14:textId="0D8A05C9" w:rsidR="00AB4ECE" w:rsidRPr="009776BC" w:rsidRDefault="00775998" w:rsidP="002E2177">
            <w:pPr>
              <w:ind w:left="0" w:firstLine="0"/>
              <w:rPr>
                <w:color w:val="0000FF"/>
              </w:rPr>
            </w:pPr>
            <w:r w:rsidRPr="009776BC">
              <w:rPr>
                <w:color w:val="0000FF"/>
              </w:rPr>
              <w:lastRenderedPageBreak/>
              <w:t xml:space="preserve">The USPSTF recommends that clinicians screen adults aged 18 years and older for alcohol misuse and provide persons engaged in risky or hazardous drinking with brief behavioral counseling interventions to reduce alcohol misuse.  </w:t>
            </w:r>
          </w:p>
        </w:tc>
      </w:tr>
      <w:tr w:rsidR="00AB4ECE" w14:paraId="55B8DA7C" w14:textId="77777777" w:rsidTr="003654F9">
        <w:tc>
          <w:tcPr>
            <w:tcW w:w="1800"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8275" w:type="dxa"/>
          </w:tcPr>
          <w:p w14:paraId="55B8DA7B" w14:textId="61E874F9" w:rsidR="000310C3" w:rsidRDefault="00884784" w:rsidP="002E2177">
            <w:pPr>
              <w:ind w:left="0" w:firstLine="0"/>
            </w:pPr>
            <w:r w:rsidRPr="00884784">
              <w:rPr>
                <w:color w:val="0000FF"/>
              </w:rPr>
              <w:t>Moderate Strength of Evidence: Moderate confidence that the evidence reflects the true effect.  Further research may change our confidence in the estimate of the effect and may change the estimate.</w:t>
            </w:r>
          </w:p>
        </w:tc>
      </w:tr>
      <w:tr w:rsidR="00AB4ECE" w14:paraId="55B8DA7F" w14:textId="77777777" w:rsidTr="003654F9">
        <w:tc>
          <w:tcPr>
            <w:tcW w:w="1800" w:type="dxa"/>
          </w:tcPr>
          <w:p w14:paraId="55B8DA7D" w14:textId="77777777" w:rsidR="00AB4ECE" w:rsidRDefault="00AB4ECE" w:rsidP="00E42FAA">
            <w:pPr>
              <w:ind w:left="0" w:firstLine="0"/>
            </w:pPr>
            <w:r>
              <w:t>Provide all other grades and definitions from the evidence grading system</w:t>
            </w:r>
          </w:p>
        </w:tc>
        <w:tc>
          <w:tcPr>
            <w:tcW w:w="8275" w:type="dxa"/>
          </w:tcPr>
          <w:p w14:paraId="4DD7C89F" w14:textId="6216788D" w:rsidR="00884784" w:rsidRDefault="00884784" w:rsidP="00884784">
            <w:pPr>
              <w:ind w:left="25" w:hanging="25"/>
              <w:rPr>
                <w:rFonts w:cstheme="minorHAnsi"/>
                <w:color w:val="0000FF"/>
              </w:rPr>
            </w:pPr>
            <w:r w:rsidRPr="00884784">
              <w:rPr>
                <w:rFonts w:cstheme="minorHAnsi"/>
                <w:color w:val="0000FF"/>
              </w:rPr>
              <w:t>The strength of evidence was graded based on the guidance established for the AHRQ Evidence-based Practice Center Program.  Developed to grade the overall strength of a body of evidence, this approach incorporates four key domains: risk of bias (includes study design and aggregate quality), consistency, directness, and precision of the evidence. We considered all evidence from intermediate outcomes to be indirect. It also considers other optional domains that may be relevant for some scenarios, such as a dose-response association, plausible confounding that would decrease the observed effect, strength of association (magnitude of effect), and publication bias.</w:t>
            </w:r>
          </w:p>
          <w:p w14:paraId="131BA3EC" w14:textId="266C6163" w:rsidR="00884784" w:rsidRDefault="00884784" w:rsidP="00884784">
            <w:pPr>
              <w:ind w:left="25" w:hanging="25"/>
              <w:rPr>
                <w:rFonts w:cstheme="minorHAnsi"/>
                <w:b/>
                <w:color w:val="555555"/>
              </w:rPr>
            </w:pPr>
          </w:p>
          <w:p w14:paraId="1F79AF73" w14:textId="77777777" w:rsidR="00884784" w:rsidRPr="00884784" w:rsidRDefault="00884784" w:rsidP="00884784">
            <w:pPr>
              <w:rPr>
                <w:rFonts w:cstheme="minorHAnsi"/>
                <w:color w:val="0000FF"/>
              </w:rPr>
            </w:pPr>
            <w:r w:rsidRPr="00884784">
              <w:rPr>
                <w:rFonts w:cstheme="minorHAnsi"/>
                <w:color w:val="0000FF"/>
              </w:rPr>
              <w:t>Definitions of the grades of overall strength of evidence</w:t>
            </w:r>
          </w:p>
          <w:p w14:paraId="1A4C8CD2" w14:textId="77777777" w:rsidR="00884784" w:rsidRPr="00884784" w:rsidRDefault="00884784" w:rsidP="00884784">
            <w:pPr>
              <w:rPr>
                <w:rFonts w:cstheme="minorHAnsi"/>
                <w:color w:val="0000FF"/>
              </w:rPr>
            </w:pPr>
            <w:r w:rsidRPr="00884784">
              <w:rPr>
                <w:rFonts w:cstheme="minorHAnsi"/>
                <w:color w:val="0000FF"/>
              </w:rPr>
              <w:t>Grade:  Definition</w:t>
            </w:r>
          </w:p>
          <w:p w14:paraId="05C3170E" w14:textId="0E2F7588" w:rsidR="00884784" w:rsidRDefault="00884784" w:rsidP="00884784">
            <w:pPr>
              <w:ind w:left="25" w:hanging="25"/>
              <w:rPr>
                <w:rFonts w:cstheme="minorHAnsi"/>
                <w:color w:val="0000FF"/>
              </w:rPr>
            </w:pPr>
            <w:r w:rsidRPr="00884784">
              <w:rPr>
                <w:rFonts w:cstheme="minorHAnsi"/>
                <w:color w:val="0000FF"/>
              </w:rPr>
              <w:t>High:  High confidence that the evidence reflects the true effect. Further research is very unlikely to change our confidence in the estimate of effect.</w:t>
            </w:r>
          </w:p>
          <w:p w14:paraId="4DBCA10C" w14:textId="77777777" w:rsidR="009F6679" w:rsidRPr="00884784" w:rsidRDefault="009F6679" w:rsidP="00884784">
            <w:pPr>
              <w:ind w:left="25" w:hanging="25"/>
              <w:rPr>
                <w:rFonts w:cstheme="minorHAnsi"/>
                <w:color w:val="0000FF"/>
              </w:rPr>
            </w:pPr>
          </w:p>
          <w:p w14:paraId="2858217F" w14:textId="587B1D81" w:rsidR="00884784" w:rsidRDefault="00884784" w:rsidP="00884784">
            <w:pPr>
              <w:ind w:left="0" w:firstLine="0"/>
              <w:rPr>
                <w:rFonts w:cstheme="minorHAnsi"/>
                <w:color w:val="0000FF"/>
              </w:rPr>
            </w:pPr>
            <w:r w:rsidRPr="00884784">
              <w:rPr>
                <w:rFonts w:cstheme="minorHAnsi"/>
                <w:color w:val="0000FF"/>
              </w:rPr>
              <w:t>Moderate:  Moderate confidence that the evidence reflects the true effect. Further research may change our confidence in the estimate of the effect and may change the estimate.</w:t>
            </w:r>
          </w:p>
          <w:p w14:paraId="0627B708" w14:textId="77777777" w:rsidR="009F6679" w:rsidRPr="00884784" w:rsidRDefault="009F6679" w:rsidP="00884784">
            <w:pPr>
              <w:ind w:left="0" w:firstLine="0"/>
              <w:rPr>
                <w:rFonts w:cstheme="minorHAnsi"/>
                <w:color w:val="0000FF"/>
              </w:rPr>
            </w:pPr>
          </w:p>
          <w:p w14:paraId="5809BB75" w14:textId="3CA5673A" w:rsidR="00884784" w:rsidRDefault="00884784" w:rsidP="00884784">
            <w:pPr>
              <w:ind w:left="25" w:hanging="25"/>
              <w:rPr>
                <w:rFonts w:cstheme="minorHAnsi"/>
                <w:color w:val="0000FF"/>
              </w:rPr>
            </w:pPr>
            <w:r w:rsidRPr="00884784">
              <w:rPr>
                <w:rFonts w:cstheme="minorHAnsi"/>
                <w:color w:val="0000FF"/>
              </w:rPr>
              <w:t>Low:  Low confidence that the evidence reflects the true effect. Further research is likely to change our confidence in the estimate of the effect and is likely to change the estimate.</w:t>
            </w:r>
          </w:p>
          <w:p w14:paraId="3075F430" w14:textId="77777777" w:rsidR="009F6679" w:rsidRPr="00884784" w:rsidRDefault="009F6679" w:rsidP="00884784">
            <w:pPr>
              <w:ind w:left="25" w:hanging="25"/>
              <w:rPr>
                <w:rFonts w:cstheme="minorHAnsi"/>
                <w:color w:val="0000FF"/>
              </w:rPr>
            </w:pPr>
          </w:p>
          <w:p w14:paraId="08696BCC" w14:textId="77777777" w:rsidR="00884784" w:rsidRPr="00884784" w:rsidRDefault="00884784" w:rsidP="00884784">
            <w:pPr>
              <w:rPr>
                <w:rFonts w:cstheme="minorHAnsi"/>
                <w:color w:val="0000FF"/>
              </w:rPr>
            </w:pPr>
            <w:r w:rsidRPr="00884784">
              <w:rPr>
                <w:rFonts w:cstheme="minorHAnsi"/>
                <w:color w:val="0000FF"/>
              </w:rPr>
              <w:t>Insufficient:  Evidence either is unavailable or does not permit estimation of an effect.</w:t>
            </w:r>
          </w:p>
          <w:p w14:paraId="26E0E5D6" w14:textId="77777777" w:rsidR="00884784" w:rsidRPr="00884784" w:rsidRDefault="00884784" w:rsidP="00884784">
            <w:pPr>
              <w:ind w:left="25" w:hanging="25"/>
              <w:rPr>
                <w:rFonts w:cstheme="minorHAnsi"/>
                <w:b/>
                <w:color w:val="555555"/>
              </w:rPr>
            </w:pPr>
          </w:p>
          <w:p w14:paraId="55B8DA7E" w14:textId="78337884" w:rsidR="00AB4ECE" w:rsidRDefault="00AB4ECE" w:rsidP="002E2177">
            <w:pPr>
              <w:ind w:left="0" w:firstLine="0"/>
            </w:pPr>
          </w:p>
        </w:tc>
      </w:tr>
      <w:tr w:rsidR="00AB4ECE" w:rsidRPr="003F41AF" w14:paraId="55B8DA82" w14:textId="77777777" w:rsidTr="003654F9">
        <w:tc>
          <w:tcPr>
            <w:tcW w:w="1800"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8275" w:type="dxa"/>
          </w:tcPr>
          <w:p w14:paraId="1EF36726" w14:textId="77777777" w:rsidR="006555AF" w:rsidRPr="006555AF" w:rsidRDefault="006555AF" w:rsidP="006555AF">
            <w:pPr>
              <w:ind w:left="0" w:firstLine="0"/>
              <w:rPr>
                <w:color w:val="0000FF"/>
              </w:rPr>
            </w:pPr>
            <w:r w:rsidRPr="006555AF">
              <w:rPr>
                <w:color w:val="0000FF"/>
              </w:rPr>
              <w:t>B Recommendation</w:t>
            </w:r>
          </w:p>
          <w:p w14:paraId="7AC8CC88" w14:textId="77777777" w:rsidR="006555AF" w:rsidRPr="006555AF" w:rsidRDefault="006555AF" w:rsidP="006555AF">
            <w:pPr>
              <w:ind w:left="0" w:firstLine="0"/>
              <w:rPr>
                <w:color w:val="0000FF"/>
              </w:rPr>
            </w:pPr>
          </w:p>
          <w:p w14:paraId="045B724C" w14:textId="77777777" w:rsidR="006555AF" w:rsidRPr="006555AF" w:rsidRDefault="006555AF" w:rsidP="006555AF">
            <w:pPr>
              <w:ind w:left="0" w:firstLine="0"/>
              <w:rPr>
                <w:color w:val="0000FF"/>
              </w:rPr>
            </w:pPr>
            <w:r w:rsidRPr="006555AF">
              <w:rPr>
                <w:color w:val="0000FF"/>
              </w:rPr>
              <w:t>The USPSTF recommends this service.  There is high certainty that the net benefit is moderate or there is moderate certainty that the net benefit is moderate to substantial.</w:t>
            </w:r>
          </w:p>
          <w:p w14:paraId="433C8EDF" w14:textId="77777777" w:rsidR="006555AF" w:rsidRDefault="006555AF" w:rsidP="006555AF">
            <w:pPr>
              <w:ind w:left="0" w:firstLine="0"/>
            </w:pPr>
          </w:p>
          <w:p w14:paraId="55B8DA81" w14:textId="0541E2DF" w:rsidR="00AB4ECE" w:rsidRPr="003F41AF" w:rsidRDefault="006555AF" w:rsidP="006555AF">
            <w:pPr>
              <w:ind w:left="0" w:firstLine="0"/>
              <w:rPr>
                <w:lang w:val="fr-FR"/>
              </w:rPr>
            </w:pPr>
            <w:r w:rsidRPr="003F41AF">
              <w:rPr>
                <w:lang w:val="fr-FR"/>
              </w:rPr>
              <w:t xml:space="preserve">Source: </w:t>
            </w:r>
            <w:hyperlink r:id="rId17" w:anchor="grade-definitions-after-july-2012" w:history="1">
              <w:r w:rsidRPr="003F41AF">
                <w:rPr>
                  <w:rStyle w:val="Hyperlink"/>
                  <w:lang w:val="fr-FR"/>
                </w:rPr>
                <w:t>https://www.uspreventiveservicestaskforce.org/Page/Name/grade-definitions#grade-definitions-after-july-2012</w:t>
              </w:r>
            </w:hyperlink>
          </w:p>
        </w:tc>
      </w:tr>
      <w:tr w:rsidR="00AB4ECE" w:rsidRPr="003F41AF" w14:paraId="55B8DA85" w14:textId="77777777" w:rsidTr="003654F9">
        <w:tc>
          <w:tcPr>
            <w:tcW w:w="1800" w:type="dxa"/>
          </w:tcPr>
          <w:p w14:paraId="55B8DA83" w14:textId="77777777" w:rsidR="00AB4ECE" w:rsidRDefault="00AB4ECE" w:rsidP="00E42FAA">
            <w:pPr>
              <w:ind w:left="0" w:firstLine="0"/>
            </w:pPr>
            <w:r>
              <w:t xml:space="preserve">Provide all other grades and definitions </w:t>
            </w:r>
            <w:r>
              <w:lastRenderedPageBreak/>
              <w:t>from the recommendation grading system</w:t>
            </w:r>
          </w:p>
        </w:tc>
        <w:tc>
          <w:tcPr>
            <w:tcW w:w="8275" w:type="dxa"/>
          </w:tcPr>
          <w:p w14:paraId="29C302E5" w14:textId="6E85B7A6" w:rsidR="00AB4ECE" w:rsidRDefault="001E1922" w:rsidP="002E2177">
            <w:pPr>
              <w:ind w:left="0" w:firstLine="0"/>
              <w:rPr>
                <w:color w:val="0000FF"/>
              </w:rPr>
            </w:pPr>
            <w:r w:rsidRPr="001E1922">
              <w:rPr>
                <w:color w:val="0000FF"/>
              </w:rPr>
              <w:lastRenderedPageBreak/>
              <w:t>A Recommendation: The USPSTF recommends this service.  There is high certainty that the net benefit is substantial.</w:t>
            </w:r>
          </w:p>
          <w:p w14:paraId="1AE33B24" w14:textId="77777777" w:rsidR="00397D7F" w:rsidRPr="001E1922" w:rsidRDefault="00397D7F" w:rsidP="002E2177">
            <w:pPr>
              <w:ind w:left="0" w:firstLine="0"/>
              <w:rPr>
                <w:color w:val="0000FF"/>
              </w:rPr>
            </w:pPr>
          </w:p>
          <w:p w14:paraId="6BDC9E43" w14:textId="1A6093D8" w:rsidR="001E1922" w:rsidRDefault="001E1922" w:rsidP="001E1922">
            <w:pPr>
              <w:ind w:left="0" w:firstLine="0"/>
              <w:rPr>
                <w:color w:val="0000FF"/>
              </w:rPr>
            </w:pPr>
            <w:r w:rsidRPr="006555AF">
              <w:rPr>
                <w:color w:val="0000FF"/>
              </w:rPr>
              <w:lastRenderedPageBreak/>
              <w:t>B Recommendation</w:t>
            </w:r>
            <w:r>
              <w:rPr>
                <w:color w:val="0000FF"/>
              </w:rPr>
              <w:t xml:space="preserve">: </w:t>
            </w:r>
            <w:r w:rsidRPr="006555AF">
              <w:rPr>
                <w:color w:val="0000FF"/>
              </w:rPr>
              <w:t>The USPSTF recommends this service.  There is high certainty that the net benefit is moderate or there is moderate certainty that the net benefit is moderate to substantial.</w:t>
            </w:r>
          </w:p>
          <w:p w14:paraId="06148F0D" w14:textId="77777777" w:rsidR="00397D7F" w:rsidRDefault="00397D7F" w:rsidP="001E1922">
            <w:pPr>
              <w:ind w:left="0" w:firstLine="0"/>
              <w:rPr>
                <w:color w:val="0000FF"/>
              </w:rPr>
            </w:pPr>
          </w:p>
          <w:p w14:paraId="4CCE4BD1" w14:textId="5DC0A76F" w:rsidR="001E1922" w:rsidRDefault="001E1922" w:rsidP="001E1922">
            <w:pPr>
              <w:ind w:left="0" w:firstLine="0"/>
              <w:rPr>
                <w:color w:val="0000FF"/>
              </w:rPr>
            </w:pPr>
            <w:r>
              <w:rPr>
                <w:color w:val="0000FF"/>
              </w:rPr>
              <w:t>C Recommendation: The USPSTF recommends selectively offering or providing this service to individual patients based on professional judgement and patient preferences.  There is at least moderate certainty that the net benefit is small.</w:t>
            </w:r>
          </w:p>
          <w:p w14:paraId="42E432A1" w14:textId="47771425" w:rsidR="00397D7F" w:rsidRDefault="00397D7F" w:rsidP="001E1922">
            <w:pPr>
              <w:ind w:left="0" w:firstLine="0"/>
              <w:rPr>
                <w:color w:val="0000FF"/>
              </w:rPr>
            </w:pPr>
          </w:p>
          <w:p w14:paraId="3E4C981F" w14:textId="77777777" w:rsidR="00397D7F" w:rsidRDefault="00397D7F" w:rsidP="001E1922">
            <w:pPr>
              <w:ind w:left="0" w:firstLine="0"/>
              <w:rPr>
                <w:color w:val="0000FF"/>
              </w:rPr>
            </w:pPr>
          </w:p>
          <w:p w14:paraId="6667AE46" w14:textId="1B74BE72" w:rsidR="008B4FD9" w:rsidRDefault="008B4FD9" w:rsidP="001E1922">
            <w:pPr>
              <w:ind w:left="0" w:firstLine="0"/>
              <w:rPr>
                <w:color w:val="0000FF"/>
              </w:rPr>
            </w:pPr>
            <w:r>
              <w:rPr>
                <w:color w:val="0000FF"/>
              </w:rPr>
              <w:t>D Recommendation: The USPSTF recommends against this service.  There is moderate or high certainty that the service has no net benefit or that the harms outweigh the benefits.</w:t>
            </w:r>
          </w:p>
          <w:p w14:paraId="68BAE571" w14:textId="77777777" w:rsidR="00397D7F" w:rsidRDefault="00397D7F" w:rsidP="001E1922">
            <w:pPr>
              <w:ind w:left="0" w:firstLine="0"/>
              <w:rPr>
                <w:color w:val="0000FF"/>
              </w:rPr>
            </w:pPr>
          </w:p>
          <w:p w14:paraId="42DEB87D" w14:textId="65010B92" w:rsidR="008B4FD9" w:rsidRDefault="008B4FD9" w:rsidP="001E1922">
            <w:pPr>
              <w:ind w:left="0" w:firstLine="0"/>
              <w:rPr>
                <w:color w:val="0000FF"/>
              </w:rPr>
            </w:pPr>
            <w:r>
              <w:rPr>
                <w:color w:val="0000FF"/>
              </w:rPr>
              <w:t xml:space="preserve">I Statement: The USPSTF concludes that that current evidence is insufficient to assess the balance of benefits and harms of the service.  </w:t>
            </w:r>
            <w:r w:rsidR="00397D7F">
              <w:rPr>
                <w:color w:val="0000FF"/>
              </w:rPr>
              <w:t>Evidence is lacking, of poor quality, or conflicting, and the balance of benefits and harms cannot be determined.</w:t>
            </w:r>
          </w:p>
          <w:p w14:paraId="7425D2FA" w14:textId="6A1BB315" w:rsidR="00397D7F" w:rsidRDefault="00397D7F" w:rsidP="001E1922">
            <w:pPr>
              <w:ind w:left="0" w:firstLine="0"/>
              <w:rPr>
                <w:color w:val="0000FF"/>
              </w:rPr>
            </w:pPr>
          </w:p>
          <w:p w14:paraId="43B22CFB" w14:textId="760B1CF1" w:rsidR="00397D7F" w:rsidRPr="003F41AF" w:rsidRDefault="00397D7F" w:rsidP="001E1922">
            <w:pPr>
              <w:ind w:left="0" w:firstLine="0"/>
              <w:rPr>
                <w:color w:val="0000FF"/>
                <w:lang w:val="fr-FR"/>
              </w:rPr>
            </w:pPr>
            <w:r w:rsidRPr="003F41AF">
              <w:rPr>
                <w:color w:val="0000FF"/>
                <w:lang w:val="fr-FR"/>
              </w:rPr>
              <w:t xml:space="preserve">Source: </w:t>
            </w:r>
            <w:hyperlink r:id="rId18" w:anchor="grade-definitions-after-july-2012" w:history="1">
              <w:r w:rsidRPr="003F41AF">
                <w:rPr>
                  <w:rStyle w:val="Hyperlink"/>
                  <w:lang w:val="fr-FR"/>
                </w:rPr>
                <w:t>https://www.uspreventiveservicestaskforce.org/Page/Name/grade-definitions#grade-definitions-after-july-2012</w:t>
              </w:r>
            </w:hyperlink>
          </w:p>
          <w:p w14:paraId="55B8DA84" w14:textId="66FA4201" w:rsidR="001E1922" w:rsidRPr="003F41AF" w:rsidRDefault="001E1922" w:rsidP="002E2177">
            <w:pPr>
              <w:ind w:left="0" w:firstLine="0"/>
              <w:rPr>
                <w:lang w:val="fr-FR"/>
              </w:rPr>
            </w:pPr>
          </w:p>
        </w:tc>
      </w:tr>
      <w:tr w:rsidR="00AB4ECE" w14:paraId="55B8DA8A" w14:textId="77777777" w:rsidTr="003654F9">
        <w:tc>
          <w:tcPr>
            <w:tcW w:w="1800" w:type="dxa"/>
          </w:tcPr>
          <w:p w14:paraId="55B8DA86" w14:textId="77777777" w:rsidR="00AB4ECE" w:rsidRDefault="000E5C93" w:rsidP="002E2177">
            <w:pPr>
              <w:ind w:left="0" w:firstLine="0"/>
            </w:pPr>
            <w:r>
              <w:lastRenderedPageBreak/>
              <w:t>Body of evidence:</w:t>
            </w:r>
          </w:p>
          <w:p w14:paraId="55B8DA87" w14:textId="77777777" w:rsidR="000E5C93" w:rsidRDefault="000E5C93" w:rsidP="00DD20BF">
            <w:pPr>
              <w:pStyle w:val="ListParagraph"/>
              <w:numPr>
                <w:ilvl w:val="0"/>
                <w:numId w:val="10"/>
              </w:numPr>
              <w:ind w:left="166" w:hanging="166"/>
            </w:pPr>
            <w:r>
              <w:t>Quantity – how many studies?</w:t>
            </w:r>
          </w:p>
          <w:p w14:paraId="55B8DA88" w14:textId="77777777" w:rsidR="000E5C93" w:rsidRDefault="000E5C93" w:rsidP="00DD20BF">
            <w:pPr>
              <w:pStyle w:val="ListParagraph"/>
              <w:numPr>
                <w:ilvl w:val="0"/>
                <w:numId w:val="10"/>
              </w:numPr>
              <w:ind w:left="166" w:hanging="180"/>
            </w:pPr>
            <w:r>
              <w:t>Quality – what type of studies?</w:t>
            </w:r>
          </w:p>
        </w:tc>
        <w:tc>
          <w:tcPr>
            <w:tcW w:w="8275" w:type="dxa"/>
          </w:tcPr>
          <w:p w14:paraId="04BC053F" w14:textId="77777777" w:rsidR="002835A2" w:rsidRPr="00C24C1C" w:rsidRDefault="002835A2" w:rsidP="001758AC">
            <w:pPr>
              <w:ind w:left="25" w:hanging="25"/>
              <w:rPr>
                <w:rFonts w:cstheme="minorHAnsi"/>
                <w:i/>
              </w:rPr>
            </w:pPr>
            <w:r w:rsidRPr="00C24C1C">
              <w:rPr>
                <w:rFonts w:cstheme="minorHAnsi"/>
                <w:color w:val="0000FF"/>
              </w:rPr>
              <w:t>The USPSTF evidence review included 23 randomized, controlled trials included in 38 articles.</w:t>
            </w:r>
          </w:p>
          <w:p w14:paraId="7F0DD419" w14:textId="77777777" w:rsidR="00AB4ECE" w:rsidRPr="00C24C1C" w:rsidRDefault="00AB4ECE" w:rsidP="002E2177">
            <w:pPr>
              <w:ind w:left="0" w:firstLine="0"/>
              <w:rPr>
                <w:rFonts w:cstheme="minorHAnsi"/>
              </w:rPr>
            </w:pPr>
          </w:p>
          <w:p w14:paraId="248D6678" w14:textId="77777777" w:rsidR="002835A2" w:rsidRPr="00C24C1C" w:rsidRDefault="002835A2" w:rsidP="00C24C1C">
            <w:pPr>
              <w:ind w:left="0" w:firstLine="0"/>
              <w:rPr>
                <w:rFonts w:cstheme="minorHAnsi"/>
                <w:color w:val="0000FF"/>
              </w:rPr>
            </w:pPr>
            <w:r w:rsidRPr="00C24C1C">
              <w:rPr>
                <w:rFonts w:cstheme="minorHAnsi"/>
                <w:color w:val="0000FF"/>
              </w:rPr>
              <w:t>The quality of the body of evidence for adults was summarized according to the grades of evidence rating as “moderate strength of evidence” for each of 3 intermediate outcomes reported [consumption (mean drinks/week), heavy drinking episodes, and achievement of recommended drinking limits].  For specific patient populations, the quality of the body of evidence varied depending on the intermediate outcome studied.  Details are as follows:</w:t>
            </w:r>
          </w:p>
          <w:p w14:paraId="5FA0C66F" w14:textId="77777777" w:rsidR="002835A2" w:rsidRPr="00C24C1C" w:rsidRDefault="002835A2" w:rsidP="002835A2">
            <w:pPr>
              <w:rPr>
                <w:rFonts w:cstheme="minorHAnsi"/>
                <w:color w:val="0000FF"/>
              </w:rPr>
            </w:pPr>
          </w:p>
          <w:p w14:paraId="35E97D0C" w14:textId="77777777" w:rsidR="002835A2" w:rsidRPr="00C24C1C" w:rsidRDefault="002835A2" w:rsidP="002835A2">
            <w:pPr>
              <w:rPr>
                <w:rFonts w:cstheme="minorHAnsi"/>
                <w:color w:val="0000FF"/>
              </w:rPr>
            </w:pPr>
            <w:r w:rsidRPr="00C24C1C">
              <w:rPr>
                <w:rFonts w:cstheme="minorHAnsi"/>
                <w:color w:val="0000FF"/>
              </w:rPr>
              <w:t xml:space="preserve">Adults:  </w:t>
            </w:r>
          </w:p>
          <w:p w14:paraId="596EFE57" w14:textId="77777777" w:rsidR="002835A2" w:rsidRPr="00C24C1C" w:rsidRDefault="002835A2" w:rsidP="00C24C1C">
            <w:pPr>
              <w:ind w:left="25" w:hanging="25"/>
              <w:rPr>
                <w:rFonts w:cstheme="minorHAnsi"/>
                <w:color w:val="0000FF"/>
              </w:rPr>
            </w:pPr>
            <w:r w:rsidRPr="00C24C1C">
              <w:rPr>
                <w:rFonts w:cstheme="minorHAnsi"/>
                <w:color w:val="0000FF"/>
              </w:rPr>
              <w:t>Consumption:  Reduction of 3.6 (2.4 to 4.8) from baseline ~23 [Moderate Strength Of Evidence (SOE)]</w:t>
            </w:r>
          </w:p>
          <w:p w14:paraId="1220264D" w14:textId="77777777" w:rsidR="002835A2" w:rsidRPr="00C24C1C" w:rsidRDefault="002835A2" w:rsidP="002835A2">
            <w:pPr>
              <w:ind w:left="25" w:hanging="25"/>
              <w:rPr>
                <w:rFonts w:cstheme="minorHAnsi"/>
                <w:color w:val="0000FF"/>
              </w:rPr>
            </w:pPr>
            <w:r w:rsidRPr="00C24C1C">
              <w:rPr>
                <w:rFonts w:cstheme="minorHAnsi"/>
                <w:color w:val="0000FF"/>
              </w:rPr>
              <w:t>Heavy Drinking Episodes:  12% fewer subjects reported heavy drinking episodes (7%, 16%) from ~52% at baseline [Moderate SOE]</w:t>
            </w:r>
          </w:p>
          <w:p w14:paraId="766A1184" w14:textId="77777777" w:rsidR="002835A2" w:rsidRPr="00C24C1C" w:rsidRDefault="002835A2" w:rsidP="002835A2">
            <w:pPr>
              <w:rPr>
                <w:rFonts w:cstheme="minorHAnsi"/>
                <w:color w:val="0000FF"/>
              </w:rPr>
            </w:pPr>
            <w:r w:rsidRPr="00C24C1C">
              <w:rPr>
                <w:rFonts w:cstheme="minorHAnsi"/>
                <w:color w:val="0000FF"/>
              </w:rPr>
              <w:t>Recommended Drinking Limits:  11% more subjects achieved (8%, 13%)  [Moderate SOE]</w:t>
            </w:r>
          </w:p>
          <w:p w14:paraId="5E2EE1F9" w14:textId="77777777" w:rsidR="002835A2" w:rsidRPr="00C24C1C" w:rsidRDefault="002835A2" w:rsidP="002835A2">
            <w:pPr>
              <w:rPr>
                <w:rFonts w:cstheme="minorHAnsi"/>
                <w:color w:val="0000FF"/>
              </w:rPr>
            </w:pPr>
          </w:p>
          <w:p w14:paraId="479FF263" w14:textId="77777777" w:rsidR="002835A2" w:rsidRPr="00C24C1C" w:rsidRDefault="002835A2" w:rsidP="002835A2">
            <w:pPr>
              <w:rPr>
                <w:rFonts w:cstheme="minorHAnsi"/>
                <w:color w:val="0000FF"/>
              </w:rPr>
            </w:pPr>
            <w:r w:rsidRPr="00C24C1C">
              <w:rPr>
                <w:rFonts w:cstheme="minorHAnsi"/>
                <w:color w:val="0000FF"/>
              </w:rPr>
              <w:t>Older adults:</w:t>
            </w:r>
          </w:p>
          <w:p w14:paraId="5E228D24" w14:textId="77777777" w:rsidR="002835A2" w:rsidRPr="00C24C1C" w:rsidRDefault="002835A2" w:rsidP="002835A2">
            <w:pPr>
              <w:rPr>
                <w:rFonts w:cstheme="minorHAnsi"/>
                <w:color w:val="0000FF"/>
              </w:rPr>
            </w:pPr>
            <w:r w:rsidRPr="00C24C1C">
              <w:rPr>
                <w:rFonts w:cstheme="minorHAnsi"/>
                <w:color w:val="0000FF"/>
              </w:rPr>
              <w:t>Consumption:  Reduction of 1.7 (0.6 to 2.8) from baseline ~16 [Moderate SOE]</w:t>
            </w:r>
          </w:p>
          <w:p w14:paraId="6E8D7B5D" w14:textId="77777777" w:rsidR="002835A2" w:rsidRPr="00C24C1C" w:rsidRDefault="002835A2" w:rsidP="002835A2">
            <w:pPr>
              <w:rPr>
                <w:rFonts w:cstheme="minorHAnsi"/>
                <w:color w:val="0000FF"/>
              </w:rPr>
            </w:pPr>
            <w:r w:rsidRPr="00C24C1C">
              <w:rPr>
                <w:rFonts w:cstheme="minorHAnsi"/>
                <w:color w:val="0000FF"/>
              </w:rPr>
              <w:t>Heavy Drinking Episodes:  [Insufficient SOE]</w:t>
            </w:r>
          </w:p>
          <w:p w14:paraId="44C27E18" w14:textId="77777777" w:rsidR="002835A2" w:rsidRPr="00C24C1C" w:rsidRDefault="002835A2" w:rsidP="002835A2">
            <w:pPr>
              <w:rPr>
                <w:rFonts w:cstheme="minorHAnsi"/>
                <w:color w:val="0000FF"/>
              </w:rPr>
            </w:pPr>
            <w:r w:rsidRPr="00C24C1C">
              <w:rPr>
                <w:rFonts w:cstheme="minorHAnsi"/>
                <w:color w:val="0000FF"/>
              </w:rPr>
              <w:t>Recommended Drinking Limits:  9% more subjects achieved (2%, 16%) [Low SOE]</w:t>
            </w:r>
          </w:p>
          <w:p w14:paraId="746C3A5A" w14:textId="77777777" w:rsidR="002835A2" w:rsidRPr="00C24C1C" w:rsidRDefault="002835A2" w:rsidP="002835A2">
            <w:pPr>
              <w:rPr>
                <w:rFonts w:cstheme="minorHAnsi"/>
                <w:color w:val="0000FF"/>
              </w:rPr>
            </w:pPr>
          </w:p>
          <w:p w14:paraId="77079484" w14:textId="77777777" w:rsidR="002835A2" w:rsidRPr="00C24C1C" w:rsidRDefault="002835A2" w:rsidP="002835A2">
            <w:pPr>
              <w:rPr>
                <w:rFonts w:cstheme="minorHAnsi"/>
                <w:color w:val="0000FF"/>
              </w:rPr>
            </w:pPr>
            <w:r w:rsidRPr="00C24C1C">
              <w:rPr>
                <w:rFonts w:cstheme="minorHAnsi"/>
                <w:color w:val="0000FF"/>
              </w:rPr>
              <w:t>Young adults or college students</w:t>
            </w:r>
          </w:p>
          <w:p w14:paraId="78D975AC" w14:textId="77777777" w:rsidR="002835A2" w:rsidRPr="00C24C1C" w:rsidRDefault="002835A2" w:rsidP="002835A2">
            <w:pPr>
              <w:rPr>
                <w:rFonts w:cstheme="minorHAnsi"/>
                <w:color w:val="0000FF"/>
              </w:rPr>
            </w:pPr>
            <w:r w:rsidRPr="00C24C1C">
              <w:rPr>
                <w:rFonts w:cstheme="minorHAnsi"/>
                <w:color w:val="0000FF"/>
              </w:rPr>
              <w:t>Consumption:  Reduction of 1.7 (0.7 to 2.6) from baseline ~15 [Moderate SOE]</w:t>
            </w:r>
          </w:p>
          <w:p w14:paraId="49845313" w14:textId="77777777" w:rsidR="002835A2" w:rsidRPr="00C24C1C" w:rsidRDefault="002835A2" w:rsidP="002835A2">
            <w:pPr>
              <w:ind w:left="0" w:firstLine="0"/>
              <w:rPr>
                <w:rFonts w:cstheme="minorHAnsi"/>
                <w:color w:val="0000FF"/>
              </w:rPr>
            </w:pPr>
            <w:r w:rsidRPr="00C24C1C">
              <w:rPr>
                <w:rFonts w:cstheme="minorHAnsi"/>
                <w:color w:val="0000FF"/>
              </w:rPr>
              <w:t>Heavy Drinking Episodes:  0.9 fewer heavy drinking days (0.3, 1.5) from ~6.2 days per month at baseline [Moderate SOE]</w:t>
            </w:r>
          </w:p>
          <w:p w14:paraId="7473E906" w14:textId="77777777" w:rsidR="002835A2" w:rsidRPr="00C24C1C" w:rsidRDefault="002835A2" w:rsidP="002835A2">
            <w:pPr>
              <w:rPr>
                <w:rFonts w:cstheme="minorHAnsi"/>
                <w:color w:val="0000FF"/>
              </w:rPr>
            </w:pPr>
            <w:r w:rsidRPr="00C24C1C">
              <w:rPr>
                <w:rFonts w:cstheme="minorHAnsi"/>
                <w:color w:val="0000FF"/>
              </w:rPr>
              <w:t>Recommended Drinking Limits:  [Insufficient SOE]</w:t>
            </w:r>
          </w:p>
          <w:p w14:paraId="1DBF8551" w14:textId="77777777" w:rsidR="002835A2" w:rsidRPr="00C24C1C" w:rsidRDefault="002835A2" w:rsidP="002835A2">
            <w:pPr>
              <w:rPr>
                <w:rFonts w:cstheme="minorHAnsi"/>
                <w:color w:val="0000FF"/>
              </w:rPr>
            </w:pPr>
          </w:p>
          <w:p w14:paraId="576A2AE6" w14:textId="77777777" w:rsidR="002835A2" w:rsidRPr="00C24C1C" w:rsidRDefault="002835A2" w:rsidP="002835A2">
            <w:pPr>
              <w:rPr>
                <w:rFonts w:cstheme="minorHAnsi"/>
                <w:color w:val="0000FF"/>
              </w:rPr>
            </w:pPr>
            <w:r w:rsidRPr="00C24C1C">
              <w:rPr>
                <w:rFonts w:cstheme="minorHAnsi"/>
                <w:color w:val="0000FF"/>
              </w:rPr>
              <w:t xml:space="preserve">Pregnant women </w:t>
            </w:r>
          </w:p>
          <w:p w14:paraId="1EFC956B" w14:textId="77777777" w:rsidR="002835A2" w:rsidRPr="00C24C1C" w:rsidRDefault="002835A2" w:rsidP="002835A2">
            <w:pPr>
              <w:rPr>
                <w:rFonts w:cstheme="minorHAnsi"/>
                <w:color w:val="0000FF"/>
              </w:rPr>
            </w:pPr>
            <w:r w:rsidRPr="00C24C1C">
              <w:rPr>
                <w:rFonts w:cstheme="minorHAnsi"/>
                <w:color w:val="0000FF"/>
              </w:rPr>
              <w:t>Consumption:  Data from 1 study found no difference [Low SOE]</w:t>
            </w:r>
          </w:p>
          <w:p w14:paraId="5AFCF7DF" w14:textId="77777777" w:rsidR="002835A2" w:rsidRPr="00C24C1C" w:rsidRDefault="002835A2" w:rsidP="002835A2">
            <w:pPr>
              <w:rPr>
                <w:rFonts w:cstheme="minorHAnsi"/>
                <w:color w:val="0000FF"/>
              </w:rPr>
            </w:pPr>
            <w:r w:rsidRPr="00C24C1C">
              <w:rPr>
                <w:rFonts w:cstheme="minorHAnsi"/>
                <w:color w:val="0000FF"/>
              </w:rPr>
              <w:lastRenderedPageBreak/>
              <w:t>Heavy Drinking Episodes:  [Insufficient SOE]</w:t>
            </w:r>
          </w:p>
          <w:p w14:paraId="35BE0339" w14:textId="77777777" w:rsidR="002835A2" w:rsidRPr="00C24C1C" w:rsidRDefault="002835A2" w:rsidP="002835A2">
            <w:pPr>
              <w:rPr>
                <w:rFonts w:cstheme="minorHAnsi"/>
                <w:color w:val="0000FF"/>
              </w:rPr>
            </w:pPr>
            <w:r w:rsidRPr="00C24C1C">
              <w:rPr>
                <w:rFonts w:cstheme="minorHAnsi"/>
                <w:color w:val="0000FF"/>
              </w:rPr>
              <w:t>Recommended Drinking Limits:  [Insufficient SOE]</w:t>
            </w:r>
          </w:p>
          <w:p w14:paraId="558E7A0C" w14:textId="77777777" w:rsidR="002835A2" w:rsidRPr="00C24C1C" w:rsidRDefault="002835A2" w:rsidP="002835A2">
            <w:pPr>
              <w:rPr>
                <w:rFonts w:cstheme="minorHAnsi"/>
                <w:color w:val="0000FF"/>
              </w:rPr>
            </w:pPr>
          </w:p>
          <w:p w14:paraId="55ECFE1E" w14:textId="77777777" w:rsidR="002835A2" w:rsidRPr="00C24C1C" w:rsidRDefault="002835A2" w:rsidP="002835A2">
            <w:pPr>
              <w:ind w:left="25" w:hanging="25"/>
              <w:rPr>
                <w:rFonts w:cstheme="minorHAnsi"/>
                <w:color w:val="0000FF"/>
              </w:rPr>
            </w:pPr>
            <w:r w:rsidRPr="00C24C1C">
              <w:rPr>
                <w:rFonts w:cstheme="minorHAnsi"/>
                <w:color w:val="0000FF"/>
              </w:rPr>
              <w:t>Of note, none of the studies were designed to achieve abstinence, and the report indicated it should probably not be a goal of behavioral interventions for most people.</w:t>
            </w:r>
          </w:p>
          <w:p w14:paraId="7FDDA3FB" w14:textId="77777777" w:rsidR="002835A2" w:rsidRPr="00C24C1C" w:rsidRDefault="002835A2" w:rsidP="002835A2">
            <w:pPr>
              <w:rPr>
                <w:rFonts w:cstheme="minorHAnsi"/>
                <w:color w:val="0000FF"/>
              </w:rPr>
            </w:pPr>
          </w:p>
          <w:p w14:paraId="74E8C147" w14:textId="77777777" w:rsidR="002835A2" w:rsidRPr="00C24C1C" w:rsidRDefault="002835A2" w:rsidP="002835A2">
            <w:pPr>
              <w:ind w:left="0" w:firstLine="0"/>
              <w:rPr>
                <w:rFonts w:cstheme="minorHAnsi"/>
                <w:color w:val="0000FF"/>
              </w:rPr>
            </w:pPr>
            <w:r w:rsidRPr="00C24C1C">
              <w:rPr>
                <w:rFonts w:cstheme="minorHAnsi"/>
                <w:color w:val="0000FF"/>
              </w:rPr>
              <w:t>For most [long term] health outcomes, available evidence either demonstrated no difference between interventions and controls (e.g., mortality: low SOE) or was insufficient to draw conclusions (e.g., accidents, injuries, alcohol-related liver problems: insufficient SOE). Some evidence suggests that interventions improve some utilization outcomes for adults (e.g., hospital days and costs: low SOE). [The recent] meta-analyses did not find a reduction in all-cause mortality for adults (four studies; rate ratio 0.64, 95% confidence interval [CI], 0.24 to 1.7) or for all age groups combined (adults, older adults, and young adults/college students) (six studies; rate ratio 0.52, 95% CI, 0.22 to 1.2).</w:t>
            </w:r>
          </w:p>
          <w:p w14:paraId="55B8DA89" w14:textId="508EC5C2" w:rsidR="002835A2" w:rsidRPr="00C24C1C" w:rsidRDefault="002835A2" w:rsidP="002E2177">
            <w:pPr>
              <w:ind w:left="0" w:firstLine="0"/>
              <w:rPr>
                <w:rFonts w:cstheme="minorHAnsi"/>
              </w:rPr>
            </w:pPr>
          </w:p>
        </w:tc>
      </w:tr>
      <w:tr w:rsidR="00AB4ECE" w14:paraId="55B8DA8D" w14:textId="77777777" w:rsidTr="003654F9">
        <w:tc>
          <w:tcPr>
            <w:tcW w:w="1800" w:type="dxa"/>
          </w:tcPr>
          <w:p w14:paraId="55B8DA8B" w14:textId="77777777" w:rsidR="00AB4ECE" w:rsidRDefault="000E5C93" w:rsidP="002E2177">
            <w:pPr>
              <w:ind w:left="0" w:firstLine="0"/>
            </w:pPr>
            <w:r>
              <w:lastRenderedPageBreak/>
              <w:t xml:space="preserve">Estimates of benefit and consistency across studies </w:t>
            </w:r>
          </w:p>
        </w:tc>
        <w:tc>
          <w:tcPr>
            <w:tcW w:w="8275" w:type="dxa"/>
          </w:tcPr>
          <w:p w14:paraId="2BD616FB" w14:textId="5D8075A3" w:rsidR="00C24C1C" w:rsidRPr="00C24C1C" w:rsidRDefault="00C24C1C" w:rsidP="00C24C1C">
            <w:pPr>
              <w:ind w:left="0" w:firstLine="0"/>
              <w:rPr>
                <w:rFonts w:cstheme="minorHAnsi"/>
                <w:i/>
              </w:rPr>
            </w:pPr>
            <w:r w:rsidRPr="00C24C1C">
              <w:rPr>
                <w:rFonts w:cstheme="minorHAnsi"/>
                <w:color w:val="0000FF"/>
              </w:rPr>
              <w:t>Although the results by population group are summarized in the section above, additional details addressing the consistency of results across studies are provided below:</w:t>
            </w:r>
          </w:p>
          <w:p w14:paraId="4F3C734D" w14:textId="77777777" w:rsidR="00C24C1C" w:rsidRPr="00C24C1C" w:rsidRDefault="00C24C1C" w:rsidP="00C24C1C">
            <w:pPr>
              <w:rPr>
                <w:rFonts w:cstheme="minorHAnsi"/>
                <w:color w:val="0000FF"/>
              </w:rPr>
            </w:pPr>
          </w:p>
          <w:p w14:paraId="5D2032D4" w14:textId="77777777" w:rsidR="00C24C1C" w:rsidRPr="00C24C1C" w:rsidRDefault="00C24C1C" w:rsidP="00C24C1C">
            <w:pPr>
              <w:rPr>
                <w:rFonts w:cstheme="minorHAnsi"/>
                <w:color w:val="0000FF"/>
              </w:rPr>
            </w:pPr>
            <w:r w:rsidRPr="00C24C1C">
              <w:rPr>
                <w:rFonts w:cstheme="minorHAnsi"/>
                <w:color w:val="0000FF"/>
              </w:rPr>
              <w:t xml:space="preserve">--Consumption: Behavioral interventions resulted in a greater reduction in quantity of alcohol consumed than controls at 12 months (weighted mean difference [WMD], -3.6 drinks per week, 95% CI, -4.8 to -2.4, moderate SOE). Subgroup analyses for men and women found similar benefits. When stratifying by intensity of the intervention, we found no statistically significant difference between very brief interventions and controls (just one study contributed), but found greater reduction for brief, brief multi-contact, and extended multi-contact interventions than for controls. We found similar results for studies conducted in the United States compared with those conducted in other countries, a trend toward a greater reduction in consumption for interventions delivered primarily by primary care providers (WMD, -4.0 drinks per week, 95% CI, -5.4 to -2.6) than for those delivered primarily by research personnel (WMD, -3.0, 95% CI, -5.0 to -1.0), and that studies enrolling 10 percent or more subjects with alcohol dependence found behavioral interventions to be ineffective or less effective than other studies. </w:t>
            </w:r>
          </w:p>
          <w:p w14:paraId="374AD166" w14:textId="77777777" w:rsidR="00C24C1C" w:rsidRPr="00C24C1C" w:rsidRDefault="00C24C1C" w:rsidP="00C24C1C">
            <w:pPr>
              <w:rPr>
                <w:rFonts w:cstheme="minorHAnsi"/>
                <w:color w:val="0000FF"/>
              </w:rPr>
            </w:pPr>
            <w:r w:rsidRPr="00C24C1C">
              <w:rPr>
                <w:rFonts w:cstheme="minorHAnsi"/>
                <w:color w:val="0000FF"/>
              </w:rPr>
              <w:t>--  Heavy drinking episodes: Behavioral interventions resulted in 12 percent more subjects reporting no heavy drinking episodes by 12 months compared with controls (risk difference 0.12, 95% CI, 0.07 to 0.16, moderate SOE). Subgroup analyses for men and women found similar results. When stratifying by intensity of the intervention, brief multi-contact and extended multi-contact interventions were efficacious at 12 months (with 11 percent and 19 percent absolute difference compared with controls, respectively), but brief interventions did not reach statistical significance compared with controls.</w:t>
            </w:r>
          </w:p>
          <w:p w14:paraId="4C4FFC7D" w14:textId="77777777" w:rsidR="00C24C1C" w:rsidRPr="00C24C1C" w:rsidRDefault="00C24C1C" w:rsidP="00C24C1C">
            <w:pPr>
              <w:rPr>
                <w:rFonts w:cstheme="minorHAnsi"/>
                <w:color w:val="0000FF"/>
              </w:rPr>
            </w:pPr>
            <w:r w:rsidRPr="00C24C1C">
              <w:rPr>
                <w:rFonts w:cstheme="minorHAnsi"/>
                <w:color w:val="0000FF"/>
              </w:rPr>
              <w:t>-- Recommended drinking limits achieved: 11 percent more subjects receiving interventions achieved recommended drinking limits by 12 months compared with controls (risk difference 0.11, 95% CI, 0.08 to 0.13, moderate SOE). Subgroup analyses for men and women found similar magnitude of benefit. All of the intervention intensities studied were efficacious. The absolute difference in percentage of subjects achieving recommended drinking limits was numerically greatest for the brief multi-contact interventions (15% compared with 8%for very brief and brief interventions at 12 months), but the confidence intervals overlap.</w:t>
            </w:r>
          </w:p>
          <w:p w14:paraId="55B8DA8C" w14:textId="77777777" w:rsidR="00AB4ECE" w:rsidRPr="00C24C1C" w:rsidRDefault="00AB4ECE" w:rsidP="002E2177">
            <w:pPr>
              <w:ind w:left="0" w:firstLine="0"/>
              <w:rPr>
                <w:rFonts w:cstheme="minorHAnsi"/>
              </w:rPr>
            </w:pPr>
          </w:p>
        </w:tc>
      </w:tr>
      <w:tr w:rsidR="000E5C93" w14:paraId="55B8DA90" w14:textId="77777777" w:rsidTr="003654F9">
        <w:tc>
          <w:tcPr>
            <w:tcW w:w="1800" w:type="dxa"/>
          </w:tcPr>
          <w:p w14:paraId="55B8DA8E" w14:textId="77777777" w:rsidR="000E5C93" w:rsidRDefault="000E5C93" w:rsidP="002E2177">
            <w:pPr>
              <w:ind w:left="0" w:firstLine="0"/>
            </w:pPr>
            <w:r>
              <w:lastRenderedPageBreak/>
              <w:t>What harms were identified?</w:t>
            </w:r>
          </w:p>
        </w:tc>
        <w:tc>
          <w:tcPr>
            <w:tcW w:w="8275" w:type="dxa"/>
          </w:tcPr>
          <w:p w14:paraId="55B8DA8F" w14:textId="540EDF96" w:rsidR="000E5C93" w:rsidRPr="00207FB7" w:rsidRDefault="00C24C1C" w:rsidP="00207FB7">
            <w:pPr>
              <w:ind w:left="25" w:hanging="25"/>
              <w:rPr>
                <w:rFonts w:cstheme="minorHAnsi"/>
                <w:bCs/>
                <w:color w:val="0000FF"/>
              </w:rPr>
            </w:pPr>
            <w:r w:rsidRPr="00C24C1C">
              <w:rPr>
                <w:rFonts w:cstheme="minorHAnsi"/>
                <w:bCs/>
                <w:color w:val="0000FF"/>
              </w:rPr>
              <w:t>The study authors found no evidence of direct harms, aside from opportunity costs associated with interventions, which ranged from 5 minutes to 2 hours dispersed over several in-person or telephone visits [moderate SOE]. The authors searched for evidence of potential adverse effects, such as illegal substance use, increased smoking, anxiety, stigma, labeling, discrimination, or interference with the physician–patient relationship. They found no evidence for most of these potential harms and very limited evidence reporting no difference between groups for smoking rates and anxiety [low SOE]. Other than the results for opportunity costs, the results are limited by the few trials that reported any information; 5 of 23 reported smoking, and 2 reported anxiety.</w:t>
            </w:r>
          </w:p>
        </w:tc>
      </w:tr>
      <w:tr w:rsidR="000E5C93" w14:paraId="55B8DA93" w14:textId="77777777" w:rsidTr="003654F9">
        <w:tc>
          <w:tcPr>
            <w:tcW w:w="1800" w:type="dxa"/>
          </w:tcPr>
          <w:p w14:paraId="55B8DA91" w14:textId="77777777" w:rsidR="000E5C93" w:rsidRDefault="000E5C93" w:rsidP="000E5C93">
            <w:pPr>
              <w:ind w:left="0" w:firstLine="0"/>
            </w:pPr>
            <w:r>
              <w:t>Identify any new studies conducted since the SR. Do the new studies change the conclusions from the SR?</w:t>
            </w:r>
          </w:p>
        </w:tc>
        <w:tc>
          <w:tcPr>
            <w:tcW w:w="8275" w:type="dxa"/>
          </w:tcPr>
          <w:p w14:paraId="1F506E85" w14:textId="4FAEFB0F" w:rsidR="000E5C93" w:rsidRDefault="00F53A1D" w:rsidP="002E2177">
            <w:pPr>
              <w:ind w:left="0" w:firstLine="0"/>
              <w:rPr>
                <w:color w:val="FF0000"/>
              </w:rPr>
            </w:pPr>
            <w:r>
              <w:rPr>
                <w:color w:val="FF0000"/>
              </w:rPr>
              <w:t>W</w:t>
            </w:r>
            <w:r w:rsidR="00A21CB6">
              <w:rPr>
                <w:color w:val="FF0000"/>
              </w:rPr>
              <w:t xml:space="preserve">e are aware that the current guideline recommendation is under review by the USPSTF.  The </w:t>
            </w:r>
            <w:r w:rsidR="00103C8B">
              <w:rPr>
                <w:color w:val="FF0000"/>
              </w:rPr>
              <w:t>public comment version of the draft recommendation statement i</w:t>
            </w:r>
            <w:r w:rsidR="00A21CB6">
              <w:rPr>
                <w:color w:val="FF0000"/>
              </w:rPr>
              <w:t xml:space="preserve">s posted at: </w:t>
            </w:r>
            <w:hyperlink r:id="rId19" w:history="1">
              <w:r w:rsidR="00A21CB6" w:rsidRPr="00A21CB6">
                <w:rPr>
                  <w:rStyle w:val="Hyperlink"/>
                </w:rPr>
                <w:t>https://www.uspreventiveservicestaskforce.org/Page/Document/final-research-plan/unhealthy-alcohol-use-in-adolescents-and-adults-including-pregnant-women-screening-and-behavioral-counseling-interventions</w:t>
              </w:r>
            </w:hyperlink>
          </w:p>
          <w:p w14:paraId="55B8DA92" w14:textId="4A32986F" w:rsidR="00A21CB6" w:rsidRDefault="00103C8B" w:rsidP="002E2177">
            <w:pPr>
              <w:ind w:left="0" w:firstLine="0"/>
            </w:pPr>
            <w:r>
              <w:rPr>
                <w:color w:val="FF0000"/>
              </w:rPr>
              <w:t xml:space="preserve">The public comment period ended on July 2, 2018.  </w:t>
            </w:r>
            <w:r w:rsidR="00AC1117" w:rsidRPr="00AC1117">
              <w:rPr>
                <w:color w:val="FF0000"/>
              </w:rPr>
              <w:t xml:space="preserve">A date for when to expect the </w:t>
            </w:r>
            <w:r>
              <w:rPr>
                <w:color w:val="FF0000"/>
              </w:rPr>
              <w:t xml:space="preserve">final </w:t>
            </w:r>
            <w:r w:rsidR="00AC1117" w:rsidRPr="00AC1117">
              <w:rPr>
                <w:color w:val="FF0000"/>
              </w:rPr>
              <w:t>updated guideline recommendation to be published is not yet known</w:t>
            </w:r>
            <w:r w:rsidR="00AC1117">
              <w:rPr>
                <w:color w:val="FF0000"/>
              </w:rPr>
              <w:t xml:space="preserve">.  </w:t>
            </w:r>
            <w:r>
              <w:rPr>
                <w:color w:val="FF0000"/>
              </w:rPr>
              <w:t xml:space="preserve">Upon review of the draft recommendation statement, </w:t>
            </w:r>
            <w:r w:rsidR="003E5FDE">
              <w:rPr>
                <w:color w:val="FF0000"/>
              </w:rPr>
              <w:t>there are no changes that would affect the measure.</w:t>
            </w: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8" w:name="Section1a8"/>
      <w:bookmarkEnd w:id="8"/>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3E81C052" w:rsidR="00837121" w:rsidRPr="001F67D3" w:rsidRDefault="00CC7C82" w:rsidP="002E2177">
      <w:pPr>
        <w:ind w:left="0" w:firstLine="0"/>
        <w:rPr>
          <w:color w:val="0000FF"/>
        </w:rPr>
      </w:pPr>
      <w:r w:rsidRPr="001F67D3">
        <w:rPr>
          <w:color w:val="0000FF"/>
        </w:rPr>
        <w:t>Not applicable.</w:t>
      </w: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77777777" w:rsidR="00837121" w:rsidRPr="003B1CC5" w:rsidRDefault="00837121" w:rsidP="002E2177">
      <w:pPr>
        <w:ind w:left="0" w:firstLine="0"/>
      </w:pPr>
    </w:p>
    <w:p w14:paraId="55B8DA9D" w14:textId="77777777" w:rsidR="00837121" w:rsidRPr="001B772D" w:rsidRDefault="000E5C93" w:rsidP="002E2177">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B92F2" w14:textId="77777777" w:rsidR="00361D96" w:rsidRDefault="00361D96" w:rsidP="007E37A5">
      <w:r>
        <w:separator/>
      </w:r>
    </w:p>
  </w:endnote>
  <w:endnote w:type="continuationSeparator" w:id="0">
    <w:p w14:paraId="5E0E9E11" w14:textId="77777777" w:rsidR="00361D96" w:rsidRDefault="00361D96"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764B240B"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822DF2">
      <w:rPr>
        <w:noProof/>
      </w:rPr>
      <w:t>4</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27919" w14:textId="77777777" w:rsidR="00361D96" w:rsidRDefault="00361D96" w:rsidP="007E37A5">
      <w:r>
        <w:separator/>
      </w:r>
    </w:p>
  </w:footnote>
  <w:footnote w:type="continuationSeparator" w:id="0">
    <w:p w14:paraId="5FFD72CF" w14:textId="77777777" w:rsidR="00361D96" w:rsidRDefault="00361D96"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E220D"/>
    <w:multiLevelType w:val="multilevel"/>
    <w:tmpl w:val="4B8A62B6"/>
    <w:styleLink w:val="Bullet2ndlevel"/>
    <w:lvl w:ilvl="0">
      <w:start w:val="1"/>
      <w:numFmt w:val="bullet"/>
      <w:lvlText w:val="o"/>
      <w:lvlJc w:val="left"/>
      <w:pPr>
        <w:tabs>
          <w:tab w:val="num" w:pos="1080"/>
        </w:tabs>
        <w:ind w:left="1080" w:hanging="360"/>
      </w:pPr>
      <w:rPr>
        <w:rFonts w:ascii="Book Antiqua" w:hAnsi="Book Antiqua"/>
        <w:sz w:val="22"/>
        <w:szCs w:val="22"/>
      </w:rPr>
    </w:lvl>
    <w:lvl w:ilvl="1">
      <w:start w:val="1"/>
      <w:numFmt w:val="bullet"/>
      <w:lvlText w:val="o"/>
      <w:lvlJc w:val="left"/>
      <w:pPr>
        <w:tabs>
          <w:tab w:val="num" w:pos="1440"/>
        </w:tabs>
        <w:ind w:left="1440" w:hanging="360"/>
      </w:pPr>
      <w:rPr>
        <w:rFonts w:ascii="Courier New" w:hAnsi="Courier New" w:cs="Courier New" w:hint="default"/>
        <w:sz w:val="22"/>
        <w:szCs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50F11DF"/>
    <w:multiLevelType w:val="hybridMultilevel"/>
    <w:tmpl w:val="4D702D1A"/>
    <w:lvl w:ilvl="0" w:tplc="853E34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
  </w:num>
  <w:num w:numId="4">
    <w:abstractNumId w:val="3"/>
  </w:num>
  <w:num w:numId="5">
    <w:abstractNumId w:val="5"/>
  </w:num>
  <w:num w:numId="6">
    <w:abstractNumId w:val="4"/>
  </w:num>
  <w:num w:numId="7">
    <w:abstractNumId w:val="10"/>
  </w:num>
  <w:num w:numId="8">
    <w:abstractNumId w:val="9"/>
  </w:num>
  <w:num w:numId="9">
    <w:abstractNumId w:val="11"/>
  </w:num>
  <w:num w:numId="10">
    <w:abstractNumId w:val="1"/>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15986"/>
    <w:rsid w:val="000160E6"/>
    <w:rsid w:val="00024526"/>
    <w:rsid w:val="00030F43"/>
    <w:rsid w:val="000310C3"/>
    <w:rsid w:val="00040DCF"/>
    <w:rsid w:val="00052C0B"/>
    <w:rsid w:val="00053FEC"/>
    <w:rsid w:val="00061CF3"/>
    <w:rsid w:val="00063601"/>
    <w:rsid w:val="00073079"/>
    <w:rsid w:val="0007593F"/>
    <w:rsid w:val="000777B3"/>
    <w:rsid w:val="00090277"/>
    <w:rsid w:val="00095EC9"/>
    <w:rsid w:val="00096A37"/>
    <w:rsid w:val="000A0810"/>
    <w:rsid w:val="000B627F"/>
    <w:rsid w:val="000D3C08"/>
    <w:rsid w:val="000D649E"/>
    <w:rsid w:val="000D6D06"/>
    <w:rsid w:val="000E5C93"/>
    <w:rsid w:val="000F4A7F"/>
    <w:rsid w:val="00103C8B"/>
    <w:rsid w:val="00114848"/>
    <w:rsid w:val="00120934"/>
    <w:rsid w:val="00132070"/>
    <w:rsid w:val="00141875"/>
    <w:rsid w:val="0014347E"/>
    <w:rsid w:val="00154438"/>
    <w:rsid w:val="001551F6"/>
    <w:rsid w:val="0015535B"/>
    <w:rsid w:val="00162036"/>
    <w:rsid w:val="001632DD"/>
    <w:rsid w:val="001758AC"/>
    <w:rsid w:val="00176E60"/>
    <w:rsid w:val="00194913"/>
    <w:rsid w:val="00194D9A"/>
    <w:rsid w:val="001A196B"/>
    <w:rsid w:val="001A6D05"/>
    <w:rsid w:val="001B38BF"/>
    <w:rsid w:val="001B772D"/>
    <w:rsid w:val="001D5B5D"/>
    <w:rsid w:val="001E1922"/>
    <w:rsid w:val="001E6153"/>
    <w:rsid w:val="001F67D3"/>
    <w:rsid w:val="00201FF9"/>
    <w:rsid w:val="00205857"/>
    <w:rsid w:val="00207FB7"/>
    <w:rsid w:val="00212A70"/>
    <w:rsid w:val="00235ADC"/>
    <w:rsid w:val="00236F87"/>
    <w:rsid w:val="00265702"/>
    <w:rsid w:val="002662B2"/>
    <w:rsid w:val="002717C7"/>
    <w:rsid w:val="002835A2"/>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1D96"/>
    <w:rsid w:val="00363ECC"/>
    <w:rsid w:val="003654F9"/>
    <w:rsid w:val="0039020B"/>
    <w:rsid w:val="00395263"/>
    <w:rsid w:val="003956E0"/>
    <w:rsid w:val="0039609A"/>
    <w:rsid w:val="00397500"/>
    <w:rsid w:val="00397D7F"/>
    <w:rsid w:val="003B1CC5"/>
    <w:rsid w:val="003B38E4"/>
    <w:rsid w:val="003B65CE"/>
    <w:rsid w:val="003D6721"/>
    <w:rsid w:val="003E039E"/>
    <w:rsid w:val="003E5FDE"/>
    <w:rsid w:val="003F41AF"/>
    <w:rsid w:val="0040230E"/>
    <w:rsid w:val="0041662F"/>
    <w:rsid w:val="00422917"/>
    <w:rsid w:val="00440687"/>
    <w:rsid w:val="0044131D"/>
    <w:rsid w:val="00441ADA"/>
    <w:rsid w:val="00457E46"/>
    <w:rsid w:val="004762C4"/>
    <w:rsid w:val="004922E4"/>
    <w:rsid w:val="00496AF8"/>
    <w:rsid w:val="004A575D"/>
    <w:rsid w:val="004B65C6"/>
    <w:rsid w:val="004D1DC7"/>
    <w:rsid w:val="004E7215"/>
    <w:rsid w:val="004F2FDC"/>
    <w:rsid w:val="004F7D7E"/>
    <w:rsid w:val="00500B0C"/>
    <w:rsid w:val="00537150"/>
    <w:rsid w:val="00540984"/>
    <w:rsid w:val="00543851"/>
    <w:rsid w:val="0055559D"/>
    <w:rsid w:val="005569AE"/>
    <w:rsid w:val="005857F8"/>
    <w:rsid w:val="005B0D18"/>
    <w:rsid w:val="005B12C3"/>
    <w:rsid w:val="005B409D"/>
    <w:rsid w:val="005D0FDB"/>
    <w:rsid w:val="005D25E9"/>
    <w:rsid w:val="005D6D59"/>
    <w:rsid w:val="00605098"/>
    <w:rsid w:val="0061327A"/>
    <w:rsid w:val="006157F8"/>
    <w:rsid w:val="00617390"/>
    <w:rsid w:val="00622A41"/>
    <w:rsid w:val="00623420"/>
    <w:rsid w:val="00633D14"/>
    <w:rsid w:val="00634768"/>
    <w:rsid w:val="0063596F"/>
    <w:rsid w:val="006555AF"/>
    <w:rsid w:val="006709EB"/>
    <w:rsid w:val="00672824"/>
    <w:rsid w:val="00676BD4"/>
    <w:rsid w:val="0068184A"/>
    <w:rsid w:val="00683A19"/>
    <w:rsid w:val="006937B0"/>
    <w:rsid w:val="00694842"/>
    <w:rsid w:val="006A0249"/>
    <w:rsid w:val="006B5C51"/>
    <w:rsid w:val="006C7F30"/>
    <w:rsid w:val="006D43FF"/>
    <w:rsid w:val="006E6FDD"/>
    <w:rsid w:val="006F4B7F"/>
    <w:rsid w:val="006F760B"/>
    <w:rsid w:val="00701CC3"/>
    <w:rsid w:val="00724801"/>
    <w:rsid w:val="00734949"/>
    <w:rsid w:val="00736AEC"/>
    <w:rsid w:val="00736E0F"/>
    <w:rsid w:val="007434FA"/>
    <w:rsid w:val="007573F0"/>
    <w:rsid w:val="00765156"/>
    <w:rsid w:val="00767669"/>
    <w:rsid w:val="00773485"/>
    <w:rsid w:val="00775998"/>
    <w:rsid w:val="00776E8F"/>
    <w:rsid w:val="00776F6D"/>
    <w:rsid w:val="007A1AE8"/>
    <w:rsid w:val="007A50B5"/>
    <w:rsid w:val="007A5330"/>
    <w:rsid w:val="007C0297"/>
    <w:rsid w:val="007C1887"/>
    <w:rsid w:val="007C64F5"/>
    <w:rsid w:val="007D4775"/>
    <w:rsid w:val="007D5DC6"/>
    <w:rsid w:val="007E37A5"/>
    <w:rsid w:val="007F405A"/>
    <w:rsid w:val="007F49D8"/>
    <w:rsid w:val="00805940"/>
    <w:rsid w:val="0081599C"/>
    <w:rsid w:val="00822DF2"/>
    <w:rsid w:val="00827990"/>
    <w:rsid w:val="00837121"/>
    <w:rsid w:val="008445FC"/>
    <w:rsid w:val="008471E5"/>
    <w:rsid w:val="00850C35"/>
    <w:rsid w:val="00851466"/>
    <w:rsid w:val="00863E43"/>
    <w:rsid w:val="008647C3"/>
    <w:rsid w:val="008659ED"/>
    <w:rsid w:val="008708DC"/>
    <w:rsid w:val="00870987"/>
    <w:rsid w:val="0087564A"/>
    <w:rsid w:val="00881160"/>
    <w:rsid w:val="0088371C"/>
    <w:rsid w:val="00884784"/>
    <w:rsid w:val="008A45F3"/>
    <w:rsid w:val="008B4FD9"/>
    <w:rsid w:val="008B51D9"/>
    <w:rsid w:val="008B652E"/>
    <w:rsid w:val="008D05B7"/>
    <w:rsid w:val="008D5CA4"/>
    <w:rsid w:val="008F1DC6"/>
    <w:rsid w:val="008F6F51"/>
    <w:rsid w:val="00905C5B"/>
    <w:rsid w:val="00923295"/>
    <w:rsid w:val="00925F11"/>
    <w:rsid w:val="00935265"/>
    <w:rsid w:val="0094689F"/>
    <w:rsid w:val="009477D6"/>
    <w:rsid w:val="00953ED3"/>
    <w:rsid w:val="00965FF6"/>
    <w:rsid w:val="009776BC"/>
    <w:rsid w:val="009846D6"/>
    <w:rsid w:val="0098657F"/>
    <w:rsid w:val="009A3236"/>
    <w:rsid w:val="009B5A93"/>
    <w:rsid w:val="009B5BEA"/>
    <w:rsid w:val="009C0E01"/>
    <w:rsid w:val="009C291F"/>
    <w:rsid w:val="009E1E50"/>
    <w:rsid w:val="009E37BD"/>
    <w:rsid w:val="009E6B86"/>
    <w:rsid w:val="009F6679"/>
    <w:rsid w:val="00A03301"/>
    <w:rsid w:val="00A121E7"/>
    <w:rsid w:val="00A12762"/>
    <w:rsid w:val="00A13867"/>
    <w:rsid w:val="00A21CB6"/>
    <w:rsid w:val="00A26FED"/>
    <w:rsid w:val="00A421D4"/>
    <w:rsid w:val="00A44FF0"/>
    <w:rsid w:val="00A50E55"/>
    <w:rsid w:val="00A67EB1"/>
    <w:rsid w:val="00A9011D"/>
    <w:rsid w:val="00A91A47"/>
    <w:rsid w:val="00A95D2B"/>
    <w:rsid w:val="00AA5587"/>
    <w:rsid w:val="00AB4ECE"/>
    <w:rsid w:val="00AC1117"/>
    <w:rsid w:val="00AC1E53"/>
    <w:rsid w:val="00AD79C8"/>
    <w:rsid w:val="00AE6CE0"/>
    <w:rsid w:val="00AF1043"/>
    <w:rsid w:val="00B058A6"/>
    <w:rsid w:val="00B117D0"/>
    <w:rsid w:val="00B13998"/>
    <w:rsid w:val="00B35C5F"/>
    <w:rsid w:val="00B439DD"/>
    <w:rsid w:val="00B52E0F"/>
    <w:rsid w:val="00B74629"/>
    <w:rsid w:val="00B91F58"/>
    <w:rsid w:val="00BA579E"/>
    <w:rsid w:val="00BE2295"/>
    <w:rsid w:val="00BE6373"/>
    <w:rsid w:val="00BF533A"/>
    <w:rsid w:val="00C057AB"/>
    <w:rsid w:val="00C24C1C"/>
    <w:rsid w:val="00C41794"/>
    <w:rsid w:val="00C46677"/>
    <w:rsid w:val="00C5180E"/>
    <w:rsid w:val="00C54E40"/>
    <w:rsid w:val="00C55F56"/>
    <w:rsid w:val="00C57BA4"/>
    <w:rsid w:val="00C613EB"/>
    <w:rsid w:val="00C71C1A"/>
    <w:rsid w:val="00C84623"/>
    <w:rsid w:val="00C85013"/>
    <w:rsid w:val="00CB06C9"/>
    <w:rsid w:val="00CB1E41"/>
    <w:rsid w:val="00CB271C"/>
    <w:rsid w:val="00CC0F87"/>
    <w:rsid w:val="00CC7C82"/>
    <w:rsid w:val="00CE4F96"/>
    <w:rsid w:val="00CF0AB1"/>
    <w:rsid w:val="00CF4B9B"/>
    <w:rsid w:val="00CF55E6"/>
    <w:rsid w:val="00CF65FD"/>
    <w:rsid w:val="00CF772F"/>
    <w:rsid w:val="00D048DB"/>
    <w:rsid w:val="00D14F0B"/>
    <w:rsid w:val="00D178CA"/>
    <w:rsid w:val="00D3311C"/>
    <w:rsid w:val="00D53405"/>
    <w:rsid w:val="00D5457B"/>
    <w:rsid w:val="00D72995"/>
    <w:rsid w:val="00D73685"/>
    <w:rsid w:val="00DA7FA2"/>
    <w:rsid w:val="00DC2D8D"/>
    <w:rsid w:val="00DC6642"/>
    <w:rsid w:val="00DC7F67"/>
    <w:rsid w:val="00DD20BF"/>
    <w:rsid w:val="00DE1F5D"/>
    <w:rsid w:val="00DE50D8"/>
    <w:rsid w:val="00DE6540"/>
    <w:rsid w:val="00DF278A"/>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5AF6"/>
    <w:rsid w:val="00EF2CEF"/>
    <w:rsid w:val="00F1092D"/>
    <w:rsid w:val="00F25D41"/>
    <w:rsid w:val="00F42C20"/>
    <w:rsid w:val="00F431D8"/>
    <w:rsid w:val="00F53A1D"/>
    <w:rsid w:val="00F63E8D"/>
    <w:rsid w:val="00F67706"/>
    <w:rsid w:val="00F81FE3"/>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styleId="UnresolvedMention">
    <w:name w:val="Unresolved Mention"/>
    <w:basedOn w:val="DefaultParagraphFont"/>
    <w:uiPriority w:val="99"/>
    <w:semiHidden/>
    <w:unhideWhenUsed/>
    <w:rsid w:val="00633D14"/>
    <w:rPr>
      <w:color w:val="808080"/>
      <w:shd w:val="clear" w:color="auto" w:fill="E6E6E6"/>
    </w:rPr>
  </w:style>
  <w:style w:type="numbering" w:customStyle="1" w:styleId="Bullet2ndlevel">
    <w:name w:val="Bullet 2nd level"/>
    <w:basedOn w:val="NoList"/>
    <w:rsid w:val="002835A2"/>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hyperlink" Target="https://www.uspreventiveservicestaskforce.org/Page/Name/grade-definitions"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s://www.uspreventiveservicestaskforce.org/Page/Name/grade-definitions" TargetMode="External"/><Relationship Id="rId2" Type="http://schemas.openxmlformats.org/officeDocument/2006/relationships/customXml" Target="../customXml/item2.xml"/><Relationship Id="rId16" Type="http://schemas.openxmlformats.org/officeDocument/2006/relationships/hyperlink" Target="https://www.uspreventiveservicestaskforce.org/Page/Document/UpdateSummaryFinal/alcohol-misuse-screening-and-behavioral-counseling-interventions-in-primary-car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www.uspreventiveservicestaskforce.org/Page/Document/final-research-plan/unhealthy-alcohol-use-in-adolescents-and-adults-including-pregnant-women-screening-and-behavioral-counseling-intervention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160241"/>
    <w:rsid w:val="001F47A0"/>
    <w:rsid w:val="002B5F47"/>
    <w:rsid w:val="003A1E4B"/>
    <w:rsid w:val="003A22F7"/>
    <w:rsid w:val="00455EB5"/>
    <w:rsid w:val="00461C1C"/>
    <w:rsid w:val="004E2027"/>
    <w:rsid w:val="005F21F3"/>
    <w:rsid w:val="008F6A9B"/>
    <w:rsid w:val="00A34320"/>
    <w:rsid w:val="00A50FEB"/>
    <w:rsid w:val="00A77B15"/>
    <w:rsid w:val="00BE0F2D"/>
    <w:rsid w:val="00C03643"/>
    <w:rsid w:val="00C2797F"/>
    <w:rsid w:val="00C80225"/>
    <w:rsid w:val="00D14053"/>
    <w:rsid w:val="00D228C9"/>
    <w:rsid w:val="00D2552B"/>
    <w:rsid w:val="00D75B64"/>
    <w:rsid w:val="00DA6314"/>
    <w:rsid w:val="00DB5324"/>
    <w:rsid w:val="00E03913"/>
    <w:rsid w:val="00E41064"/>
    <w:rsid w:val="00E97654"/>
    <w:rsid w:val="00EA555A"/>
    <w:rsid w:val="00F87EB9"/>
    <w:rsid w:val="00F94D24"/>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2.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2CDBE7-7F08-4F52-B308-EE351D989842}">
  <ds:schemaRefs>
    <ds:schemaRef ds:uri="http://schemas.microsoft.com/office/2006/metadata/properties"/>
    <ds:schemaRef ds:uri="http://schemas.microsoft.com/office/infopath/2007/PartnerControls"/>
    <ds:schemaRef ds:uri="836b82f1-340d-495e-85b5-201c5296619a"/>
  </ds:schemaRefs>
</ds:datastoreItem>
</file>

<file path=customXml/itemProps4.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5.xml><?xml version="1.0" encoding="utf-8"?>
<ds:datastoreItem xmlns:ds="http://schemas.openxmlformats.org/officeDocument/2006/customXml" ds:itemID="{0031F43E-33F2-482D-B912-3A0B53766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3048</Words>
  <Characters>17380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Kerri Fei</cp:lastModifiedBy>
  <cp:revision>2</cp:revision>
  <cp:lastPrinted>2018-10-26T14:21:00Z</cp:lastPrinted>
  <dcterms:created xsi:type="dcterms:W3CDTF">2018-11-01T15:44:00Z</dcterms:created>
  <dcterms:modified xsi:type="dcterms:W3CDTF">2018-11-01T15:44:00Z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