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B8DA2C" w14:textId="1C12AC1E"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43AADCE5"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9907E7">
            <w:rPr>
              <w:rStyle w:val="Style1"/>
            </w:rPr>
            <w:t>1880</w:t>
          </w:r>
        </w:sdtContent>
      </w:sdt>
    </w:p>
    <w:p w14:paraId="55B8DA2F" w14:textId="7DEAAD3F"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3646E9">
            <w:rPr>
              <w:rStyle w:val="Style1"/>
            </w:rPr>
            <w:t xml:space="preserve">Adherence to </w:t>
          </w:r>
          <w:r w:rsidR="009907E7">
            <w:rPr>
              <w:rStyle w:val="Style1"/>
            </w:rPr>
            <w:t>Mood Stabilizers for Individuals with Bipolar I Disorder</w:t>
          </w:r>
        </w:sdtContent>
      </w:sdt>
    </w:p>
    <w:p w14:paraId="55B8DA30" w14:textId="77777777"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55B8DA31" w14:textId="7AD63ED2" w:rsidR="00496AF8" w:rsidRPr="003B1CC5" w:rsidRDefault="00496AF8" w:rsidP="002E2177">
      <w:pPr>
        <w:ind w:left="0" w:firstLine="0"/>
        <w:rPr>
          <w:rStyle w:val="Style2"/>
        </w:rPr>
      </w:pPr>
      <w:r w:rsidRPr="003B1CC5">
        <w:rPr>
          <w:b/>
          <w:noProof/>
        </w:rPr>
        <w:t>Date of Submission</w:t>
      </w:r>
      <w:r w:rsidRPr="009E60A1">
        <w:rPr>
          <w:noProof/>
        </w:rPr>
        <w:t xml:space="preserve">:  </w:t>
      </w:r>
      <w:sdt>
        <w:sdtPr>
          <w:rPr>
            <w:rStyle w:val="Style2"/>
          </w:rPr>
          <w:id w:val="-1689821638"/>
          <w:placeholder>
            <w:docPart w:val="6A100845774148B09AFD987423307E3B"/>
          </w:placeholder>
          <w:date w:fullDate="2018-04-02T00:00:00Z">
            <w:dateFormat w:val="M/d/yyyy"/>
            <w:lid w:val="en-US"/>
            <w:storeMappedDataAs w:val="dateTime"/>
            <w:calendar w:val="gregorian"/>
          </w:date>
        </w:sdtPr>
        <w:sdtEndPr>
          <w:rPr>
            <w:rStyle w:val="DefaultParagraphFont"/>
            <w:noProof/>
            <w:color w:val="auto"/>
            <w:u w:val="none"/>
          </w:rPr>
        </w:sdtEndPr>
        <w:sdtContent>
          <w:r w:rsidR="005F5CC8">
            <w:rPr>
              <w:rStyle w:val="Style2"/>
            </w:rPr>
            <w:t>4/2/2018</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4C8124A5"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proofErr w:type="spellStart"/>
            <w:r w:rsidR="00A13867" w:rsidRPr="003B1CC5">
              <w:rPr>
                <w:rFonts w:cstheme="minorHAnsi"/>
              </w:rPr>
              <w:t>sub</w:t>
            </w:r>
            <w:r w:rsidRPr="003B1CC5">
              <w:rPr>
                <w:rFonts w:cstheme="minorHAnsi"/>
              </w:rPr>
              <w:t>criterion</w:t>
            </w:r>
            <w:proofErr w:type="spellEnd"/>
            <w:r w:rsidRPr="003B1CC5">
              <w:rPr>
                <w:rFonts w:cstheme="minorHAnsi"/>
              </w:rPr>
              <w:t xml:space="preserve">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1"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0" w:name="Note2"/>
            <w:bookmarkEnd w:id="0"/>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E8111DE"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2"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73B32973" w:rsidR="00496AF8" w:rsidRPr="003B1CC5" w:rsidRDefault="00D23A38" w:rsidP="00A9011D">
      <w:pPr>
        <w:ind w:left="432"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A9011D">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5B8DA52" w14:textId="77777777" w:rsidR="00236F87" w:rsidRPr="003B1CC5" w:rsidRDefault="00D23A38"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6022AEBD" w:rsidR="00496AF8" w:rsidRPr="003B1CC5" w:rsidRDefault="00D23A38"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7256799D" w:rsidR="00D73685" w:rsidRDefault="00D23A38"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7D6B56">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howingPlcHdr/>
        </w:sdtPr>
        <w:sdtEndPr>
          <w:rPr>
            <w:rStyle w:val="DefaultParagraphFont"/>
            <w:rFonts w:cstheme="minorBidi"/>
            <w:bCs/>
            <w:color w:val="auto"/>
            <w:u w:val="none"/>
          </w:rPr>
        </w:sdtEndPr>
        <w:sdtContent>
          <w:r w:rsidR="00D73685" w:rsidRPr="003B1CC5">
            <w:rPr>
              <w:rStyle w:val="PlaceholderText"/>
              <w:rFonts w:cstheme="minorHAnsi"/>
              <w:color w:val="A6A6A6" w:themeColor="background1" w:themeShade="A6"/>
            </w:rPr>
            <w:t>Click here to name what is being measured</w:t>
          </w:r>
        </w:sdtContent>
      </w:sdt>
    </w:p>
    <w:p w14:paraId="55B8DA56" w14:textId="39AF5FB1"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D23A38"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D23A38"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37841CB9" w:rsidR="002B06BD"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624EABB6" w14:textId="77777777" w:rsidR="003A6235" w:rsidRPr="00676BD4" w:rsidRDefault="003A6235" w:rsidP="002B06BD">
      <w:pPr>
        <w:ind w:left="432" w:hanging="432"/>
        <w:rPr>
          <w:iCs/>
        </w:rPr>
      </w:pPr>
    </w:p>
    <w:p w14:paraId="55B8DA5B" w14:textId="0A0747C2" w:rsidR="002B06BD" w:rsidRPr="003B1CC5" w:rsidRDefault="00C70596" w:rsidP="002E2177">
      <w:pPr>
        <w:ind w:left="432" w:hanging="432"/>
        <w:rPr>
          <w:color w:val="0000FF"/>
        </w:rPr>
      </w:pPr>
      <w:r>
        <w:rPr>
          <w:noProof/>
          <w:color w:val="0000FF"/>
        </w:rPr>
        <w:drawing>
          <wp:inline distT="0" distB="0" distL="0" distR="0" wp14:anchorId="5458820B" wp14:editId="0AC4946A">
            <wp:extent cx="5859780" cy="1895475"/>
            <wp:effectExtent l="19050" t="0" r="45720" b="952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55B8DA5C" w14:textId="47993695" w:rsidR="00676BD4" w:rsidRDefault="00676BD4" w:rsidP="002E2177">
      <w:pPr>
        <w:ind w:left="432" w:hanging="432"/>
        <w:rPr>
          <w:b/>
          <w:color w:val="0000FF"/>
        </w:rPr>
      </w:pPr>
    </w:p>
    <w:p w14:paraId="33C7741B" w14:textId="4993289B" w:rsidR="004922E4" w:rsidRPr="004922E4" w:rsidRDefault="004922E4" w:rsidP="004922E4">
      <w:pPr>
        <w:ind w:right="140"/>
        <w:rPr>
          <w:b/>
          <w:iCs/>
        </w:rPr>
      </w:pPr>
      <w:r>
        <w:rPr>
          <w:b/>
          <w:bCs/>
          <w:color w:val="0000FF"/>
        </w:rPr>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7CA3C78A" w14:textId="238EDD19" w:rsidR="00A045A7" w:rsidRPr="0000665A" w:rsidRDefault="00A045A7" w:rsidP="00A045A7">
      <w:pPr>
        <w:ind w:right="140"/>
        <w:rPr>
          <w:iCs/>
          <w:color w:val="FF0000"/>
        </w:rPr>
      </w:pPr>
      <w:r w:rsidRPr="0000665A">
        <w:rPr>
          <w:bCs/>
          <w:color w:val="FF0000"/>
        </w:rPr>
        <w:t xml:space="preserve">Not </w:t>
      </w:r>
      <w:r w:rsidR="0068775A">
        <w:rPr>
          <w:bCs/>
          <w:color w:val="FF0000"/>
        </w:rPr>
        <w:t>A</w:t>
      </w:r>
      <w:r w:rsidRPr="0000665A">
        <w:rPr>
          <w:bCs/>
          <w:color w:val="FF0000"/>
        </w:rPr>
        <w:t>pplicable. This is not a patient-reported measure.</w:t>
      </w:r>
    </w:p>
    <w:p w14:paraId="5BCFDB54" w14:textId="77777777" w:rsidR="004922E4" w:rsidRDefault="004922E4" w:rsidP="002E2177">
      <w:pPr>
        <w:ind w:left="432" w:hanging="432"/>
        <w:rPr>
          <w:b/>
          <w:color w:val="0000FF"/>
        </w:rPr>
      </w:pPr>
    </w:p>
    <w:p w14:paraId="55B8DA5D" w14:textId="77777777" w:rsidR="00676BD4" w:rsidRDefault="00676BD4" w:rsidP="002E2177">
      <w:pPr>
        <w:ind w:left="432" w:hanging="432"/>
        <w:rPr>
          <w:b/>
          <w:color w:val="0000FF"/>
        </w:rPr>
      </w:pPr>
    </w:p>
    <w:p w14:paraId="55B8DA5E" w14:textId="77777777" w:rsidR="00F90F82" w:rsidRDefault="00F90F82" w:rsidP="002E2177">
      <w:pPr>
        <w:ind w:left="432" w:hanging="432"/>
        <w:rPr>
          <w:b/>
          <w:color w:val="0000FF"/>
        </w:rPr>
      </w:pPr>
    </w:p>
    <w:p w14:paraId="55B8DA5F" w14:textId="77777777" w:rsidR="00676BD4" w:rsidRDefault="00676BD4" w:rsidP="00A9011D">
      <w:pPr>
        <w:ind w:left="0" w:firstLine="0"/>
        <w:rPr>
          <w:b/>
          <w:color w:val="0000FF"/>
        </w:rPr>
      </w:pPr>
    </w:p>
    <w:p w14:paraId="55B8DA60" w14:textId="77777777" w:rsidR="00676BD4" w:rsidRDefault="00676BD4" w:rsidP="002E2177">
      <w:pPr>
        <w:ind w:left="432" w:hanging="432"/>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26AB307C" w:rsidR="00496AF8" w:rsidRPr="00C41794" w:rsidRDefault="00B058A6" w:rsidP="00C41794">
      <w:pPr>
        <w:ind w:left="432" w:hanging="432"/>
        <w:rPr>
          <w:b/>
        </w:rPr>
      </w:pPr>
      <w:r w:rsidRPr="003B1CC5">
        <w:rPr>
          <w:b/>
          <w:color w:val="0000FF"/>
        </w:rPr>
        <w:lastRenderedPageBreak/>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55B8DA64" w14:textId="77777777" w:rsidR="00D14F0B" w:rsidRPr="003B1CC5" w:rsidRDefault="00D14F0B" w:rsidP="002E2177">
      <w:pPr>
        <w:ind w:left="0" w:firstLine="0"/>
        <w:rPr>
          <w:iCs/>
        </w:rPr>
      </w:pPr>
    </w:p>
    <w:p w14:paraId="55B8DA65" w14:textId="77777777" w:rsidR="00676BD4" w:rsidRDefault="00676BD4" w:rsidP="002E2177">
      <w:pPr>
        <w:ind w:left="0" w:firstLine="0"/>
        <w:rPr>
          <w:i/>
          <w:iCs/>
          <w:highlight w:val="green"/>
          <w:u w:val="single"/>
        </w:rPr>
      </w:pPr>
    </w:p>
    <w:p w14:paraId="55B8DA66" w14:textId="219D3357" w:rsidR="00C41794" w:rsidRPr="003B1CC5" w:rsidRDefault="002B06BD" w:rsidP="00C41794">
      <w:pPr>
        <w:ind w:left="0" w:firstLine="0"/>
        <w:rPr>
          <w:b/>
          <w:iCs/>
        </w:rPr>
      </w:pPr>
      <w:bookmarkStart w:id="5" w:name="Section1a3"/>
      <w:bookmarkEnd w:id="5"/>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w:t>
      </w:r>
      <w:r w:rsidR="00AB4ECE" w:rsidRPr="00605A9A">
        <w:rPr>
          <w:b/>
          <w:iCs/>
          <w:highlight w:val="yellow"/>
        </w:rPr>
        <w:t xml:space="preserve">If you wish to include more than one systematic review, add </w:t>
      </w:r>
      <w:r w:rsidR="000F4A7F" w:rsidRPr="00605A9A">
        <w:rPr>
          <w:b/>
          <w:iCs/>
          <w:highlight w:val="yellow"/>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55B8DA69" w14:textId="2E424911" w:rsidR="00A9011D" w:rsidRPr="00A9011D" w:rsidRDefault="00E57B47" w:rsidP="00A9011D">
      <w:pPr>
        <w:ind w:left="0" w:firstLine="0"/>
        <w:rPr>
          <w:rFonts w:ascii="Calibri" w:eastAsia="Calibri" w:hAnsi="Calibri" w:cs="Times New Roman"/>
        </w:rPr>
      </w:pPr>
      <w:r>
        <w:rPr>
          <w:rFonts w:ascii="Times New Roman" w:eastAsia="Arial Unicode MS" w:hAnsi="Times New Roman" w:cs="Mangal" w:hint="cs"/>
          <w:color w:val="0000FF"/>
          <w:kern w:val="1"/>
          <w:sz w:val="24"/>
          <w:szCs w:val="24"/>
          <w:cs/>
          <w:lang w:eastAsia="hi-IN" w:bidi="hi-IN"/>
        </w:rPr>
        <w:t>X</w:t>
      </w:r>
      <w:r w:rsidR="00EC1225">
        <w:rPr>
          <w:rFonts w:ascii="Times New Roman" w:eastAsia="Arial Unicode MS" w:hAnsi="Times New Roman" w:cs="Mangal"/>
          <w:color w:val="0000FF"/>
          <w:kern w:val="1"/>
          <w:sz w:val="24"/>
          <w:szCs w:val="24"/>
          <w:lang w:eastAsia="hi-IN" w:bidi="hi-IN"/>
        </w:rPr>
        <w:t xml:space="preserve"> </w:t>
      </w:r>
      <w:r w:rsidR="00A9011D" w:rsidRPr="00A9011D">
        <w:rPr>
          <w:rFonts w:ascii="Calibri" w:eastAsia="Calibri" w:hAnsi="Calibri" w:cs="Times New Roman"/>
        </w:rPr>
        <w:t xml:space="preserve">Clinical Practice Guideline recommendation </w:t>
      </w:r>
      <w:r w:rsidR="00EC1225">
        <w:rPr>
          <w:rFonts w:ascii="Calibri" w:eastAsia="Calibri" w:hAnsi="Calibri" w:cs="Times New Roman"/>
        </w:rPr>
        <w:t xml:space="preserve"> (with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55B8DA6C" w14:textId="69241934" w:rsidR="00A9011D" w:rsidRPr="000F4A7F" w:rsidRDefault="00A045A7"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00C837B5">
        <w:rPr>
          <w:rFonts w:ascii="Times New Roman" w:eastAsia="Arial Unicode MS" w:hAnsi="Times New Roman" w:cs="Mangal" w:hint="cs"/>
          <w:color w:val="0000FF"/>
          <w:kern w:val="1"/>
          <w:sz w:val="24"/>
          <w:szCs w:val="24"/>
          <w:cs/>
          <w:lang w:eastAsia="hi-IN" w:bidi="hi-IN"/>
        </w:rPr>
        <w:t xml:space="preserve"> </w:t>
      </w:r>
      <w:r w:rsidR="00A9011D" w:rsidRPr="00A9011D">
        <w:rPr>
          <w:rFonts w:ascii="Calibri" w:eastAsia="Calibri" w:hAnsi="Calibri" w:cs="Times New Roman"/>
        </w:rPr>
        <w:t xml:space="preserve">Other </w:t>
      </w:r>
      <w:r w:rsidR="00605A9A">
        <w:rPr>
          <w:rFonts w:ascii="Calibri" w:eastAsia="Calibri" w:hAnsi="Calibri" w:cs="Times New Roman"/>
        </w:rPr>
        <w:t xml:space="preserve"> </w:t>
      </w:r>
    </w:p>
    <w:p w14:paraId="55B8DA6D" w14:textId="77777777" w:rsidR="00A9011D" w:rsidRDefault="00A9011D" w:rsidP="002E2177">
      <w:pPr>
        <w:ind w:left="0" w:firstLine="0"/>
        <w:rPr>
          <w:i/>
          <w:iCs/>
        </w:rPr>
      </w:pPr>
    </w:p>
    <w:p w14:paraId="55B8DA6E" w14:textId="77777777" w:rsidR="004E7215" w:rsidRPr="003B1CC5" w:rsidRDefault="004E7215" w:rsidP="002E2177">
      <w:pPr>
        <w:ind w:left="0" w:firstLine="0"/>
        <w:rPr>
          <w:i/>
          <w:iCs/>
        </w:rPr>
      </w:pPr>
    </w:p>
    <w:tbl>
      <w:tblPr>
        <w:tblStyle w:val="TableGrid"/>
        <w:tblW w:w="0" w:type="auto"/>
        <w:tblLook w:val="04A0" w:firstRow="1" w:lastRow="0" w:firstColumn="1" w:lastColumn="0" w:noHBand="0" w:noVBand="1"/>
      </w:tblPr>
      <w:tblGrid>
        <w:gridCol w:w="3505"/>
        <w:gridCol w:w="5825"/>
      </w:tblGrid>
      <w:tr w:rsidR="00AB4ECE" w14:paraId="55B8DA76" w14:textId="77777777" w:rsidTr="00120908">
        <w:tc>
          <w:tcPr>
            <w:tcW w:w="3505" w:type="dxa"/>
          </w:tcPr>
          <w:p w14:paraId="55B8DA6F" w14:textId="77777777" w:rsidR="00AB4ECE" w:rsidRPr="00AB4ECE" w:rsidRDefault="00AB4ECE" w:rsidP="002E2177">
            <w:pPr>
              <w:ind w:left="0" w:firstLine="0"/>
              <w:rPr>
                <w:b/>
              </w:rPr>
            </w:pPr>
            <w:r w:rsidRPr="00AB4ECE">
              <w:rPr>
                <w:b/>
              </w:rPr>
              <w:t>Source of Systematic Review:</w:t>
            </w:r>
          </w:p>
          <w:p w14:paraId="55B8DA70" w14:textId="77777777" w:rsidR="00AB4ECE" w:rsidRPr="00AB4ECE" w:rsidRDefault="00AB4ECE" w:rsidP="00AB4ECE">
            <w:pPr>
              <w:pStyle w:val="ListParagraph"/>
              <w:numPr>
                <w:ilvl w:val="0"/>
                <w:numId w:val="9"/>
              </w:numPr>
              <w:rPr>
                <w:b/>
              </w:rPr>
            </w:pPr>
            <w:r w:rsidRPr="00AB4ECE">
              <w:rPr>
                <w:b/>
              </w:rPr>
              <w:t>Title</w:t>
            </w:r>
          </w:p>
          <w:p w14:paraId="55B8DA71" w14:textId="77777777" w:rsidR="00AB4ECE" w:rsidRPr="00AB4ECE" w:rsidRDefault="00AB4ECE" w:rsidP="00AB4ECE">
            <w:pPr>
              <w:pStyle w:val="ListParagraph"/>
              <w:numPr>
                <w:ilvl w:val="0"/>
                <w:numId w:val="9"/>
              </w:numPr>
              <w:rPr>
                <w:b/>
              </w:rPr>
            </w:pPr>
            <w:r w:rsidRPr="00AB4ECE">
              <w:rPr>
                <w:b/>
              </w:rPr>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Citation, including page number</w:t>
            </w:r>
          </w:p>
          <w:p w14:paraId="55B8DA74" w14:textId="77777777" w:rsidR="00AB4ECE" w:rsidRPr="00AB4ECE" w:rsidRDefault="00AB4ECE" w:rsidP="00AB4ECE">
            <w:pPr>
              <w:pStyle w:val="ListParagraph"/>
              <w:numPr>
                <w:ilvl w:val="0"/>
                <w:numId w:val="9"/>
              </w:numPr>
              <w:rPr>
                <w:b/>
              </w:rPr>
            </w:pPr>
            <w:r w:rsidRPr="00AB4ECE">
              <w:rPr>
                <w:b/>
              </w:rPr>
              <w:t>URL</w:t>
            </w:r>
          </w:p>
        </w:tc>
        <w:tc>
          <w:tcPr>
            <w:tcW w:w="5825" w:type="dxa"/>
          </w:tcPr>
          <w:p w14:paraId="36584844" w14:textId="78EE2FE5" w:rsidR="00AD5313" w:rsidRPr="00AF4B69" w:rsidRDefault="00F4038F" w:rsidP="002E2177">
            <w:pPr>
              <w:ind w:left="0" w:firstLine="0"/>
              <w:rPr>
                <w:color w:val="FF0000"/>
              </w:rPr>
            </w:pPr>
            <w:r w:rsidRPr="00F4038F">
              <w:rPr>
                <w:color w:val="FF0000"/>
              </w:rPr>
              <w:t>National Institute for</w:t>
            </w:r>
            <w:r>
              <w:rPr>
                <w:color w:val="FF0000"/>
              </w:rPr>
              <w:t xml:space="preserve"> Clinical Excellence (NICE)</w:t>
            </w:r>
            <w:r w:rsidRPr="00F4038F">
              <w:rPr>
                <w:color w:val="FF0000"/>
              </w:rPr>
              <w:t>- Bipolar Disorder: Assessment and Management</w:t>
            </w:r>
          </w:p>
          <w:p w14:paraId="0EA3A959" w14:textId="22FD3FD0" w:rsidR="00F4038F" w:rsidRDefault="00F4038F" w:rsidP="002E2177">
            <w:pPr>
              <w:ind w:left="0" w:firstLine="0"/>
              <w:rPr>
                <w:color w:val="FF0000"/>
              </w:rPr>
            </w:pPr>
            <w:r w:rsidRPr="00AF4B69">
              <w:rPr>
                <w:color w:val="FF0000"/>
              </w:rPr>
              <w:t>National Institute for Clinical Excellence</w:t>
            </w:r>
          </w:p>
          <w:p w14:paraId="6885DB23" w14:textId="77777777" w:rsidR="008B157D" w:rsidRDefault="008B157D" w:rsidP="002E2177">
            <w:pPr>
              <w:ind w:left="0" w:firstLine="0"/>
              <w:rPr>
                <w:color w:val="FF0000"/>
              </w:rPr>
            </w:pPr>
          </w:p>
          <w:p w14:paraId="48EC8269" w14:textId="5F3BA7DD" w:rsidR="00AD5313" w:rsidRPr="00AF4B69" w:rsidRDefault="00AD5313" w:rsidP="002E2177">
            <w:pPr>
              <w:ind w:left="0" w:firstLine="0"/>
              <w:rPr>
                <w:color w:val="FF0000"/>
              </w:rPr>
            </w:pPr>
            <w:r w:rsidRPr="00AF4B69">
              <w:rPr>
                <w:color w:val="FF0000"/>
              </w:rPr>
              <w:t>National Collaborating Centre for Mental Health</w:t>
            </w:r>
          </w:p>
          <w:p w14:paraId="309643B0" w14:textId="525D4D3B" w:rsidR="00AD5313" w:rsidRPr="00AF4B69" w:rsidRDefault="00AD5313" w:rsidP="002E2177">
            <w:pPr>
              <w:ind w:left="0" w:firstLine="0"/>
              <w:rPr>
                <w:color w:val="FF0000"/>
              </w:rPr>
            </w:pPr>
            <w:r w:rsidRPr="00AF4B69">
              <w:rPr>
                <w:color w:val="FF0000"/>
              </w:rPr>
              <w:t>2014</w:t>
            </w:r>
          </w:p>
          <w:p w14:paraId="7DD62EAC" w14:textId="77777777" w:rsidR="00AD5313" w:rsidRPr="00AF4B69" w:rsidRDefault="00AD5313" w:rsidP="002E2177">
            <w:pPr>
              <w:ind w:left="0" w:firstLine="0"/>
              <w:rPr>
                <w:color w:val="FF0000"/>
              </w:rPr>
            </w:pPr>
          </w:p>
          <w:p w14:paraId="55B8DA75" w14:textId="5451B8E7" w:rsidR="00AB4ECE" w:rsidRPr="00AF4B69" w:rsidRDefault="00F4038F" w:rsidP="002E2177">
            <w:pPr>
              <w:ind w:left="0" w:firstLine="0"/>
              <w:rPr>
                <w:b/>
                <w:color w:val="FF0000"/>
              </w:rPr>
            </w:pPr>
            <w:r w:rsidRPr="00F4038F">
              <w:rPr>
                <w:color w:val="FF0000"/>
              </w:rPr>
              <w:t xml:space="preserve">The National Institute for Clinical Excellence and the National Collaborating Centre for Mental health. Bipolar Disorder: Assessment and Management. Retrieved from </w:t>
            </w:r>
            <w:r w:rsidR="006D47C3" w:rsidRPr="006D47C3">
              <w:rPr>
                <w:color w:val="FF0000"/>
              </w:rPr>
              <w:t>https://www.nice.org.uk/guidance/cg185/evidence/full-guideline-pdf-193212829</w:t>
            </w:r>
          </w:p>
        </w:tc>
      </w:tr>
      <w:tr w:rsidR="00AB4ECE" w14:paraId="55B8DA79" w14:textId="77777777" w:rsidTr="00120908">
        <w:tc>
          <w:tcPr>
            <w:tcW w:w="3505" w:type="dxa"/>
          </w:tcPr>
          <w:p w14:paraId="55B8DA77" w14:textId="77777777" w:rsidR="00AB4ECE" w:rsidRDefault="00AB4ECE" w:rsidP="002E2177">
            <w:pPr>
              <w:ind w:left="0" w:firstLine="0"/>
            </w:pPr>
            <w:r>
              <w:t>Quote the guideline or recommendation verbatim about the process, structure or intermediate outcome being measured.</w:t>
            </w:r>
            <w:r w:rsidR="000E5C93">
              <w:t xml:space="preserve"> If not a guideline, summarize the conclusions from the SR.</w:t>
            </w:r>
          </w:p>
        </w:tc>
        <w:tc>
          <w:tcPr>
            <w:tcW w:w="5825" w:type="dxa"/>
          </w:tcPr>
          <w:p w14:paraId="1AACC369" w14:textId="3CC4B69E" w:rsidR="00122EF1" w:rsidRDefault="00B22AAA" w:rsidP="00122EF1">
            <w:pPr>
              <w:ind w:left="0" w:firstLine="0"/>
            </w:pPr>
            <w:r w:rsidRPr="00DA0C3C">
              <w:rPr>
                <w:color w:val="FF0000"/>
              </w:rPr>
              <w:t xml:space="preserve">If the person is already taking valproate or another mood </w:t>
            </w:r>
            <w:r w:rsidR="009A1000" w:rsidRPr="00DA0C3C">
              <w:rPr>
                <w:color w:val="FF0000"/>
              </w:rPr>
              <w:t>stabilizers</w:t>
            </w:r>
            <w:r w:rsidRPr="00DA0C3C">
              <w:rPr>
                <w:color w:val="FF0000"/>
              </w:rPr>
              <w:t xml:space="preserve"> as prophylactic treatment, consider increasing the dose, up to the maximum level in the</w:t>
            </w:r>
            <w:r w:rsidR="00A045A7">
              <w:rPr>
                <w:color w:val="FF0000"/>
              </w:rPr>
              <w:t xml:space="preserve"> British National Formulary (BNF)</w:t>
            </w:r>
            <w:r w:rsidRPr="00DA0C3C">
              <w:rPr>
                <w:color w:val="FF0000"/>
              </w:rPr>
              <w:t xml:space="preserve"> if necessary, depending on clinical response. If there is no improvement, consider adding haloperidol, olanzapine, quetiapine or risperidone, depending on the person’s preference and previous response to treatment. </w:t>
            </w:r>
          </w:p>
          <w:p w14:paraId="49B7C67D" w14:textId="77777777" w:rsidR="00B22AAA" w:rsidRDefault="00B22AAA" w:rsidP="00122EF1">
            <w:pPr>
              <w:ind w:left="0" w:firstLine="0"/>
              <w:rPr>
                <w:color w:val="FF0000"/>
              </w:rPr>
            </w:pPr>
          </w:p>
          <w:p w14:paraId="19D559E8" w14:textId="601007A1" w:rsidR="00122EF1" w:rsidRPr="00122EF1" w:rsidRDefault="00122EF1" w:rsidP="00122EF1">
            <w:pPr>
              <w:ind w:left="0" w:firstLine="0"/>
              <w:rPr>
                <w:color w:val="FF0000"/>
              </w:rPr>
            </w:pPr>
            <w:r w:rsidRPr="00122EF1">
              <w:rPr>
                <w:color w:val="FF0000"/>
              </w:rPr>
              <w:t xml:space="preserve">If a person develops mania or hypomania and is taking an antidepressant (as defined by the BNF) in combination with a mood </w:t>
            </w:r>
            <w:r w:rsidR="009A1000" w:rsidRPr="00122EF1">
              <w:rPr>
                <w:color w:val="FF0000"/>
              </w:rPr>
              <w:t>stabilizer</w:t>
            </w:r>
            <w:r w:rsidRPr="00122EF1">
              <w:rPr>
                <w:color w:val="FF0000"/>
              </w:rPr>
              <w:t>, consider stopping the antidepressant.</w:t>
            </w:r>
          </w:p>
          <w:p w14:paraId="55B8DA78" w14:textId="7F6AF746" w:rsidR="002F4289" w:rsidRPr="00AF4B69" w:rsidRDefault="002F4289" w:rsidP="00174BB7">
            <w:pPr>
              <w:ind w:left="0" w:firstLine="0"/>
              <w:rPr>
                <w:color w:val="FF0000"/>
              </w:rPr>
            </w:pPr>
          </w:p>
        </w:tc>
      </w:tr>
      <w:tr w:rsidR="00AB4ECE" w14:paraId="55B8DA7C" w14:textId="77777777" w:rsidTr="00120908">
        <w:tc>
          <w:tcPr>
            <w:tcW w:w="3505" w:type="dxa"/>
          </w:tcPr>
          <w:p w14:paraId="55B8DA7A" w14:textId="77777777" w:rsidR="00AB4ECE" w:rsidRDefault="00AB4ECE" w:rsidP="00E42FAA">
            <w:pPr>
              <w:ind w:left="0" w:firstLine="0"/>
            </w:pPr>
            <w:r>
              <w:lastRenderedPageBreak/>
              <w:t xml:space="preserve">Grade assigned to the </w:t>
            </w:r>
            <w:r w:rsidRPr="004E7215">
              <w:rPr>
                <w:b/>
              </w:rPr>
              <w:t>evidence</w:t>
            </w:r>
            <w:r>
              <w:t xml:space="preserve"> associated with the recommendation with the definition of the grade</w:t>
            </w:r>
          </w:p>
        </w:tc>
        <w:tc>
          <w:tcPr>
            <w:tcW w:w="5825" w:type="dxa"/>
          </w:tcPr>
          <w:p w14:paraId="55B8DA7B" w14:textId="610784D9" w:rsidR="00AB4ECE" w:rsidRDefault="00BF2A9F" w:rsidP="002E2177">
            <w:pPr>
              <w:ind w:left="0" w:firstLine="0"/>
            </w:pPr>
            <w:r w:rsidRPr="00BF2A9F">
              <w:rPr>
                <w:color w:val="FF0000"/>
              </w:rPr>
              <w:t xml:space="preserve">The guideline developers used the GRADE system but did not provide independent grades for each recommendation’s evidence. </w:t>
            </w:r>
            <w:r w:rsidR="00DA0C3C">
              <w:rPr>
                <w:color w:val="FF0000"/>
              </w:rPr>
              <w:t xml:space="preserve">All studies identified evaluating the efficacy of mood stabilizers, lithium and valproate, were rated as having a low quality of evidence.  </w:t>
            </w:r>
          </w:p>
        </w:tc>
      </w:tr>
      <w:tr w:rsidR="00AB4ECE" w14:paraId="55B8DA7F" w14:textId="77777777" w:rsidTr="00120908">
        <w:tc>
          <w:tcPr>
            <w:tcW w:w="3505" w:type="dxa"/>
          </w:tcPr>
          <w:p w14:paraId="55B8DA7D" w14:textId="77777777" w:rsidR="00AB4ECE" w:rsidRDefault="00AB4ECE" w:rsidP="00E42FAA">
            <w:pPr>
              <w:ind w:left="0" w:firstLine="0"/>
            </w:pPr>
            <w:r>
              <w:t>Provide all other grades and definitions from the evidence grading system</w:t>
            </w:r>
          </w:p>
        </w:tc>
        <w:tc>
          <w:tcPr>
            <w:tcW w:w="5825" w:type="dxa"/>
          </w:tcPr>
          <w:p w14:paraId="333C86F1" w14:textId="2E5E78C2" w:rsidR="0082642A" w:rsidRDefault="0082642A" w:rsidP="002E2177">
            <w:pPr>
              <w:ind w:left="0" w:firstLine="0"/>
              <w:rPr>
                <w:color w:val="FF0000"/>
              </w:rPr>
            </w:pPr>
            <w:r w:rsidRPr="0082642A">
              <w:rPr>
                <w:color w:val="FF0000"/>
              </w:rPr>
              <w:t>R</w:t>
            </w:r>
            <w:r w:rsidR="00342427">
              <w:rPr>
                <w:color w:val="FF0000"/>
              </w:rPr>
              <w:t>andomized control trials (RCT)</w:t>
            </w:r>
            <w:r w:rsidRPr="0082642A">
              <w:rPr>
                <w:color w:val="FF0000"/>
              </w:rPr>
              <w:t xml:space="preserve"> without important limitations provide high quality evidence.</w:t>
            </w:r>
          </w:p>
          <w:p w14:paraId="17AD79A4" w14:textId="77777777" w:rsidR="004F2C0D" w:rsidRPr="0082642A" w:rsidRDefault="004F2C0D" w:rsidP="002E2177">
            <w:pPr>
              <w:ind w:left="0" w:firstLine="0"/>
              <w:rPr>
                <w:color w:val="FF0000"/>
              </w:rPr>
            </w:pPr>
          </w:p>
          <w:p w14:paraId="0870DAA5" w14:textId="77777777" w:rsidR="0082642A" w:rsidRPr="0082642A" w:rsidRDefault="0082642A" w:rsidP="002E2177">
            <w:pPr>
              <w:ind w:left="0" w:firstLine="0"/>
              <w:rPr>
                <w:color w:val="FF0000"/>
              </w:rPr>
            </w:pPr>
            <w:r w:rsidRPr="0082642A">
              <w:rPr>
                <w:color w:val="FF0000"/>
              </w:rPr>
              <w:t>Observational studies without special strengths or important limitations provide low quality evidence.</w:t>
            </w:r>
          </w:p>
          <w:p w14:paraId="32DA1AE3" w14:textId="77777777" w:rsidR="0082642A" w:rsidRPr="0082642A" w:rsidRDefault="0082642A" w:rsidP="002E2177">
            <w:pPr>
              <w:ind w:left="0" w:firstLine="0"/>
              <w:rPr>
                <w:color w:val="FF0000"/>
              </w:rPr>
            </w:pPr>
          </w:p>
          <w:p w14:paraId="55B8DA7E" w14:textId="62CCF500" w:rsidR="00AB4ECE" w:rsidRDefault="0082642A" w:rsidP="004F2C0D">
            <w:pPr>
              <w:ind w:left="0" w:firstLine="0"/>
            </w:pPr>
            <w:r w:rsidRPr="0082642A">
              <w:rPr>
                <w:color w:val="FF0000"/>
              </w:rPr>
              <w:t>For each outcome, quality may be reduced depending on five factors:</w:t>
            </w:r>
            <w:r w:rsidR="004F2C0D">
              <w:rPr>
                <w:color w:val="FF0000"/>
              </w:rPr>
              <w:t xml:space="preserve"> </w:t>
            </w:r>
            <w:r w:rsidRPr="0082642A">
              <w:rPr>
                <w:color w:val="FF0000"/>
              </w:rPr>
              <w:t>methodological limitations, inconsistency, indirectness, imprecision and publication</w:t>
            </w:r>
            <w:r w:rsidR="004F2C0D">
              <w:rPr>
                <w:color w:val="FF0000"/>
              </w:rPr>
              <w:t xml:space="preserve"> </w:t>
            </w:r>
            <w:r w:rsidRPr="0082642A">
              <w:rPr>
                <w:color w:val="FF0000"/>
              </w:rPr>
              <w:t>bias.</w:t>
            </w:r>
          </w:p>
        </w:tc>
      </w:tr>
      <w:tr w:rsidR="00AB4ECE" w14:paraId="55B8DA82" w14:textId="77777777" w:rsidTr="00120908">
        <w:tc>
          <w:tcPr>
            <w:tcW w:w="3505" w:type="dxa"/>
          </w:tcPr>
          <w:p w14:paraId="55B8DA80" w14:textId="77777777" w:rsidR="00AB4ECE" w:rsidRDefault="00AB4ECE" w:rsidP="00E42FAA">
            <w:pPr>
              <w:ind w:left="0" w:firstLine="0"/>
            </w:pPr>
            <w:r>
              <w:t xml:space="preserve">Grade assigned to the </w:t>
            </w:r>
            <w:r w:rsidRPr="004E7215">
              <w:rPr>
                <w:b/>
              </w:rPr>
              <w:t>recommendation</w:t>
            </w:r>
            <w:r>
              <w:t xml:space="preserve"> with definition of the grade</w:t>
            </w:r>
          </w:p>
        </w:tc>
        <w:tc>
          <w:tcPr>
            <w:tcW w:w="5825" w:type="dxa"/>
          </w:tcPr>
          <w:p w14:paraId="55B8DA81" w14:textId="0F96AE00" w:rsidR="00AB4ECE" w:rsidRPr="00BF2A9F" w:rsidRDefault="00BF2A9F" w:rsidP="002E2177">
            <w:pPr>
              <w:ind w:left="0" w:firstLine="0"/>
              <w:rPr>
                <w:color w:val="FF0000"/>
              </w:rPr>
            </w:pPr>
            <w:r w:rsidRPr="00BF2A9F">
              <w:rPr>
                <w:color w:val="FF0000"/>
              </w:rPr>
              <w:t xml:space="preserve">The Guidelines did not provide independent grades to each recommendation. </w:t>
            </w:r>
          </w:p>
        </w:tc>
      </w:tr>
      <w:tr w:rsidR="00AB4ECE" w14:paraId="55B8DA85" w14:textId="77777777" w:rsidTr="00120908">
        <w:tc>
          <w:tcPr>
            <w:tcW w:w="3505" w:type="dxa"/>
          </w:tcPr>
          <w:p w14:paraId="55B8DA83" w14:textId="77777777" w:rsidR="00AB4ECE" w:rsidRDefault="00AB4ECE" w:rsidP="00E42FAA">
            <w:pPr>
              <w:ind w:left="0" w:firstLine="0"/>
            </w:pPr>
            <w:r>
              <w:t>Provide all other grades and definitions from the recommendation grading system</w:t>
            </w:r>
          </w:p>
        </w:tc>
        <w:tc>
          <w:tcPr>
            <w:tcW w:w="5825" w:type="dxa"/>
          </w:tcPr>
          <w:p w14:paraId="55B8DA84" w14:textId="481BF501" w:rsidR="00AB4ECE" w:rsidRPr="00BF2A9F" w:rsidRDefault="00BF2A9F" w:rsidP="002E2177">
            <w:pPr>
              <w:ind w:left="0" w:firstLine="0"/>
              <w:rPr>
                <w:color w:val="FF0000"/>
              </w:rPr>
            </w:pPr>
            <w:r w:rsidRPr="00BF2A9F">
              <w:rPr>
                <w:color w:val="FF0000"/>
              </w:rPr>
              <w:t>The Guidelines did not provide independent grades to each recommendation.</w:t>
            </w:r>
          </w:p>
        </w:tc>
      </w:tr>
      <w:tr w:rsidR="00AB4ECE" w14:paraId="55B8DA8A" w14:textId="77777777" w:rsidTr="00120908">
        <w:tc>
          <w:tcPr>
            <w:tcW w:w="3505" w:type="dxa"/>
          </w:tcPr>
          <w:p w14:paraId="55B8DA86" w14:textId="77777777" w:rsidR="00AB4ECE" w:rsidRDefault="000E5C93" w:rsidP="002E2177">
            <w:pPr>
              <w:ind w:left="0" w:firstLine="0"/>
            </w:pPr>
            <w:r>
              <w:t>Body of evidence:</w:t>
            </w:r>
          </w:p>
          <w:p w14:paraId="55B8DA87" w14:textId="77777777" w:rsidR="000E5C93" w:rsidRDefault="000E5C93" w:rsidP="000E5C93">
            <w:pPr>
              <w:pStyle w:val="ListParagraph"/>
              <w:numPr>
                <w:ilvl w:val="0"/>
                <w:numId w:val="10"/>
              </w:numPr>
            </w:pPr>
            <w:r>
              <w:t>Quantity – how many studies?</w:t>
            </w:r>
          </w:p>
          <w:p w14:paraId="55B8DA88" w14:textId="77777777" w:rsidR="000E5C93" w:rsidRDefault="000E5C93" w:rsidP="000E5C93">
            <w:pPr>
              <w:pStyle w:val="ListParagraph"/>
              <w:numPr>
                <w:ilvl w:val="0"/>
                <w:numId w:val="10"/>
              </w:numPr>
            </w:pPr>
            <w:r>
              <w:t>Quality – what type of studies?</w:t>
            </w:r>
          </w:p>
        </w:tc>
        <w:tc>
          <w:tcPr>
            <w:tcW w:w="5825" w:type="dxa"/>
          </w:tcPr>
          <w:p w14:paraId="55B8DA89" w14:textId="6E483F54" w:rsidR="00AB4ECE" w:rsidRDefault="008065FE" w:rsidP="004F2C0D">
            <w:pPr>
              <w:ind w:left="0" w:firstLine="0"/>
            </w:pPr>
            <w:r>
              <w:rPr>
                <w:color w:val="FF0000"/>
              </w:rPr>
              <w:t>Thirty-six</w:t>
            </w:r>
            <w:r w:rsidR="004F2C0D" w:rsidRPr="004F2C0D">
              <w:rPr>
                <w:color w:val="FF0000"/>
              </w:rPr>
              <w:t xml:space="preserve"> </w:t>
            </w:r>
            <w:r w:rsidR="00342427">
              <w:rPr>
                <w:color w:val="FF0000"/>
              </w:rPr>
              <w:t>RCTs</w:t>
            </w:r>
            <w:r w:rsidR="004F2C0D" w:rsidRPr="004F2C0D">
              <w:rPr>
                <w:color w:val="FF0000"/>
              </w:rPr>
              <w:t xml:space="preserve"> were included in the body of evidence.</w:t>
            </w:r>
            <w:r w:rsidR="004F2C0D">
              <w:rPr>
                <w:color w:val="FF0000"/>
              </w:rPr>
              <w:t xml:space="preserve"> </w:t>
            </w:r>
            <w:r w:rsidR="007F79E5">
              <w:rPr>
                <w:color w:val="FF0000"/>
              </w:rPr>
              <w:t xml:space="preserve">The </w:t>
            </w:r>
            <w:r w:rsidR="007F79E5" w:rsidRPr="007F79E5">
              <w:rPr>
                <w:color w:val="FF0000"/>
              </w:rPr>
              <w:t>Guideline Development Group</w:t>
            </w:r>
            <w:r w:rsidR="007F79E5">
              <w:rPr>
                <w:color w:val="FF0000"/>
              </w:rPr>
              <w:t xml:space="preserve"> </w:t>
            </w:r>
            <w:r w:rsidR="007F79E5" w:rsidRPr="007F79E5">
              <w:rPr>
                <w:color w:val="FF0000"/>
              </w:rPr>
              <w:t>found very limited evidence for lithium and valproate monotherapy for acute episodes, but many participants in clinical trials were taking these medications in addition to investigational treatments, and the expert consensus was that mood stabilizers should normally be continued during acute episodes, with doses and plasma levels checked to optimize treatment.</w:t>
            </w:r>
          </w:p>
        </w:tc>
      </w:tr>
      <w:tr w:rsidR="00AB4ECE" w14:paraId="55B8DA8D" w14:textId="77777777" w:rsidTr="00120908">
        <w:tc>
          <w:tcPr>
            <w:tcW w:w="3505" w:type="dxa"/>
          </w:tcPr>
          <w:p w14:paraId="55B8DA8B" w14:textId="77777777" w:rsidR="00AB4ECE" w:rsidRDefault="000E5C93" w:rsidP="002E2177">
            <w:pPr>
              <w:ind w:left="0" w:firstLine="0"/>
            </w:pPr>
            <w:r>
              <w:t xml:space="preserve">Estimates of benefit and consistency across studies </w:t>
            </w:r>
          </w:p>
        </w:tc>
        <w:tc>
          <w:tcPr>
            <w:tcW w:w="5825" w:type="dxa"/>
          </w:tcPr>
          <w:p w14:paraId="55B8DA8C" w14:textId="4CA63332" w:rsidR="00AB4ECE" w:rsidRDefault="00B22AAA" w:rsidP="002E2177">
            <w:pPr>
              <w:ind w:left="0" w:firstLine="0"/>
            </w:pPr>
            <w:r w:rsidRPr="00B22AAA">
              <w:rPr>
                <w:color w:val="FF0000"/>
              </w:rPr>
              <w:t xml:space="preserve">Most of the studies suffered from very serious limitations, owing to the inappropriate methods that were used for evidence synthesis. According to the remaining studies, valproate </w:t>
            </w:r>
            <w:r w:rsidR="007F79E5" w:rsidRPr="00B22AAA">
              <w:rPr>
                <w:color w:val="FF0000"/>
              </w:rPr>
              <w:t>semi sodium</w:t>
            </w:r>
            <w:r w:rsidRPr="00B22AAA">
              <w:rPr>
                <w:color w:val="FF0000"/>
              </w:rPr>
              <w:t xml:space="preserve"> and lithium </w:t>
            </w:r>
            <w:r>
              <w:rPr>
                <w:color w:val="FF0000"/>
              </w:rPr>
              <w:t xml:space="preserve">(mood stabilizers) </w:t>
            </w:r>
            <w:r w:rsidRPr="00B22AAA">
              <w:rPr>
                <w:color w:val="FF0000"/>
              </w:rPr>
              <w:t>were similar in terms of costs and outcomes in an analysis conducted in the US. Olanzapine was found to dominate lithium in a UK study. Quetiap</w:t>
            </w:r>
            <w:r>
              <w:rPr>
                <w:color w:val="FF0000"/>
              </w:rPr>
              <w:t>ine in addition to mood stabiliz</w:t>
            </w:r>
            <w:r w:rsidRPr="00B22AAA">
              <w:rPr>
                <w:color w:val="FF0000"/>
              </w:rPr>
              <w:t>er (includi</w:t>
            </w:r>
            <w:r w:rsidRPr="007F79E5">
              <w:rPr>
                <w:color w:val="FF0000"/>
              </w:rPr>
              <w:t xml:space="preserve">ng quetiapine in XR formulation) was found to be more cost-effective than a mood stabilizer alone in </w:t>
            </w:r>
            <w:proofErr w:type="gramStart"/>
            <w:r w:rsidRPr="007F79E5">
              <w:rPr>
                <w:color w:val="FF0000"/>
              </w:rPr>
              <w:t>a number of</w:t>
            </w:r>
            <w:proofErr w:type="gramEnd"/>
            <w:r w:rsidRPr="007F79E5">
              <w:rPr>
                <w:color w:val="FF0000"/>
              </w:rPr>
              <w:t xml:space="preserve"> US and UK studies. </w:t>
            </w:r>
            <w:r w:rsidR="007F79E5" w:rsidRPr="007F79E5">
              <w:rPr>
                <w:color w:val="FF0000"/>
              </w:rPr>
              <w:t xml:space="preserve">The existing economic literature review reports conflicting results and is characterized by serious limitations. The guideline cost analysis indicates that lithium may be a cost-effective and potentially cost-saving treatment option for the long-term management of adults with bipolar disorder. </w:t>
            </w:r>
          </w:p>
        </w:tc>
      </w:tr>
      <w:tr w:rsidR="000E5C93" w14:paraId="55B8DA90" w14:textId="77777777" w:rsidTr="00120908">
        <w:tc>
          <w:tcPr>
            <w:tcW w:w="3505" w:type="dxa"/>
          </w:tcPr>
          <w:p w14:paraId="55B8DA8E" w14:textId="77777777" w:rsidR="000E5C93" w:rsidRDefault="000E5C93" w:rsidP="002E2177">
            <w:pPr>
              <w:ind w:left="0" w:firstLine="0"/>
            </w:pPr>
            <w:r>
              <w:t>What harms were identified?</w:t>
            </w:r>
          </w:p>
        </w:tc>
        <w:tc>
          <w:tcPr>
            <w:tcW w:w="5825" w:type="dxa"/>
          </w:tcPr>
          <w:p w14:paraId="71114879" w14:textId="122306D9" w:rsidR="00673755" w:rsidRDefault="00DA0C3C" w:rsidP="00DA0C3C">
            <w:pPr>
              <w:ind w:left="0" w:firstLine="0"/>
              <w:rPr>
                <w:color w:val="FF0000"/>
              </w:rPr>
            </w:pPr>
            <w:r w:rsidRPr="00AF17CD">
              <w:rPr>
                <w:color w:val="FF0000"/>
              </w:rPr>
              <w:t xml:space="preserve">Lithium has adverse effects on the kidneys, thyroid and parathyroid. Lithium is a known human teratogen, that </w:t>
            </w:r>
            <w:r w:rsidR="00673755" w:rsidRPr="00AF17CD">
              <w:rPr>
                <w:color w:val="FF0000"/>
              </w:rPr>
              <w:t xml:space="preserve">is, it is potentially </w:t>
            </w:r>
            <w:r w:rsidRPr="00AF17CD">
              <w:rPr>
                <w:color w:val="FF0000"/>
              </w:rPr>
              <w:t>harmful to an unborn child.</w:t>
            </w:r>
          </w:p>
          <w:p w14:paraId="64CA681B" w14:textId="77777777" w:rsidR="00AF17CD" w:rsidRPr="00AF17CD" w:rsidRDefault="00AF17CD" w:rsidP="00DA0C3C">
            <w:pPr>
              <w:ind w:left="0" w:firstLine="0"/>
              <w:rPr>
                <w:color w:val="FF0000"/>
              </w:rPr>
            </w:pPr>
          </w:p>
          <w:p w14:paraId="669EA161" w14:textId="023294DC" w:rsidR="00673755" w:rsidRDefault="00673755" w:rsidP="00DA0C3C">
            <w:pPr>
              <w:ind w:left="0" w:firstLine="0"/>
              <w:rPr>
                <w:color w:val="FF0000"/>
              </w:rPr>
            </w:pPr>
            <w:r w:rsidRPr="00AF17CD">
              <w:rPr>
                <w:color w:val="FF0000"/>
              </w:rPr>
              <w:lastRenderedPageBreak/>
              <w:t xml:space="preserve">Valproate is associated with </w:t>
            </w:r>
            <w:proofErr w:type="gramStart"/>
            <w:r w:rsidRPr="00AF17CD">
              <w:rPr>
                <w:color w:val="FF0000"/>
              </w:rPr>
              <w:t>a number of</w:t>
            </w:r>
            <w:proofErr w:type="gramEnd"/>
            <w:r w:rsidRPr="00AF17CD">
              <w:rPr>
                <w:color w:val="FF0000"/>
              </w:rPr>
              <w:t xml:space="preserve"> side effects including tremor, weight gain and, rarely, liver damage. It can interact with </w:t>
            </w:r>
            <w:proofErr w:type="gramStart"/>
            <w:r w:rsidRPr="00AF17CD">
              <w:rPr>
                <w:color w:val="FF0000"/>
              </w:rPr>
              <w:t>a number of</w:t>
            </w:r>
            <w:proofErr w:type="gramEnd"/>
            <w:r w:rsidRPr="00AF17CD">
              <w:rPr>
                <w:color w:val="FF0000"/>
              </w:rPr>
              <w:t xml:space="preserve"> commonly prescribed medicines and notably is known to decrease plasma levels of olanzapine.</w:t>
            </w:r>
          </w:p>
          <w:p w14:paraId="69856C06" w14:textId="77777777" w:rsidR="00AF17CD" w:rsidRPr="00AF17CD" w:rsidRDefault="00AF17CD" w:rsidP="00DA0C3C">
            <w:pPr>
              <w:ind w:left="0" w:firstLine="0"/>
              <w:rPr>
                <w:color w:val="FF0000"/>
              </w:rPr>
            </w:pPr>
          </w:p>
          <w:p w14:paraId="68564280" w14:textId="1A81AD45" w:rsidR="00673755" w:rsidRDefault="00673755" w:rsidP="00DA0C3C">
            <w:pPr>
              <w:ind w:left="0" w:firstLine="0"/>
              <w:rPr>
                <w:color w:val="FF0000"/>
              </w:rPr>
            </w:pPr>
            <w:r w:rsidRPr="00AF17CD">
              <w:rPr>
                <w:color w:val="FF0000"/>
              </w:rPr>
              <w:t xml:space="preserve">Carbamazepine is associated with dizziness, drowsiness, nausea and headaches, and it can cause a low white blood cell count, </w:t>
            </w:r>
            <w:r w:rsidR="008707DC" w:rsidRPr="00AF17CD">
              <w:rPr>
                <w:color w:val="FF0000"/>
              </w:rPr>
              <w:t>hyponatremia</w:t>
            </w:r>
            <w:bookmarkStart w:id="6" w:name="_GoBack"/>
            <w:bookmarkEnd w:id="6"/>
            <w:r w:rsidRPr="00AF17CD">
              <w:rPr>
                <w:color w:val="FF0000"/>
              </w:rPr>
              <w:t xml:space="preserve"> (low level of sodium in the blood) and rarely, liver damage</w:t>
            </w:r>
            <w:r w:rsidR="00AF17CD">
              <w:rPr>
                <w:color w:val="FF0000"/>
              </w:rPr>
              <w:t>.</w:t>
            </w:r>
          </w:p>
          <w:p w14:paraId="695D610C" w14:textId="77777777" w:rsidR="00AF17CD" w:rsidRPr="00AF17CD" w:rsidRDefault="00AF17CD" w:rsidP="00DA0C3C">
            <w:pPr>
              <w:ind w:left="0" w:firstLine="0"/>
              <w:rPr>
                <w:color w:val="FF0000"/>
              </w:rPr>
            </w:pPr>
          </w:p>
          <w:p w14:paraId="55B8DA8F" w14:textId="31D1DA57" w:rsidR="000E5C93" w:rsidRPr="00AF17CD" w:rsidRDefault="00673755" w:rsidP="00DA0C3C">
            <w:pPr>
              <w:ind w:left="0" w:firstLine="0"/>
              <w:rPr>
                <w:color w:val="FF0000"/>
              </w:rPr>
            </w:pPr>
            <w:r w:rsidRPr="00AF17CD">
              <w:rPr>
                <w:color w:val="FF0000"/>
              </w:rPr>
              <w:t>Lamotrigine is associated with a rash, drowsiness, dizziness and blurred vision, and it can depress the bone marrow.</w:t>
            </w:r>
          </w:p>
        </w:tc>
      </w:tr>
      <w:tr w:rsidR="000E5C93" w14:paraId="55B8DA93" w14:textId="77777777" w:rsidTr="00120908">
        <w:tc>
          <w:tcPr>
            <w:tcW w:w="3505" w:type="dxa"/>
          </w:tcPr>
          <w:p w14:paraId="55B8DA91" w14:textId="77777777" w:rsidR="000E5C93" w:rsidRDefault="000E5C93" w:rsidP="000E5C93">
            <w:pPr>
              <w:ind w:left="0" w:firstLine="0"/>
            </w:pPr>
            <w:r>
              <w:lastRenderedPageBreak/>
              <w:t>Identify any new studies conducted since the SR. Do the new studies change the conclusions from the SR?</w:t>
            </w:r>
          </w:p>
        </w:tc>
        <w:tc>
          <w:tcPr>
            <w:tcW w:w="5825" w:type="dxa"/>
          </w:tcPr>
          <w:p w14:paraId="55B8DA92" w14:textId="072BCE44" w:rsidR="000E5C93" w:rsidRDefault="00AF4B69" w:rsidP="002E2177">
            <w:pPr>
              <w:ind w:left="0" w:firstLine="0"/>
            </w:pPr>
            <w:r w:rsidRPr="00AF4B69">
              <w:rPr>
                <w:color w:val="FF0000"/>
              </w:rPr>
              <w:t>N</w:t>
            </w:r>
            <w:r w:rsidR="00BA52A3">
              <w:rPr>
                <w:color w:val="FF0000"/>
              </w:rPr>
              <w:t>ot Applicable</w:t>
            </w:r>
          </w:p>
        </w:tc>
      </w:tr>
    </w:tbl>
    <w:p w14:paraId="55B8DA94" w14:textId="059D7759" w:rsidR="007C1887" w:rsidRDefault="007C1887" w:rsidP="002E2177">
      <w:pPr>
        <w:ind w:left="0" w:firstLine="0"/>
      </w:pPr>
    </w:p>
    <w:tbl>
      <w:tblPr>
        <w:tblStyle w:val="TableGrid"/>
        <w:tblW w:w="9355" w:type="dxa"/>
        <w:tblLayout w:type="fixed"/>
        <w:tblLook w:val="04A0" w:firstRow="1" w:lastRow="0" w:firstColumn="1" w:lastColumn="0" w:noHBand="0" w:noVBand="1"/>
      </w:tblPr>
      <w:tblGrid>
        <w:gridCol w:w="3505"/>
        <w:gridCol w:w="5850"/>
      </w:tblGrid>
      <w:tr w:rsidR="00120908" w14:paraId="775556B8" w14:textId="77777777" w:rsidTr="00120908">
        <w:tc>
          <w:tcPr>
            <w:tcW w:w="3505" w:type="dxa"/>
          </w:tcPr>
          <w:p w14:paraId="58AFDAEA" w14:textId="77777777" w:rsidR="00C837B5" w:rsidRPr="00AB4ECE" w:rsidRDefault="00C837B5" w:rsidP="00F06F66">
            <w:pPr>
              <w:ind w:left="0" w:firstLine="0"/>
              <w:rPr>
                <w:b/>
              </w:rPr>
            </w:pPr>
            <w:r w:rsidRPr="00AB4ECE">
              <w:rPr>
                <w:b/>
              </w:rPr>
              <w:t>Source of Systematic Review:</w:t>
            </w:r>
          </w:p>
          <w:p w14:paraId="6D6E3439" w14:textId="77777777" w:rsidR="00C837B5" w:rsidRPr="00AB4ECE" w:rsidRDefault="00C837B5" w:rsidP="00F06F66">
            <w:pPr>
              <w:pStyle w:val="ListParagraph"/>
              <w:numPr>
                <w:ilvl w:val="0"/>
                <w:numId w:val="9"/>
              </w:numPr>
              <w:rPr>
                <w:b/>
              </w:rPr>
            </w:pPr>
            <w:r w:rsidRPr="00AB4ECE">
              <w:rPr>
                <w:b/>
              </w:rPr>
              <w:t>Title</w:t>
            </w:r>
          </w:p>
          <w:p w14:paraId="37D65A28" w14:textId="77777777" w:rsidR="00C837B5" w:rsidRPr="00AB4ECE" w:rsidRDefault="00C837B5" w:rsidP="00F06F66">
            <w:pPr>
              <w:pStyle w:val="ListParagraph"/>
              <w:numPr>
                <w:ilvl w:val="0"/>
                <w:numId w:val="9"/>
              </w:numPr>
              <w:rPr>
                <w:b/>
              </w:rPr>
            </w:pPr>
            <w:r w:rsidRPr="00AB4ECE">
              <w:rPr>
                <w:b/>
              </w:rPr>
              <w:t>Author</w:t>
            </w:r>
          </w:p>
          <w:p w14:paraId="354D764A" w14:textId="77777777" w:rsidR="00C837B5" w:rsidRPr="00AB4ECE" w:rsidRDefault="00C837B5" w:rsidP="00F06F66">
            <w:pPr>
              <w:pStyle w:val="ListParagraph"/>
              <w:numPr>
                <w:ilvl w:val="0"/>
                <w:numId w:val="9"/>
              </w:numPr>
              <w:rPr>
                <w:b/>
              </w:rPr>
            </w:pPr>
            <w:r w:rsidRPr="00AB4ECE">
              <w:rPr>
                <w:b/>
              </w:rPr>
              <w:t>Date</w:t>
            </w:r>
          </w:p>
          <w:p w14:paraId="77BFD2D7" w14:textId="77777777" w:rsidR="00C837B5" w:rsidRPr="00AB4ECE" w:rsidRDefault="00C837B5" w:rsidP="00F06F66">
            <w:pPr>
              <w:pStyle w:val="ListParagraph"/>
              <w:numPr>
                <w:ilvl w:val="0"/>
                <w:numId w:val="9"/>
              </w:numPr>
              <w:rPr>
                <w:b/>
              </w:rPr>
            </w:pPr>
            <w:r w:rsidRPr="00AB4ECE">
              <w:rPr>
                <w:b/>
              </w:rPr>
              <w:t>Citation, including page number</w:t>
            </w:r>
          </w:p>
          <w:p w14:paraId="150879C5" w14:textId="77777777" w:rsidR="00C837B5" w:rsidRPr="00AB4ECE" w:rsidRDefault="00C837B5" w:rsidP="00F06F66">
            <w:pPr>
              <w:pStyle w:val="ListParagraph"/>
              <w:numPr>
                <w:ilvl w:val="0"/>
                <w:numId w:val="9"/>
              </w:numPr>
              <w:rPr>
                <w:b/>
              </w:rPr>
            </w:pPr>
            <w:r w:rsidRPr="00AB4ECE">
              <w:rPr>
                <w:b/>
              </w:rPr>
              <w:t>URL</w:t>
            </w:r>
          </w:p>
        </w:tc>
        <w:tc>
          <w:tcPr>
            <w:tcW w:w="5850" w:type="dxa"/>
          </w:tcPr>
          <w:p w14:paraId="00685D15" w14:textId="3E45B60F" w:rsidR="00AF17CD" w:rsidRDefault="00AF17CD" w:rsidP="00F06F66">
            <w:pPr>
              <w:ind w:left="0" w:firstLine="0"/>
              <w:rPr>
                <w:color w:val="FF0000"/>
              </w:rPr>
            </w:pPr>
            <w:r w:rsidRPr="00AF17CD">
              <w:rPr>
                <w:color w:val="FF0000"/>
              </w:rPr>
              <w:t xml:space="preserve">Practice Guidelines for the Treatment for </w:t>
            </w:r>
            <w:r>
              <w:rPr>
                <w:color w:val="FF0000"/>
              </w:rPr>
              <w:t>P</w:t>
            </w:r>
            <w:r w:rsidRPr="00AF17CD">
              <w:rPr>
                <w:color w:val="FF0000"/>
              </w:rPr>
              <w:t xml:space="preserve">atients with Bipolar Disorder  </w:t>
            </w:r>
          </w:p>
          <w:p w14:paraId="61536220" w14:textId="77777777" w:rsidR="00AF17CD" w:rsidRDefault="00AF17CD" w:rsidP="00F06F66">
            <w:pPr>
              <w:ind w:left="0" w:firstLine="0"/>
              <w:rPr>
                <w:color w:val="FF0000"/>
              </w:rPr>
            </w:pPr>
          </w:p>
          <w:p w14:paraId="47A4BC5C" w14:textId="1936AB39" w:rsidR="0082642A" w:rsidRPr="00A21970" w:rsidRDefault="0082642A" w:rsidP="00F06F66">
            <w:pPr>
              <w:ind w:left="0" w:firstLine="0"/>
              <w:rPr>
                <w:color w:val="FF0000"/>
              </w:rPr>
            </w:pPr>
            <w:r w:rsidRPr="00A21970">
              <w:rPr>
                <w:color w:val="FF0000"/>
              </w:rPr>
              <w:t>American Psychiatric Association</w:t>
            </w:r>
          </w:p>
          <w:p w14:paraId="0CB92DE2" w14:textId="6B5A2FF0" w:rsidR="0082642A" w:rsidRPr="00A21970" w:rsidRDefault="00F4038F" w:rsidP="00F06F66">
            <w:pPr>
              <w:ind w:left="0" w:firstLine="0"/>
              <w:rPr>
                <w:color w:val="FF0000"/>
              </w:rPr>
            </w:pPr>
            <w:r>
              <w:rPr>
                <w:color w:val="FF0000"/>
              </w:rPr>
              <w:t>2004</w:t>
            </w:r>
          </w:p>
          <w:p w14:paraId="06158E27" w14:textId="77777777" w:rsidR="0082642A" w:rsidRDefault="0082642A" w:rsidP="00F06F66">
            <w:pPr>
              <w:ind w:left="0" w:firstLine="0"/>
            </w:pPr>
          </w:p>
          <w:p w14:paraId="2BD3CC67" w14:textId="388D2680" w:rsidR="00C837B5" w:rsidRPr="00A21970" w:rsidRDefault="00F4038F" w:rsidP="00F06F66">
            <w:pPr>
              <w:ind w:left="0" w:firstLine="0"/>
              <w:rPr>
                <w:color w:val="FF0000"/>
              </w:rPr>
            </w:pPr>
            <w:proofErr w:type="spellStart"/>
            <w:r w:rsidRPr="00F4038F">
              <w:rPr>
                <w:color w:val="FF0000"/>
              </w:rPr>
              <w:t>Pyles</w:t>
            </w:r>
            <w:proofErr w:type="spellEnd"/>
            <w:r w:rsidRPr="00F4038F">
              <w:rPr>
                <w:color w:val="FF0000"/>
              </w:rPr>
              <w:t xml:space="preserve">, R., Cross, C.D., Peele, R., Anzia, D.J., </w:t>
            </w:r>
            <w:proofErr w:type="spellStart"/>
            <w:r w:rsidRPr="00F4038F">
              <w:rPr>
                <w:color w:val="FF0000"/>
              </w:rPr>
              <w:t>Shemo</w:t>
            </w:r>
            <w:proofErr w:type="spellEnd"/>
            <w:r w:rsidRPr="00F4038F">
              <w:rPr>
                <w:color w:val="FF0000"/>
              </w:rPr>
              <w:t xml:space="preserve">, J.P., Lurie, L., Walker, R. D., </w:t>
            </w:r>
            <w:proofErr w:type="spellStart"/>
            <w:r w:rsidRPr="00F4038F">
              <w:rPr>
                <w:color w:val="FF0000"/>
              </w:rPr>
              <w:t>Barnovitz</w:t>
            </w:r>
            <w:proofErr w:type="spellEnd"/>
            <w:r w:rsidRPr="00F4038F">
              <w:rPr>
                <w:color w:val="FF0000"/>
              </w:rPr>
              <w:t xml:space="preserve">, M.A., Gray, S.H., Saxena, S., </w:t>
            </w:r>
            <w:r w:rsidR="008065FE">
              <w:rPr>
                <w:color w:val="FF0000"/>
              </w:rPr>
              <w:t xml:space="preserve">and </w:t>
            </w:r>
            <w:proofErr w:type="spellStart"/>
            <w:r w:rsidRPr="00F4038F">
              <w:rPr>
                <w:color w:val="FF0000"/>
              </w:rPr>
              <w:t>Tonnu</w:t>
            </w:r>
            <w:proofErr w:type="spellEnd"/>
            <w:r w:rsidRPr="00F4038F">
              <w:rPr>
                <w:color w:val="FF0000"/>
              </w:rPr>
              <w:t>, T. (2010). Practice Guidelines for the Treatment of Patients with Bipolar Disorder. American Psychiatric Association. Retrieved from https://psychiatryonline.org/pb/assets/raw/sitewide/practice_guidelines/guidelines/bipolar.pdf</w:t>
            </w:r>
          </w:p>
        </w:tc>
      </w:tr>
      <w:tr w:rsidR="00120908" w14:paraId="7B17D151" w14:textId="77777777" w:rsidTr="00120908">
        <w:tc>
          <w:tcPr>
            <w:tcW w:w="3505" w:type="dxa"/>
          </w:tcPr>
          <w:p w14:paraId="1FECCB3E" w14:textId="77777777" w:rsidR="00C837B5" w:rsidRDefault="00C837B5" w:rsidP="00F06F66">
            <w:pPr>
              <w:ind w:left="0" w:firstLine="0"/>
            </w:pPr>
            <w:r>
              <w:t>Quote the guideline or recommendation verbatim about the process, structure or intermediate outcome being measured. If not a guideline, summarize the conclusions from the SR.</w:t>
            </w:r>
          </w:p>
        </w:tc>
        <w:tc>
          <w:tcPr>
            <w:tcW w:w="5850" w:type="dxa"/>
          </w:tcPr>
          <w:p w14:paraId="24CBA8FC" w14:textId="77777777" w:rsidR="00A045A7" w:rsidRPr="00A045A7" w:rsidRDefault="00542BBB" w:rsidP="00F06F66">
            <w:pPr>
              <w:ind w:left="0" w:firstLine="0"/>
              <w:rPr>
                <w:color w:val="FF0000"/>
              </w:rPr>
            </w:pPr>
            <w:r w:rsidRPr="00542BBB">
              <w:rPr>
                <w:color w:val="FF0000"/>
              </w:rPr>
              <w:t>The first-line pharmacological treatment for more severe manic or mixed episodes is the initiation of either lithium plus a</w:t>
            </w:r>
            <w:r w:rsidRPr="00A045A7">
              <w:rPr>
                <w:color w:val="FF0000"/>
              </w:rPr>
              <w:t xml:space="preserve">n antipsychotic or valproate plus an antipsychotic </w:t>
            </w:r>
            <w:r w:rsidRPr="00C67389">
              <w:rPr>
                <w:color w:val="FF0000"/>
              </w:rPr>
              <w:t>[</w:t>
            </w:r>
            <w:r w:rsidR="00A045A7" w:rsidRPr="00C67389">
              <w:rPr>
                <w:color w:val="FF0000"/>
              </w:rPr>
              <w:t xml:space="preserve">Recommendation Grade - </w:t>
            </w:r>
            <w:r w:rsidRPr="00C67389">
              <w:rPr>
                <w:color w:val="FF0000"/>
              </w:rPr>
              <w:t xml:space="preserve">I]. </w:t>
            </w:r>
          </w:p>
          <w:p w14:paraId="01DEAE57" w14:textId="77777777" w:rsidR="00A045A7" w:rsidRPr="00A045A7" w:rsidRDefault="00A045A7" w:rsidP="00F06F66">
            <w:pPr>
              <w:ind w:left="0" w:firstLine="0"/>
              <w:rPr>
                <w:color w:val="FF0000"/>
              </w:rPr>
            </w:pPr>
          </w:p>
          <w:p w14:paraId="04447E2F" w14:textId="77777777" w:rsidR="00A045A7" w:rsidRPr="00A045A7" w:rsidRDefault="00542BBB" w:rsidP="00F06F66">
            <w:pPr>
              <w:ind w:left="0" w:firstLine="0"/>
              <w:rPr>
                <w:color w:val="FF0000"/>
              </w:rPr>
            </w:pPr>
            <w:r w:rsidRPr="00A045A7">
              <w:rPr>
                <w:color w:val="FF0000"/>
              </w:rPr>
              <w:t xml:space="preserve">For less ill patients, monotherapy with lithium, valproate, or an antipsychotic such as olanzapine may be sufficient </w:t>
            </w:r>
            <w:r w:rsidRPr="00C67389">
              <w:rPr>
                <w:color w:val="FF0000"/>
              </w:rPr>
              <w:t>[</w:t>
            </w:r>
            <w:r w:rsidR="00A045A7" w:rsidRPr="00C67389">
              <w:rPr>
                <w:color w:val="FF0000"/>
              </w:rPr>
              <w:t xml:space="preserve">Recommendation Grade - </w:t>
            </w:r>
            <w:r w:rsidRPr="00C67389">
              <w:rPr>
                <w:color w:val="FF0000"/>
              </w:rPr>
              <w:t>I].</w:t>
            </w:r>
            <w:r w:rsidRPr="00A045A7">
              <w:rPr>
                <w:color w:val="FF0000"/>
              </w:rPr>
              <w:t xml:space="preserve"> </w:t>
            </w:r>
          </w:p>
          <w:p w14:paraId="25B07B49" w14:textId="77777777" w:rsidR="00A045A7" w:rsidRPr="00A045A7" w:rsidRDefault="00A045A7" w:rsidP="00F06F66">
            <w:pPr>
              <w:ind w:left="0" w:firstLine="0"/>
              <w:rPr>
                <w:color w:val="FF0000"/>
              </w:rPr>
            </w:pPr>
          </w:p>
          <w:p w14:paraId="432B9C4B" w14:textId="45740552" w:rsidR="00C837B5" w:rsidRPr="00542BBB" w:rsidRDefault="00542BBB" w:rsidP="00F06F66">
            <w:pPr>
              <w:ind w:left="0" w:firstLine="0"/>
              <w:rPr>
                <w:color w:val="FF0000"/>
              </w:rPr>
            </w:pPr>
            <w:r w:rsidRPr="00A045A7">
              <w:rPr>
                <w:color w:val="FF0000"/>
              </w:rPr>
              <w:t>For mixed episodes, valproate may be preferred over lithium [</w:t>
            </w:r>
            <w:r w:rsidR="00A045A7" w:rsidRPr="00A045A7">
              <w:rPr>
                <w:color w:val="FF0000"/>
              </w:rPr>
              <w:t xml:space="preserve">Recommendation Grade - </w:t>
            </w:r>
            <w:r w:rsidRPr="00C67389">
              <w:rPr>
                <w:color w:val="FF0000"/>
              </w:rPr>
              <w:t>II].</w:t>
            </w:r>
          </w:p>
        </w:tc>
      </w:tr>
      <w:tr w:rsidR="00120908" w14:paraId="13D2C18F" w14:textId="77777777" w:rsidTr="00120908">
        <w:tc>
          <w:tcPr>
            <w:tcW w:w="3505" w:type="dxa"/>
          </w:tcPr>
          <w:p w14:paraId="5BC61C17" w14:textId="77777777" w:rsidR="00C837B5" w:rsidRDefault="00C837B5" w:rsidP="00F06F66">
            <w:pPr>
              <w:ind w:left="0" w:firstLine="0"/>
            </w:pPr>
            <w:r>
              <w:t xml:space="preserve">Grade assigned to the </w:t>
            </w:r>
            <w:r w:rsidRPr="004E7215">
              <w:rPr>
                <w:b/>
              </w:rPr>
              <w:t>evidence</w:t>
            </w:r>
            <w:r>
              <w:t xml:space="preserve"> associated with the recommendation with the definition of the grade</w:t>
            </w:r>
          </w:p>
        </w:tc>
        <w:tc>
          <w:tcPr>
            <w:tcW w:w="5850" w:type="dxa"/>
          </w:tcPr>
          <w:p w14:paraId="5A308E5F" w14:textId="76330812" w:rsidR="00C837B5" w:rsidRPr="000A7917" w:rsidRDefault="00FD0181" w:rsidP="00FD0181">
            <w:pPr>
              <w:ind w:left="0" w:firstLine="0"/>
              <w:rPr>
                <w:color w:val="FF0000"/>
              </w:rPr>
            </w:pPr>
            <w:r w:rsidRPr="000A7917">
              <w:rPr>
                <w:color w:val="FF0000"/>
              </w:rPr>
              <w:t>The attributing evidence is not clearly linked to each recommendation</w:t>
            </w:r>
            <w:r w:rsidR="00A831F9">
              <w:rPr>
                <w:color w:val="FF0000"/>
              </w:rPr>
              <w:t>, but evidence is linked to specific medications</w:t>
            </w:r>
            <w:r w:rsidRPr="000A7917">
              <w:rPr>
                <w:color w:val="FF0000"/>
              </w:rPr>
              <w:t xml:space="preserve">. Each rating of clinical confidence considers the strength of the available evidence and is based on the best available data. When evidence is limited, the level of confidence also incorporates clinical consensus </w:t>
            </w:r>
            <w:proofErr w:type="gramStart"/>
            <w:r w:rsidRPr="000A7917">
              <w:rPr>
                <w:color w:val="FF0000"/>
              </w:rPr>
              <w:t>with regard to</w:t>
            </w:r>
            <w:proofErr w:type="gramEnd"/>
            <w:r w:rsidRPr="000A7917">
              <w:rPr>
                <w:color w:val="FF0000"/>
              </w:rPr>
              <w:t xml:space="preserve"> a particular clinical decision.</w:t>
            </w:r>
          </w:p>
        </w:tc>
      </w:tr>
      <w:tr w:rsidR="00120908" w14:paraId="3B7B92BE" w14:textId="77777777" w:rsidTr="00120908">
        <w:tc>
          <w:tcPr>
            <w:tcW w:w="3505" w:type="dxa"/>
          </w:tcPr>
          <w:p w14:paraId="175845C5" w14:textId="77777777" w:rsidR="00C837B5" w:rsidRDefault="00C837B5" w:rsidP="00F06F66">
            <w:pPr>
              <w:ind w:left="0" w:firstLine="0"/>
            </w:pPr>
            <w:r>
              <w:lastRenderedPageBreak/>
              <w:t>Provide all other grades and definitions from the evidence grading system</w:t>
            </w:r>
          </w:p>
        </w:tc>
        <w:tc>
          <w:tcPr>
            <w:tcW w:w="5850" w:type="dxa"/>
          </w:tcPr>
          <w:p w14:paraId="220CD5DD" w14:textId="77777777" w:rsidR="00FD0181" w:rsidRPr="000A7917" w:rsidRDefault="00FD0181" w:rsidP="00F06F66">
            <w:pPr>
              <w:ind w:left="0" w:firstLine="0"/>
              <w:rPr>
                <w:color w:val="FF0000"/>
              </w:rPr>
            </w:pPr>
            <w:r w:rsidRPr="000A7917">
              <w:rPr>
                <w:color w:val="FF0000"/>
              </w:rPr>
              <w:t xml:space="preserve">The following coding system is used to indicate the nature of the supporting evidence in the summary recommendations and references: </w:t>
            </w:r>
          </w:p>
          <w:p w14:paraId="6E6752AB" w14:textId="77777777" w:rsidR="00FD0181" w:rsidRPr="000A7917" w:rsidRDefault="00FD0181" w:rsidP="00F06F66">
            <w:pPr>
              <w:ind w:left="0" w:firstLine="0"/>
              <w:rPr>
                <w:color w:val="FF0000"/>
              </w:rPr>
            </w:pPr>
            <w:r w:rsidRPr="000A7917">
              <w:rPr>
                <w:color w:val="FF0000"/>
              </w:rPr>
              <w:t xml:space="preserve">[A] Double-blind, randomized clinical trial. A study of an intervention in which subjects are prospectively followed over time; there are treatment and control groups; subjects are randomly assigned to the two groups; both the subjects and the investigators are blind to the assignments. </w:t>
            </w:r>
          </w:p>
          <w:p w14:paraId="4025C314" w14:textId="77777777" w:rsidR="00FD0181" w:rsidRPr="000A7917" w:rsidRDefault="00FD0181" w:rsidP="00F06F66">
            <w:pPr>
              <w:ind w:left="0" w:firstLine="0"/>
              <w:rPr>
                <w:color w:val="FF0000"/>
              </w:rPr>
            </w:pPr>
            <w:r w:rsidRPr="000A7917">
              <w:rPr>
                <w:color w:val="FF0000"/>
              </w:rPr>
              <w:t xml:space="preserve">[A–] Randomized clinical trial. Same as above but not double-blind. </w:t>
            </w:r>
          </w:p>
          <w:p w14:paraId="12353FD6" w14:textId="77777777" w:rsidR="00FD0181" w:rsidRPr="000A7917" w:rsidRDefault="00FD0181" w:rsidP="00F06F66">
            <w:pPr>
              <w:ind w:left="0" w:firstLine="0"/>
              <w:rPr>
                <w:color w:val="FF0000"/>
              </w:rPr>
            </w:pPr>
            <w:r w:rsidRPr="000A7917">
              <w:rPr>
                <w:color w:val="FF0000"/>
              </w:rPr>
              <w:t xml:space="preserve">[B] Clinical trial. A prospective study in which an intervention is made and the results of that intervention are tracked longitudinally; study does not meet standards for a randomized clinical trial. </w:t>
            </w:r>
          </w:p>
          <w:p w14:paraId="5E7EF2AB" w14:textId="77777777" w:rsidR="00FD0181" w:rsidRPr="000A7917" w:rsidRDefault="00FD0181" w:rsidP="00F06F66">
            <w:pPr>
              <w:ind w:left="0" w:firstLine="0"/>
              <w:rPr>
                <w:color w:val="FF0000"/>
              </w:rPr>
            </w:pPr>
            <w:r w:rsidRPr="000A7917">
              <w:rPr>
                <w:color w:val="FF0000"/>
              </w:rPr>
              <w:t xml:space="preserve">[C] Cohort or longitudinal study. A study in which subjects are prospectively followed over time without any specific intervention. </w:t>
            </w:r>
          </w:p>
          <w:p w14:paraId="30796099" w14:textId="08AFE208" w:rsidR="00C837B5" w:rsidRPr="000A7917" w:rsidRDefault="00FD0181" w:rsidP="00F06F66">
            <w:pPr>
              <w:ind w:left="0" w:firstLine="0"/>
              <w:rPr>
                <w:color w:val="FF0000"/>
              </w:rPr>
            </w:pPr>
            <w:r w:rsidRPr="000A7917">
              <w:rPr>
                <w:color w:val="FF0000"/>
              </w:rPr>
              <w:t>[D] Case-control study. A study in which a group of patients is identified in the present and information about them is pursued retrospectively or backward in time.</w:t>
            </w:r>
          </w:p>
        </w:tc>
      </w:tr>
      <w:tr w:rsidR="00A045A7" w14:paraId="1A2168C0" w14:textId="77777777" w:rsidTr="00120908">
        <w:tc>
          <w:tcPr>
            <w:tcW w:w="3505" w:type="dxa"/>
          </w:tcPr>
          <w:p w14:paraId="0EB94F9A" w14:textId="77777777" w:rsidR="00A045A7" w:rsidRDefault="00A045A7" w:rsidP="00A045A7">
            <w:pPr>
              <w:ind w:left="0" w:firstLine="0"/>
            </w:pPr>
            <w:r>
              <w:t xml:space="preserve">Grade assigned to the </w:t>
            </w:r>
            <w:r w:rsidRPr="004E7215">
              <w:rPr>
                <w:b/>
              </w:rPr>
              <w:t>recommendation</w:t>
            </w:r>
            <w:r>
              <w:t xml:space="preserve"> with definition of the grade</w:t>
            </w:r>
          </w:p>
        </w:tc>
        <w:tc>
          <w:tcPr>
            <w:tcW w:w="5850" w:type="dxa"/>
          </w:tcPr>
          <w:p w14:paraId="50189949" w14:textId="4135BCAE" w:rsidR="00A045A7" w:rsidRDefault="00A045A7" w:rsidP="00A045A7">
            <w:pPr>
              <w:ind w:left="0" w:firstLine="0"/>
              <w:rPr>
                <w:color w:val="FF0000"/>
              </w:rPr>
            </w:pPr>
            <w:r w:rsidRPr="000A7917">
              <w:rPr>
                <w:color w:val="FF0000"/>
              </w:rPr>
              <w:t>See brackets after each recommendation above</w:t>
            </w:r>
            <w:r>
              <w:rPr>
                <w:color w:val="FF0000"/>
              </w:rPr>
              <w:t xml:space="preserve"> for s</w:t>
            </w:r>
            <w:r w:rsidR="008065FE">
              <w:rPr>
                <w:color w:val="FF0000"/>
              </w:rPr>
              <w:t xml:space="preserve">pecific recommendation grades. </w:t>
            </w:r>
            <w:r>
              <w:rPr>
                <w:color w:val="FF0000"/>
              </w:rPr>
              <w:t>Overall the grades were:</w:t>
            </w:r>
          </w:p>
          <w:p w14:paraId="5ABD6161" w14:textId="77777777" w:rsidR="00A045A7" w:rsidRPr="00710D15" w:rsidRDefault="00A045A7" w:rsidP="00A045A7">
            <w:pPr>
              <w:ind w:left="0" w:firstLine="0"/>
              <w:rPr>
                <w:color w:val="FF0000"/>
              </w:rPr>
            </w:pPr>
            <w:r w:rsidRPr="00710D15">
              <w:rPr>
                <w:color w:val="FF0000"/>
              </w:rPr>
              <w:t xml:space="preserve">[I] Recommended with substantial clinical confidence. </w:t>
            </w:r>
          </w:p>
          <w:p w14:paraId="2E4DBA9A" w14:textId="77777777" w:rsidR="00A045A7" w:rsidRPr="00710D15" w:rsidRDefault="00A045A7" w:rsidP="00A045A7">
            <w:pPr>
              <w:ind w:left="0" w:firstLine="0"/>
              <w:rPr>
                <w:color w:val="FF0000"/>
              </w:rPr>
            </w:pPr>
            <w:r w:rsidRPr="00710D15">
              <w:rPr>
                <w:color w:val="FF0000"/>
              </w:rPr>
              <w:t xml:space="preserve">[II] Recommended with moderate clinical confidence. </w:t>
            </w:r>
          </w:p>
          <w:p w14:paraId="762F92D8" w14:textId="1E5480AE" w:rsidR="00A045A7" w:rsidRPr="000A7917" w:rsidRDefault="00A045A7" w:rsidP="00A045A7">
            <w:pPr>
              <w:ind w:left="0" w:firstLine="0"/>
              <w:rPr>
                <w:color w:val="FF0000"/>
              </w:rPr>
            </w:pPr>
          </w:p>
        </w:tc>
      </w:tr>
      <w:tr w:rsidR="00A045A7" w14:paraId="4BAAF729" w14:textId="77777777" w:rsidTr="00120908">
        <w:tc>
          <w:tcPr>
            <w:tcW w:w="3505" w:type="dxa"/>
          </w:tcPr>
          <w:p w14:paraId="0EBC4008" w14:textId="77777777" w:rsidR="00A045A7" w:rsidRDefault="00A045A7" w:rsidP="00A045A7">
            <w:pPr>
              <w:ind w:left="0" w:firstLine="0"/>
            </w:pPr>
            <w:r>
              <w:t>Provide all other grades and definitions from the recommendation grading system</w:t>
            </w:r>
          </w:p>
        </w:tc>
        <w:tc>
          <w:tcPr>
            <w:tcW w:w="5850" w:type="dxa"/>
          </w:tcPr>
          <w:p w14:paraId="0E08FE28" w14:textId="77777777" w:rsidR="00A045A7" w:rsidRPr="00710D15" w:rsidRDefault="00A045A7" w:rsidP="00A045A7">
            <w:pPr>
              <w:ind w:left="0" w:firstLine="0"/>
              <w:rPr>
                <w:color w:val="FF0000"/>
              </w:rPr>
            </w:pPr>
            <w:r>
              <w:rPr>
                <w:color w:val="FF0000"/>
              </w:rPr>
              <w:t>The other grade in the recommendation grading system is</w:t>
            </w:r>
            <w:r w:rsidRPr="00710D15">
              <w:rPr>
                <w:color w:val="FF0000"/>
              </w:rPr>
              <w:t xml:space="preserve">: </w:t>
            </w:r>
          </w:p>
          <w:p w14:paraId="66F121CF" w14:textId="33D169DE" w:rsidR="00A045A7" w:rsidRDefault="00A045A7" w:rsidP="00A045A7">
            <w:pPr>
              <w:ind w:left="0" w:firstLine="0"/>
            </w:pPr>
            <w:r w:rsidRPr="00710D15" w:rsidDel="00BE2774">
              <w:rPr>
                <w:color w:val="FF0000"/>
              </w:rPr>
              <w:t xml:space="preserve"> </w:t>
            </w:r>
            <w:r w:rsidRPr="00710D15">
              <w:rPr>
                <w:color w:val="FF0000"/>
              </w:rPr>
              <w:t xml:space="preserve">[III] May be recommended </w:t>
            </w:r>
            <w:proofErr w:type="gramStart"/>
            <w:r w:rsidRPr="00710D15">
              <w:rPr>
                <w:color w:val="FF0000"/>
              </w:rPr>
              <w:t>on the basis of</w:t>
            </w:r>
            <w:proofErr w:type="gramEnd"/>
            <w:r w:rsidRPr="00710D15">
              <w:rPr>
                <w:color w:val="FF0000"/>
              </w:rPr>
              <w:t xml:space="preserve"> individual circumstances</w:t>
            </w:r>
          </w:p>
        </w:tc>
      </w:tr>
      <w:tr w:rsidR="00120908" w14:paraId="7C4FEA03" w14:textId="77777777" w:rsidTr="00120908">
        <w:tc>
          <w:tcPr>
            <w:tcW w:w="3505" w:type="dxa"/>
          </w:tcPr>
          <w:p w14:paraId="78D8CE7C" w14:textId="77777777" w:rsidR="00C837B5" w:rsidRDefault="00C837B5" w:rsidP="00F06F66">
            <w:pPr>
              <w:ind w:left="0" w:firstLine="0"/>
            </w:pPr>
            <w:r>
              <w:t>Body of evidence:</w:t>
            </w:r>
          </w:p>
          <w:p w14:paraId="30766F26" w14:textId="77777777" w:rsidR="00C837B5" w:rsidRDefault="00C837B5" w:rsidP="00F06F66">
            <w:pPr>
              <w:pStyle w:val="ListParagraph"/>
              <w:numPr>
                <w:ilvl w:val="0"/>
                <w:numId w:val="10"/>
              </w:numPr>
            </w:pPr>
            <w:r>
              <w:t>Quantity – how many studies?</w:t>
            </w:r>
          </w:p>
          <w:p w14:paraId="4A92C146" w14:textId="77777777" w:rsidR="00C837B5" w:rsidRDefault="00C837B5" w:rsidP="00F06F66">
            <w:pPr>
              <w:pStyle w:val="ListParagraph"/>
              <w:numPr>
                <w:ilvl w:val="0"/>
                <w:numId w:val="10"/>
              </w:numPr>
            </w:pPr>
            <w:r>
              <w:t>Quality – what type of studies?</w:t>
            </w:r>
          </w:p>
        </w:tc>
        <w:tc>
          <w:tcPr>
            <w:tcW w:w="5850" w:type="dxa"/>
          </w:tcPr>
          <w:p w14:paraId="290442A7" w14:textId="51743527" w:rsidR="00B02D68" w:rsidRPr="00AF17CD" w:rsidRDefault="00463B09" w:rsidP="00F06F66">
            <w:pPr>
              <w:ind w:left="0" w:firstLine="0"/>
              <w:rPr>
                <w:color w:val="FF0000"/>
              </w:rPr>
            </w:pPr>
            <w:r w:rsidRPr="00AF17CD">
              <w:rPr>
                <w:color w:val="FF0000"/>
              </w:rPr>
              <w:t xml:space="preserve">Lithium: </w:t>
            </w:r>
            <w:r w:rsidR="00B02D68" w:rsidRPr="00AF17CD">
              <w:rPr>
                <w:color w:val="FF0000"/>
              </w:rPr>
              <w:t>Five studies have demonstrated lithium is superior to placebo</w:t>
            </w:r>
            <w:r w:rsidR="001E241E" w:rsidRPr="00AF17CD">
              <w:rPr>
                <w:color w:val="FF0000"/>
              </w:rPr>
              <w:t xml:space="preserve"> (</w:t>
            </w:r>
            <w:r w:rsidR="00A045A7">
              <w:rPr>
                <w:color w:val="FF0000"/>
              </w:rPr>
              <w:t xml:space="preserve">evidence </w:t>
            </w:r>
            <w:r w:rsidR="001E241E" w:rsidRPr="00AF17CD">
              <w:rPr>
                <w:color w:val="FF0000"/>
              </w:rPr>
              <w:t xml:space="preserve">grade A or B). Three </w:t>
            </w:r>
            <w:r w:rsidR="00AA0830" w:rsidRPr="00AF17CD">
              <w:rPr>
                <w:color w:val="FF0000"/>
              </w:rPr>
              <w:t xml:space="preserve">of these </w:t>
            </w:r>
            <w:r w:rsidR="001E241E" w:rsidRPr="00AF17CD">
              <w:rPr>
                <w:color w:val="FF0000"/>
              </w:rPr>
              <w:t>studies had randomized assignments</w:t>
            </w:r>
            <w:r w:rsidR="00AA0830" w:rsidRPr="00AF17CD">
              <w:rPr>
                <w:color w:val="FF0000"/>
              </w:rPr>
              <w:t>, four used crossover designs, and on</w:t>
            </w:r>
            <w:r w:rsidR="001E241E" w:rsidRPr="00AF17CD">
              <w:rPr>
                <w:color w:val="FF0000"/>
              </w:rPr>
              <w:t xml:space="preserve">e </w:t>
            </w:r>
            <w:r w:rsidR="00AA0830" w:rsidRPr="00AF17CD">
              <w:rPr>
                <w:color w:val="FF0000"/>
              </w:rPr>
              <w:t>was</w:t>
            </w:r>
            <w:r w:rsidR="001E241E" w:rsidRPr="00AF17CD">
              <w:rPr>
                <w:color w:val="FF0000"/>
              </w:rPr>
              <w:t xml:space="preserve"> a placebo-controlled</w:t>
            </w:r>
            <w:r w:rsidR="00AA0830" w:rsidRPr="00AF17CD">
              <w:rPr>
                <w:color w:val="FF0000"/>
              </w:rPr>
              <w:t xml:space="preserve">, parallel design </w:t>
            </w:r>
            <w:r w:rsidR="001E241E" w:rsidRPr="00AF17CD">
              <w:rPr>
                <w:color w:val="FF0000"/>
              </w:rPr>
              <w:t>trial</w:t>
            </w:r>
            <w:r w:rsidR="00AA0830" w:rsidRPr="00AF17CD">
              <w:rPr>
                <w:color w:val="FF0000"/>
              </w:rPr>
              <w:t>. Lithium showed similar efficacy to other mood stabilizers and antipsychotics in 10 other trials (</w:t>
            </w:r>
            <w:r w:rsidR="00A045A7">
              <w:rPr>
                <w:color w:val="FF0000"/>
              </w:rPr>
              <w:t xml:space="preserve">evidence </w:t>
            </w:r>
            <w:r w:rsidR="00AA0830" w:rsidRPr="00AF17CD">
              <w:rPr>
                <w:color w:val="FF0000"/>
              </w:rPr>
              <w:t>grade A)</w:t>
            </w:r>
            <w:r w:rsidR="001E241E" w:rsidRPr="00AF17CD">
              <w:rPr>
                <w:color w:val="FF0000"/>
              </w:rPr>
              <w:t xml:space="preserve"> </w:t>
            </w:r>
          </w:p>
          <w:p w14:paraId="2906535E" w14:textId="10846745" w:rsidR="001E241E" w:rsidRPr="00AF17CD" w:rsidRDefault="001E241E" w:rsidP="00F06F66">
            <w:pPr>
              <w:ind w:left="0" w:firstLine="0"/>
              <w:rPr>
                <w:color w:val="FF0000"/>
              </w:rPr>
            </w:pPr>
          </w:p>
          <w:p w14:paraId="427A73F8" w14:textId="36484F65" w:rsidR="001E241E" w:rsidRPr="00AF17CD" w:rsidRDefault="00463B09" w:rsidP="00F06F66">
            <w:pPr>
              <w:ind w:left="0" w:firstLine="0"/>
              <w:rPr>
                <w:color w:val="FF0000"/>
              </w:rPr>
            </w:pPr>
            <w:r w:rsidRPr="00AF17CD">
              <w:rPr>
                <w:color w:val="FF0000"/>
              </w:rPr>
              <w:t xml:space="preserve">Valproate: </w:t>
            </w:r>
            <w:r w:rsidR="001E241E" w:rsidRPr="00AF17CD">
              <w:rPr>
                <w:color w:val="FF0000"/>
              </w:rPr>
              <w:t>Four randomized placebo-controlled trials (</w:t>
            </w:r>
            <w:r w:rsidR="00A045A7">
              <w:rPr>
                <w:color w:val="FF0000"/>
              </w:rPr>
              <w:t xml:space="preserve">evidence </w:t>
            </w:r>
            <w:r w:rsidR="001E241E" w:rsidRPr="00AF17CD">
              <w:rPr>
                <w:color w:val="FF0000"/>
              </w:rPr>
              <w:t>grades A or B) have demonstrated the efficacy of Divalproex/valproate/valproic acid</w:t>
            </w:r>
            <w:r w:rsidR="00470ED1" w:rsidRPr="00AF17CD">
              <w:rPr>
                <w:color w:val="FF0000"/>
              </w:rPr>
              <w:t xml:space="preserve"> compared to placebo (response rates ranged 48-53%)</w:t>
            </w:r>
            <w:r w:rsidR="001E241E" w:rsidRPr="00AF17CD">
              <w:rPr>
                <w:color w:val="FF0000"/>
              </w:rPr>
              <w:t>.</w:t>
            </w:r>
            <w:r w:rsidR="00470ED1" w:rsidRPr="00AF17CD">
              <w:rPr>
                <w:color w:val="FF0000"/>
              </w:rPr>
              <w:t xml:space="preserve"> </w:t>
            </w:r>
            <w:r w:rsidR="00AA0830" w:rsidRPr="00AF17CD">
              <w:rPr>
                <w:color w:val="FF0000"/>
              </w:rPr>
              <w:t>Valproate was show</w:t>
            </w:r>
            <w:r w:rsidR="00AF17CD">
              <w:rPr>
                <w:color w:val="FF0000"/>
              </w:rPr>
              <w:t>n</w:t>
            </w:r>
            <w:r w:rsidR="00AA0830" w:rsidRPr="00AF17CD">
              <w:rPr>
                <w:color w:val="FF0000"/>
              </w:rPr>
              <w:t xml:space="preserve"> to have </w:t>
            </w:r>
            <w:r w:rsidR="00836A83" w:rsidRPr="00AF17CD">
              <w:rPr>
                <w:color w:val="FF0000"/>
              </w:rPr>
              <w:t>similar efficacy to other mood stabilizers in four other studies (</w:t>
            </w:r>
            <w:r w:rsidR="00A045A7">
              <w:rPr>
                <w:color w:val="FF0000"/>
              </w:rPr>
              <w:t xml:space="preserve">evidence </w:t>
            </w:r>
            <w:r w:rsidR="00836A83" w:rsidRPr="00AF17CD">
              <w:rPr>
                <w:color w:val="FF0000"/>
              </w:rPr>
              <w:t xml:space="preserve">grades A or B). </w:t>
            </w:r>
          </w:p>
          <w:p w14:paraId="2224860B" w14:textId="3D1F4CA4" w:rsidR="001E241E" w:rsidRPr="00AF17CD" w:rsidRDefault="001E241E" w:rsidP="00F06F66">
            <w:pPr>
              <w:ind w:left="0" w:firstLine="0"/>
              <w:rPr>
                <w:color w:val="FF0000"/>
              </w:rPr>
            </w:pPr>
          </w:p>
          <w:p w14:paraId="0DAB3654" w14:textId="574B2FDF" w:rsidR="00C837B5" w:rsidRPr="00AF17CD" w:rsidRDefault="00463B09" w:rsidP="00F06F66">
            <w:pPr>
              <w:ind w:left="0" w:firstLine="0"/>
              <w:rPr>
                <w:color w:val="FF0000"/>
              </w:rPr>
            </w:pPr>
            <w:r w:rsidRPr="00AF17CD">
              <w:rPr>
                <w:color w:val="FF0000"/>
              </w:rPr>
              <w:t xml:space="preserve">Olanzapine: </w:t>
            </w:r>
            <w:r w:rsidR="00A831F9" w:rsidRPr="00AF17CD">
              <w:rPr>
                <w:color w:val="FF0000"/>
              </w:rPr>
              <w:t xml:space="preserve">Two, large, randomized controlled trials demonstrated that Olanzapine </w:t>
            </w:r>
            <w:r w:rsidRPr="00AF17CD">
              <w:rPr>
                <w:color w:val="FF0000"/>
              </w:rPr>
              <w:t xml:space="preserve">is superior to placebo. </w:t>
            </w:r>
            <w:r w:rsidR="00DF7CEF" w:rsidRPr="00AF17CD">
              <w:rPr>
                <w:color w:val="FF0000"/>
              </w:rPr>
              <w:t>Three other randomized controlled trials found similar efficacy to other mood stabilizers (</w:t>
            </w:r>
            <w:r w:rsidR="00A045A7">
              <w:rPr>
                <w:color w:val="FF0000"/>
              </w:rPr>
              <w:t xml:space="preserve">evidence </w:t>
            </w:r>
            <w:r w:rsidR="00DF7CEF" w:rsidRPr="00AF17CD">
              <w:rPr>
                <w:color w:val="FF0000"/>
              </w:rPr>
              <w:t>grade A).</w:t>
            </w:r>
          </w:p>
        </w:tc>
      </w:tr>
      <w:tr w:rsidR="00120908" w14:paraId="286488E9" w14:textId="77777777" w:rsidTr="00120908">
        <w:tc>
          <w:tcPr>
            <w:tcW w:w="3505" w:type="dxa"/>
          </w:tcPr>
          <w:p w14:paraId="20D16975" w14:textId="77777777" w:rsidR="00C837B5" w:rsidRDefault="00C837B5" w:rsidP="00F06F66">
            <w:pPr>
              <w:ind w:left="0" w:firstLine="0"/>
            </w:pPr>
            <w:r>
              <w:t xml:space="preserve">Estimates of benefit and consistency across studies </w:t>
            </w:r>
          </w:p>
        </w:tc>
        <w:tc>
          <w:tcPr>
            <w:tcW w:w="5850" w:type="dxa"/>
          </w:tcPr>
          <w:p w14:paraId="1CC7646E" w14:textId="6A436B9D" w:rsidR="00C837B5" w:rsidRPr="007B289E" w:rsidRDefault="007B289E" w:rsidP="00F06F66">
            <w:pPr>
              <w:ind w:left="0" w:firstLine="0"/>
              <w:rPr>
                <w:color w:val="FF0000"/>
              </w:rPr>
            </w:pPr>
            <w:r w:rsidRPr="007B289E">
              <w:rPr>
                <w:color w:val="FF0000"/>
              </w:rPr>
              <w:t xml:space="preserve">Nearly all studies found that the </w:t>
            </w:r>
            <w:r w:rsidR="00776FCD">
              <w:rPr>
                <w:color w:val="FF0000"/>
              </w:rPr>
              <w:t>mood stabilizer</w:t>
            </w:r>
            <w:r w:rsidRPr="007B289E">
              <w:rPr>
                <w:color w:val="FF0000"/>
              </w:rPr>
              <w:t xml:space="preserve"> was superior for treating </w:t>
            </w:r>
            <w:r w:rsidR="00776FCD">
              <w:rPr>
                <w:color w:val="FF0000"/>
              </w:rPr>
              <w:t>bipolar disorder</w:t>
            </w:r>
            <w:r w:rsidRPr="007B289E">
              <w:rPr>
                <w:color w:val="FF0000"/>
              </w:rPr>
              <w:t xml:space="preserve"> compared to placebo. These </w:t>
            </w:r>
            <w:r w:rsidRPr="007B289E">
              <w:rPr>
                <w:color w:val="FF0000"/>
              </w:rPr>
              <w:lastRenderedPageBreak/>
              <w:t xml:space="preserve">studies demonstrated the efficacy of </w:t>
            </w:r>
            <w:r w:rsidR="00776FCD">
              <w:rPr>
                <w:color w:val="FF0000"/>
              </w:rPr>
              <w:t>mood stabilizers</w:t>
            </w:r>
            <w:r w:rsidRPr="007B289E">
              <w:rPr>
                <w:color w:val="FF0000"/>
              </w:rPr>
              <w:t xml:space="preserve"> for every subtype and subgroup of patients with </w:t>
            </w:r>
            <w:r w:rsidR="00776FCD">
              <w:rPr>
                <w:color w:val="FF0000"/>
              </w:rPr>
              <w:t>bipolar disorder</w:t>
            </w:r>
            <w:r w:rsidRPr="007B289E">
              <w:rPr>
                <w:color w:val="FF0000"/>
              </w:rPr>
              <w:t>.</w:t>
            </w:r>
            <w:r w:rsidR="00FD0181">
              <w:rPr>
                <w:color w:val="FF0000"/>
              </w:rPr>
              <w:t xml:space="preserve"> Effectiveness of specific medications will vary by patient symptoms and history</w:t>
            </w:r>
            <w:r w:rsidR="00470ED1">
              <w:rPr>
                <w:color w:val="FF0000"/>
              </w:rPr>
              <w:t>, see evidence summarized above</w:t>
            </w:r>
            <w:r w:rsidR="00FD0181">
              <w:rPr>
                <w:color w:val="FF0000"/>
              </w:rPr>
              <w:t>.</w:t>
            </w:r>
          </w:p>
        </w:tc>
      </w:tr>
      <w:tr w:rsidR="00120908" w14:paraId="2CE62B97" w14:textId="77777777" w:rsidTr="00120908">
        <w:tc>
          <w:tcPr>
            <w:tcW w:w="3505" w:type="dxa"/>
          </w:tcPr>
          <w:p w14:paraId="33E507EB" w14:textId="77777777" w:rsidR="00C837B5" w:rsidRDefault="00C837B5" w:rsidP="00F06F66">
            <w:pPr>
              <w:ind w:left="0" w:firstLine="0"/>
            </w:pPr>
            <w:r>
              <w:lastRenderedPageBreak/>
              <w:t>What harms were identified?</w:t>
            </w:r>
          </w:p>
        </w:tc>
        <w:tc>
          <w:tcPr>
            <w:tcW w:w="5850" w:type="dxa"/>
          </w:tcPr>
          <w:p w14:paraId="3B07606D" w14:textId="10560FA4" w:rsidR="00463B09" w:rsidRPr="00AF17CD" w:rsidRDefault="00463B09" w:rsidP="00F06F66">
            <w:pPr>
              <w:ind w:left="0" w:firstLine="0"/>
              <w:rPr>
                <w:color w:val="FF0000"/>
              </w:rPr>
            </w:pPr>
            <w:r w:rsidRPr="00AF17CD">
              <w:rPr>
                <w:color w:val="FF0000"/>
              </w:rPr>
              <w:t xml:space="preserve">Lithium: More common side effects include polyuria, polydipsia, weight gain, cognitive problems, tremor, sedation or lethargy, impaired coordination, gastrointestinal distress, hair loss, benign leukocytosis, acne, and edema. </w:t>
            </w:r>
          </w:p>
          <w:p w14:paraId="1CBC515D" w14:textId="77777777" w:rsidR="00463B09" w:rsidRPr="00AF17CD" w:rsidRDefault="00463B09" w:rsidP="00F06F66">
            <w:pPr>
              <w:ind w:left="0" w:firstLine="0"/>
              <w:rPr>
                <w:color w:val="FF0000"/>
              </w:rPr>
            </w:pPr>
          </w:p>
          <w:p w14:paraId="04D049F9" w14:textId="4FA45122" w:rsidR="00463B09" w:rsidRPr="00AF17CD" w:rsidRDefault="00463B09" w:rsidP="00F06F66">
            <w:pPr>
              <w:ind w:left="0" w:firstLine="0"/>
              <w:rPr>
                <w:color w:val="FF0000"/>
              </w:rPr>
            </w:pPr>
            <w:r w:rsidRPr="00AF17CD">
              <w:rPr>
                <w:color w:val="FF0000"/>
              </w:rPr>
              <w:t>Valproate: More common side effects include sedation, gastrointestinal distress, benign hepatic transaminase elevations, osteoporosis,</w:t>
            </w:r>
            <w:r w:rsidR="00AF17CD">
              <w:rPr>
                <w:color w:val="FF0000"/>
              </w:rPr>
              <w:t xml:space="preserve"> and</w:t>
            </w:r>
            <w:r w:rsidRPr="00AF17CD">
              <w:rPr>
                <w:color w:val="FF0000"/>
              </w:rPr>
              <w:t xml:space="preserve"> tremor.</w:t>
            </w:r>
          </w:p>
          <w:p w14:paraId="552ABFBA" w14:textId="77777777" w:rsidR="00463B09" w:rsidRPr="00AF17CD" w:rsidRDefault="00463B09" w:rsidP="00F06F66">
            <w:pPr>
              <w:ind w:left="0" w:firstLine="0"/>
              <w:rPr>
                <w:color w:val="FF0000"/>
              </w:rPr>
            </w:pPr>
          </w:p>
          <w:p w14:paraId="746DA1D4" w14:textId="1C56F464" w:rsidR="00C837B5" w:rsidRPr="007B289E" w:rsidRDefault="00463B09" w:rsidP="00F06F66">
            <w:pPr>
              <w:ind w:left="0" w:firstLine="0"/>
              <w:rPr>
                <w:color w:val="FF0000"/>
              </w:rPr>
            </w:pPr>
            <w:r w:rsidRPr="00AF17CD">
              <w:rPr>
                <w:color w:val="FF0000"/>
              </w:rPr>
              <w:t>Olanzapine: More common side effects include somnolence, constipation, dry mouth, increased appetite, weight gain, and during titration- orthostatic hypotension.</w:t>
            </w:r>
            <w:r>
              <w:rPr>
                <w:color w:val="FF0000"/>
              </w:rPr>
              <w:t xml:space="preserve"> </w:t>
            </w:r>
          </w:p>
        </w:tc>
      </w:tr>
      <w:tr w:rsidR="00120908" w14:paraId="58D01359" w14:textId="77777777" w:rsidTr="00120908">
        <w:tc>
          <w:tcPr>
            <w:tcW w:w="3505" w:type="dxa"/>
          </w:tcPr>
          <w:p w14:paraId="15231726" w14:textId="77777777" w:rsidR="00C837B5" w:rsidRDefault="00C837B5" w:rsidP="00F06F66">
            <w:pPr>
              <w:ind w:left="0" w:firstLine="0"/>
            </w:pPr>
            <w:r>
              <w:t>Identify any new studies conducted since the SR. Do the new studies change the conclusions from the SR?</w:t>
            </w:r>
          </w:p>
        </w:tc>
        <w:tc>
          <w:tcPr>
            <w:tcW w:w="5850" w:type="dxa"/>
          </w:tcPr>
          <w:p w14:paraId="7E3BD7BB" w14:textId="291B0975" w:rsidR="00C837B5" w:rsidRDefault="008C484B" w:rsidP="00FD0181">
            <w:r>
              <w:rPr>
                <w:color w:val="FF0000"/>
              </w:rPr>
              <w:t>N</w:t>
            </w:r>
            <w:r w:rsidR="00BA52A3">
              <w:rPr>
                <w:color w:val="FF0000"/>
              </w:rPr>
              <w:t>ot Applicable</w:t>
            </w:r>
          </w:p>
        </w:tc>
      </w:tr>
    </w:tbl>
    <w:p w14:paraId="04F8493C" w14:textId="77777777" w:rsidR="00C837B5" w:rsidRPr="003B1CC5" w:rsidRDefault="00C837B5" w:rsidP="002E2177">
      <w:pPr>
        <w:ind w:left="0" w:firstLine="0"/>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7" w:name="Section1a8"/>
      <w:bookmarkEnd w:id="7"/>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77777777" w:rsidR="00837121" w:rsidRPr="003B1CC5" w:rsidRDefault="00837121" w:rsidP="002E2177">
      <w:pPr>
        <w:ind w:left="0" w:firstLine="0"/>
      </w:pPr>
    </w:p>
    <w:p w14:paraId="55B8DA99" w14:textId="77777777" w:rsidR="000E5C93" w:rsidRPr="000E5C93" w:rsidRDefault="000E5C93" w:rsidP="002E2177">
      <w:pPr>
        <w:ind w:left="0" w:firstLine="0"/>
        <w:rPr>
          <w:color w:val="0070C0"/>
        </w:rPr>
      </w:pPr>
      <w:r>
        <w:rPr>
          <w:b/>
          <w:color w:val="0000FF"/>
        </w:rPr>
        <w:t>1a.4</w:t>
      </w:r>
      <w:r w:rsidR="00837121" w:rsidRPr="003B1CC5">
        <w:rPr>
          <w:b/>
          <w:color w:val="0000FF"/>
        </w:rPr>
        <w:t>.1</w:t>
      </w:r>
      <w:r w:rsidR="00837121" w:rsidRPr="003B1CC5">
        <w:rPr>
          <w:color w:val="0070C0"/>
        </w:rPr>
        <w:t xml:space="preserve"> </w:t>
      </w:r>
      <w:r w:rsidRPr="000E5C93">
        <w:rPr>
          <w:b/>
        </w:rPr>
        <w:t>B</w:t>
      </w:r>
      <w:r>
        <w:rPr>
          <w:b/>
        </w:rPr>
        <w:t xml:space="preserve">riefly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2E4B039E" w14:textId="77777777" w:rsidR="002D5EA4" w:rsidRDefault="002D5EA4" w:rsidP="002E2177">
      <w:pPr>
        <w:ind w:left="0" w:firstLine="0"/>
        <w:rPr>
          <w:b/>
        </w:rPr>
      </w:pPr>
    </w:p>
    <w:p w14:paraId="55B8DA9B" w14:textId="77777777" w:rsidR="00837121" w:rsidRDefault="000E5C93" w:rsidP="002E2177">
      <w:pPr>
        <w:ind w:left="0" w:firstLine="0"/>
        <w:rPr>
          <w:b/>
        </w:rPr>
      </w:pPr>
      <w:r w:rsidRPr="00753575">
        <w:rPr>
          <w:b/>
          <w:color w:val="0000FF"/>
        </w:rPr>
        <w:t xml:space="preserve">1a.4.2 </w:t>
      </w:r>
      <w:r w:rsidR="00837121" w:rsidRPr="003B1CC5">
        <w:rPr>
          <w:b/>
        </w:rPr>
        <w:t>What process was used to identify the evidence?</w:t>
      </w:r>
    </w:p>
    <w:p w14:paraId="58368B6F" w14:textId="77777777" w:rsidR="0068775A" w:rsidRPr="003B1CC5" w:rsidRDefault="0068775A" w:rsidP="002E2177">
      <w:pPr>
        <w:ind w:left="0" w:firstLine="0"/>
      </w:pPr>
    </w:p>
    <w:p w14:paraId="55B8DA9D" w14:textId="23ACE70E" w:rsidR="00837121" w:rsidRDefault="000E5C93" w:rsidP="002E2177">
      <w:pPr>
        <w:ind w:left="0" w:firstLine="0"/>
        <w:rPr>
          <w:b/>
        </w:rPr>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p w14:paraId="3B28C307" w14:textId="77777777" w:rsidR="009E5A21" w:rsidRPr="001B772D" w:rsidRDefault="009E5A21" w:rsidP="002E2177">
      <w:pPr>
        <w:ind w:left="0" w:firstLine="0"/>
      </w:pPr>
    </w:p>
    <w:sectPr w:rsidR="009E5A21" w:rsidRPr="001B772D">
      <w:headerReference w:type="default"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360E37" w14:textId="77777777" w:rsidR="00D23A38" w:rsidRDefault="00D23A38" w:rsidP="007E37A5">
      <w:r>
        <w:separator/>
      </w:r>
    </w:p>
  </w:endnote>
  <w:endnote w:type="continuationSeparator" w:id="0">
    <w:p w14:paraId="2454C200" w14:textId="77777777" w:rsidR="00D23A38" w:rsidRDefault="00D23A38"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3" w14:textId="07676317" w:rsidR="00440687" w:rsidRDefault="00440687">
    <w:pPr>
      <w:pStyle w:val="Footer"/>
    </w:pPr>
    <w:r w:rsidRPr="00395263">
      <w:t xml:space="preserve">Version </w:t>
    </w:r>
    <w:proofErr w:type="gramStart"/>
    <w:r w:rsidR="00DC7F67">
      <w:t>7.1</w:t>
    </w:r>
    <w:r w:rsidR="00F63E8D">
      <w:t xml:space="preserve"> </w:t>
    </w:r>
    <w:r w:rsidRPr="00395263">
      <w:t xml:space="preserve"> </w:t>
    </w:r>
    <w:r w:rsidR="00CC0F87">
      <w:t>9</w:t>
    </w:r>
    <w:proofErr w:type="gramEnd"/>
    <w:r w:rsidR="00CC0F87">
      <w:t>/6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8707DC">
      <w:rPr>
        <w:noProof/>
      </w:rPr>
      <w:t>7</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3E0F63" w14:textId="77777777" w:rsidR="00D23A38" w:rsidRDefault="00D23A38" w:rsidP="007E37A5">
      <w:r>
        <w:separator/>
      </w:r>
    </w:p>
  </w:footnote>
  <w:footnote w:type="continuationSeparator" w:id="0">
    <w:p w14:paraId="5CB6D066" w14:textId="77777777" w:rsidR="00D23A38" w:rsidRDefault="00D23A38" w:rsidP="007E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1D18C8"/>
    <w:multiLevelType w:val="hybridMultilevel"/>
    <w:tmpl w:val="0A9A1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
  </w:num>
  <w:num w:numId="4">
    <w:abstractNumId w:val="2"/>
  </w:num>
  <w:num w:numId="5">
    <w:abstractNumId w:val="4"/>
  </w:num>
  <w:num w:numId="6">
    <w:abstractNumId w:val="3"/>
  </w:num>
  <w:num w:numId="7">
    <w:abstractNumId w:val="9"/>
  </w:num>
  <w:num w:numId="8">
    <w:abstractNumId w:val="8"/>
  </w:num>
  <w:num w:numId="9">
    <w:abstractNumId w:val="10"/>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15986"/>
    <w:rsid w:val="000160E6"/>
    <w:rsid w:val="00024526"/>
    <w:rsid w:val="00030F43"/>
    <w:rsid w:val="00040DCF"/>
    <w:rsid w:val="00052C0B"/>
    <w:rsid w:val="00056F62"/>
    <w:rsid w:val="00061CF3"/>
    <w:rsid w:val="00063601"/>
    <w:rsid w:val="00073079"/>
    <w:rsid w:val="0007593F"/>
    <w:rsid w:val="00095EC9"/>
    <w:rsid w:val="00096A37"/>
    <w:rsid w:val="00096C86"/>
    <w:rsid w:val="000A0810"/>
    <w:rsid w:val="000A7917"/>
    <w:rsid w:val="000B627F"/>
    <w:rsid w:val="000D649E"/>
    <w:rsid w:val="000D6D06"/>
    <w:rsid w:val="000E5C93"/>
    <w:rsid w:val="000F4A7F"/>
    <w:rsid w:val="00114848"/>
    <w:rsid w:val="00120908"/>
    <w:rsid w:val="00120934"/>
    <w:rsid w:val="00122EF1"/>
    <w:rsid w:val="0012435B"/>
    <w:rsid w:val="00132070"/>
    <w:rsid w:val="00141875"/>
    <w:rsid w:val="0014307F"/>
    <w:rsid w:val="0014347E"/>
    <w:rsid w:val="00154438"/>
    <w:rsid w:val="001551F6"/>
    <w:rsid w:val="0015535B"/>
    <w:rsid w:val="00162036"/>
    <w:rsid w:val="001632DD"/>
    <w:rsid w:val="00174BB7"/>
    <w:rsid w:val="00176E60"/>
    <w:rsid w:val="0019211A"/>
    <w:rsid w:val="00194913"/>
    <w:rsid w:val="00194D9A"/>
    <w:rsid w:val="001A196B"/>
    <w:rsid w:val="001A6D05"/>
    <w:rsid w:val="001B38BF"/>
    <w:rsid w:val="001B772D"/>
    <w:rsid w:val="001D1ABB"/>
    <w:rsid w:val="001D5B5D"/>
    <w:rsid w:val="001E241E"/>
    <w:rsid w:val="001E6153"/>
    <w:rsid w:val="001F43AB"/>
    <w:rsid w:val="00201FF9"/>
    <w:rsid w:val="00205857"/>
    <w:rsid w:val="002207B8"/>
    <w:rsid w:val="00235ADC"/>
    <w:rsid w:val="00236F87"/>
    <w:rsid w:val="002453E8"/>
    <w:rsid w:val="00265702"/>
    <w:rsid w:val="002662B2"/>
    <w:rsid w:val="002717C7"/>
    <w:rsid w:val="002875E9"/>
    <w:rsid w:val="00287EB3"/>
    <w:rsid w:val="002A47BA"/>
    <w:rsid w:val="002A6777"/>
    <w:rsid w:val="002B06BD"/>
    <w:rsid w:val="002C0E48"/>
    <w:rsid w:val="002C6F04"/>
    <w:rsid w:val="002D5EA4"/>
    <w:rsid w:val="002E2177"/>
    <w:rsid w:val="002E2E41"/>
    <w:rsid w:val="002E78CD"/>
    <w:rsid w:val="002F20A7"/>
    <w:rsid w:val="002F4289"/>
    <w:rsid w:val="003008F4"/>
    <w:rsid w:val="00302B1D"/>
    <w:rsid w:val="00307FA5"/>
    <w:rsid w:val="00324D64"/>
    <w:rsid w:val="00342427"/>
    <w:rsid w:val="00352B52"/>
    <w:rsid w:val="0035760D"/>
    <w:rsid w:val="00363ECC"/>
    <w:rsid w:val="003646E9"/>
    <w:rsid w:val="00387C0D"/>
    <w:rsid w:val="0039020B"/>
    <w:rsid w:val="00395263"/>
    <w:rsid w:val="003956E0"/>
    <w:rsid w:val="0039609A"/>
    <w:rsid w:val="00397500"/>
    <w:rsid w:val="003A6235"/>
    <w:rsid w:val="003B1CC5"/>
    <w:rsid w:val="003B65CE"/>
    <w:rsid w:val="003D6721"/>
    <w:rsid w:val="003E039E"/>
    <w:rsid w:val="003E48F2"/>
    <w:rsid w:val="0040230E"/>
    <w:rsid w:val="0041159C"/>
    <w:rsid w:val="00411EA7"/>
    <w:rsid w:val="0041662F"/>
    <w:rsid w:val="00422917"/>
    <w:rsid w:val="00440687"/>
    <w:rsid w:val="0044131D"/>
    <w:rsid w:val="00441ADA"/>
    <w:rsid w:val="00457E46"/>
    <w:rsid w:val="00463B09"/>
    <w:rsid w:val="00470ED1"/>
    <w:rsid w:val="004922E4"/>
    <w:rsid w:val="0049440A"/>
    <w:rsid w:val="00496AF8"/>
    <w:rsid w:val="004A3A30"/>
    <w:rsid w:val="004A575D"/>
    <w:rsid w:val="004B65C6"/>
    <w:rsid w:val="004D1DC7"/>
    <w:rsid w:val="004E7215"/>
    <w:rsid w:val="004F2C0D"/>
    <w:rsid w:val="004F7D7E"/>
    <w:rsid w:val="00500B0C"/>
    <w:rsid w:val="00537150"/>
    <w:rsid w:val="00540984"/>
    <w:rsid w:val="00542BBB"/>
    <w:rsid w:val="00543851"/>
    <w:rsid w:val="0055559D"/>
    <w:rsid w:val="005569AE"/>
    <w:rsid w:val="005857F8"/>
    <w:rsid w:val="00595E56"/>
    <w:rsid w:val="005B0D18"/>
    <w:rsid w:val="005B12C3"/>
    <w:rsid w:val="005B409D"/>
    <w:rsid w:val="005D0FDB"/>
    <w:rsid w:val="005D2561"/>
    <w:rsid w:val="005D25E9"/>
    <w:rsid w:val="005D6D59"/>
    <w:rsid w:val="005F5CC8"/>
    <w:rsid w:val="00605A9A"/>
    <w:rsid w:val="00611DAB"/>
    <w:rsid w:val="0061327A"/>
    <w:rsid w:val="00617390"/>
    <w:rsid w:val="00623420"/>
    <w:rsid w:val="00634768"/>
    <w:rsid w:val="0063596F"/>
    <w:rsid w:val="006709EB"/>
    <w:rsid w:val="00672824"/>
    <w:rsid w:val="00673755"/>
    <w:rsid w:val="00676BD4"/>
    <w:rsid w:val="0068184A"/>
    <w:rsid w:val="0068775A"/>
    <w:rsid w:val="006A0249"/>
    <w:rsid w:val="006B410E"/>
    <w:rsid w:val="006B5C51"/>
    <w:rsid w:val="006C7F30"/>
    <w:rsid w:val="006D43FF"/>
    <w:rsid w:val="006D47C3"/>
    <w:rsid w:val="006E6FDD"/>
    <w:rsid w:val="006F4B7F"/>
    <w:rsid w:val="006F760B"/>
    <w:rsid w:val="00701CC3"/>
    <w:rsid w:val="00710D15"/>
    <w:rsid w:val="00717B85"/>
    <w:rsid w:val="00724801"/>
    <w:rsid w:val="00734949"/>
    <w:rsid w:val="00736AEC"/>
    <w:rsid w:val="00736E0F"/>
    <w:rsid w:val="007434FA"/>
    <w:rsid w:val="00753575"/>
    <w:rsid w:val="007573F0"/>
    <w:rsid w:val="00765156"/>
    <w:rsid w:val="00767669"/>
    <w:rsid w:val="00773485"/>
    <w:rsid w:val="00776E8F"/>
    <w:rsid w:val="00776F6D"/>
    <w:rsid w:val="00776FCD"/>
    <w:rsid w:val="007B289E"/>
    <w:rsid w:val="007C0297"/>
    <w:rsid w:val="007C1887"/>
    <w:rsid w:val="007D4775"/>
    <w:rsid w:val="007D5DC6"/>
    <w:rsid w:val="007D6B56"/>
    <w:rsid w:val="007E37A5"/>
    <w:rsid w:val="007E70D8"/>
    <w:rsid w:val="007F49D8"/>
    <w:rsid w:val="007F79E5"/>
    <w:rsid w:val="00805940"/>
    <w:rsid w:val="008065FE"/>
    <w:rsid w:val="0081599C"/>
    <w:rsid w:val="0082642A"/>
    <w:rsid w:val="00836A83"/>
    <w:rsid w:val="00837121"/>
    <w:rsid w:val="008471E5"/>
    <w:rsid w:val="00850C35"/>
    <w:rsid w:val="00851466"/>
    <w:rsid w:val="00863E43"/>
    <w:rsid w:val="008647C3"/>
    <w:rsid w:val="008659ED"/>
    <w:rsid w:val="008707DC"/>
    <w:rsid w:val="008708DC"/>
    <w:rsid w:val="00870987"/>
    <w:rsid w:val="0087564A"/>
    <w:rsid w:val="00881160"/>
    <w:rsid w:val="0088371C"/>
    <w:rsid w:val="008A45F3"/>
    <w:rsid w:val="008B157D"/>
    <w:rsid w:val="008B51D9"/>
    <w:rsid w:val="008B652E"/>
    <w:rsid w:val="008C484B"/>
    <w:rsid w:val="008D05B7"/>
    <w:rsid w:val="008F1DC6"/>
    <w:rsid w:val="008F6F51"/>
    <w:rsid w:val="00905C5B"/>
    <w:rsid w:val="00923295"/>
    <w:rsid w:val="00925F11"/>
    <w:rsid w:val="00935265"/>
    <w:rsid w:val="0094689F"/>
    <w:rsid w:val="009477D6"/>
    <w:rsid w:val="00953ED3"/>
    <w:rsid w:val="00965FF6"/>
    <w:rsid w:val="009846D6"/>
    <w:rsid w:val="0098657F"/>
    <w:rsid w:val="009907E7"/>
    <w:rsid w:val="009A1000"/>
    <w:rsid w:val="009A3236"/>
    <w:rsid w:val="009B5A93"/>
    <w:rsid w:val="009B5BEA"/>
    <w:rsid w:val="009B7960"/>
    <w:rsid w:val="009C291F"/>
    <w:rsid w:val="009E37BD"/>
    <w:rsid w:val="009E5A21"/>
    <w:rsid w:val="009E60A1"/>
    <w:rsid w:val="009E6B86"/>
    <w:rsid w:val="00A03301"/>
    <w:rsid w:val="00A045A7"/>
    <w:rsid w:val="00A12762"/>
    <w:rsid w:val="00A13867"/>
    <w:rsid w:val="00A17B7B"/>
    <w:rsid w:val="00A21970"/>
    <w:rsid w:val="00A26FED"/>
    <w:rsid w:val="00A421D4"/>
    <w:rsid w:val="00A44FF0"/>
    <w:rsid w:val="00A50E55"/>
    <w:rsid w:val="00A67EB1"/>
    <w:rsid w:val="00A831F9"/>
    <w:rsid w:val="00A9011D"/>
    <w:rsid w:val="00A904F5"/>
    <w:rsid w:val="00A91A47"/>
    <w:rsid w:val="00A95D2B"/>
    <w:rsid w:val="00AA0830"/>
    <w:rsid w:val="00AA5587"/>
    <w:rsid w:val="00AB0929"/>
    <w:rsid w:val="00AB4ECE"/>
    <w:rsid w:val="00AC1E53"/>
    <w:rsid w:val="00AD1AE4"/>
    <w:rsid w:val="00AD1E55"/>
    <w:rsid w:val="00AD5313"/>
    <w:rsid w:val="00AD79C8"/>
    <w:rsid w:val="00AE6CE0"/>
    <w:rsid w:val="00AF17CD"/>
    <w:rsid w:val="00AF4B69"/>
    <w:rsid w:val="00B02D68"/>
    <w:rsid w:val="00B058A6"/>
    <w:rsid w:val="00B117D0"/>
    <w:rsid w:val="00B13998"/>
    <w:rsid w:val="00B22AAA"/>
    <w:rsid w:val="00B35C5F"/>
    <w:rsid w:val="00B439DD"/>
    <w:rsid w:val="00B52E0F"/>
    <w:rsid w:val="00B74629"/>
    <w:rsid w:val="00B91F58"/>
    <w:rsid w:val="00BA4625"/>
    <w:rsid w:val="00BA52A3"/>
    <w:rsid w:val="00BA579E"/>
    <w:rsid w:val="00BE2295"/>
    <w:rsid w:val="00BE6373"/>
    <w:rsid w:val="00BF2A9F"/>
    <w:rsid w:val="00BF533A"/>
    <w:rsid w:val="00C41794"/>
    <w:rsid w:val="00C46677"/>
    <w:rsid w:val="00C5180E"/>
    <w:rsid w:val="00C53D68"/>
    <w:rsid w:val="00C54E40"/>
    <w:rsid w:val="00C55F56"/>
    <w:rsid w:val="00C57BA4"/>
    <w:rsid w:val="00C613EB"/>
    <w:rsid w:val="00C67389"/>
    <w:rsid w:val="00C70596"/>
    <w:rsid w:val="00C71C1A"/>
    <w:rsid w:val="00C837B5"/>
    <w:rsid w:val="00C84623"/>
    <w:rsid w:val="00CB06C9"/>
    <w:rsid w:val="00CB1E41"/>
    <w:rsid w:val="00CB271C"/>
    <w:rsid w:val="00CC0F87"/>
    <w:rsid w:val="00CE4F96"/>
    <w:rsid w:val="00CF0AB1"/>
    <w:rsid w:val="00CF4B9B"/>
    <w:rsid w:val="00CF55E6"/>
    <w:rsid w:val="00CF772F"/>
    <w:rsid w:val="00D048DB"/>
    <w:rsid w:val="00D14F0B"/>
    <w:rsid w:val="00D178CA"/>
    <w:rsid w:val="00D213E5"/>
    <w:rsid w:val="00D23A38"/>
    <w:rsid w:val="00D3311C"/>
    <w:rsid w:val="00D53405"/>
    <w:rsid w:val="00D5457B"/>
    <w:rsid w:val="00D72995"/>
    <w:rsid w:val="00D73685"/>
    <w:rsid w:val="00DA0C3C"/>
    <w:rsid w:val="00DA254C"/>
    <w:rsid w:val="00DA7FA2"/>
    <w:rsid w:val="00DC2D8D"/>
    <w:rsid w:val="00DC7F67"/>
    <w:rsid w:val="00DE1F5D"/>
    <w:rsid w:val="00DE50D8"/>
    <w:rsid w:val="00DF278A"/>
    <w:rsid w:val="00DF7CEF"/>
    <w:rsid w:val="00E1664B"/>
    <w:rsid w:val="00E30D12"/>
    <w:rsid w:val="00E3394E"/>
    <w:rsid w:val="00E35241"/>
    <w:rsid w:val="00E41417"/>
    <w:rsid w:val="00E42FAA"/>
    <w:rsid w:val="00E536D3"/>
    <w:rsid w:val="00E57B47"/>
    <w:rsid w:val="00E57BE2"/>
    <w:rsid w:val="00E57E95"/>
    <w:rsid w:val="00E62A95"/>
    <w:rsid w:val="00E746A2"/>
    <w:rsid w:val="00E90D06"/>
    <w:rsid w:val="00E9297B"/>
    <w:rsid w:val="00E97E59"/>
    <w:rsid w:val="00EA79C9"/>
    <w:rsid w:val="00EB66AC"/>
    <w:rsid w:val="00EC1225"/>
    <w:rsid w:val="00EC2247"/>
    <w:rsid w:val="00EC4C2E"/>
    <w:rsid w:val="00ED2C57"/>
    <w:rsid w:val="00EE1F87"/>
    <w:rsid w:val="00EE3931"/>
    <w:rsid w:val="00EE5AF6"/>
    <w:rsid w:val="00EF2CEF"/>
    <w:rsid w:val="00F1092D"/>
    <w:rsid w:val="00F4038F"/>
    <w:rsid w:val="00F42C20"/>
    <w:rsid w:val="00F431D8"/>
    <w:rsid w:val="00F63E8D"/>
    <w:rsid w:val="00F67706"/>
    <w:rsid w:val="00F77213"/>
    <w:rsid w:val="00F81FE3"/>
    <w:rsid w:val="00F90F82"/>
    <w:rsid w:val="00F92D75"/>
    <w:rsid w:val="00F97327"/>
    <w:rsid w:val="00FA296F"/>
    <w:rsid w:val="00FA7323"/>
    <w:rsid w:val="00FB1299"/>
    <w:rsid w:val="00FB5BC4"/>
    <w:rsid w:val="00FC32D3"/>
    <w:rsid w:val="00FD0181"/>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2235364">
      <w:bodyDiv w:val="1"/>
      <w:marLeft w:val="0"/>
      <w:marRight w:val="0"/>
      <w:marTop w:val="0"/>
      <w:marBottom w:val="0"/>
      <w:divBdr>
        <w:top w:val="none" w:sz="0" w:space="0" w:color="auto"/>
        <w:left w:val="none" w:sz="0" w:space="0" w:color="auto"/>
        <w:bottom w:val="none" w:sz="0" w:space="0" w:color="auto"/>
        <w:right w:val="none" w:sz="0" w:space="0" w:color="auto"/>
      </w:divBdr>
    </w:div>
    <w:div w:id="170173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diagramColors" Target="diagrams/colors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gradeworkinggroup.org" TargetMode="External"/><Relationship Id="rId17" Type="http://schemas.openxmlformats.org/officeDocument/2006/relationships/diagramQuickStyle" Target="diagrams/quickStyle1.xml"/><Relationship Id="rId2" Type="http://schemas.openxmlformats.org/officeDocument/2006/relationships/customXml" Target="../customXml/item2.xml"/><Relationship Id="rId16" Type="http://schemas.openxmlformats.org/officeDocument/2006/relationships/diagramLayout" Target="diagrams/layout1.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diagramData" Target="diagrams/data1.xml"/><Relationship Id="rId23" Type="http://schemas.openxmlformats.org/officeDocument/2006/relationships/glossaryDocument" Target="glossary/document.xml"/><Relationship Id="rId10" Type="http://schemas.openxmlformats.org/officeDocument/2006/relationships/endnotes" Target="endnotes.xml"/><Relationship Id="rId19" Type="http://schemas.microsoft.com/office/2007/relationships/diagramDrawing" Target="diagrams/drawing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qaalliance.org/files/PrinciplesofEfficiencyMeasurementApril2006.doc" TargetMode="External"/><Relationship Id="rId22"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EB478A3-EFEA-4046-97A4-4D5D474D4ED7}" type="doc">
      <dgm:prSet loTypeId="urn:microsoft.com/office/officeart/2005/8/layout/process1" loCatId="process" qsTypeId="urn:microsoft.com/office/officeart/2005/8/quickstyle/simple1" qsCatId="simple" csTypeId="urn:microsoft.com/office/officeart/2005/8/colors/accent1_2" csCatId="accent1" phldr="1"/>
      <dgm:spPr/>
    </dgm:pt>
    <dgm:pt modelId="{1E311F22-35BC-4E92-828B-C9570A1D2446}">
      <dgm:prSet phldrT="[Text]" custT="1"/>
      <dgm:spPr>
        <a:solidFill>
          <a:schemeClr val="bg1"/>
        </a:solidFill>
        <a:ln>
          <a:solidFill>
            <a:schemeClr val="accent2"/>
          </a:solidFill>
        </a:ln>
      </dgm:spPr>
      <dgm:t>
        <a:bodyPr/>
        <a:lstStyle/>
        <a:p>
          <a:r>
            <a:rPr lang="en-US" sz="1200">
              <a:solidFill>
                <a:srgbClr val="FF0000"/>
              </a:solidFill>
            </a:rPr>
            <a:t>Providers identify patients with bipolar I disorder who are not adherent to mood stabilizer medication treatment</a:t>
          </a:r>
        </a:p>
      </dgm:t>
    </dgm:pt>
    <dgm:pt modelId="{6F214530-99A0-4305-BEFB-E0B14FB57C06}" type="parTrans" cxnId="{C577F1EA-4231-4E55-BA99-3E5505FEC6A9}">
      <dgm:prSet/>
      <dgm:spPr/>
      <dgm:t>
        <a:bodyPr/>
        <a:lstStyle/>
        <a:p>
          <a:endParaRPr lang="en-US">
            <a:solidFill>
              <a:srgbClr val="FF0000"/>
            </a:solidFill>
          </a:endParaRPr>
        </a:p>
      </dgm:t>
    </dgm:pt>
    <dgm:pt modelId="{328FE4B5-20B2-4A45-8CCE-A931E4BB0B97}" type="sibTrans" cxnId="{C577F1EA-4231-4E55-BA99-3E5505FEC6A9}">
      <dgm:prSet/>
      <dgm:spPr/>
      <dgm:t>
        <a:bodyPr/>
        <a:lstStyle/>
        <a:p>
          <a:endParaRPr lang="en-US">
            <a:solidFill>
              <a:srgbClr val="FF0000"/>
            </a:solidFill>
          </a:endParaRPr>
        </a:p>
      </dgm:t>
    </dgm:pt>
    <dgm:pt modelId="{D8BA4F06-E407-4CF0-9729-CF2393046E08}">
      <dgm:prSet phldrT="[Text]" custT="1">
        <dgm:style>
          <a:lnRef idx="2">
            <a:schemeClr val="dk1"/>
          </a:lnRef>
          <a:fillRef idx="1">
            <a:schemeClr val="lt1"/>
          </a:fillRef>
          <a:effectRef idx="0">
            <a:schemeClr val="dk1"/>
          </a:effectRef>
          <a:fontRef idx="minor">
            <a:schemeClr val="dk1"/>
          </a:fontRef>
        </dgm:style>
      </dgm:prSet>
      <dgm:spPr/>
      <dgm:t>
        <a:bodyPr/>
        <a:lstStyle/>
        <a:p>
          <a:r>
            <a:rPr lang="en-US" sz="1200">
              <a:solidFill>
                <a:srgbClr val="FF0000"/>
              </a:solidFill>
            </a:rPr>
            <a:t>Providers develop interventions to improve adherence for nonadherent patients and high-risk populations </a:t>
          </a:r>
        </a:p>
      </dgm:t>
    </dgm:pt>
    <dgm:pt modelId="{2342A805-276E-4D7A-B601-24428BA29DD7}" type="parTrans" cxnId="{BDD9E0F3-05ED-4566-A3B1-79931641422A}">
      <dgm:prSet/>
      <dgm:spPr/>
      <dgm:t>
        <a:bodyPr/>
        <a:lstStyle/>
        <a:p>
          <a:endParaRPr lang="en-US">
            <a:solidFill>
              <a:srgbClr val="FF0000"/>
            </a:solidFill>
          </a:endParaRPr>
        </a:p>
      </dgm:t>
    </dgm:pt>
    <dgm:pt modelId="{36691BE9-A04A-4748-849F-0C80091CB5C3}" type="sibTrans" cxnId="{BDD9E0F3-05ED-4566-A3B1-79931641422A}">
      <dgm:prSet/>
      <dgm:spPr/>
      <dgm:t>
        <a:bodyPr/>
        <a:lstStyle/>
        <a:p>
          <a:endParaRPr lang="en-US">
            <a:solidFill>
              <a:srgbClr val="FF0000"/>
            </a:solidFill>
          </a:endParaRPr>
        </a:p>
      </dgm:t>
    </dgm:pt>
    <dgm:pt modelId="{2E12825D-6AAF-484E-9F5E-8E1705D5FBDF}">
      <dgm:prSet phldrT="[Text]" custT="1">
        <dgm:style>
          <a:lnRef idx="2">
            <a:schemeClr val="dk1"/>
          </a:lnRef>
          <a:fillRef idx="1">
            <a:schemeClr val="lt1"/>
          </a:fillRef>
          <a:effectRef idx="0">
            <a:schemeClr val="dk1"/>
          </a:effectRef>
          <a:fontRef idx="minor">
            <a:schemeClr val="dk1"/>
          </a:fontRef>
        </dgm:style>
      </dgm:prSet>
      <dgm:spPr/>
      <dgm:t>
        <a:bodyPr/>
        <a:lstStyle/>
        <a:p>
          <a:r>
            <a:rPr lang="en-US" sz="1200">
              <a:solidFill>
                <a:srgbClr val="FF0000"/>
              </a:solidFill>
            </a:rPr>
            <a:t>Improved symptom control for individuals and a reduction in hospitalization</a:t>
          </a:r>
        </a:p>
      </dgm:t>
    </dgm:pt>
    <dgm:pt modelId="{EA725E08-EBC8-4B93-9ED5-B76CDC51BE59}" type="parTrans" cxnId="{54C35A99-1C58-43A2-A747-725503E4436F}">
      <dgm:prSet/>
      <dgm:spPr/>
      <dgm:t>
        <a:bodyPr/>
        <a:lstStyle/>
        <a:p>
          <a:endParaRPr lang="en-US">
            <a:solidFill>
              <a:srgbClr val="FF0000"/>
            </a:solidFill>
          </a:endParaRPr>
        </a:p>
      </dgm:t>
    </dgm:pt>
    <dgm:pt modelId="{545D2D75-1A7B-4AFB-A562-5FCB28B8CCB3}" type="sibTrans" cxnId="{54C35A99-1C58-43A2-A747-725503E4436F}">
      <dgm:prSet/>
      <dgm:spPr/>
      <dgm:t>
        <a:bodyPr/>
        <a:lstStyle/>
        <a:p>
          <a:endParaRPr lang="en-US">
            <a:solidFill>
              <a:srgbClr val="FF0000"/>
            </a:solidFill>
          </a:endParaRPr>
        </a:p>
      </dgm:t>
    </dgm:pt>
    <dgm:pt modelId="{8095190C-43A8-4C87-BBDB-3727F2B53676}">
      <dgm:prSet custT="1">
        <dgm:style>
          <a:lnRef idx="2">
            <a:schemeClr val="dk1"/>
          </a:lnRef>
          <a:fillRef idx="1">
            <a:schemeClr val="lt1"/>
          </a:fillRef>
          <a:effectRef idx="0">
            <a:schemeClr val="dk1"/>
          </a:effectRef>
          <a:fontRef idx="minor">
            <a:schemeClr val="dk1"/>
          </a:fontRef>
        </dgm:style>
      </dgm:prSet>
      <dgm:spPr>
        <a:ln>
          <a:solidFill>
            <a:schemeClr val="tx1"/>
          </a:solidFill>
        </a:ln>
      </dgm:spPr>
      <dgm:t>
        <a:bodyPr/>
        <a:lstStyle/>
        <a:p>
          <a:r>
            <a:rPr lang="en-US" sz="1200">
              <a:solidFill>
                <a:srgbClr val="FF0000"/>
              </a:solidFill>
            </a:rPr>
            <a:t>Improved medication adherence for nonadherent patients and high-risk populations</a:t>
          </a:r>
        </a:p>
      </dgm:t>
    </dgm:pt>
    <dgm:pt modelId="{229DD202-9AAD-4C3A-A2E7-390EEF2D9657}" type="parTrans" cxnId="{EEF41B54-3DC3-45D2-821F-1300C7A50514}">
      <dgm:prSet/>
      <dgm:spPr/>
      <dgm:t>
        <a:bodyPr/>
        <a:lstStyle/>
        <a:p>
          <a:endParaRPr lang="en-US">
            <a:solidFill>
              <a:srgbClr val="FF0000"/>
            </a:solidFill>
          </a:endParaRPr>
        </a:p>
      </dgm:t>
    </dgm:pt>
    <dgm:pt modelId="{03206A41-97AF-468B-B65A-402A7546497C}" type="sibTrans" cxnId="{EEF41B54-3DC3-45D2-821F-1300C7A50514}">
      <dgm:prSet/>
      <dgm:spPr/>
      <dgm:t>
        <a:bodyPr/>
        <a:lstStyle/>
        <a:p>
          <a:endParaRPr lang="en-US">
            <a:solidFill>
              <a:srgbClr val="FF0000"/>
            </a:solidFill>
          </a:endParaRPr>
        </a:p>
      </dgm:t>
    </dgm:pt>
    <dgm:pt modelId="{8F42030F-2941-4E71-9767-6A1B99E5F04C}" type="pres">
      <dgm:prSet presAssocID="{CEB478A3-EFEA-4046-97A4-4D5D474D4ED7}" presName="Name0" presStyleCnt="0">
        <dgm:presLayoutVars>
          <dgm:dir/>
          <dgm:resizeHandles val="exact"/>
        </dgm:presLayoutVars>
      </dgm:prSet>
      <dgm:spPr/>
    </dgm:pt>
    <dgm:pt modelId="{A149BC69-A3E3-49D8-B860-8E06ACCF0F12}" type="pres">
      <dgm:prSet presAssocID="{1E311F22-35BC-4E92-828B-C9570A1D2446}" presName="node" presStyleLbl="node1" presStyleIdx="0" presStyleCnt="4">
        <dgm:presLayoutVars>
          <dgm:bulletEnabled val="1"/>
        </dgm:presLayoutVars>
      </dgm:prSet>
      <dgm:spPr/>
    </dgm:pt>
    <dgm:pt modelId="{EDEB3F6F-F210-46DB-ABD4-D76E7AAB86AF}" type="pres">
      <dgm:prSet presAssocID="{328FE4B5-20B2-4A45-8CCE-A931E4BB0B97}" presName="sibTrans" presStyleLbl="sibTrans2D1" presStyleIdx="0" presStyleCnt="3"/>
      <dgm:spPr/>
    </dgm:pt>
    <dgm:pt modelId="{05BCE02E-5192-4303-A79A-B1E49C252A04}" type="pres">
      <dgm:prSet presAssocID="{328FE4B5-20B2-4A45-8CCE-A931E4BB0B97}" presName="connectorText" presStyleLbl="sibTrans2D1" presStyleIdx="0" presStyleCnt="3"/>
      <dgm:spPr/>
    </dgm:pt>
    <dgm:pt modelId="{C5196F45-DDFF-4CA2-835F-2D73971A61C8}" type="pres">
      <dgm:prSet presAssocID="{D8BA4F06-E407-4CF0-9729-CF2393046E08}" presName="node" presStyleLbl="node1" presStyleIdx="1" presStyleCnt="4">
        <dgm:presLayoutVars>
          <dgm:bulletEnabled val="1"/>
        </dgm:presLayoutVars>
      </dgm:prSet>
      <dgm:spPr/>
    </dgm:pt>
    <dgm:pt modelId="{123D770C-F10B-466C-9DF1-DFB30AD16B84}" type="pres">
      <dgm:prSet presAssocID="{36691BE9-A04A-4748-849F-0C80091CB5C3}" presName="sibTrans" presStyleLbl="sibTrans2D1" presStyleIdx="1" presStyleCnt="3"/>
      <dgm:spPr/>
    </dgm:pt>
    <dgm:pt modelId="{5939DD1E-376D-46BB-879C-8B2DB67B9195}" type="pres">
      <dgm:prSet presAssocID="{36691BE9-A04A-4748-849F-0C80091CB5C3}" presName="connectorText" presStyleLbl="sibTrans2D1" presStyleIdx="1" presStyleCnt="3"/>
      <dgm:spPr/>
    </dgm:pt>
    <dgm:pt modelId="{362A6A92-9E41-49BB-A79F-4723700C79BF}" type="pres">
      <dgm:prSet presAssocID="{8095190C-43A8-4C87-BBDB-3727F2B53676}" presName="node" presStyleLbl="node1" presStyleIdx="2" presStyleCnt="4">
        <dgm:presLayoutVars>
          <dgm:bulletEnabled val="1"/>
        </dgm:presLayoutVars>
      </dgm:prSet>
      <dgm:spPr/>
    </dgm:pt>
    <dgm:pt modelId="{92713436-8FCB-42F0-8ED1-74822773F92D}" type="pres">
      <dgm:prSet presAssocID="{03206A41-97AF-468B-B65A-402A7546497C}" presName="sibTrans" presStyleLbl="sibTrans2D1" presStyleIdx="2" presStyleCnt="3"/>
      <dgm:spPr/>
    </dgm:pt>
    <dgm:pt modelId="{86317E43-C2BF-4265-8F76-B3FCF9A73F89}" type="pres">
      <dgm:prSet presAssocID="{03206A41-97AF-468B-B65A-402A7546497C}" presName="connectorText" presStyleLbl="sibTrans2D1" presStyleIdx="2" presStyleCnt="3"/>
      <dgm:spPr/>
    </dgm:pt>
    <dgm:pt modelId="{D0DA0A08-C830-4009-A99B-502D78C06E9E}" type="pres">
      <dgm:prSet presAssocID="{2E12825D-6AAF-484E-9F5E-8E1705D5FBDF}" presName="node" presStyleLbl="node1" presStyleIdx="3" presStyleCnt="4">
        <dgm:presLayoutVars>
          <dgm:bulletEnabled val="1"/>
        </dgm:presLayoutVars>
      </dgm:prSet>
      <dgm:spPr/>
    </dgm:pt>
  </dgm:ptLst>
  <dgm:cxnLst>
    <dgm:cxn modelId="{2C703E06-C6B1-4827-8745-33CC1DE61364}" type="presOf" srcId="{CEB478A3-EFEA-4046-97A4-4D5D474D4ED7}" destId="{8F42030F-2941-4E71-9767-6A1B99E5F04C}" srcOrd="0" destOrd="0" presId="urn:microsoft.com/office/officeart/2005/8/layout/process1"/>
    <dgm:cxn modelId="{59794830-9495-463A-A425-0FE6ABD6B805}" type="presOf" srcId="{36691BE9-A04A-4748-849F-0C80091CB5C3}" destId="{123D770C-F10B-466C-9DF1-DFB30AD16B84}" srcOrd="0" destOrd="0" presId="urn:microsoft.com/office/officeart/2005/8/layout/process1"/>
    <dgm:cxn modelId="{D6A97242-A88E-41DD-8BD9-2B2AB1041B9D}" type="presOf" srcId="{03206A41-97AF-468B-B65A-402A7546497C}" destId="{92713436-8FCB-42F0-8ED1-74822773F92D}" srcOrd="0" destOrd="0" presId="urn:microsoft.com/office/officeart/2005/8/layout/process1"/>
    <dgm:cxn modelId="{A35EA042-9049-4E58-876D-B5CA31A9E289}" type="presOf" srcId="{D8BA4F06-E407-4CF0-9729-CF2393046E08}" destId="{C5196F45-DDFF-4CA2-835F-2D73971A61C8}" srcOrd="0" destOrd="0" presId="urn:microsoft.com/office/officeart/2005/8/layout/process1"/>
    <dgm:cxn modelId="{33FAFA42-47A0-417E-A59C-D8DF2A0F653F}" type="presOf" srcId="{1E311F22-35BC-4E92-828B-C9570A1D2446}" destId="{A149BC69-A3E3-49D8-B860-8E06ACCF0F12}" srcOrd="0" destOrd="0" presId="urn:microsoft.com/office/officeart/2005/8/layout/process1"/>
    <dgm:cxn modelId="{C9292563-79D2-429A-8608-F83331B84A4D}" type="presOf" srcId="{36691BE9-A04A-4748-849F-0C80091CB5C3}" destId="{5939DD1E-376D-46BB-879C-8B2DB67B9195}" srcOrd="1" destOrd="0" presId="urn:microsoft.com/office/officeart/2005/8/layout/process1"/>
    <dgm:cxn modelId="{EEF41B54-3DC3-45D2-821F-1300C7A50514}" srcId="{CEB478A3-EFEA-4046-97A4-4D5D474D4ED7}" destId="{8095190C-43A8-4C87-BBDB-3727F2B53676}" srcOrd="2" destOrd="0" parTransId="{229DD202-9AAD-4C3A-A2E7-390EEF2D9657}" sibTransId="{03206A41-97AF-468B-B65A-402A7546497C}"/>
    <dgm:cxn modelId="{5D0C8B78-52BF-4DC3-B59B-0C96762C8902}" type="presOf" srcId="{2E12825D-6AAF-484E-9F5E-8E1705D5FBDF}" destId="{D0DA0A08-C830-4009-A99B-502D78C06E9E}" srcOrd="0" destOrd="0" presId="urn:microsoft.com/office/officeart/2005/8/layout/process1"/>
    <dgm:cxn modelId="{271D7291-0555-4365-B054-CD281E91F41B}" type="presOf" srcId="{328FE4B5-20B2-4A45-8CCE-A931E4BB0B97}" destId="{05BCE02E-5192-4303-A79A-B1E49C252A04}" srcOrd="1" destOrd="0" presId="urn:microsoft.com/office/officeart/2005/8/layout/process1"/>
    <dgm:cxn modelId="{54C35A99-1C58-43A2-A747-725503E4436F}" srcId="{CEB478A3-EFEA-4046-97A4-4D5D474D4ED7}" destId="{2E12825D-6AAF-484E-9F5E-8E1705D5FBDF}" srcOrd="3" destOrd="0" parTransId="{EA725E08-EBC8-4B93-9ED5-B76CDC51BE59}" sibTransId="{545D2D75-1A7B-4AFB-A562-5FCB28B8CCB3}"/>
    <dgm:cxn modelId="{200F88C3-9735-44FE-BBFE-6F96F1FD0B89}" type="presOf" srcId="{03206A41-97AF-468B-B65A-402A7546497C}" destId="{86317E43-C2BF-4265-8F76-B3FCF9A73F89}" srcOrd="1" destOrd="0" presId="urn:microsoft.com/office/officeart/2005/8/layout/process1"/>
    <dgm:cxn modelId="{581BA7C3-58C2-4A25-BDC0-972ECF7260A2}" type="presOf" srcId="{8095190C-43A8-4C87-BBDB-3727F2B53676}" destId="{362A6A92-9E41-49BB-A79F-4723700C79BF}" srcOrd="0" destOrd="0" presId="urn:microsoft.com/office/officeart/2005/8/layout/process1"/>
    <dgm:cxn modelId="{1F5403C7-DA9B-4FD3-9643-0FDC6FD427B9}" type="presOf" srcId="{328FE4B5-20B2-4A45-8CCE-A931E4BB0B97}" destId="{EDEB3F6F-F210-46DB-ABD4-D76E7AAB86AF}" srcOrd="0" destOrd="0" presId="urn:microsoft.com/office/officeart/2005/8/layout/process1"/>
    <dgm:cxn modelId="{C577F1EA-4231-4E55-BA99-3E5505FEC6A9}" srcId="{CEB478A3-EFEA-4046-97A4-4D5D474D4ED7}" destId="{1E311F22-35BC-4E92-828B-C9570A1D2446}" srcOrd="0" destOrd="0" parTransId="{6F214530-99A0-4305-BEFB-E0B14FB57C06}" sibTransId="{328FE4B5-20B2-4A45-8CCE-A931E4BB0B97}"/>
    <dgm:cxn modelId="{BDD9E0F3-05ED-4566-A3B1-79931641422A}" srcId="{CEB478A3-EFEA-4046-97A4-4D5D474D4ED7}" destId="{D8BA4F06-E407-4CF0-9729-CF2393046E08}" srcOrd="1" destOrd="0" parTransId="{2342A805-276E-4D7A-B601-24428BA29DD7}" sibTransId="{36691BE9-A04A-4748-849F-0C80091CB5C3}"/>
    <dgm:cxn modelId="{48F20B18-6781-4FE0-BC08-D234CC823292}" type="presParOf" srcId="{8F42030F-2941-4E71-9767-6A1B99E5F04C}" destId="{A149BC69-A3E3-49D8-B860-8E06ACCF0F12}" srcOrd="0" destOrd="0" presId="urn:microsoft.com/office/officeart/2005/8/layout/process1"/>
    <dgm:cxn modelId="{CBD1D7D0-5ACB-4ECA-A7F2-922E5FA499B6}" type="presParOf" srcId="{8F42030F-2941-4E71-9767-6A1B99E5F04C}" destId="{EDEB3F6F-F210-46DB-ABD4-D76E7AAB86AF}" srcOrd="1" destOrd="0" presId="urn:microsoft.com/office/officeart/2005/8/layout/process1"/>
    <dgm:cxn modelId="{0DDFA33D-CC51-40F0-AE47-7C2BF5C4B3B8}" type="presParOf" srcId="{EDEB3F6F-F210-46DB-ABD4-D76E7AAB86AF}" destId="{05BCE02E-5192-4303-A79A-B1E49C252A04}" srcOrd="0" destOrd="0" presId="urn:microsoft.com/office/officeart/2005/8/layout/process1"/>
    <dgm:cxn modelId="{F01B9874-D62E-4083-A207-14F9208404A0}" type="presParOf" srcId="{8F42030F-2941-4E71-9767-6A1B99E5F04C}" destId="{C5196F45-DDFF-4CA2-835F-2D73971A61C8}" srcOrd="2" destOrd="0" presId="urn:microsoft.com/office/officeart/2005/8/layout/process1"/>
    <dgm:cxn modelId="{C8FD4186-7CF4-4FEE-A8F2-A78CA89130C1}" type="presParOf" srcId="{8F42030F-2941-4E71-9767-6A1B99E5F04C}" destId="{123D770C-F10B-466C-9DF1-DFB30AD16B84}" srcOrd="3" destOrd="0" presId="urn:microsoft.com/office/officeart/2005/8/layout/process1"/>
    <dgm:cxn modelId="{BDCF54D8-FB3A-4551-84EF-E9E43C6F1A1D}" type="presParOf" srcId="{123D770C-F10B-466C-9DF1-DFB30AD16B84}" destId="{5939DD1E-376D-46BB-879C-8B2DB67B9195}" srcOrd="0" destOrd="0" presId="urn:microsoft.com/office/officeart/2005/8/layout/process1"/>
    <dgm:cxn modelId="{72646EB1-E2EE-4B8B-BC4B-2B6867B09E1E}" type="presParOf" srcId="{8F42030F-2941-4E71-9767-6A1B99E5F04C}" destId="{362A6A92-9E41-49BB-A79F-4723700C79BF}" srcOrd="4" destOrd="0" presId="urn:microsoft.com/office/officeart/2005/8/layout/process1"/>
    <dgm:cxn modelId="{2E4F6768-DF34-4941-9D95-364ECCFC20F7}" type="presParOf" srcId="{8F42030F-2941-4E71-9767-6A1B99E5F04C}" destId="{92713436-8FCB-42F0-8ED1-74822773F92D}" srcOrd="5" destOrd="0" presId="urn:microsoft.com/office/officeart/2005/8/layout/process1"/>
    <dgm:cxn modelId="{89381517-3132-4E73-8F1A-0655721EA577}" type="presParOf" srcId="{92713436-8FCB-42F0-8ED1-74822773F92D}" destId="{86317E43-C2BF-4265-8F76-B3FCF9A73F89}" srcOrd="0" destOrd="0" presId="urn:microsoft.com/office/officeart/2005/8/layout/process1"/>
    <dgm:cxn modelId="{D4312667-7F7B-47B1-B4CA-00197CA81A35}" type="presParOf" srcId="{8F42030F-2941-4E71-9767-6A1B99E5F04C}" destId="{D0DA0A08-C830-4009-A99B-502D78C06E9E}" srcOrd="6" destOrd="0" presId="urn:microsoft.com/office/officeart/2005/8/layout/process1"/>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149BC69-A3E3-49D8-B860-8E06ACCF0F12}">
      <dsp:nvSpPr>
        <dsp:cNvPr id="0" name=""/>
        <dsp:cNvSpPr/>
      </dsp:nvSpPr>
      <dsp:spPr>
        <a:xfrm>
          <a:off x="2575" y="29058"/>
          <a:ext cx="1125890" cy="1837357"/>
        </a:xfrm>
        <a:prstGeom prst="roundRect">
          <a:avLst>
            <a:gd name="adj" fmla="val 10000"/>
          </a:avLst>
        </a:prstGeom>
        <a:solidFill>
          <a:schemeClr val="bg1"/>
        </a:solidFill>
        <a:ln w="25400" cap="flat" cmpd="sng" algn="ctr">
          <a:solidFill>
            <a:schemeClr val="accent2"/>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solidFill>
                <a:srgbClr val="FF0000"/>
              </a:solidFill>
            </a:rPr>
            <a:t>Providers identify patients with bipolar I disorder who are not adherent to mood stabilizer medication treatment</a:t>
          </a:r>
        </a:p>
      </dsp:txBody>
      <dsp:txXfrm>
        <a:off x="35551" y="62034"/>
        <a:ext cx="1059938" cy="1771405"/>
      </dsp:txXfrm>
    </dsp:sp>
    <dsp:sp modelId="{EDEB3F6F-F210-46DB-ABD4-D76E7AAB86AF}">
      <dsp:nvSpPr>
        <dsp:cNvPr id="0" name=""/>
        <dsp:cNvSpPr/>
      </dsp:nvSpPr>
      <dsp:spPr>
        <a:xfrm>
          <a:off x="1241054" y="808127"/>
          <a:ext cx="238688" cy="27922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endParaRPr lang="en-US" sz="1200" kern="1200">
            <a:solidFill>
              <a:srgbClr val="FF0000"/>
            </a:solidFill>
          </a:endParaRPr>
        </a:p>
      </dsp:txBody>
      <dsp:txXfrm>
        <a:off x="1241054" y="863971"/>
        <a:ext cx="167082" cy="167532"/>
      </dsp:txXfrm>
    </dsp:sp>
    <dsp:sp modelId="{C5196F45-DDFF-4CA2-835F-2D73971A61C8}">
      <dsp:nvSpPr>
        <dsp:cNvPr id="0" name=""/>
        <dsp:cNvSpPr/>
      </dsp:nvSpPr>
      <dsp:spPr>
        <a:xfrm>
          <a:off x="1578821" y="29058"/>
          <a:ext cx="1125890" cy="1837357"/>
        </a:xfrm>
        <a:prstGeom prst="roundRect">
          <a:avLst>
            <a:gd name="adj" fmla="val 10000"/>
          </a:avLst>
        </a:prstGeom>
        <a:solidFill>
          <a:schemeClr val="lt1"/>
        </a:solidFill>
        <a:ln w="25400" cap="flat" cmpd="sng" algn="ctr">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solidFill>
                <a:srgbClr val="FF0000"/>
              </a:solidFill>
            </a:rPr>
            <a:t>Providers develop interventions to improve adherence for nonadherent patients and high-risk populations </a:t>
          </a:r>
        </a:p>
      </dsp:txBody>
      <dsp:txXfrm>
        <a:off x="1611797" y="62034"/>
        <a:ext cx="1059938" cy="1771405"/>
      </dsp:txXfrm>
    </dsp:sp>
    <dsp:sp modelId="{123D770C-F10B-466C-9DF1-DFB30AD16B84}">
      <dsp:nvSpPr>
        <dsp:cNvPr id="0" name=""/>
        <dsp:cNvSpPr/>
      </dsp:nvSpPr>
      <dsp:spPr>
        <a:xfrm>
          <a:off x="2817300" y="808127"/>
          <a:ext cx="238688" cy="27922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endParaRPr lang="en-US" sz="1200" kern="1200">
            <a:solidFill>
              <a:srgbClr val="FF0000"/>
            </a:solidFill>
          </a:endParaRPr>
        </a:p>
      </dsp:txBody>
      <dsp:txXfrm>
        <a:off x="2817300" y="863971"/>
        <a:ext cx="167082" cy="167532"/>
      </dsp:txXfrm>
    </dsp:sp>
    <dsp:sp modelId="{362A6A92-9E41-49BB-A79F-4723700C79BF}">
      <dsp:nvSpPr>
        <dsp:cNvPr id="0" name=""/>
        <dsp:cNvSpPr/>
      </dsp:nvSpPr>
      <dsp:spPr>
        <a:xfrm>
          <a:off x="3155068" y="29058"/>
          <a:ext cx="1125890" cy="1837357"/>
        </a:xfrm>
        <a:prstGeom prst="roundRect">
          <a:avLst>
            <a:gd name="adj" fmla="val 10000"/>
          </a:avLst>
        </a:prstGeom>
        <a:solidFill>
          <a:schemeClr val="lt1"/>
        </a:solidFill>
        <a:ln w="25400" cap="flat" cmpd="sng" algn="ctr">
          <a:solidFill>
            <a:schemeClr val="tx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solidFill>
                <a:srgbClr val="FF0000"/>
              </a:solidFill>
            </a:rPr>
            <a:t>Improved medication adherence for nonadherent patients and high-risk populations</a:t>
          </a:r>
        </a:p>
      </dsp:txBody>
      <dsp:txXfrm>
        <a:off x="3188044" y="62034"/>
        <a:ext cx="1059938" cy="1771405"/>
      </dsp:txXfrm>
    </dsp:sp>
    <dsp:sp modelId="{92713436-8FCB-42F0-8ED1-74822773F92D}">
      <dsp:nvSpPr>
        <dsp:cNvPr id="0" name=""/>
        <dsp:cNvSpPr/>
      </dsp:nvSpPr>
      <dsp:spPr>
        <a:xfrm>
          <a:off x="4393547" y="808127"/>
          <a:ext cx="238688" cy="27922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endParaRPr lang="en-US" sz="1200" kern="1200">
            <a:solidFill>
              <a:srgbClr val="FF0000"/>
            </a:solidFill>
          </a:endParaRPr>
        </a:p>
      </dsp:txBody>
      <dsp:txXfrm>
        <a:off x="4393547" y="863971"/>
        <a:ext cx="167082" cy="167532"/>
      </dsp:txXfrm>
    </dsp:sp>
    <dsp:sp modelId="{D0DA0A08-C830-4009-A99B-502D78C06E9E}">
      <dsp:nvSpPr>
        <dsp:cNvPr id="0" name=""/>
        <dsp:cNvSpPr/>
      </dsp:nvSpPr>
      <dsp:spPr>
        <a:xfrm>
          <a:off x="4731314" y="29058"/>
          <a:ext cx="1125890" cy="1837357"/>
        </a:xfrm>
        <a:prstGeom prst="roundRect">
          <a:avLst>
            <a:gd name="adj" fmla="val 10000"/>
          </a:avLst>
        </a:prstGeom>
        <a:solidFill>
          <a:schemeClr val="lt1"/>
        </a:solidFill>
        <a:ln w="25400" cap="flat" cmpd="sng" algn="ctr">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solidFill>
                <a:srgbClr val="FF0000"/>
              </a:solidFill>
            </a:rPr>
            <a:t>Improved symptom control for individuals and a reduction in hospitalization</a:t>
          </a:r>
        </a:p>
      </dsp:txBody>
      <dsp:txXfrm>
        <a:off x="4764290" y="62034"/>
        <a:ext cx="1059938" cy="1771405"/>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1F47A0"/>
    <w:rsid w:val="002B5F47"/>
    <w:rsid w:val="003A1E4B"/>
    <w:rsid w:val="00455EB5"/>
    <w:rsid w:val="00461C1C"/>
    <w:rsid w:val="004E2027"/>
    <w:rsid w:val="005523D0"/>
    <w:rsid w:val="005F21F3"/>
    <w:rsid w:val="008F6A9B"/>
    <w:rsid w:val="00A22D80"/>
    <w:rsid w:val="00A77B15"/>
    <w:rsid w:val="00BE0F2D"/>
    <w:rsid w:val="00C03643"/>
    <w:rsid w:val="00C2797F"/>
    <w:rsid w:val="00C80225"/>
    <w:rsid w:val="00D228C9"/>
    <w:rsid w:val="00D2552B"/>
    <w:rsid w:val="00D71C4A"/>
    <w:rsid w:val="00D75B64"/>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FEBF882BC8624788382D97AE25826D" ma:contentTypeVersion="6" ma:contentTypeDescription="Create a new document." ma:contentTypeScope="" ma:versionID="0470c51e2f9a57dbecb718c684d0e3a5">
  <xsd:schema xmlns:xsd="http://www.w3.org/2001/XMLSchema" xmlns:xs="http://www.w3.org/2001/XMLSchema" xmlns:p="http://schemas.microsoft.com/office/2006/metadata/properties" xmlns:ns2="6fa9b19c-491d-46f8-b26f-37ea675d2041" xmlns:ns3="d4d02dbe-c0a8-4490-b3b1-185567f8410f" targetNamespace="http://schemas.microsoft.com/office/2006/metadata/properties" ma:root="true" ma:fieldsID="ea6879d336e9f0d70de60b0d89873b82" ns2:_="" ns3:_="">
    <xsd:import namespace="6fa9b19c-491d-46f8-b26f-37ea675d2041"/>
    <xsd:import namespace="d4d02dbe-c0a8-4490-b3b1-185567f8410f"/>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a9b19c-491d-46f8-b26f-37ea675d20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4d02dbe-c0a8-4490-b3b1-185567f8410f"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CDBE7-7F08-4F52-B308-EE351D98984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3.xml><?xml version="1.0" encoding="utf-8"?>
<ds:datastoreItem xmlns:ds="http://schemas.openxmlformats.org/officeDocument/2006/customXml" ds:itemID="{1ABB5623-A1DA-4A23-9359-F8FA9AC4EE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a9b19c-491d-46f8-b26f-37ea675d2041"/>
    <ds:schemaRef ds:uri="d4d02dbe-c0a8-4490-b3b1-185567f841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955998-4CE5-4C47-B014-BA6436F55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2638</Words>
  <Characters>15038</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17641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Lyndsey Nguyen</cp:lastModifiedBy>
  <cp:revision>3</cp:revision>
  <dcterms:created xsi:type="dcterms:W3CDTF">2018-05-09T15:18:00Z</dcterms:created>
  <dcterms:modified xsi:type="dcterms:W3CDTF">2018-05-09T15:28:00Z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0x01010012FEBF882BC8624788382D97AE25826D</vt:lpwstr>
  </property>
  <property fmtid="{D5CDD505-2E9C-101B-9397-08002B2CF9AE}" pid="3" name="_NewReviewCycle">
    <vt:lpwstr/>
  </property>
  <property fmtid="{D5CDD505-2E9C-101B-9397-08002B2CF9AE}" pid="4" name="_AdHocReviewCycleID">
    <vt:i4>-1781010416</vt:i4>
  </property>
  <property fmtid="{D5CDD505-2E9C-101B-9397-08002B2CF9AE}" pid="5" name="_EmailSubject">
    <vt:lpwstr>NQF materials for #1879 and #1880 - REVIEWED BY CMS</vt:lpwstr>
  </property>
  <property fmtid="{D5CDD505-2E9C-101B-9397-08002B2CF9AE}" pid="6" name="_AuthorEmail">
    <vt:lpwstr>Elizabeth.Ricksecker@cms.hhs.gov</vt:lpwstr>
  </property>
  <property fmtid="{D5CDD505-2E9C-101B-9397-08002B2CF9AE}" pid="7" name="_AuthorEmailDisplayName">
    <vt:lpwstr>Ricksecker, Elizabeth G. (CMS/FCHCO)</vt:lpwstr>
  </property>
  <property fmtid="{D5CDD505-2E9C-101B-9397-08002B2CF9AE}" pid="8" name="_ReviewingToolsShownOnce">
    <vt:lpwstr/>
  </property>
</Properties>
</file>