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bookmarkStart w:id="0" w:name="_GoBack"/>
      <w:bookmarkEnd w:id="0"/>
    </w:p>
    <w:p w14:paraId="55B8DA2D" w14:textId="77777777" w:rsidR="00496AF8" w:rsidRPr="00496AF8" w:rsidRDefault="00496AF8" w:rsidP="002E2177">
      <w:pPr>
        <w:ind w:left="0" w:firstLine="0"/>
        <w:rPr>
          <w:noProof/>
        </w:rPr>
      </w:pPr>
    </w:p>
    <w:p w14:paraId="55B8DA2E" w14:textId="4F1BC97E"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35619E">
            <w:rPr>
              <w:rStyle w:val="Style1"/>
            </w:rPr>
            <w:t>0560</w:t>
          </w:r>
        </w:sdtContent>
      </w:sdt>
    </w:p>
    <w:p w14:paraId="55B8DA2F" w14:textId="736C7170"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35619E">
            <w:rPr>
              <w:rStyle w:val="Style1"/>
            </w:rPr>
            <w:t>Patients discharged on multiple antipsychotic medications with appropriate justification</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3376F091"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8-12-20T00:00:00Z">
            <w:dateFormat w:val="M/d/yyyy"/>
            <w:lid w:val="en-US"/>
            <w:storeMappedDataAs w:val="dateTime"/>
            <w:calendar w:val="gregorian"/>
          </w:date>
        </w:sdtPr>
        <w:sdtEndPr>
          <w:rPr>
            <w:rStyle w:val="DefaultParagraphFont"/>
            <w:noProof/>
            <w:color w:val="auto"/>
            <w:u w:val="none"/>
          </w:rPr>
        </w:sdtEndPr>
        <w:sdtContent>
          <w:r w:rsidR="008B4D71">
            <w:rPr>
              <w:rStyle w:val="Style2"/>
            </w:rPr>
            <w:t>12/20/2018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proofErr w:type="gramStart"/>
            <w:r w:rsidRPr="003B1CC5">
              <w:rPr>
                <w:rFonts w:eastAsia="Calibri" w:cs="Calibri"/>
                <w:sz w:val="20"/>
                <w:szCs w:val="20"/>
              </w:rPr>
              <w:lastRenderedPageBreak/>
              <w:t>step</w:t>
            </w:r>
            <w:proofErr w:type="gramEnd"/>
            <w:r w:rsidRPr="003B1CC5">
              <w:rPr>
                <w:rFonts w:eastAsia="Calibri" w:cs="Calibri"/>
                <w:sz w:val="20"/>
                <w:szCs w:val="20"/>
              </w:rPr>
              <w:t xml:space="preserve">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BA7C70"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BA7C70"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BA7C70"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230F96F2" w:rsidR="00D73685" w:rsidRDefault="00BA7C70"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35619E">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BA7C70"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BA7C70"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81C7AC9" w14:textId="579F64EF" w:rsidR="0035619E" w:rsidRPr="00676BD4" w:rsidRDefault="0035619E" w:rsidP="002B06BD">
      <w:pPr>
        <w:ind w:left="432" w:hanging="432"/>
        <w:rPr>
          <w:iCs/>
        </w:rPr>
      </w:pPr>
      <w:r>
        <w:rPr>
          <w:b/>
          <w:noProof/>
          <w:color w:val="0000FF"/>
        </w:rPr>
        <w:drawing>
          <wp:inline distT="0" distB="0" distL="0" distR="0" wp14:anchorId="18EFFE97" wp14:editId="3B389656">
            <wp:extent cx="5486400" cy="134112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615CE142" w14:textId="26240A8E" w:rsidR="0035619E" w:rsidRPr="0035619E" w:rsidRDefault="0035619E" w:rsidP="002E2177">
      <w:pPr>
        <w:ind w:left="432" w:hanging="432"/>
        <w:rPr>
          <w:color w:val="0000FF"/>
        </w:rPr>
      </w:pPr>
      <w:r w:rsidRPr="0035619E">
        <w:rPr>
          <w:rFonts w:cs="Arial"/>
        </w:rPr>
        <w:t>The focus of the measure is to evaluate all psychiatric inpatients who are discharged on two or more antipsychotic medications to determine if appropriate justification exists for this practice. A reduction in antipsychotic polypharmacy without an appropriate justification will reduce the likelihood of developing serious side effects, thus reducing the overall cost of ongoing health care.</w:t>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607FADB1" w:rsidR="004922E4" w:rsidRPr="00237C5A" w:rsidRDefault="00237C5A" w:rsidP="002E2177">
      <w:pPr>
        <w:ind w:left="432" w:hanging="432"/>
        <w:rPr>
          <w:color w:val="FF0000"/>
        </w:rPr>
      </w:pPr>
      <w:r>
        <w:rPr>
          <w:color w:val="FF0000"/>
        </w:rPr>
        <w:t xml:space="preserve">       </w:t>
      </w:r>
      <w:r w:rsidRPr="00237C5A">
        <w:rPr>
          <w:color w:val="FF0000"/>
        </w:rPr>
        <w:t>Not applicable</w:t>
      </w: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338BAEF6" w:rsidR="00D14F0B" w:rsidRPr="003B1CC5" w:rsidRDefault="00237C5A" w:rsidP="002E2177">
      <w:pPr>
        <w:ind w:left="0" w:firstLine="0"/>
        <w:rPr>
          <w:iCs/>
        </w:rPr>
      </w:pPr>
      <w:r>
        <w:rPr>
          <w:iCs/>
        </w:rPr>
        <w:t xml:space="preserve">         </w:t>
      </w:r>
      <w:r w:rsidRPr="00237C5A">
        <w:rPr>
          <w:color w:val="FF0000"/>
        </w:rPr>
        <w:t>Not applicable</w:t>
      </w: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lastRenderedPageBreak/>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237C5A">
        <w:rPr>
          <w:rFonts w:ascii="Times New Roman" w:eastAsia="Arial Unicode MS" w:hAnsi="Times New Roman" w:cs="Mangal" w:hint="eastAsia"/>
          <w:color w:val="0000FF"/>
          <w:kern w:val="1"/>
          <w:sz w:val="24"/>
          <w:szCs w:val="24"/>
          <w:highlight w:val="yellow"/>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B47E1A">
        <w:rPr>
          <w:rFonts w:ascii="Times New Roman" w:eastAsia="Arial Unicode MS" w:hAnsi="Times New Roman" w:cs="Mangal" w:hint="eastAsia"/>
          <w:color w:val="0000FF"/>
          <w:kern w:val="1"/>
          <w:sz w:val="24"/>
          <w:szCs w:val="24"/>
          <w:highlight w:val="yellow"/>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3ED2C005" w:rsidR="00A9011D" w:rsidRPr="007B1373" w:rsidRDefault="00A9011D" w:rsidP="002E2177">
      <w:pPr>
        <w:ind w:left="0" w:firstLine="0"/>
        <w:rPr>
          <w:iCs/>
          <w:color w:val="FF0000"/>
        </w:rPr>
      </w:pPr>
    </w:p>
    <w:p w14:paraId="0CA5ABE1" w14:textId="7D0658D2" w:rsidR="004043B5" w:rsidRPr="007B1373" w:rsidRDefault="00550DC7" w:rsidP="004043B5">
      <w:pPr>
        <w:ind w:left="0" w:firstLine="0"/>
        <w:rPr>
          <w:i/>
          <w:iCs/>
        </w:rPr>
      </w:pPr>
      <w:r w:rsidRPr="007B1373">
        <w:rPr>
          <w:iCs/>
          <w:color w:val="FF0000"/>
        </w:rPr>
        <w:t>Updated l</w:t>
      </w:r>
      <w:r w:rsidR="004043B5" w:rsidRPr="007B1373">
        <w:rPr>
          <w:iCs/>
          <w:color w:val="FF0000"/>
        </w:rPr>
        <w:t xml:space="preserve">iterature search did not yield any </w:t>
      </w:r>
      <w:r w:rsidRPr="007B1373">
        <w:rPr>
          <w:iCs/>
          <w:color w:val="FF0000"/>
        </w:rPr>
        <w:t>new</w:t>
      </w:r>
      <w:r w:rsidR="004043B5" w:rsidRPr="007B1373">
        <w:rPr>
          <w:iCs/>
          <w:color w:val="FF0000"/>
        </w:rPr>
        <w:t xml:space="preserve"> guidelines or significant research related to </w:t>
      </w:r>
      <w:r w:rsidR="007B1373" w:rsidRPr="007B1373">
        <w:rPr>
          <w:iCs/>
          <w:color w:val="FF0000"/>
        </w:rPr>
        <w:t>antipsychotic medications</w:t>
      </w:r>
      <w:r w:rsidR="004043B5" w:rsidRPr="007B1373">
        <w:rPr>
          <w:iCs/>
          <w:color w:val="FF0000"/>
        </w:rPr>
        <w:t xml:space="preserve"> that would warrant a change in the measure.</w:t>
      </w:r>
      <w:r w:rsidR="007B1373" w:rsidRPr="007B1373">
        <w:rPr>
          <w:iCs/>
          <w:color w:val="FF0000"/>
        </w:rPr>
        <w:t xml:space="preserve">   </w:t>
      </w:r>
      <w:r w:rsidR="007B1373" w:rsidRPr="007B1373">
        <w:rPr>
          <w:color w:val="FF0000"/>
        </w:rPr>
        <w:t>An updated guideline for the Treatment of Patients with Schizophrenia is currently under development by the American Psychiatric Association.</w:t>
      </w:r>
      <w:r w:rsidR="007B1373">
        <w:rPr>
          <w:i/>
          <w:iCs/>
        </w:rPr>
        <w:t xml:space="preserve">  </w:t>
      </w:r>
      <w:r w:rsidR="007B1373" w:rsidRPr="007B1373">
        <w:rPr>
          <w:i/>
          <w:iCs/>
        </w:rPr>
        <w:t xml:space="preserve">   </w:t>
      </w:r>
    </w:p>
    <w:p w14:paraId="55B8DA6E" w14:textId="77777777" w:rsidR="004E7215" w:rsidRPr="003B1CC5" w:rsidRDefault="004E7215" w:rsidP="002E2177">
      <w:pPr>
        <w:ind w:left="0" w:firstLine="0"/>
        <w:rPr>
          <w:i/>
          <w:iCs/>
        </w:rPr>
      </w:pPr>
    </w:p>
    <w:tbl>
      <w:tblPr>
        <w:tblStyle w:val="TableGrid"/>
        <w:tblW w:w="0" w:type="auto"/>
        <w:tblLayout w:type="fixed"/>
        <w:tblLook w:val="04A0" w:firstRow="1" w:lastRow="0" w:firstColumn="1" w:lastColumn="0" w:noHBand="0" w:noVBand="1"/>
      </w:tblPr>
      <w:tblGrid>
        <w:gridCol w:w="4405"/>
        <w:gridCol w:w="4945"/>
      </w:tblGrid>
      <w:tr w:rsidR="00AB4ECE" w14:paraId="55B8DA76" w14:textId="77777777" w:rsidTr="00090530">
        <w:tc>
          <w:tcPr>
            <w:tcW w:w="4405"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4945" w:type="dxa"/>
          </w:tcPr>
          <w:p w14:paraId="668F0243" w14:textId="5D048130" w:rsidR="00CC0364" w:rsidRDefault="00CC0364" w:rsidP="00CC0364">
            <w:pPr>
              <w:ind w:left="0" w:firstLine="0"/>
            </w:pPr>
            <w:r w:rsidRPr="00CC0364">
              <w:rPr>
                <w:b/>
              </w:rPr>
              <w:t>Title</w:t>
            </w:r>
            <w:r>
              <w:rPr>
                <w:b/>
              </w:rPr>
              <w:t xml:space="preserve">:  </w:t>
            </w:r>
            <w:r w:rsidRPr="00CC0364">
              <w:t xml:space="preserve">Practice </w:t>
            </w:r>
            <w:r>
              <w:t>Guideline for the T</w:t>
            </w:r>
            <w:r w:rsidRPr="00CC0364">
              <w:t xml:space="preserve">reatment of </w:t>
            </w:r>
            <w:r>
              <w:t>Patients with S</w:t>
            </w:r>
            <w:r w:rsidRPr="00CC0364">
              <w:t>chizophrenia</w:t>
            </w:r>
            <w:r>
              <w:t xml:space="preserve"> Second Edition</w:t>
            </w:r>
          </w:p>
          <w:p w14:paraId="7E8E49C9" w14:textId="77777777" w:rsidR="00CC0364" w:rsidRPr="00CC0364" w:rsidRDefault="00CC0364" w:rsidP="00CC0364">
            <w:pPr>
              <w:ind w:left="0" w:firstLine="0"/>
              <w:rPr>
                <w:b/>
              </w:rPr>
            </w:pPr>
          </w:p>
          <w:p w14:paraId="1756BCFA" w14:textId="10DD0979" w:rsidR="00CC0364" w:rsidRDefault="00CC0364" w:rsidP="00CC0364">
            <w:pPr>
              <w:ind w:left="0" w:firstLine="0"/>
              <w:rPr>
                <w:b/>
              </w:rPr>
            </w:pPr>
            <w:r w:rsidRPr="00CC0364">
              <w:rPr>
                <w:b/>
              </w:rPr>
              <w:t>Author</w:t>
            </w:r>
            <w:r w:rsidRPr="00CC0364">
              <w:t>: American Psychiatric Association Work Group on Schizophrenia</w:t>
            </w:r>
            <w:r>
              <w:rPr>
                <w:b/>
              </w:rPr>
              <w:t xml:space="preserve"> </w:t>
            </w:r>
          </w:p>
          <w:p w14:paraId="0AC1242D" w14:textId="77777777" w:rsidR="00CC0364" w:rsidRPr="00CC0364" w:rsidRDefault="00CC0364" w:rsidP="00CC0364">
            <w:pPr>
              <w:ind w:left="0" w:firstLine="0"/>
              <w:rPr>
                <w:b/>
              </w:rPr>
            </w:pPr>
          </w:p>
          <w:p w14:paraId="759C873A" w14:textId="12D73221" w:rsidR="00CC0364" w:rsidRDefault="00CC0364" w:rsidP="00CC0364">
            <w:pPr>
              <w:ind w:left="0" w:firstLine="0"/>
            </w:pPr>
            <w:r w:rsidRPr="00CC0364">
              <w:rPr>
                <w:b/>
              </w:rPr>
              <w:t>Date</w:t>
            </w:r>
            <w:r>
              <w:rPr>
                <w:b/>
              </w:rPr>
              <w:t xml:space="preserve">:  </w:t>
            </w:r>
            <w:r w:rsidRPr="00CC0364">
              <w:t>February 2004</w:t>
            </w:r>
          </w:p>
          <w:p w14:paraId="12D2650E" w14:textId="77777777" w:rsidR="00090530" w:rsidRPr="00CC0364" w:rsidRDefault="00090530" w:rsidP="00CC0364">
            <w:pPr>
              <w:ind w:left="0" w:firstLine="0"/>
            </w:pPr>
          </w:p>
          <w:p w14:paraId="6F656983" w14:textId="77777777" w:rsidR="00CC0364" w:rsidRPr="00CC0364" w:rsidRDefault="00CC0364" w:rsidP="00CC0364">
            <w:pPr>
              <w:ind w:left="0" w:firstLine="0"/>
              <w:rPr>
                <w:rFonts w:cs="Arial"/>
                <w:bCs/>
              </w:rPr>
            </w:pPr>
            <w:r w:rsidRPr="00CC0364">
              <w:rPr>
                <w:b/>
              </w:rPr>
              <w:t>Citation, including page number</w:t>
            </w:r>
            <w:r>
              <w:rPr>
                <w:b/>
              </w:rPr>
              <w:t xml:space="preserve">:  </w:t>
            </w:r>
            <w:r w:rsidRPr="00CC0364">
              <w:rPr>
                <w:rFonts w:cs="Arial"/>
                <w:bCs/>
              </w:rPr>
              <w:t xml:space="preserve">American Psychiatric Association (APA). Practice guideline for the treatment of patients with schizophrenia. 2nd ed. Washington (DC): American Psychiatric Association (APA); 2004 Feb. 114 p. [1391 references] </w:t>
            </w:r>
          </w:p>
          <w:p w14:paraId="10FCB60F" w14:textId="64AAEA49" w:rsidR="00CC0364" w:rsidRPr="00CC0364" w:rsidRDefault="00CC0364" w:rsidP="00CC0364">
            <w:pPr>
              <w:ind w:left="0" w:firstLine="0"/>
              <w:rPr>
                <w:b/>
              </w:rPr>
            </w:pPr>
          </w:p>
          <w:p w14:paraId="5483D520" w14:textId="0CA117E6" w:rsidR="00CC0364" w:rsidRDefault="00CC0364" w:rsidP="002E2177">
            <w:pPr>
              <w:ind w:left="0" w:firstLine="0"/>
              <w:rPr>
                <w:b/>
              </w:rPr>
            </w:pPr>
            <w:r w:rsidRPr="00AB4ECE">
              <w:rPr>
                <w:b/>
              </w:rPr>
              <w:t>URL</w:t>
            </w:r>
            <w:r>
              <w:rPr>
                <w:b/>
              </w:rPr>
              <w:t xml:space="preserve">:  </w:t>
            </w:r>
            <w:hyperlink r:id="rId21" w:history="1">
              <w:r w:rsidR="00090530" w:rsidRPr="00090530">
                <w:rPr>
                  <w:rStyle w:val="Hyperlink"/>
                  <w:color w:val="FF0000"/>
                </w:rPr>
                <w:t>https://psychiatryonline.org/pb/assets/raw/sitewide/practice_guidelines/guidelines/schizophrenia.pdf</w:t>
              </w:r>
            </w:hyperlink>
            <w:r w:rsidR="00090530" w:rsidRPr="00090530">
              <w:rPr>
                <w:color w:val="FF0000"/>
              </w:rPr>
              <w:t xml:space="preserve"> </w:t>
            </w:r>
          </w:p>
          <w:p w14:paraId="6094038A" w14:textId="77777777" w:rsidR="00CC0364" w:rsidRDefault="00CC0364" w:rsidP="002E2177">
            <w:pPr>
              <w:ind w:left="0" w:firstLine="0"/>
              <w:rPr>
                <w:b/>
              </w:rPr>
            </w:pPr>
          </w:p>
          <w:p w14:paraId="7C0B1B70" w14:textId="77777777" w:rsidR="00EF26CD" w:rsidRPr="00EF26CD" w:rsidRDefault="00EF26CD" w:rsidP="00EF26CD">
            <w:pPr>
              <w:rPr>
                <w:rFonts w:cs="Arial"/>
                <w:b/>
              </w:rPr>
            </w:pPr>
            <w:r w:rsidRPr="00EF26CD">
              <w:rPr>
                <w:rFonts w:cs="Arial"/>
                <w:b/>
              </w:rPr>
              <w:t xml:space="preserve">Rationale for Using this Guideline Over Others:  </w:t>
            </w:r>
            <w:r w:rsidRPr="00EF26CD">
              <w:rPr>
                <w:rFonts w:cs="Arial"/>
              </w:rPr>
              <w:t xml:space="preserve">APA began developing practice guidelines in 1991. The development process is detailed in a document available from the APA Department of Quality Improvement and Psychiatric </w:t>
            </w:r>
            <w:r w:rsidRPr="00EF26CD">
              <w:rPr>
                <w:rFonts w:cs="Arial"/>
              </w:rPr>
              <w:lastRenderedPageBreak/>
              <w:t xml:space="preserve">Services, the "APA Guideline Development Process." Key features of this process include the following: </w:t>
            </w:r>
          </w:p>
          <w:p w14:paraId="512894D1" w14:textId="77777777" w:rsidR="00EF26CD" w:rsidRPr="00EF26CD" w:rsidRDefault="00EF26CD" w:rsidP="00EF26CD">
            <w:pPr>
              <w:rPr>
                <w:rFonts w:cs="Arial"/>
              </w:rPr>
            </w:pPr>
            <w:r w:rsidRPr="00EF26CD">
              <w:rPr>
                <w:rFonts w:cs="Arial"/>
              </w:rPr>
              <w:t>•</w:t>
            </w:r>
            <w:r w:rsidRPr="00EF26CD">
              <w:rPr>
                <w:rFonts w:cs="Arial"/>
              </w:rPr>
              <w:tab/>
              <w:t xml:space="preserve">A comprehensive literature review </w:t>
            </w:r>
          </w:p>
          <w:p w14:paraId="1CE1FCF4" w14:textId="77777777" w:rsidR="00EF26CD" w:rsidRPr="00EF26CD" w:rsidRDefault="00EF26CD" w:rsidP="00EF26CD">
            <w:pPr>
              <w:rPr>
                <w:rFonts w:cs="Arial"/>
              </w:rPr>
            </w:pPr>
            <w:r w:rsidRPr="00EF26CD">
              <w:rPr>
                <w:rFonts w:cs="Arial"/>
              </w:rPr>
              <w:t>•</w:t>
            </w:r>
            <w:r w:rsidRPr="00EF26CD">
              <w:rPr>
                <w:rFonts w:cs="Arial"/>
              </w:rPr>
              <w:tab/>
              <w:t>Development of evidence tables</w:t>
            </w:r>
          </w:p>
          <w:p w14:paraId="24B1ED1E" w14:textId="77777777" w:rsidR="00EF26CD" w:rsidRPr="00EF26CD" w:rsidRDefault="00EF26CD" w:rsidP="00EF26CD">
            <w:pPr>
              <w:rPr>
                <w:rFonts w:cs="Arial"/>
              </w:rPr>
            </w:pPr>
            <w:r w:rsidRPr="00EF26CD">
              <w:rPr>
                <w:rFonts w:cs="Arial"/>
              </w:rPr>
              <w:t>•</w:t>
            </w:r>
            <w:r w:rsidRPr="00EF26CD">
              <w:rPr>
                <w:rFonts w:cs="Arial"/>
              </w:rPr>
              <w:tab/>
              <w:t xml:space="preserve">Initial drafting of the guideline by a work group that included psychiatrists with clinical and research expertise in psychiatric evaluation </w:t>
            </w:r>
          </w:p>
          <w:p w14:paraId="58E24E85" w14:textId="77777777" w:rsidR="00EF26CD" w:rsidRPr="00EF26CD" w:rsidRDefault="00EF26CD" w:rsidP="00EF26CD">
            <w:pPr>
              <w:rPr>
                <w:rFonts w:cs="Arial"/>
              </w:rPr>
            </w:pPr>
            <w:r w:rsidRPr="00EF26CD">
              <w:rPr>
                <w:rFonts w:cs="Arial"/>
              </w:rPr>
              <w:t>•</w:t>
            </w:r>
            <w:r w:rsidRPr="00EF26CD">
              <w:rPr>
                <w:rFonts w:cs="Arial"/>
              </w:rPr>
              <w:tab/>
              <w:t xml:space="preserve">Production of multiple revised drafts with widespread review </w:t>
            </w:r>
          </w:p>
          <w:p w14:paraId="7CEB2E1D" w14:textId="77777777" w:rsidR="00EF26CD" w:rsidRPr="00EF26CD" w:rsidRDefault="00EF26CD" w:rsidP="00EF26CD">
            <w:pPr>
              <w:rPr>
                <w:rFonts w:cs="Arial"/>
              </w:rPr>
            </w:pPr>
            <w:r w:rsidRPr="00EF26CD">
              <w:rPr>
                <w:rFonts w:cs="Arial"/>
              </w:rPr>
              <w:t>•</w:t>
            </w:r>
            <w:r w:rsidRPr="00EF26CD">
              <w:rPr>
                <w:rFonts w:cs="Arial"/>
              </w:rPr>
              <w:tab/>
              <w:t>Approval by the APA Assembly and Board of Trustees</w:t>
            </w:r>
          </w:p>
          <w:p w14:paraId="6554FAA8" w14:textId="77777777" w:rsidR="00EF26CD" w:rsidRPr="00EF26CD" w:rsidRDefault="00EF26CD" w:rsidP="00EF26CD">
            <w:pPr>
              <w:rPr>
                <w:rFonts w:cs="Arial"/>
              </w:rPr>
            </w:pPr>
            <w:r w:rsidRPr="00EF26CD">
              <w:rPr>
                <w:rFonts w:cs="Arial"/>
              </w:rPr>
              <w:t>•</w:t>
            </w:r>
            <w:r w:rsidRPr="00EF26CD">
              <w:rPr>
                <w:rFonts w:cs="Arial"/>
              </w:rPr>
              <w:tab/>
              <w:t>Planned revisions at regular intervals</w:t>
            </w:r>
          </w:p>
          <w:p w14:paraId="70FD022C" w14:textId="0820DD12" w:rsidR="00EF26CD" w:rsidRDefault="00EF26CD" w:rsidP="00EF26CD">
            <w:pPr>
              <w:ind w:left="0" w:firstLine="0"/>
              <w:rPr>
                <w:b/>
              </w:rPr>
            </w:pPr>
            <w:r w:rsidRPr="00EF26CD">
              <w:rPr>
                <w:rFonts w:cs="Arial"/>
              </w:rPr>
              <w:t>This guideline represents a synthesis of current scientific knowledge and rational clinical practice on the psychiatric evaluation of adults. It strives to be as free as possible of bias toward any theoretical approach.</w:t>
            </w:r>
          </w:p>
          <w:p w14:paraId="55B8DA75" w14:textId="77777777" w:rsidR="00CC0364" w:rsidRPr="00AB4ECE" w:rsidRDefault="00CC0364" w:rsidP="00CC0364">
            <w:pPr>
              <w:rPr>
                <w:b/>
              </w:rPr>
            </w:pPr>
          </w:p>
        </w:tc>
      </w:tr>
      <w:tr w:rsidR="00AB4ECE" w14:paraId="55B8DA79" w14:textId="77777777" w:rsidTr="00090530">
        <w:tc>
          <w:tcPr>
            <w:tcW w:w="4405" w:type="dxa"/>
          </w:tcPr>
          <w:p w14:paraId="55B8DA77" w14:textId="33B1A187" w:rsidR="00AB4ECE" w:rsidRDefault="00AB4ECE" w:rsidP="002E2177">
            <w:pPr>
              <w:ind w:left="0" w:firstLine="0"/>
            </w:pPr>
            <w:r>
              <w:lastRenderedPageBreak/>
              <w:t>Quote the guideline or recommendation verbatim about the process, structure or intermediate outcome being measured.</w:t>
            </w:r>
            <w:r w:rsidR="000E5C93">
              <w:t xml:space="preserve"> If not a guideline, summarize the conclusions from the SR.</w:t>
            </w:r>
          </w:p>
        </w:tc>
        <w:tc>
          <w:tcPr>
            <w:tcW w:w="4945" w:type="dxa"/>
          </w:tcPr>
          <w:p w14:paraId="3B01460D" w14:textId="77777777" w:rsidR="00AB4ECE" w:rsidRDefault="00387B2C" w:rsidP="00387B2C">
            <w:pPr>
              <w:ind w:left="0" w:firstLine="0"/>
              <w:rPr>
                <w:rFonts w:cs="Arial"/>
                <w:bCs/>
              </w:rPr>
            </w:pPr>
            <w:r w:rsidRPr="00387B2C">
              <w:rPr>
                <w:rFonts w:cs="Arial"/>
                <w:bCs/>
              </w:rPr>
              <w:t>In assessing treatment resistance or partial response, it is important to carefully evaluate whether the patient has had an adequate trial of an antipsychotic medication, including whether the dose is adequate and whether the patient has been taking the medication as prescribed. An initial trial of 4–6 weeks generally is needed to determine if the patient will have any symptomatic response, and symptoms can continue to improve over 6 months or even longer periods of antipsychotic treatment [II]. Given clozapine’s superior efficacy, a clozapine trial should be considered for a patient who has had no response or partial and suboptimal response to two trials of antipsychotic medication (including at least one second-generation agent) or for a patient with persistent suicidal ideation or behavior that has not responded to other treatments [I].</w:t>
            </w:r>
          </w:p>
          <w:p w14:paraId="55B8DA78" w14:textId="7D508F57" w:rsidR="005330C0" w:rsidRPr="00387B2C" w:rsidRDefault="005330C0" w:rsidP="00387B2C">
            <w:pPr>
              <w:ind w:left="0" w:firstLine="0"/>
            </w:pPr>
          </w:p>
        </w:tc>
      </w:tr>
      <w:tr w:rsidR="00AB4ECE" w14:paraId="55B8DA7C" w14:textId="77777777" w:rsidTr="00090530">
        <w:tc>
          <w:tcPr>
            <w:tcW w:w="4405"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4945" w:type="dxa"/>
          </w:tcPr>
          <w:p w14:paraId="5B3A2977" w14:textId="77777777" w:rsidR="00007334" w:rsidRPr="00007334" w:rsidRDefault="00007334" w:rsidP="002E2177">
            <w:pPr>
              <w:ind w:left="0" w:firstLine="0"/>
              <w:rPr>
                <w:rFonts w:cs="Arial"/>
                <w:b/>
              </w:rPr>
            </w:pPr>
            <w:r w:rsidRPr="00007334">
              <w:rPr>
                <w:rFonts w:cs="Arial"/>
                <w:b/>
              </w:rPr>
              <w:t>Grading of Strength/Quality of the Body of Evidence</w:t>
            </w:r>
            <w:r w:rsidRPr="00007334">
              <w:rPr>
                <w:rFonts w:cs="Arial"/>
                <w:b/>
                <w:color w:val="555555"/>
              </w:rPr>
              <w:t xml:space="preserve">. </w:t>
            </w:r>
            <w:r w:rsidRPr="00007334">
              <w:rPr>
                <w:rFonts w:cs="Arial"/>
              </w:rPr>
              <w:t>Has the body of evidence been graded?</w:t>
            </w:r>
            <w:r w:rsidRPr="00007334">
              <w:rPr>
                <w:rFonts w:cs="Arial"/>
                <w:b/>
              </w:rPr>
              <w:t xml:space="preserve">  </w:t>
            </w:r>
          </w:p>
          <w:p w14:paraId="3899EF9C" w14:textId="77777777" w:rsidR="00AB4ECE" w:rsidRDefault="00007334" w:rsidP="002E2177">
            <w:pPr>
              <w:ind w:left="0" w:firstLine="0"/>
              <w:rPr>
                <w:rFonts w:cs="Arial"/>
              </w:rPr>
            </w:pPr>
            <w:r w:rsidRPr="00007334">
              <w:rPr>
                <w:rFonts w:cs="Arial"/>
              </w:rPr>
              <w:t>No</w:t>
            </w:r>
          </w:p>
          <w:p w14:paraId="048A0CB1" w14:textId="77777777" w:rsidR="00007334" w:rsidRDefault="00007334" w:rsidP="002E2177">
            <w:pPr>
              <w:ind w:left="0" w:firstLine="0"/>
              <w:rPr>
                <w:rFonts w:cs="Arial"/>
              </w:rPr>
            </w:pPr>
          </w:p>
          <w:p w14:paraId="3F158DAF" w14:textId="77777777" w:rsidR="00007334" w:rsidRPr="00007334" w:rsidRDefault="00007334" w:rsidP="00007334">
            <w:pPr>
              <w:rPr>
                <w:rFonts w:cs="Arial"/>
              </w:rPr>
            </w:pPr>
            <w:r w:rsidRPr="00007334">
              <w:rPr>
                <w:rFonts w:cs="Arial"/>
                <w:b/>
              </w:rPr>
              <w:t xml:space="preserve">System Used for Grading the Body of Evidence:  </w:t>
            </w:r>
            <w:r w:rsidRPr="00007334">
              <w:rPr>
                <w:rFonts w:cs="Arial"/>
              </w:rPr>
              <w:t xml:space="preserve">Other  </w:t>
            </w:r>
          </w:p>
          <w:p w14:paraId="38E952EF" w14:textId="77777777" w:rsidR="00007334" w:rsidRPr="00007334" w:rsidRDefault="00007334" w:rsidP="00007334">
            <w:pPr>
              <w:rPr>
                <w:rFonts w:cs="Arial"/>
                <w:b/>
              </w:rPr>
            </w:pPr>
          </w:p>
          <w:p w14:paraId="6A1F64ED" w14:textId="34FBEC6A" w:rsidR="00007334" w:rsidRDefault="00007334" w:rsidP="00007334">
            <w:pPr>
              <w:rPr>
                <w:rFonts w:cs="Arial"/>
              </w:rPr>
            </w:pPr>
            <w:r w:rsidRPr="00007334">
              <w:rPr>
                <w:rFonts w:cs="Arial"/>
                <w:b/>
              </w:rPr>
              <w:t>If other, identify and describe the grading scale with definitions:</w:t>
            </w:r>
            <w:r w:rsidRPr="00007334">
              <w:rPr>
                <w:rFonts w:cs="Arial"/>
              </w:rPr>
              <w:t xml:space="preserve">  Although grading of the evidence was not determined during the systematic review, it was determined that the </w:t>
            </w:r>
            <w:r w:rsidRPr="00007334">
              <w:rPr>
                <w:rFonts w:cs="Arial"/>
              </w:rPr>
              <w:lastRenderedPageBreak/>
              <w:t>guideline developers accounted for a balanced representation of information, looked beyond one specialty group or discipline, and provided information that was accessible and met the requirements set out in  the NQF criteria.</w:t>
            </w:r>
          </w:p>
          <w:p w14:paraId="282BE199" w14:textId="77777777" w:rsidR="00007334" w:rsidRDefault="00007334" w:rsidP="00007334">
            <w:pPr>
              <w:rPr>
                <w:rFonts w:cs="Arial"/>
                <w:b/>
              </w:rPr>
            </w:pPr>
          </w:p>
          <w:p w14:paraId="55B8DA7B" w14:textId="6155B3D6" w:rsidR="00007334" w:rsidRDefault="00007334" w:rsidP="000D0C75"/>
        </w:tc>
      </w:tr>
      <w:tr w:rsidR="00AB4ECE" w14:paraId="55B8DA7F" w14:textId="77777777" w:rsidTr="00090530">
        <w:tc>
          <w:tcPr>
            <w:tcW w:w="4405" w:type="dxa"/>
          </w:tcPr>
          <w:p w14:paraId="55B8DA7D" w14:textId="77777777" w:rsidR="00AB4ECE" w:rsidRDefault="00AB4ECE" w:rsidP="00E42FAA">
            <w:pPr>
              <w:ind w:left="0" w:firstLine="0"/>
            </w:pPr>
            <w:r>
              <w:lastRenderedPageBreak/>
              <w:t>Provide all other grades and definitions from the evidence grading system</w:t>
            </w:r>
          </w:p>
        </w:tc>
        <w:tc>
          <w:tcPr>
            <w:tcW w:w="4945" w:type="dxa"/>
          </w:tcPr>
          <w:p w14:paraId="55B8DA7E" w14:textId="08F7E9EF" w:rsidR="00AB4ECE" w:rsidRPr="00EF26CD" w:rsidRDefault="00EF26CD" w:rsidP="002E2177">
            <w:pPr>
              <w:ind w:left="0" w:firstLine="0"/>
              <w:rPr>
                <w:color w:val="FF0000"/>
              </w:rPr>
            </w:pPr>
            <w:r>
              <w:rPr>
                <w:color w:val="FF0000"/>
              </w:rPr>
              <w:t>Not applicable</w:t>
            </w:r>
          </w:p>
        </w:tc>
      </w:tr>
      <w:tr w:rsidR="00AB4ECE" w14:paraId="55B8DA82" w14:textId="77777777" w:rsidTr="00090530">
        <w:tc>
          <w:tcPr>
            <w:tcW w:w="4405"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4945" w:type="dxa"/>
          </w:tcPr>
          <w:p w14:paraId="122FB1B3" w14:textId="77777777" w:rsidR="00EF26CD" w:rsidRPr="00D57B41" w:rsidRDefault="00EF26CD" w:rsidP="00EF26CD">
            <w:pPr>
              <w:ind w:left="-18" w:firstLine="18"/>
              <w:rPr>
                <w:rFonts w:cs="Arial"/>
              </w:rPr>
            </w:pPr>
            <w:r w:rsidRPr="00D57B41">
              <w:rPr>
                <w:rFonts w:cs="Arial"/>
                <w:b/>
              </w:rPr>
              <w:t xml:space="preserve">If guideline recommendation graded, identify the entity that graded the evidence including balance of representation and any disclosures regarding bias:  </w:t>
            </w:r>
            <w:r w:rsidRPr="00D57B41">
              <w:rPr>
                <w:rFonts w:cs="Arial"/>
              </w:rPr>
              <w:t>American Psychiatric Association</w:t>
            </w:r>
          </w:p>
          <w:p w14:paraId="4AC0CDA9" w14:textId="77777777" w:rsidR="00EF26CD" w:rsidRPr="00D57B41" w:rsidRDefault="00EF26CD" w:rsidP="00EF26CD">
            <w:pPr>
              <w:ind w:left="-18" w:firstLine="18"/>
              <w:rPr>
                <w:rFonts w:cs="Arial"/>
                <w:b/>
              </w:rPr>
            </w:pPr>
          </w:p>
          <w:p w14:paraId="2024AAA3" w14:textId="77777777" w:rsidR="00AB4ECE" w:rsidRDefault="00EF26CD" w:rsidP="00EF26CD">
            <w:pPr>
              <w:ind w:left="0" w:firstLine="0"/>
              <w:rPr>
                <w:rFonts w:cs="Arial"/>
              </w:rPr>
            </w:pPr>
            <w:r w:rsidRPr="00D57B41">
              <w:rPr>
                <w:rFonts w:cs="Arial"/>
                <w:b/>
              </w:rPr>
              <w:t xml:space="preserve">Grade Assigned to the Recommendation:  </w:t>
            </w:r>
            <w:r w:rsidRPr="00EF26CD">
              <w:rPr>
                <w:rFonts w:cs="Arial"/>
              </w:rPr>
              <w:t>I to II</w:t>
            </w:r>
          </w:p>
          <w:p w14:paraId="55B8DA81" w14:textId="39B2F114" w:rsidR="00EF26CD" w:rsidRDefault="00EF26CD" w:rsidP="00EF26CD">
            <w:pPr>
              <w:ind w:left="0" w:firstLine="0"/>
            </w:pPr>
            <w:r w:rsidRPr="00EF26CD">
              <w:rPr>
                <w:rFonts w:cs="Arial"/>
                <w:color w:val="FF0000"/>
              </w:rPr>
              <w:t>For definition, see below</w:t>
            </w:r>
          </w:p>
        </w:tc>
      </w:tr>
      <w:tr w:rsidR="00AB4ECE" w14:paraId="55B8DA85" w14:textId="77777777" w:rsidTr="00090530">
        <w:tc>
          <w:tcPr>
            <w:tcW w:w="4405" w:type="dxa"/>
          </w:tcPr>
          <w:p w14:paraId="55B8DA83" w14:textId="77777777" w:rsidR="00AB4ECE" w:rsidRDefault="00AB4ECE" w:rsidP="00E42FAA">
            <w:pPr>
              <w:ind w:left="0" w:firstLine="0"/>
            </w:pPr>
            <w:r>
              <w:t>Provide all other grades and definitions from the recommendation grading system</w:t>
            </w:r>
          </w:p>
        </w:tc>
        <w:tc>
          <w:tcPr>
            <w:tcW w:w="4945" w:type="dxa"/>
          </w:tcPr>
          <w:p w14:paraId="073C48D7" w14:textId="77777777" w:rsidR="00EF26CD" w:rsidRPr="00D57B41" w:rsidRDefault="00EF26CD" w:rsidP="00EF26CD">
            <w:pPr>
              <w:ind w:left="0" w:firstLine="0"/>
              <w:rPr>
                <w:rFonts w:cs="Arial"/>
                <w:b/>
                <w:highlight w:val="yellow"/>
              </w:rPr>
            </w:pPr>
            <w:r w:rsidRPr="00D57B41">
              <w:rPr>
                <w:rFonts w:cs="Arial"/>
                <w:b/>
              </w:rPr>
              <w:t xml:space="preserve">System Used for Grading the Strength of Guideline Recommendation:  </w:t>
            </w:r>
            <w:r w:rsidRPr="00D57B41">
              <w:rPr>
                <w:rFonts w:cs="Arial"/>
              </w:rPr>
              <w:t>Other</w:t>
            </w:r>
          </w:p>
          <w:p w14:paraId="2EC305A5" w14:textId="77777777" w:rsidR="00EF26CD" w:rsidRPr="00D57B41" w:rsidRDefault="00EF26CD" w:rsidP="00EF26CD">
            <w:pPr>
              <w:rPr>
                <w:rFonts w:cs="Arial"/>
                <w:b/>
                <w:color w:val="555555"/>
                <w:highlight w:val="yellow"/>
              </w:rPr>
            </w:pPr>
          </w:p>
          <w:p w14:paraId="7875FE32" w14:textId="22D26559" w:rsidR="00AB4ECE" w:rsidRDefault="00EF26CD" w:rsidP="00EF26CD">
            <w:pPr>
              <w:ind w:left="0" w:firstLine="0"/>
              <w:rPr>
                <w:rFonts w:cs="Arial"/>
                <w:b/>
              </w:rPr>
            </w:pPr>
            <w:r w:rsidRPr="00D57B41">
              <w:rPr>
                <w:rFonts w:cs="Arial"/>
                <w:b/>
              </w:rPr>
              <w:t>If other, identify and describe the grading scale with definitions:</w:t>
            </w:r>
            <w:r>
              <w:rPr>
                <w:rFonts w:cs="Arial"/>
                <w:b/>
              </w:rPr>
              <w:t xml:space="preserve">  </w:t>
            </w:r>
          </w:p>
          <w:p w14:paraId="747130E0" w14:textId="77777777" w:rsidR="00EF26CD" w:rsidRPr="00EF26CD" w:rsidRDefault="00EF26CD" w:rsidP="00EF26CD">
            <w:pPr>
              <w:rPr>
                <w:rFonts w:cs="Arial"/>
                <w:b/>
              </w:rPr>
            </w:pPr>
            <w:r w:rsidRPr="00EF26CD">
              <w:rPr>
                <w:rFonts w:cs="Arial"/>
              </w:rPr>
              <w:t>The system for grading the strength of the guidelines recommendations is as follows:</w:t>
            </w:r>
          </w:p>
          <w:p w14:paraId="356CFCEF" w14:textId="1AC55A44" w:rsidR="00EF26CD" w:rsidRPr="00EF26CD" w:rsidRDefault="00EF26CD" w:rsidP="00EF26CD">
            <w:pPr>
              <w:rPr>
                <w:rFonts w:cs="Arial"/>
              </w:rPr>
            </w:pPr>
            <w:r w:rsidRPr="00EF26CD">
              <w:rPr>
                <w:rFonts w:cs="Arial"/>
              </w:rPr>
              <w:t>•      [I] Recommended with substantial clinical confidence.</w:t>
            </w:r>
          </w:p>
          <w:p w14:paraId="5ECD4BD9" w14:textId="77777777" w:rsidR="00EF26CD" w:rsidRPr="00EF26CD" w:rsidRDefault="00EF26CD" w:rsidP="00EF26CD">
            <w:pPr>
              <w:rPr>
                <w:rFonts w:cs="Arial"/>
              </w:rPr>
            </w:pPr>
            <w:r w:rsidRPr="00EF26CD">
              <w:rPr>
                <w:rFonts w:cs="Arial"/>
              </w:rPr>
              <w:t>•</w:t>
            </w:r>
            <w:r w:rsidRPr="00EF26CD">
              <w:rPr>
                <w:rFonts w:cs="Arial"/>
              </w:rPr>
              <w:tab/>
              <w:t>[II] Recommended with moderate clinical confidence.</w:t>
            </w:r>
          </w:p>
          <w:p w14:paraId="55B8DA84" w14:textId="04E3BE32" w:rsidR="00EF26CD" w:rsidRDefault="00EF26CD" w:rsidP="00EF26CD">
            <w:r w:rsidRPr="00EF26CD">
              <w:rPr>
                <w:rFonts w:cs="Arial"/>
              </w:rPr>
              <w:t>•</w:t>
            </w:r>
            <w:r w:rsidRPr="00EF26CD">
              <w:rPr>
                <w:rFonts w:cs="Arial"/>
              </w:rPr>
              <w:tab/>
              <w:t>[III] May be recommended on the basis of individual circumstances.</w:t>
            </w:r>
          </w:p>
        </w:tc>
      </w:tr>
      <w:tr w:rsidR="00AB4ECE" w14:paraId="55B8DA8A" w14:textId="77777777" w:rsidTr="00090530">
        <w:tc>
          <w:tcPr>
            <w:tcW w:w="4405"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4945" w:type="dxa"/>
          </w:tcPr>
          <w:p w14:paraId="46A83000" w14:textId="77777777" w:rsidR="00AB4ECE" w:rsidRDefault="00B47E1A" w:rsidP="00B47E1A">
            <w:pPr>
              <w:ind w:left="-18" w:firstLine="0"/>
              <w:rPr>
                <w:rFonts w:cs="Arial"/>
              </w:rPr>
            </w:pPr>
            <w:r w:rsidRPr="00CD35D2">
              <w:rPr>
                <w:rFonts w:ascii="Arial Narrow" w:hAnsi="Arial Narrow" w:cs="Arial"/>
                <w:b/>
                <w:bCs/>
              </w:rPr>
              <w:t xml:space="preserve">Directness of </w:t>
            </w:r>
            <w:r>
              <w:rPr>
                <w:rFonts w:ascii="Arial Narrow" w:hAnsi="Arial Narrow" w:cs="Arial"/>
                <w:b/>
                <w:bCs/>
              </w:rPr>
              <w:t>E</w:t>
            </w:r>
            <w:r w:rsidRPr="00CD35D2">
              <w:rPr>
                <w:rFonts w:ascii="Arial Narrow" w:hAnsi="Arial Narrow" w:cs="Arial"/>
                <w:b/>
                <w:bCs/>
              </w:rPr>
              <w:t xml:space="preserve">vidence to the </w:t>
            </w:r>
            <w:r>
              <w:rPr>
                <w:rFonts w:ascii="Arial Narrow" w:hAnsi="Arial Narrow" w:cs="Arial"/>
                <w:b/>
                <w:bCs/>
              </w:rPr>
              <w:t>S</w:t>
            </w:r>
            <w:r w:rsidRPr="00CD35D2">
              <w:rPr>
                <w:rFonts w:ascii="Arial Narrow" w:hAnsi="Arial Narrow" w:cs="Arial"/>
                <w:b/>
                <w:bCs/>
              </w:rPr>
              <w:t xml:space="preserve">pecified </w:t>
            </w:r>
            <w:r>
              <w:rPr>
                <w:rFonts w:ascii="Arial Narrow" w:hAnsi="Arial Narrow" w:cs="Arial"/>
                <w:b/>
                <w:bCs/>
              </w:rPr>
              <w:t>M</w:t>
            </w:r>
            <w:r w:rsidRPr="00CD35D2">
              <w:rPr>
                <w:rFonts w:ascii="Arial Narrow" w:hAnsi="Arial Narrow" w:cs="Arial"/>
                <w:b/>
                <w:bCs/>
              </w:rPr>
              <w:t xml:space="preserve">easure </w:t>
            </w:r>
            <w:r w:rsidRPr="00B47E1A">
              <w:rPr>
                <w:rFonts w:cs="Arial"/>
              </w:rPr>
              <w:t>This measure is consistent with the guidelines recommended by the American Psychiatric Association (APA) when assessing treatment resistance or partial response in patients prescribed antipsychotic medications.  It is important to carefully evaluate whether the patient has had an adequate trial of antipsychotic medications, including an adequate dose and length of time for the trial. The focus of both the performance measure and the body of evidence supports the need for monitoring antipsychotic prescribing practice, and whether there is an appropriate justification for prescribing more than one antipsychotic medication.</w:t>
            </w:r>
          </w:p>
          <w:p w14:paraId="3D4647F7" w14:textId="77777777" w:rsidR="00B47E1A" w:rsidRDefault="00B47E1A" w:rsidP="00B47E1A">
            <w:pPr>
              <w:ind w:left="-18" w:firstLine="0"/>
            </w:pPr>
          </w:p>
          <w:p w14:paraId="597961C2" w14:textId="5F8AB05E" w:rsidR="00B47E1A" w:rsidRDefault="00B47E1A" w:rsidP="00653306">
            <w:pPr>
              <w:ind w:left="0" w:firstLine="0"/>
              <w:rPr>
                <w:b/>
              </w:rPr>
            </w:pPr>
          </w:p>
          <w:p w14:paraId="669CED1A" w14:textId="77777777" w:rsidR="00653306" w:rsidRDefault="00653306" w:rsidP="00B47E1A">
            <w:pPr>
              <w:rPr>
                <w:rFonts w:cs="Arial"/>
              </w:rPr>
            </w:pPr>
          </w:p>
          <w:p w14:paraId="2D40DEF4" w14:textId="77777777" w:rsidR="00653306" w:rsidRDefault="00653306" w:rsidP="00B47E1A">
            <w:pPr>
              <w:rPr>
                <w:rFonts w:cs="Arial"/>
              </w:rPr>
            </w:pPr>
          </w:p>
          <w:p w14:paraId="2CB60EAF" w14:textId="37AE5815" w:rsidR="00653306" w:rsidRDefault="00D33D7D" w:rsidP="00B47E1A">
            <w:pPr>
              <w:rPr>
                <w:rFonts w:cs="Arial"/>
              </w:rPr>
            </w:pPr>
            <w:r w:rsidRPr="00B47E1A">
              <w:rPr>
                <w:b/>
              </w:rPr>
              <w:lastRenderedPageBreak/>
              <w:t>Quantity:</w:t>
            </w:r>
          </w:p>
          <w:p w14:paraId="6BC447E4" w14:textId="77777777" w:rsidR="00B47E1A" w:rsidRPr="00B47E1A" w:rsidRDefault="00B47E1A" w:rsidP="00B47E1A">
            <w:pPr>
              <w:rPr>
                <w:rFonts w:cs="Arial"/>
                <w:i/>
              </w:rPr>
            </w:pPr>
            <w:r w:rsidRPr="00B47E1A">
              <w:rPr>
                <w:rFonts w:cs="Arial"/>
              </w:rPr>
              <w:t>During a meta-analysis of studies conducted from 1966 through December 2007 the following were identified:</w:t>
            </w:r>
          </w:p>
          <w:p w14:paraId="6406EACA" w14:textId="77777777" w:rsidR="00B47E1A" w:rsidRPr="00B47E1A" w:rsidRDefault="00B47E1A" w:rsidP="00B47E1A">
            <w:pPr>
              <w:rPr>
                <w:rFonts w:cs="Arial"/>
              </w:rPr>
            </w:pPr>
            <w:r w:rsidRPr="00B47E1A">
              <w:rPr>
                <w:rFonts w:cs="Arial"/>
              </w:rPr>
              <w:t>•</w:t>
            </w:r>
            <w:r w:rsidRPr="00B47E1A">
              <w:rPr>
                <w:rFonts w:cs="Arial"/>
              </w:rPr>
              <w:tab/>
              <w:t>Six RCTs comparing antipsychotic polypharmacy to monotherapy in samples with established treatment resistance to trials of a single antipsychotic were identified.</w:t>
            </w:r>
          </w:p>
          <w:p w14:paraId="786A360C" w14:textId="77777777" w:rsidR="00B47E1A" w:rsidRPr="00B47E1A" w:rsidRDefault="00B47E1A" w:rsidP="00B47E1A">
            <w:pPr>
              <w:rPr>
                <w:rFonts w:cs="Arial"/>
              </w:rPr>
            </w:pPr>
            <w:r w:rsidRPr="00B47E1A">
              <w:rPr>
                <w:rFonts w:cs="Arial"/>
              </w:rPr>
              <w:t>•</w:t>
            </w:r>
            <w:r w:rsidRPr="00B47E1A">
              <w:rPr>
                <w:rFonts w:cs="Arial"/>
              </w:rPr>
              <w:tab/>
              <w:t>Three RCTs that compared antipsychotic polypharmacy to monotherapy in samples without established treatment resistance to a single antipsychotic were identified.</w:t>
            </w:r>
          </w:p>
          <w:p w14:paraId="1DA8756E" w14:textId="77777777" w:rsidR="00B47E1A" w:rsidRPr="00B47E1A" w:rsidRDefault="00B47E1A" w:rsidP="00B47E1A">
            <w:pPr>
              <w:rPr>
                <w:rFonts w:cs="Arial"/>
              </w:rPr>
            </w:pPr>
            <w:r w:rsidRPr="00B47E1A">
              <w:rPr>
                <w:rFonts w:cs="Arial"/>
              </w:rPr>
              <w:t>•</w:t>
            </w:r>
            <w:r w:rsidRPr="00B47E1A">
              <w:rPr>
                <w:rFonts w:cs="Arial"/>
              </w:rPr>
              <w:tab/>
              <w:t xml:space="preserve">Nine </w:t>
            </w:r>
            <w:proofErr w:type="spellStart"/>
            <w:r w:rsidRPr="00B47E1A">
              <w:rPr>
                <w:rFonts w:cs="Arial"/>
              </w:rPr>
              <w:t>noncontrolled</w:t>
            </w:r>
            <w:proofErr w:type="spellEnd"/>
            <w:r w:rsidRPr="00B47E1A">
              <w:rPr>
                <w:rFonts w:cs="Arial"/>
              </w:rPr>
              <w:t xml:space="preserve"> observational trials comparing antipsychotic polypharmacy to monotherapy in samples with established treatment resistance to trials of a single antipsychotic were identified.</w:t>
            </w:r>
          </w:p>
          <w:p w14:paraId="62ADB53B" w14:textId="77777777" w:rsidR="00B47E1A" w:rsidRPr="00B47E1A" w:rsidRDefault="00B47E1A" w:rsidP="00B47E1A">
            <w:pPr>
              <w:rPr>
                <w:rFonts w:cs="Arial"/>
              </w:rPr>
            </w:pPr>
            <w:r w:rsidRPr="00B47E1A">
              <w:rPr>
                <w:rFonts w:cs="Arial"/>
              </w:rPr>
              <w:t>•</w:t>
            </w:r>
            <w:r w:rsidRPr="00B47E1A">
              <w:rPr>
                <w:rFonts w:cs="Arial"/>
              </w:rPr>
              <w:tab/>
              <w:t>Six nonrandomized controlled trials that compared antipsychotic polypharmacy to monotherapy in samples without established treatment resistance to a single antipsychotic were identified.</w:t>
            </w:r>
          </w:p>
          <w:p w14:paraId="3D0E8215" w14:textId="77777777" w:rsidR="00B47E1A" w:rsidRDefault="00B47E1A" w:rsidP="00B47E1A">
            <w:pPr>
              <w:rPr>
                <w:rFonts w:cs="Arial"/>
              </w:rPr>
            </w:pPr>
            <w:r w:rsidRPr="00B47E1A">
              <w:rPr>
                <w:rFonts w:cs="Arial"/>
              </w:rPr>
              <w:t>•</w:t>
            </w:r>
            <w:r w:rsidRPr="00B47E1A">
              <w:rPr>
                <w:rFonts w:cs="Arial"/>
              </w:rPr>
              <w:tab/>
              <w:t xml:space="preserve">Six </w:t>
            </w:r>
            <w:proofErr w:type="spellStart"/>
            <w:r w:rsidRPr="00B47E1A">
              <w:rPr>
                <w:rFonts w:cs="Arial"/>
              </w:rPr>
              <w:t>noncontrolled</w:t>
            </w:r>
            <w:proofErr w:type="spellEnd"/>
            <w:r w:rsidRPr="00B47E1A">
              <w:rPr>
                <w:rFonts w:cs="Arial"/>
              </w:rPr>
              <w:t xml:space="preserve"> observational studies that examined the relationship between antipsychotic polypharmacy and clinical outcomes in samples without documented treatment resistance to monotherapy were identified.</w:t>
            </w:r>
          </w:p>
          <w:p w14:paraId="55FC33AB" w14:textId="77777777" w:rsidR="00B47E1A" w:rsidRDefault="00B47E1A" w:rsidP="00B47E1A">
            <w:pPr>
              <w:rPr>
                <w:rFonts w:cs="Arial"/>
              </w:rPr>
            </w:pPr>
          </w:p>
          <w:p w14:paraId="57037709" w14:textId="77777777" w:rsidR="00B47E1A" w:rsidRPr="00B47E1A" w:rsidRDefault="00B47E1A" w:rsidP="00B47E1A">
            <w:pPr>
              <w:ind w:left="0" w:firstLine="0"/>
              <w:rPr>
                <w:b/>
              </w:rPr>
            </w:pPr>
            <w:r w:rsidRPr="00B47E1A">
              <w:rPr>
                <w:b/>
              </w:rPr>
              <w:t>Quality:</w:t>
            </w:r>
          </w:p>
          <w:p w14:paraId="3AFA7993" w14:textId="77777777" w:rsidR="00B47E1A" w:rsidRPr="00B47E1A" w:rsidRDefault="00B47E1A" w:rsidP="00B47E1A">
            <w:pPr>
              <w:rPr>
                <w:rFonts w:cs="Arial"/>
              </w:rPr>
            </w:pPr>
            <w:r w:rsidRPr="00B47E1A">
              <w:rPr>
                <w:rFonts w:cs="Arial"/>
              </w:rPr>
              <w:t xml:space="preserve">The quality of evidence supporting the reduction in antipsychotic polypharmacy without an appropriate justification is high. RCTs have consistently reported no clear benefit in antipsychotic polypharmacy versus monotherapy for controlling symptoms without established treatment resistance to a single antipsychotic medication. As stated previously, the increased risk of sudden cardiac death has been noted with increased doses of antipsychotic medications. Pediatric exposure to multiple antipsychotic medications increased the odds of developing obesity/excessive weight gain (odds ratio [OR], 2.28), Type II diabetes (OR, 2.36) and dyslipidemia (OR, 5.26), cardiovascular conditions (OR, 2.70), digestive/urogenital problems and neurological/sensory symptoms.  </w:t>
            </w:r>
          </w:p>
          <w:p w14:paraId="47571CC2" w14:textId="11B65D99" w:rsidR="00B47E1A" w:rsidRDefault="00B47E1A" w:rsidP="00B47E1A">
            <w:pPr>
              <w:rPr>
                <w:rFonts w:cs="Arial"/>
              </w:rPr>
            </w:pPr>
            <w:r w:rsidRPr="00B47E1A">
              <w:rPr>
                <w:rFonts w:cs="Arial"/>
              </w:rPr>
              <w:lastRenderedPageBreak/>
              <w:t xml:space="preserve"> As noted above, the American Psychiatric Association has had guidelines in place since 1997 addressing appropriate antipsychotic use. One antipsychotic medication should be prescribed at a time for patients with psychotic disorders.  For patients who do not respond to an adequate dose and duration of different trials of monotherapy, antipsychotic combination treatment may be considered with close clinical </w:t>
            </w:r>
            <w:proofErr w:type="gramStart"/>
            <w:r w:rsidRPr="00B47E1A">
              <w:rPr>
                <w:rFonts w:cs="Arial"/>
              </w:rPr>
              <w:t>monitoring.</w:t>
            </w:r>
            <w:proofErr w:type="gramEnd"/>
            <w:r w:rsidRPr="00B47E1A">
              <w:rPr>
                <w:rFonts w:cs="Arial"/>
              </w:rPr>
              <w:t xml:space="preserve"> </w:t>
            </w:r>
            <w:r w:rsidR="00D33D7D">
              <w:rPr>
                <w:rFonts w:cs="Arial"/>
              </w:rPr>
              <w:t xml:space="preserve"> </w:t>
            </w:r>
            <w:r w:rsidRPr="00B47E1A">
              <w:rPr>
                <w:rFonts w:cs="Arial"/>
              </w:rPr>
              <w:t>Future trials evaluating long term safety and tolerability trials and comparisons of specific antipsychotic medication combinations are still required.</w:t>
            </w:r>
          </w:p>
          <w:p w14:paraId="7522F1C7" w14:textId="77777777" w:rsidR="000D0C75" w:rsidRDefault="000D0C75" w:rsidP="00B47E1A">
            <w:pPr>
              <w:rPr>
                <w:rFonts w:cs="Arial"/>
              </w:rPr>
            </w:pPr>
          </w:p>
          <w:p w14:paraId="64C2749D" w14:textId="05600E86" w:rsidR="000D0C75" w:rsidRPr="00007334" w:rsidRDefault="000D0C75" w:rsidP="000D0C75">
            <w:pPr>
              <w:rPr>
                <w:rFonts w:cs="Arial"/>
                <w:b/>
              </w:rPr>
            </w:pPr>
            <w:r w:rsidRPr="00007334">
              <w:rPr>
                <w:rFonts w:cs="Arial"/>
                <w:b/>
              </w:rPr>
              <w:t xml:space="preserve">Summary of Controversy/Contradictory Evidence:  </w:t>
            </w:r>
            <w:r w:rsidRPr="00007334">
              <w:rPr>
                <w:rFonts w:cs="Arial"/>
              </w:rPr>
              <w:t xml:space="preserve">There is no documented evidence regarding controversy related to the three appropriate justifications for prescribing multiple antipsychotic medications: previous failed trials of monotherapy, cross-tapering to monotherapy and augmentation of clozapine.  There is no empiric evidence supporting other justifications, i.e. addition of a second antipsychotic medication for sleep. </w:t>
            </w:r>
          </w:p>
          <w:p w14:paraId="58A24874" w14:textId="77777777" w:rsidR="000D0C75" w:rsidRDefault="000D0C75" w:rsidP="00B47E1A">
            <w:pPr>
              <w:rPr>
                <w:rFonts w:cs="Arial"/>
              </w:rPr>
            </w:pPr>
          </w:p>
          <w:p w14:paraId="5D9CAF88" w14:textId="77777777" w:rsidR="000D0C75" w:rsidRPr="000D0C75" w:rsidRDefault="000D0C75" w:rsidP="000D0C75">
            <w:pPr>
              <w:rPr>
                <w:rFonts w:cs="Arial"/>
                <w:b/>
              </w:rPr>
            </w:pPr>
            <w:r w:rsidRPr="000D0C75">
              <w:rPr>
                <w:rFonts w:cs="Arial"/>
                <w:b/>
              </w:rPr>
              <w:t xml:space="preserve">Based on the NQF descriptions for rating the evidence, what was the </w:t>
            </w:r>
            <w:r w:rsidRPr="000D0C75">
              <w:rPr>
                <w:rFonts w:cs="Arial"/>
                <w:b/>
                <w:u w:val="single"/>
              </w:rPr>
              <w:t>developer’s assessment</w:t>
            </w:r>
            <w:r w:rsidRPr="000D0C75">
              <w:rPr>
                <w:rFonts w:cs="Arial"/>
                <w:b/>
              </w:rPr>
              <w:t xml:space="preserve"> of the quantity, quality, and consistency of the body of evidence? </w:t>
            </w:r>
          </w:p>
          <w:p w14:paraId="113202F7" w14:textId="77777777" w:rsidR="000D0C75" w:rsidRPr="000D0C75" w:rsidRDefault="000D0C75" w:rsidP="000D0C75">
            <w:pPr>
              <w:rPr>
                <w:rFonts w:cs="Arial"/>
                <w:b/>
              </w:rPr>
            </w:pPr>
            <w:r w:rsidRPr="000D0C75">
              <w:rPr>
                <w:rFonts w:cs="Arial"/>
              </w:rPr>
              <w:t>Quantity:</w:t>
            </w:r>
            <w:r w:rsidRPr="000D0C75">
              <w:rPr>
                <w:rFonts w:cs="Arial"/>
                <w:b/>
              </w:rPr>
              <w:t xml:space="preserve"> </w:t>
            </w:r>
            <w:r w:rsidRPr="000D0C75">
              <w:rPr>
                <w:rFonts w:cs="Arial"/>
              </w:rPr>
              <w:t>High</w:t>
            </w:r>
            <w:r w:rsidRPr="000D0C75">
              <w:rPr>
                <w:rFonts w:cs="Arial"/>
                <w:b/>
              </w:rPr>
              <w:t xml:space="preserve">    </w:t>
            </w:r>
          </w:p>
          <w:p w14:paraId="344FDFE8" w14:textId="77777777" w:rsidR="000D0C75" w:rsidRPr="000D0C75" w:rsidRDefault="000D0C75" w:rsidP="000D0C75">
            <w:pPr>
              <w:rPr>
                <w:rFonts w:cs="Arial"/>
              </w:rPr>
            </w:pPr>
            <w:r w:rsidRPr="000D0C75">
              <w:rPr>
                <w:rFonts w:cs="Arial"/>
              </w:rPr>
              <w:t>Quality:</w:t>
            </w:r>
            <w:r w:rsidRPr="000D0C75">
              <w:rPr>
                <w:rFonts w:cs="Arial"/>
                <w:b/>
              </w:rPr>
              <w:t xml:space="preserve"> </w:t>
            </w:r>
            <w:r w:rsidRPr="000D0C75">
              <w:rPr>
                <w:rFonts w:cs="Arial"/>
              </w:rPr>
              <w:t>High</w:t>
            </w:r>
          </w:p>
          <w:p w14:paraId="13008926" w14:textId="48162429" w:rsidR="000D0C75" w:rsidRPr="000D0C75" w:rsidRDefault="000D0C75" w:rsidP="000D0C75">
            <w:pPr>
              <w:rPr>
                <w:rFonts w:cs="Arial"/>
              </w:rPr>
            </w:pPr>
            <w:r w:rsidRPr="000D0C75">
              <w:rPr>
                <w:rFonts w:cs="Arial"/>
              </w:rPr>
              <w:t>Consistency</w:t>
            </w:r>
            <w:r w:rsidRPr="000D0C75">
              <w:rPr>
                <w:rFonts w:cs="Arial"/>
                <w:b/>
              </w:rPr>
              <w:t xml:space="preserve">:  </w:t>
            </w:r>
            <w:r w:rsidRPr="000D0C75">
              <w:rPr>
                <w:rFonts w:cs="Arial"/>
              </w:rPr>
              <w:t>High</w:t>
            </w:r>
          </w:p>
          <w:p w14:paraId="55B8DA89" w14:textId="5C10EA6A" w:rsidR="00B47E1A" w:rsidRPr="00B47E1A" w:rsidRDefault="00B47E1A" w:rsidP="00B47E1A">
            <w:pPr>
              <w:ind w:left="-18" w:firstLine="0"/>
              <w:rPr>
                <w:b/>
              </w:rPr>
            </w:pPr>
          </w:p>
        </w:tc>
      </w:tr>
      <w:tr w:rsidR="00AB4ECE" w14:paraId="55B8DA8D" w14:textId="77777777" w:rsidTr="00090530">
        <w:tc>
          <w:tcPr>
            <w:tcW w:w="4405" w:type="dxa"/>
          </w:tcPr>
          <w:p w14:paraId="55B8DA8B" w14:textId="77777777" w:rsidR="00AB4ECE" w:rsidRDefault="000E5C93" w:rsidP="002E2177">
            <w:pPr>
              <w:ind w:left="0" w:firstLine="0"/>
            </w:pPr>
            <w:r>
              <w:lastRenderedPageBreak/>
              <w:t xml:space="preserve">Estimates of benefit and consistency across studies </w:t>
            </w:r>
          </w:p>
        </w:tc>
        <w:tc>
          <w:tcPr>
            <w:tcW w:w="4945" w:type="dxa"/>
          </w:tcPr>
          <w:p w14:paraId="4B83527E" w14:textId="24972F6F" w:rsidR="00B47E1A" w:rsidRPr="00B47E1A" w:rsidRDefault="00B47E1A" w:rsidP="00B47E1A">
            <w:pPr>
              <w:rPr>
                <w:rFonts w:cs="Arial"/>
                <w:b/>
              </w:rPr>
            </w:pPr>
            <w:r w:rsidRPr="00B47E1A">
              <w:rPr>
                <w:rFonts w:cs="Arial"/>
                <w:b/>
              </w:rPr>
              <w:t>Benefit:</w:t>
            </w:r>
          </w:p>
          <w:p w14:paraId="3BE6C272" w14:textId="45A48E91" w:rsidR="00B47E1A" w:rsidRPr="00B47E1A" w:rsidRDefault="00B47E1A" w:rsidP="00B47E1A">
            <w:pPr>
              <w:rPr>
                <w:rFonts w:cs="Arial"/>
                <w:bCs/>
              </w:rPr>
            </w:pPr>
            <w:r w:rsidRPr="00B47E1A">
              <w:rPr>
                <w:rFonts w:cs="Arial"/>
                <w:bCs/>
              </w:rPr>
              <w:t xml:space="preserve">The purpose of this measure is to evaluate the number of patients discharged on multiple antipsychotic medications to assist the clinician in determining whether there is an appropriate justification supporting the practice.  The evidence shows that monitoring the justifications will lead to a change in prescribing practice leading to a reduction in the number of multiple antipsychotic medications prescribed, which will in turn decrease the chance of developing serious side effects and will ultimately result in substantial savings in health care costs. </w:t>
            </w:r>
          </w:p>
          <w:p w14:paraId="624C5155" w14:textId="77777777" w:rsidR="00B47E1A" w:rsidRDefault="00B47E1A" w:rsidP="00B47E1A">
            <w:pPr>
              <w:rPr>
                <w:rFonts w:cs="Arial"/>
                <w:b/>
              </w:rPr>
            </w:pPr>
          </w:p>
          <w:p w14:paraId="70B62F03" w14:textId="77777777" w:rsidR="00B47E1A" w:rsidRPr="00B47E1A" w:rsidRDefault="00B47E1A" w:rsidP="00B47E1A">
            <w:pPr>
              <w:rPr>
                <w:rFonts w:cs="Arial"/>
                <w:b/>
              </w:rPr>
            </w:pPr>
            <w:r w:rsidRPr="00B47E1A">
              <w:rPr>
                <w:rFonts w:cs="Arial"/>
                <w:b/>
              </w:rPr>
              <w:lastRenderedPageBreak/>
              <w:t>Consistency:</w:t>
            </w:r>
          </w:p>
          <w:p w14:paraId="716F586D" w14:textId="77777777" w:rsidR="00B47E1A" w:rsidRPr="00CD35D2" w:rsidRDefault="00B47E1A" w:rsidP="00B47E1A">
            <w:pPr>
              <w:rPr>
                <w:rFonts w:ascii="Arial Narrow" w:hAnsi="Arial Narrow" w:cs="Arial"/>
                <w:i/>
              </w:rPr>
            </w:pPr>
            <w:r w:rsidRPr="00B47E1A">
              <w:rPr>
                <w:rFonts w:cs="Arial"/>
              </w:rPr>
              <w:t>The body of evidence consistently supports a reduction in antipsychotic polypharmacy without an appropriate justification. A minimum number of three trials of monotherapy at adequate doses and duration should be completed prior to initiation of more than one antipsychotic medication. Additionally, the evidence supports the use of a second antipsychotic medication to augment clozapine and a tapering plan to monotherapy as appropriate justifications for multiple antipsychotic medications.  No position against the importance to reduce antipsychotic polypharmacy without an appropriate justification was identified in the literature.</w:t>
            </w:r>
          </w:p>
          <w:p w14:paraId="55B8DA8C" w14:textId="77777777" w:rsidR="00B47E1A" w:rsidRDefault="00B47E1A" w:rsidP="002E2177">
            <w:pPr>
              <w:ind w:left="0" w:firstLine="0"/>
            </w:pPr>
          </w:p>
        </w:tc>
      </w:tr>
      <w:tr w:rsidR="000E5C93" w14:paraId="55B8DA90" w14:textId="77777777" w:rsidTr="00090530">
        <w:tc>
          <w:tcPr>
            <w:tcW w:w="4405" w:type="dxa"/>
          </w:tcPr>
          <w:p w14:paraId="55B8DA8E" w14:textId="7BB160AF" w:rsidR="000E5C93" w:rsidRDefault="000E5C93" w:rsidP="002E2177">
            <w:pPr>
              <w:ind w:left="0" w:firstLine="0"/>
            </w:pPr>
            <w:r>
              <w:lastRenderedPageBreak/>
              <w:t>What harms were identified?</w:t>
            </w:r>
          </w:p>
        </w:tc>
        <w:tc>
          <w:tcPr>
            <w:tcW w:w="4945" w:type="dxa"/>
          </w:tcPr>
          <w:p w14:paraId="51ABC4AA" w14:textId="77777777" w:rsidR="00AB072C" w:rsidRPr="00AB072C" w:rsidRDefault="00AB072C" w:rsidP="00AB072C">
            <w:pPr>
              <w:rPr>
                <w:rFonts w:cs="Arial"/>
                <w:bCs/>
              </w:rPr>
            </w:pPr>
            <w:r w:rsidRPr="00AB072C">
              <w:rPr>
                <w:rFonts w:cs="Arial"/>
                <w:bCs/>
              </w:rPr>
              <w:t>No harms to the patient receiving justified multiple antipsychotic medications were found during the literature review.</w:t>
            </w:r>
          </w:p>
          <w:p w14:paraId="55B8DA8F" w14:textId="77777777" w:rsidR="000E5C93" w:rsidRDefault="000E5C93" w:rsidP="002E2177">
            <w:pPr>
              <w:ind w:left="0" w:firstLine="0"/>
            </w:pPr>
          </w:p>
        </w:tc>
      </w:tr>
      <w:tr w:rsidR="000E5C93" w14:paraId="55B8DA93" w14:textId="77777777" w:rsidTr="00090530">
        <w:tc>
          <w:tcPr>
            <w:tcW w:w="4405" w:type="dxa"/>
          </w:tcPr>
          <w:p w14:paraId="55B8DA91" w14:textId="77777777" w:rsidR="000E5C93" w:rsidRDefault="000E5C93" w:rsidP="000E5C93">
            <w:pPr>
              <w:ind w:left="0" w:firstLine="0"/>
            </w:pPr>
            <w:r>
              <w:t>Identify any new studies conducted since the SR. Do the new studies change the conclusions from the SR?</w:t>
            </w:r>
          </w:p>
        </w:tc>
        <w:tc>
          <w:tcPr>
            <w:tcW w:w="4945" w:type="dxa"/>
          </w:tcPr>
          <w:p w14:paraId="3D371652" w14:textId="77777777" w:rsidR="00AB072C" w:rsidRPr="00CD35D2" w:rsidRDefault="00AB072C" w:rsidP="00AB072C">
            <w:pPr>
              <w:rPr>
                <w:rFonts w:ascii="Arial Narrow" w:hAnsi="Arial Narrow" w:cs="Arial"/>
                <w:b/>
              </w:rPr>
            </w:pPr>
            <w:r w:rsidRPr="00AB072C">
              <w:rPr>
                <w:rFonts w:cs="Arial"/>
              </w:rPr>
              <w:t>A review of recent studies also supports the use of quality improvement interventions to educate staff on these appropriate justifications which may further reduce antipsychotic polypharmacy. No position against reducing the number of antipsychotic medications prescribed without an appropriate justification was identified in the literature</w:t>
            </w:r>
            <w:r w:rsidRPr="000D1054">
              <w:rPr>
                <w:rFonts w:ascii="Arial Narrow" w:hAnsi="Arial Narrow" w:cs="Arial"/>
                <w:color w:val="0000FF"/>
              </w:rPr>
              <w:t>.</w:t>
            </w:r>
          </w:p>
          <w:p w14:paraId="55B8DA92" w14:textId="77777777" w:rsidR="000E5C93" w:rsidRDefault="000E5C93"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proofErr w:type="gramStart"/>
      <w:r w:rsidRPr="000E5C93">
        <w:rPr>
          <w:b/>
        </w:rPr>
        <w:t>B</w:t>
      </w:r>
      <w:r>
        <w:rPr>
          <w:b/>
        </w:rPr>
        <w:t>riefly</w:t>
      </w:r>
      <w:proofErr w:type="gramEnd"/>
      <w:r>
        <w:rPr>
          <w:b/>
        </w:rPr>
        <w:t xml:space="preserve">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15BA68F3" w14:textId="77777777" w:rsidR="00AB072C" w:rsidRPr="00AB072C" w:rsidRDefault="00AB072C" w:rsidP="00AB072C">
      <w:pPr>
        <w:ind w:left="0" w:firstLine="0"/>
        <w:rPr>
          <w:color w:val="FF0000"/>
        </w:rPr>
      </w:pPr>
      <w:r w:rsidRPr="00AB072C">
        <w:rPr>
          <w:color w:val="FF0000"/>
        </w:rPr>
        <w:t>Not applicable for this submission</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proofErr w:type="gramStart"/>
      <w:r w:rsidR="00837121" w:rsidRPr="003B1CC5">
        <w:rPr>
          <w:b/>
        </w:rPr>
        <w:t>What</w:t>
      </w:r>
      <w:proofErr w:type="gramEnd"/>
      <w:r w:rsidR="00837121" w:rsidRPr="003B1CC5">
        <w:rPr>
          <w:b/>
        </w:rPr>
        <w:t xml:space="preserve"> process was used to identify the evidence?</w:t>
      </w:r>
    </w:p>
    <w:p w14:paraId="2B58E11C" w14:textId="77777777" w:rsidR="00AB072C" w:rsidRPr="00AB072C" w:rsidRDefault="00AB072C" w:rsidP="00AB072C">
      <w:pPr>
        <w:ind w:left="0" w:firstLine="0"/>
        <w:rPr>
          <w:color w:val="FF0000"/>
        </w:rPr>
      </w:pPr>
      <w:r w:rsidRPr="00AB072C">
        <w:rPr>
          <w:color w:val="FF0000"/>
        </w:rPr>
        <w:t>Not applicable for this submission</w:t>
      </w:r>
    </w:p>
    <w:p w14:paraId="55B8DA9C" w14:textId="77777777" w:rsidR="00837121" w:rsidRPr="003B1CC5" w:rsidRDefault="00837121" w:rsidP="002E2177">
      <w:pPr>
        <w:ind w:left="0" w:firstLine="0"/>
      </w:pPr>
    </w:p>
    <w:p w14:paraId="55B8DA9D" w14:textId="77777777"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58F9924C" w14:textId="77777777" w:rsidR="00AB072C" w:rsidRPr="00AB072C" w:rsidRDefault="00AB072C" w:rsidP="00AB072C">
      <w:pPr>
        <w:ind w:left="0" w:firstLine="0"/>
        <w:rPr>
          <w:color w:val="FF0000"/>
        </w:rPr>
      </w:pPr>
      <w:r w:rsidRPr="00AB072C">
        <w:rPr>
          <w:color w:val="FF0000"/>
        </w:rPr>
        <w:t>Not applicable for this submission</w:t>
      </w:r>
    </w:p>
    <w:p w14:paraId="0BC0B6CF" w14:textId="77777777" w:rsidR="00AB072C" w:rsidRDefault="00AB072C" w:rsidP="002E2177">
      <w:pPr>
        <w:ind w:left="0" w:firstLine="0"/>
        <w:rPr>
          <w:b/>
        </w:rPr>
      </w:pPr>
    </w:p>
    <w:p w14:paraId="1C3175F9" w14:textId="77777777" w:rsidR="00D33D7D" w:rsidRDefault="00D33D7D" w:rsidP="00007334">
      <w:pPr>
        <w:rPr>
          <w:rFonts w:ascii="Arial Narrow" w:hAnsi="Arial Narrow" w:cs="Arial"/>
          <w:b/>
        </w:rPr>
      </w:pPr>
    </w:p>
    <w:p w14:paraId="30879E8F" w14:textId="77777777" w:rsidR="00D33D7D" w:rsidRDefault="00D33D7D" w:rsidP="00007334">
      <w:pPr>
        <w:rPr>
          <w:rFonts w:ascii="Arial Narrow" w:hAnsi="Arial Narrow" w:cs="Arial"/>
          <w:b/>
        </w:rPr>
      </w:pPr>
    </w:p>
    <w:p w14:paraId="5F848BCB" w14:textId="2AD452DC" w:rsidR="00AB072C" w:rsidRDefault="00AB072C" w:rsidP="00007334">
      <w:pPr>
        <w:rPr>
          <w:rFonts w:ascii="Arial Narrow" w:hAnsi="Arial Narrow" w:cs="Arial"/>
          <w:b/>
        </w:rPr>
      </w:pPr>
      <w:r>
        <w:rPr>
          <w:rFonts w:ascii="Arial Narrow" w:hAnsi="Arial Narrow" w:cs="Arial"/>
          <w:b/>
        </w:rPr>
        <w:lastRenderedPageBreak/>
        <w:t>From previous submission</w:t>
      </w:r>
      <w:r w:rsidR="007B079E">
        <w:rPr>
          <w:rFonts w:ascii="Arial Narrow" w:hAnsi="Arial Narrow" w:cs="Arial"/>
          <w:b/>
        </w:rPr>
        <w:t xml:space="preserve"> - </w:t>
      </w:r>
      <w:r w:rsidRPr="003201FA">
        <w:rPr>
          <w:rFonts w:ascii="Arial Narrow" w:hAnsi="Arial Narrow" w:cs="Arial"/>
          <w:b/>
        </w:rPr>
        <w:t>Citations for Evidence other than Guidelines</w:t>
      </w:r>
      <w:r w:rsidR="007B079E">
        <w:rPr>
          <w:rFonts w:ascii="Arial Narrow" w:hAnsi="Arial Narrow" w:cs="Arial"/>
          <w:b/>
        </w:rPr>
        <w:t>:</w:t>
      </w:r>
    </w:p>
    <w:p w14:paraId="7E67815B" w14:textId="2EC58D64" w:rsidR="00007334" w:rsidRPr="00AB072C" w:rsidRDefault="00007334" w:rsidP="00007334">
      <w:pPr>
        <w:rPr>
          <w:rFonts w:cs="Arial"/>
          <w:color w:val="555555"/>
        </w:rPr>
      </w:pPr>
    </w:p>
    <w:p w14:paraId="5A1A8273" w14:textId="586C598C" w:rsidR="00AB072C" w:rsidRPr="00D33D7D" w:rsidRDefault="00AB072C" w:rsidP="00D33D7D">
      <w:pPr>
        <w:pStyle w:val="ListParagraph"/>
        <w:numPr>
          <w:ilvl w:val="0"/>
          <w:numId w:val="7"/>
        </w:numPr>
        <w:tabs>
          <w:tab w:val="clear" w:pos="216"/>
          <w:tab w:val="num" w:pos="450"/>
        </w:tabs>
        <w:spacing w:after="0" w:line="240" w:lineRule="auto"/>
        <w:ind w:left="360" w:hanging="360"/>
        <w:rPr>
          <w:rFonts w:cs="Arial"/>
        </w:rPr>
      </w:pPr>
      <w:r w:rsidRPr="00D33D7D">
        <w:rPr>
          <w:rFonts w:cs="Arial"/>
        </w:rPr>
        <w:t xml:space="preserve">American Psychiatric Association (APA). (2004). Steering Committee on Practice Guidelines. Practice guideline for the treatment of patients with schizophrenia, second edition. Am J Psychiatry. 161(2 </w:t>
      </w:r>
      <w:proofErr w:type="spellStart"/>
      <w:r w:rsidRPr="00D33D7D">
        <w:rPr>
          <w:rFonts w:cs="Arial"/>
        </w:rPr>
        <w:t>Suppl</w:t>
      </w:r>
      <w:proofErr w:type="spellEnd"/>
      <w:r w:rsidRPr="00D33D7D">
        <w:rPr>
          <w:rFonts w:cs="Arial"/>
        </w:rPr>
        <w:t xml:space="preserve">):1-56 </w:t>
      </w:r>
    </w:p>
    <w:p w14:paraId="69CDEEBE" w14:textId="77777777" w:rsidR="00AB072C" w:rsidRPr="007B079E" w:rsidRDefault="00007334" w:rsidP="00916C40">
      <w:pPr>
        <w:pStyle w:val="ListParagraph"/>
        <w:numPr>
          <w:ilvl w:val="0"/>
          <w:numId w:val="13"/>
        </w:numPr>
        <w:spacing w:after="0" w:line="240" w:lineRule="auto"/>
        <w:rPr>
          <w:rFonts w:cs="Arial"/>
        </w:rPr>
      </w:pPr>
      <w:proofErr w:type="spellStart"/>
      <w:r w:rsidRPr="007B079E">
        <w:rPr>
          <w:rFonts w:cs="Arial"/>
        </w:rPr>
        <w:t>Ananth</w:t>
      </w:r>
      <w:proofErr w:type="spellEnd"/>
      <w:r w:rsidRPr="007B079E">
        <w:rPr>
          <w:rFonts w:cs="Arial"/>
        </w:rPr>
        <w:t xml:space="preserve">, J., </w:t>
      </w:r>
      <w:proofErr w:type="spellStart"/>
      <w:r w:rsidRPr="007B079E">
        <w:rPr>
          <w:rFonts w:cs="Arial"/>
        </w:rPr>
        <w:t>Parameswaran</w:t>
      </w:r>
      <w:proofErr w:type="spellEnd"/>
      <w:r w:rsidRPr="007B079E">
        <w:rPr>
          <w:rFonts w:cs="Arial"/>
        </w:rPr>
        <w:t xml:space="preserve">, S., &amp; </w:t>
      </w:r>
      <w:proofErr w:type="spellStart"/>
      <w:r w:rsidRPr="007B079E">
        <w:rPr>
          <w:rFonts w:cs="Arial"/>
        </w:rPr>
        <w:t>Gunatilake</w:t>
      </w:r>
      <w:proofErr w:type="spellEnd"/>
      <w:r w:rsidRPr="007B079E">
        <w:rPr>
          <w:rFonts w:cs="Arial"/>
        </w:rPr>
        <w:t xml:space="preserve">, S. (2004). Antipsychotic polypharmacy comparing monotherapy with polypharmacy and augmentation. </w:t>
      </w:r>
      <w:proofErr w:type="spellStart"/>
      <w:r w:rsidRPr="007B079E">
        <w:rPr>
          <w:rFonts w:cs="Arial"/>
        </w:rPr>
        <w:t>Curr</w:t>
      </w:r>
      <w:proofErr w:type="spellEnd"/>
      <w:r w:rsidRPr="007B079E">
        <w:rPr>
          <w:rFonts w:cs="Arial"/>
        </w:rPr>
        <w:t xml:space="preserve"> Med Chem. 11(3):313-327 </w:t>
      </w:r>
      <w:proofErr w:type="spellStart"/>
      <w:r w:rsidRPr="007B079E">
        <w:rPr>
          <w:rFonts w:cs="Arial"/>
        </w:rPr>
        <w:t>Curr</w:t>
      </w:r>
      <w:proofErr w:type="spellEnd"/>
      <w:r w:rsidRPr="007B079E">
        <w:rPr>
          <w:rFonts w:cs="Arial"/>
        </w:rPr>
        <w:t xml:space="preserve"> Pharm Des. 10(18):2231-2238.</w:t>
      </w:r>
    </w:p>
    <w:p w14:paraId="5296A391" w14:textId="5554A8D6" w:rsidR="00007334" w:rsidRPr="007B079E" w:rsidRDefault="00007334" w:rsidP="00916C40">
      <w:pPr>
        <w:pStyle w:val="ListParagraph"/>
        <w:numPr>
          <w:ilvl w:val="0"/>
          <w:numId w:val="13"/>
        </w:numPr>
        <w:spacing w:after="0" w:line="240" w:lineRule="auto"/>
        <w:rPr>
          <w:rFonts w:cs="Arial"/>
        </w:rPr>
      </w:pPr>
      <w:r w:rsidRPr="007B079E">
        <w:rPr>
          <w:rFonts w:cs="Arial"/>
          <w:lang w:val="de-AT"/>
        </w:rPr>
        <w:t xml:space="preserve">Baandrup, L., Sorensen, J., Lublin, H., Nordentoft, M. &amp; Glenthoj, B. (2011). </w:t>
      </w:r>
      <w:r w:rsidRPr="007B079E">
        <w:rPr>
          <w:rFonts w:cs="Arial"/>
        </w:rPr>
        <w:t xml:space="preserve">Association of antipsychotic polypharmacy with health service cost: a register-based cost analysis. </w:t>
      </w:r>
      <w:proofErr w:type="spellStart"/>
      <w:r w:rsidRPr="007B079E">
        <w:rPr>
          <w:rFonts w:cs="Arial"/>
        </w:rPr>
        <w:t>Eur</w:t>
      </w:r>
      <w:proofErr w:type="spellEnd"/>
      <w:r w:rsidRPr="007B079E">
        <w:rPr>
          <w:rFonts w:cs="Arial"/>
        </w:rPr>
        <w:t xml:space="preserve"> J Health Econ. Retrieved March 27, 2012 at: http://www.ncbi.nlm.nih.gov/pubmed.</w:t>
      </w:r>
    </w:p>
    <w:p w14:paraId="780DE5D0" w14:textId="77777777" w:rsidR="00007334" w:rsidRPr="007B079E" w:rsidRDefault="00007334" w:rsidP="00916C40">
      <w:pPr>
        <w:rPr>
          <w:rFonts w:cs="Arial"/>
        </w:rPr>
      </w:pPr>
      <w:r w:rsidRPr="007B079E">
        <w:rPr>
          <w:rFonts w:cs="Arial"/>
        </w:rPr>
        <w:t>•</w:t>
      </w:r>
      <w:r w:rsidRPr="007B079E">
        <w:rPr>
          <w:rFonts w:cs="Arial"/>
        </w:rPr>
        <w:tab/>
        <w:t>Barnes, R.E. &amp; Paton, C. (2011). Antipsychotic polypharmacy in schizophrenia. CNS Drugs. 25(5):383-399.</w:t>
      </w:r>
    </w:p>
    <w:p w14:paraId="48364B3B" w14:textId="77777777" w:rsidR="00007334" w:rsidRPr="007B079E" w:rsidRDefault="00007334" w:rsidP="00916C40">
      <w:pPr>
        <w:rPr>
          <w:rFonts w:cs="Arial"/>
        </w:rPr>
      </w:pPr>
      <w:r w:rsidRPr="007B079E">
        <w:rPr>
          <w:rFonts w:cs="Arial"/>
        </w:rPr>
        <w:t>•</w:t>
      </w:r>
      <w:r w:rsidRPr="007B079E">
        <w:rPr>
          <w:rFonts w:cs="Arial"/>
        </w:rPr>
        <w:tab/>
        <w:t>Busch, A.B., Lehman, A.F., Goldman, H. &amp; Frank, R.G. (2009). Changes over time and disparities in schizophrenia treatment quality. Med Care. 47(2):199-207.</w:t>
      </w:r>
    </w:p>
    <w:p w14:paraId="65F0FB36" w14:textId="77777777" w:rsidR="00007334" w:rsidRPr="007B079E" w:rsidRDefault="00007334" w:rsidP="00916C40">
      <w:pPr>
        <w:rPr>
          <w:rFonts w:cs="Arial"/>
        </w:rPr>
      </w:pPr>
      <w:r w:rsidRPr="007B079E">
        <w:rPr>
          <w:rFonts w:cs="Arial"/>
        </w:rPr>
        <w:t>•</w:t>
      </w:r>
      <w:r w:rsidRPr="007B079E">
        <w:rPr>
          <w:rFonts w:cs="Arial"/>
        </w:rPr>
        <w:tab/>
      </w:r>
      <w:proofErr w:type="spellStart"/>
      <w:r w:rsidRPr="007B079E">
        <w:rPr>
          <w:rFonts w:cs="Arial"/>
        </w:rPr>
        <w:t>Centorrino</w:t>
      </w:r>
      <w:proofErr w:type="spellEnd"/>
      <w:r w:rsidRPr="007B079E">
        <w:rPr>
          <w:rFonts w:cs="Arial"/>
        </w:rPr>
        <w:t xml:space="preserve">, F., </w:t>
      </w:r>
      <w:proofErr w:type="spellStart"/>
      <w:r w:rsidRPr="007B079E">
        <w:rPr>
          <w:rFonts w:cs="Arial"/>
        </w:rPr>
        <w:t>Gören</w:t>
      </w:r>
      <w:proofErr w:type="spellEnd"/>
      <w:r w:rsidRPr="007B079E">
        <w:rPr>
          <w:rFonts w:cs="Arial"/>
        </w:rPr>
        <w:t xml:space="preserve">, J.L., </w:t>
      </w:r>
      <w:proofErr w:type="spellStart"/>
      <w:r w:rsidRPr="007B079E">
        <w:rPr>
          <w:rFonts w:cs="Arial"/>
        </w:rPr>
        <w:t>Hennen</w:t>
      </w:r>
      <w:proofErr w:type="spellEnd"/>
      <w:r w:rsidRPr="007B079E">
        <w:rPr>
          <w:rFonts w:cs="Arial"/>
        </w:rPr>
        <w:t xml:space="preserve">, J., Salvatore, P., Kelleher, J.P., &amp; </w:t>
      </w:r>
      <w:proofErr w:type="spellStart"/>
      <w:r w:rsidRPr="007B079E">
        <w:rPr>
          <w:rFonts w:cs="Arial"/>
        </w:rPr>
        <w:t>Baldessarini</w:t>
      </w:r>
      <w:proofErr w:type="spellEnd"/>
      <w:r w:rsidRPr="007B079E">
        <w:rPr>
          <w:rFonts w:cs="Arial"/>
        </w:rPr>
        <w:t xml:space="preserve">, R.J. (2004) Multiple versus single antipsychotic agents for hospitalized psychiatric patients: a case control study of risk versus benefit. Am J Psychiatry. 161 (4):700-706. </w:t>
      </w:r>
    </w:p>
    <w:p w14:paraId="68E22C38" w14:textId="77777777" w:rsidR="00007334" w:rsidRPr="007B079E" w:rsidRDefault="00007334" w:rsidP="00916C40">
      <w:pPr>
        <w:rPr>
          <w:rFonts w:cs="Arial"/>
        </w:rPr>
      </w:pPr>
      <w:r w:rsidRPr="007B079E">
        <w:rPr>
          <w:rFonts w:cs="Arial"/>
        </w:rPr>
        <w:t>•</w:t>
      </w:r>
      <w:r w:rsidRPr="007B079E">
        <w:rPr>
          <w:rFonts w:cs="Arial"/>
        </w:rPr>
        <w:tab/>
      </w:r>
      <w:proofErr w:type="spellStart"/>
      <w:r w:rsidRPr="007B079E">
        <w:rPr>
          <w:rFonts w:cs="Arial"/>
        </w:rPr>
        <w:t>Covell</w:t>
      </w:r>
      <w:proofErr w:type="spellEnd"/>
      <w:r w:rsidRPr="007B079E">
        <w:rPr>
          <w:rFonts w:cs="Arial"/>
        </w:rPr>
        <w:t xml:space="preserve">, N.H., Jackson, C.T., Evans, A.C., &amp; </w:t>
      </w:r>
      <w:proofErr w:type="spellStart"/>
      <w:r w:rsidRPr="007B079E">
        <w:rPr>
          <w:rFonts w:cs="Arial"/>
        </w:rPr>
        <w:t>Essock</w:t>
      </w:r>
      <w:proofErr w:type="spellEnd"/>
      <w:r w:rsidRPr="007B079E">
        <w:rPr>
          <w:rFonts w:cs="Arial"/>
        </w:rPr>
        <w:t xml:space="preserve">, S.M. (2002). Antipsychotic prescribing practices in Connecticut’s public mental health system: rates of changing medication prescribing styles. </w:t>
      </w:r>
      <w:proofErr w:type="spellStart"/>
      <w:r w:rsidRPr="007B079E">
        <w:rPr>
          <w:rFonts w:cs="Arial"/>
        </w:rPr>
        <w:t>Schiz</w:t>
      </w:r>
      <w:proofErr w:type="spellEnd"/>
      <w:r w:rsidRPr="007B079E">
        <w:rPr>
          <w:rFonts w:cs="Arial"/>
        </w:rPr>
        <w:t xml:space="preserve"> Bull. 28(1):17-29.</w:t>
      </w:r>
    </w:p>
    <w:p w14:paraId="47C745DF" w14:textId="77777777" w:rsidR="00007334" w:rsidRPr="007B079E" w:rsidRDefault="00007334" w:rsidP="00916C40">
      <w:pPr>
        <w:rPr>
          <w:rFonts w:cs="Arial"/>
        </w:rPr>
      </w:pPr>
      <w:r w:rsidRPr="007B079E">
        <w:rPr>
          <w:rFonts w:cs="Arial"/>
        </w:rPr>
        <w:t>•</w:t>
      </w:r>
      <w:r w:rsidRPr="007B079E">
        <w:rPr>
          <w:rFonts w:cs="Arial"/>
        </w:rPr>
        <w:tab/>
      </w:r>
      <w:proofErr w:type="spellStart"/>
      <w:r w:rsidRPr="007B079E">
        <w:rPr>
          <w:rFonts w:cs="Arial"/>
        </w:rPr>
        <w:t>Dolder</w:t>
      </w:r>
      <w:proofErr w:type="spellEnd"/>
      <w:r w:rsidRPr="007B079E">
        <w:rPr>
          <w:rFonts w:cs="Arial"/>
        </w:rPr>
        <w:t xml:space="preserve">, C.R. &amp; McKinsey, J. (2010). Antipsychotic polypharmacy among patients admitted to a geriatric psychiatry unit. J </w:t>
      </w:r>
      <w:proofErr w:type="spellStart"/>
      <w:r w:rsidRPr="007B079E">
        <w:rPr>
          <w:rFonts w:cs="Arial"/>
        </w:rPr>
        <w:t>Psychiatr</w:t>
      </w:r>
      <w:proofErr w:type="spellEnd"/>
      <w:r w:rsidRPr="007B079E">
        <w:rPr>
          <w:rFonts w:cs="Arial"/>
        </w:rPr>
        <w:t xml:space="preserve"> </w:t>
      </w:r>
      <w:proofErr w:type="spellStart"/>
      <w:r w:rsidRPr="007B079E">
        <w:rPr>
          <w:rFonts w:cs="Arial"/>
        </w:rPr>
        <w:t>Pract</w:t>
      </w:r>
      <w:proofErr w:type="spellEnd"/>
      <w:r w:rsidRPr="007B079E">
        <w:rPr>
          <w:rFonts w:cs="Arial"/>
        </w:rPr>
        <w:t>. 17(5):368-74.</w:t>
      </w:r>
    </w:p>
    <w:p w14:paraId="42D05A92" w14:textId="77777777" w:rsidR="00007334" w:rsidRPr="007B079E" w:rsidRDefault="00007334" w:rsidP="00916C40">
      <w:pPr>
        <w:rPr>
          <w:rFonts w:cs="Arial"/>
        </w:rPr>
      </w:pPr>
      <w:r w:rsidRPr="007B079E">
        <w:rPr>
          <w:rFonts w:cs="Arial"/>
        </w:rPr>
        <w:t>•</w:t>
      </w:r>
      <w:r w:rsidRPr="007B079E">
        <w:rPr>
          <w:rFonts w:cs="Arial"/>
        </w:rPr>
        <w:tab/>
      </w:r>
      <w:proofErr w:type="spellStart"/>
      <w:r w:rsidRPr="007B079E">
        <w:rPr>
          <w:rFonts w:cs="Arial"/>
        </w:rPr>
        <w:t>Finnerty</w:t>
      </w:r>
      <w:proofErr w:type="spellEnd"/>
      <w:r w:rsidRPr="007B079E">
        <w:rPr>
          <w:rFonts w:cs="Arial"/>
        </w:rPr>
        <w:t xml:space="preserve">, M.T., Kealey, E., </w:t>
      </w:r>
      <w:proofErr w:type="spellStart"/>
      <w:r w:rsidRPr="007B079E">
        <w:rPr>
          <w:rFonts w:cs="Arial"/>
        </w:rPr>
        <w:t>Leckman</w:t>
      </w:r>
      <w:proofErr w:type="spellEnd"/>
      <w:r w:rsidRPr="007B079E">
        <w:rPr>
          <w:rFonts w:cs="Arial"/>
        </w:rPr>
        <w:t xml:space="preserve">-Westin, E., </w:t>
      </w:r>
      <w:proofErr w:type="spellStart"/>
      <w:r w:rsidRPr="007B079E">
        <w:rPr>
          <w:rFonts w:cs="Arial"/>
        </w:rPr>
        <w:t>Gupta</w:t>
      </w:r>
      <w:proofErr w:type="gramStart"/>
      <w:r w:rsidRPr="007B079E">
        <w:rPr>
          <w:rFonts w:cs="Arial"/>
        </w:rPr>
        <w:t>,N</w:t>
      </w:r>
      <w:proofErr w:type="spellEnd"/>
      <w:proofErr w:type="gramEnd"/>
      <w:r w:rsidRPr="007B079E">
        <w:rPr>
          <w:rFonts w:cs="Arial"/>
        </w:rPr>
        <w:t xml:space="preserve">., White, G.M., Engel, G.M. &amp; </w:t>
      </w:r>
      <w:proofErr w:type="spellStart"/>
      <w:r w:rsidRPr="007B079E">
        <w:rPr>
          <w:rFonts w:cs="Arial"/>
        </w:rPr>
        <w:t>Opler</w:t>
      </w:r>
      <w:proofErr w:type="spellEnd"/>
      <w:r w:rsidRPr="007B079E">
        <w:rPr>
          <w:rFonts w:cs="Arial"/>
        </w:rPr>
        <w:t>, L.A. (2011). Best practices: long-term impact of web-based tools, leadership feedback, and policies on inpatient antipsychotic polypharmacy. Psychiatric Services. 62(10):1124-6.</w:t>
      </w:r>
    </w:p>
    <w:p w14:paraId="4E2F75B8" w14:textId="77777777" w:rsidR="00007334" w:rsidRPr="007B079E" w:rsidRDefault="00007334" w:rsidP="00916C40">
      <w:pPr>
        <w:rPr>
          <w:rFonts w:cs="Arial"/>
        </w:rPr>
      </w:pPr>
      <w:r w:rsidRPr="007B079E">
        <w:rPr>
          <w:rFonts w:cs="Arial"/>
        </w:rPr>
        <w:t>•</w:t>
      </w:r>
      <w:r w:rsidRPr="007B079E">
        <w:rPr>
          <w:rFonts w:cs="Arial"/>
        </w:rPr>
        <w:tab/>
        <w:t xml:space="preserve">Ganguly, R., </w:t>
      </w:r>
      <w:proofErr w:type="spellStart"/>
      <w:r w:rsidRPr="007B079E">
        <w:rPr>
          <w:rFonts w:cs="Arial"/>
        </w:rPr>
        <w:t>Kotzan</w:t>
      </w:r>
      <w:proofErr w:type="spellEnd"/>
      <w:r w:rsidRPr="007B079E">
        <w:rPr>
          <w:rFonts w:cs="Arial"/>
        </w:rPr>
        <w:t xml:space="preserve">, J.A., Miller, L.S., Kennedy, K., &amp; Martin, B.C. (2004). Prevalence, trends, and factors associated with antipsychotic polypharmacy among Medicaid-eligible schizophrenia patients, 1998-2000. J </w:t>
      </w:r>
      <w:proofErr w:type="spellStart"/>
      <w:r w:rsidRPr="007B079E">
        <w:rPr>
          <w:rFonts w:cs="Arial"/>
        </w:rPr>
        <w:t>Clin</w:t>
      </w:r>
      <w:proofErr w:type="spellEnd"/>
      <w:r w:rsidRPr="007B079E">
        <w:rPr>
          <w:rFonts w:cs="Arial"/>
        </w:rPr>
        <w:t xml:space="preserve"> Psychiatry. 65(10):1377-88. </w:t>
      </w:r>
    </w:p>
    <w:p w14:paraId="0DC3F627" w14:textId="77777777" w:rsidR="00007334" w:rsidRPr="007B079E" w:rsidRDefault="00007334" w:rsidP="00916C40">
      <w:pPr>
        <w:rPr>
          <w:rFonts w:cs="Arial"/>
        </w:rPr>
      </w:pPr>
      <w:r w:rsidRPr="007B079E">
        <w:rPr>
          <w:rFonts w:cs="Arial"/>
        </w:rPr>
        <w:t>•</w:t>
      </w:r>
      <w:r w:rsidRPr="007B079E">
        <w:rPr>
          <w:rFonts w:cs="Arial"/>
        </w:rPr>
        <w:tab/>
        <w:t xml:space="preserve">Gilmer, T.P., </w:t>
      </w:r>
      <w:proofErr w:type="spellStart"/>
      <w:r w:rsidRPr="007B079E">
        <w:rPr>
          <w:rFonts w:cs="Arial"/>
        </w:rPr>
        <w:t>Dolder</w:t>
      </w:r>
      <w:proofErr w:type="spellEnd"/>
      <w:r w:rsidRPr="007B079E">
        <w:rPr>
          <w:rFonts w:cs="Arial"/>
        </w:rPr>
        <w:t xml:space="preserve">, C.R., Folsom, D.P., </w:t>
      </w:r>
      <w:proofErr w:type="spellStart"/>
      <w:r w:rsidRPr="007B079E">
        <w:rPr>
          <w:rFonts w:cs="Arial"/>
        </w:rPr>
        <w:t>Mastin</w:t>
      </w:r>
      <w:proofErr w:type="spellEnd"/>
      <w:r w:rsidRPr="007B079E">
        <w:rPr>
          <w:rFonts w:cs="Arial"/>
        </w:rPr>
        <w:t xml:space="preserve">, W., &amp; </w:t>
      </w:r>
      <w:proofErr w:type="spellStart"/>
      <w:r w:rsidRPr="007B079E">
        <w:rPr>
          <w:rFonts w:cs="Arial"/>
        </w:rPr>
        <w:t>Jeste</w:t>
      </w:r>
      <w:proofErr w:type="spellEnd"/>
      <w:r w:rsidRPr="007B079E">
        <w:rPr>
          <w:rFonts w:cs="Arial"/>
        </w:rPr>
        <w:t xml:space="preserve">, D.V. (2007), Antipsychotic polypharmacy trends among Medicaid beneficiaries with schizophrenia in San Diego County, 1999 - 2004. Psychiatric Serv. 59(7):1007-1010. </w:t>
      </w:r>
    </w:p>
    <w:p w14:paraId="31C6F5A2" w14:textId="77777777" w:rsidR="00007334" w:rsidRPr="007B079E" w:rsidRDefault="00007334" w:rsidP="00916C40">
      <w:pPr>
        <w:rPr>
          <w:rFonts w:cs="Arial"/>
        </w:rPr>
      </w:pPr>
      <w:r w:rsidRPr="007B079E">
        <w:rPr>
          <w:rFonts w:cs="Arial"/>
        </w:rPr>
        <w:t>•</w:t>
      </w:r>
      <w:r w:rsidRPr="007B079E">
        <w:rPr>
          <w:rFonts w:cs="Arial"/>
        </w:rPr>
        <w:tab/>
        <w:t xml:space="preserve">Goren, J.L., Beck, S.E., Mills, B.J., </w:t>
      </w:r>
      <w:proofErr w:type="spellStart"/>
      <w:r w:rsidRPr="007B079E">
        <w:rPr>
          <w:rFonts w:cs="Arial"/>
        </w:rPr>
        <w:t>Shtasel</w:t>
      </w:r>
      <w:proofErr w:type="spellEnd"/>
      <w:r w:rsidRPr="007B079E">
        <w:rPr>
          <w:rFonts w:cs="Arial"/>
        </w:rPr>
        <w:t xml:space="preserve">, D.L. &amp; Dufresne, R.L. (2010). Development and delivery of a quality improvement program to reduce </w:t>
      </w:r>
      <w:proofErr w:type="spellStart"/>
      <w:r w:rsidRPr="007B079E">
        <w:rPr>
          <w:rFonts w:cs="Arial"/>
        </w:rPr>
        <w:t>polytherapy</w:t>
      </w:r>
      <w:proofErr w:type="spellEnd"/>
      <w:r w:rsidRPr="007B079E">
        <w:rPr>
          <w:rFonts w:cs="Arial"/>
        </w:rPr>
        <w:t xml:space="preserve">. J </w:t>
      </w:r>
      <w:proofErr w:type="spellStart"/>
      <w:r w:rsidRPr="007B079E">
        <w:rPr>
          <w:rFonts w:cs="Arial"/>
        </w:rPr>
        <w:t>Manag</w:t>
      </w:r>
      <w:proofErr w:type="spellEnd"/>
      <w:r w:rsidRPr="007B079E">
        <w:rPr>
          <w:rFonts w:cs="Arial"/>
        </w:rPr>
        <w:t xml:space="preserve"> Care Pharm. 16(6):393-401.</w:t>
      </w:r>
    </w:p>
    <w:p w14:paraId="38CA1BEC" w14:textId="77777777" w:rsidR="00007334" w:rsidRPr="007B079E" w:rsidRDefault="00007334" w:rsidP="00916C40">
      <w:pPr>
        <w:rPr>
          <w:rFonts w:cs="Arial"/>
        </w:rPr>
      </w:pPr>
      <w:r w:rsidRPr="007B079E">
        <w:rPr>
          <w:rFonts w:cs="Arial"/>
        </w:rPr>
        <w:t>•</w:t>
      </w:r>
      <w:r w:rsidRPr="007B079E">
        <w:rPr>
          <w:rFonts w:cs="Arial"/>
        </w:rPr>
        <w:tab/>
        <w:t xml:space="preserve">Jaffe, A.B. &amp; Levine, J. (2003). Antipsychotic medication co-prescribing in a large state hospital system. </w:t>
      </w:r>
      <w:proofErr w:type="spellStart"/>
      <w:r w:rsidRPr="007B079E">
        <w:rPr>
          <w:rFonts w:cs="Arial"/>
        </w:rPr>
        <w:t>Pharmacoepidemiol</w:t>
      </w:r>
      <w:proofErr w:type="spellEnd"/>
      <w:r w:rsidRPr="007B079E">
        <w:rPr>
          <w:rFonts w:cs="Arial"/>
        </w:rPr>
        <w:t xml:space="preserve"> Drug Saf.12:41-48.</w:t>
      </w:r>
    </w:p>
    <w:p w14:paraId="3C9DFEEE" w14:textId="77777777" w:rsidR="00007334" w:rsidRPr="007B079E" w:rsidRDefault="00007334" w:rsidP="00916C40">
      <w:pPr>
        <w:rPr>
          <w:rFonts w:cs="Arial"/>
        </w:rPr>
      </w:pPr>
      <w:r w:rsidRPr="007B079E">
        <w:rPr>
          <w:rFonts w:cs="Arial"/>
        </w:rPr>
        <w:t>•</w:t>
      </w:r>
      <w:r w:rsidRPr="007B079E">
        <w:rPr>
          <w:rFonts w:cs="Arial"/>
        </w:rPr>
        <w:tab/>
        <w:t xml:space="preserve">Jerrell, J.M. &amp; McIntyre, R.S. (2008). Metabolic and cardiovascular adverse events associated with antipsychotic treatment in children and adolescents. </w:t>
      </w:r>
      <w:proofErr w:type="spellStart"/>
      <w:r w:rsidRPr="007B079E">
        <w:rPr>
          <w:rFonts w:cs="Arial"/>
        </w:rPr>
        <w:t>Pediatr</w:t>
      </w:r>
      <w:proofErr w:type="spellEnd"/>
      <w:r w:rsidRPr="007B079E">
        <w:rPr>
          <w:rFonts w:cs="Arial"/>
        </w:rPr>
        <w:t xml:space="preserve"> </w:t>
      </w:r>
      <w:proofErr w:type="spellStart"/>
      <w:r w:rsidRPr="007B079E">
        <w:rPr>
          <w:rFonts w:cs="Arial"/>
        </w:rPr>
        <w:t>Adolesc</w:t>
      </w:r>
      <w:proofErr w:type="spellEnd"/>
      <w:r w:rsidRPr="007B079E">
        <w:rPr>
          <w:rFonts w:cs="Arial"/>
        </w:rPr>
        <w:t xml:space="preserve"> Med. 162(10):929-35.</w:t>
      </w:r>
    </w:p>
    <w:p w14:paraId="1449D445" w14:textId="77777777" w:rsidR="00007334" w:rsidRPr="007B079E" w:rsidRDefault="00007334" w:rsidP="00916C40">
      <w:pPr>
        <w:rPr>
          <w:rFonts w:cs="Arial"/>
        </w:rPr>
      </w:pPr>
      <w:r w:rsidRPr="007B079E">
        <w:rPr>
          <w:rFonts w:cs="Arial"/>
        </w:rPr>
        <w:t>•</w:t>
      </w:r>
      <w:r w:rsidRPr="007B079E">
        <w:rPr>
          <w:rFonts w:cs="Arial"/>
        </w:rPr>
        <w:tab/>
      </w:r>
      <w:proofErr w:type="spellStart"/>
      <w:r w:rsidRPr="007B079E">
        <w:rPr>
          <w:rFonts w:cs="Arial"/>
        </w:rPr>
        <w:t>Joukamaa</w:t>
      </w:r>
      <w:proofErr w:type="spellEnd"/>
      <w:r w:rsidRPr="007B079E">
        <w:rPr>
          <w:rFonts w:cs="Arial"/>
        </w:rPr>
        <w:t xml:space="preserve">, M., </w:t>
      </w:r>
      <w:proofErr w:type="spellStart"/>
      <w:r w:rsidRPr="007B079E">
        <w:rPr>
          <w:rFonts w:cs="Arial"/>
        </w:rPr>
        <w:t>Heliovaara</w:t>
      </w:r>
      <w:proofErr w:type="spellEnd"/>
      <w:r w:rsidRPr="007B079E">
        <w:rPr>
          <w:rFonts w:cs="Arial"/>
        </w:rPr>
        <w:t xml:space="preserve">, M., </w:t>
      </w:r>
      <w:proofErr w:type="spellStart"/>
      <w:r w:rsidRPr="007B079E">
        <w:rPr>
          <w:rFonts w:cs="Arial"/>
        </w:rPr>
        <w:t>Knekt</w:t>
      </w:r>
      <w:proofErr w:type="spellEnd"/>
      <w:r w:rsidRPr="007B079E">
        <w:rPr>
          <w:rFonts w:cs="Arial"/>
        </w:rPr>
        <w:t xml:space="preserve">, P., </w:t>
      </w:r>
      <w:proofErr w:type="spellStart"/>
      <w:r w:rsidRPr="007B079E">
        <w:rPr>
          <w:rFonts w:cs="Arial"/>
        </w:rPr>
        <w:t>Aromaa</w:t>
      </w:r>
      <w:proofErr w:type="spellEnd"/>
      <w:r w:rsidRPr="007B079E">
        <w:rPr>
          <w:rFonts w:cs="Arial"/>
        </w:rPr>
        <w:t xml:space="preserve">, A., </w:t>
      </w:r>
      <w:proofErr w:type="spellStart"/>
      <w:r w:rsidRPr="007B079E">
        <w:rPr>
          <w:rFonts w:cs="Arial"/>
        </w:rPr>
        <w:t>Raitasalo</w:t>
      </w:r>
      <w:proofErr w:type="spellEnd"/>
      <w:r w:rsidRPr="007B079E">
        <w:rPr>
          <w:rFonts w:cs="Arial"/>
        </w:rPr>
        <w:t xml:space="preserve">, R. &amp; </w:t>
      </w:r>
      <w:proofErr w:type="spellStart"/>
      <w:r w:rsidRPr="007B079E">
        <w:rPr>
          <w:rFonts w:cs="Arial"/>
        </w:rPr>
        <w:t>Lehtinen</w:t>
      </w:r>
      <w:proofErr w:type="spellEnd"/>
      <w:r w:rsidRPr="007B079E">
        <w:rPr>
          <w:rFonts w:cs="Arial"/>
        </w:rPr>
        <w:t>, V. (2006). Schizophrenia, neuroleptic medication and mortality. Br J Psychiatry. 188:122-7.</w:t>
      </w:r>
    </w:p>
    <w:p w14:paraId="6F610C71" w14:textId="77777777" w:rsidR="00007334" w:rsidRPr="007B079E" w:rsidRDefault="00007334" w:rsidP="00916C40">
      <w:pPr>
        <w:rPr>
          <w:rFonts w:cs="Arial"/>
        </w:rPr>
      </w:pPr>
      <w:r w:rsidRPr="007B079E">
        <w:rPr>
          <w:rFonts w:cs="Arial"/>
        </w:rPr>
        <w:t>•</w:t>
      </w:r>
      <w:r w:rsidRPr="007B079E">
        <w:rPr>
          <w:rFonts w:cs="Arial"/>
        </w:rPr>
        <w:tab/>
      </w:r>
      <w:proofErr w:type="spellStart"/>
      <w:r w:rsidRPr="007B079E">
        <w:rPr>
          <w:rFonts w:cs="Arial"/>
        </w:rPr>
        <w:t>Kreyenbuhl</w:t>
      </w:r>
      <w:proofErr w:type="spellEnd"/>
      <w:r w:rsidRPr="007B079E">
        <w:rPr>
          <w:rFonts w:cs="Arial"/>
        </w:rPr>
        <w:t xml:space="preserve">, J., </w:t>
      </w:r>
      <w:proofErr w:type="spellStart"/>
      <w:r w:rsidRPr="007B079E">
        <w:rPr>
          <w:rFonts w:cs="Arial"/>
        </w:rPr>
        <w:t>Valenstein</w:t>
      </w:r>
      <w:proofErr w:type="spellEnd"/>
      <w:r w:rsidRPr="007B079E">
        <w:rPr>
          <w:rFonts w:cs="Arial"/>
        </w:rPr>
        <w:t xml:space="preserve">, M., McCarthy, J.F., </w:t>
      </w:r>
      <w:proofErr w:type="spellStart"/>
      <w:r w:rsidRPr="007B079E">
        <w:rPr>
          <w:rFonts w:cs="Arial"/>
        </w:rPr>
        <w:t>Ganocyz</w:t>
      </w:r>
      <w:proofErr w:type="spellEnd"/>
      <w:r w:rsidRPr="007B079E">
        <w:rPr>
          <w:rFonts w:cs="Arial"/>
        </w:rPr>
        <w:t xml:space="preserve">, D., &amp; Blow, F.C. (2006). Long-term combination antipsychotic treatment in VA patients with schizophrenia. </w:t>
      </w:r>
      <w:proofErr w:type="spellStart"/>
      <w:r w:rsidRPr="007B079E">
        <w:rPr>
          <w:rFonts w:cs="Arial"/>
        </w:rPr>
        <w:t>Schiz</w:t>
      </w:r>
      <w:proofErr w:type="spellEnd"/>
      <w:r w:rsidRPr="007B079E">
        <w:rPr>
          <w:rFonts w:cs="Arial"/>
        </w:rPr>
        <w:t xml:space="preserve"> Res.84:90-99. </w:t>
      </w:r>
    </w:p>
    <w:p w14:paraId="79273FC9" w14:textId="77777777" w:rsidR="00007334" w:rsidRPr="007B079E" w:rsidRDefault="00007334" w:rsidP="00916C40">
      <w:pPr>
        <w:rPr>
          <w:rFonts w:cs="Arial"/>
        </w:rPr>
      </w:pPr>
      <w:r w:rsidRPr="007B079E">
        <w:rPr>
          <w:rFonts w:cs="Arial"/>
        </w:rPr>
        <w:t>•</w:t>
      </w:r>
      <w:r w:rsidRPr="007B079E">
        <w:rPr>
          <w:rFonts w:cs="Arial"/>
        </w:rPr>
        <w:tab/>
        <w:t>National Association of State Mental Health Program Directors (NASMHPD). (2001).Technical report on psychiatric polypharmacy. Alexandria, VA.</w:t>
      </w:r>
    </w:p>
    <w:p w14:paraId="71C70238" w14:textId="77777777" w:rsidR="00007334" w:rsidRPr="007B079E" w:rsidRDefault="00007334" w:rsidP="00916C40">
      <w:pPr>
        <w:rPr>
          <w:rFonts w:cs="Arial"/>
        </w:rPr>
      </w:pPr>
      <w:r w:rsidRPr="007B079E">
        <w:rPr>
          <w:rFonts w:cs="Arial"/>
        </w:rPr>
        <w:t>•</w:t>
      </w:r>
      <w:r w:rsidRPr="007B079E">
        <w:rPr>
          <w:rFonts w:cs="Arial"/>
        </w:rPr>
        <w:tab/>
      </w:r>
      <w:proofErr w:type="spellStart"/>
      <w:r w:rsidRPr="007B079E">
        <w:rPr>
          <w:rFonts w:cs="Arial"/>
        </w:rPr>
        <w:t>Ogbru</w:t>
      </w:r>
      <w:proofErr w:type="spellEnd"/>
      <w:r w:rsidRPr="007B079E">
        <w:rPr>
          <w:rFonts w:cs="Arial"/>
        </w:rPr>
        <w:t>, E.O. (2009). Patient provider and payer characteristics associated with antipsychotic drug polypharmacy in ambulatory care. Dissertation Abstracts International: section B: The Sciences and Engineering. 70(6-B):3359.</w:t>
      </w:r>
    </w:p>
    <w:p w14:paraId="7AAD1673" w14:textId="77777777" w:rsidR="00007334" w:rsidRPr="007B079E" w:rsidRDefault="00007334" w:rsidP="00916C40">
      <w:pPr>
        <w:rPr>
          <w:rFonts w:cs="Arial"/>
        </w:rPr>
      </w:pPr>
      <w:r w:rsidRPr="007B079E">
        <w:rPr>
          <w:rFonts w:cs="Arial"/>
        </w:rPr>
        <w:lastRenderedPageBreak/>
        <w:t>•</w:t>
      </w:r>
      <w:r w:rsidRPr="007B079E">
        <w:rPr>
          <w:rFonts w:cs="Arial"/>
        </w:rPr>
        <w:tab/>
      </w:r>
      <w:proofErr w:type="spellStart"/>
      <w:r w:rsidRPr="007B079E">
        <w:rPr>
          <w:rFonts w:cs="Arial"/>
        </w:rPr>
        <w:t>Pandurangi</w:t>
      </w:r>
      <w:proofErr w:type="spellEnd"/>
      <w:r w:rsidRPr="007B079E">
        <w:rPr>
          <w:rFonts w:cs="Arial"/>
        </w:rPr>
        <w:t xml:space="preserve">, A.K. &amp; </w:t>
      </w:r>
      <w:proofErr w:type="spellStart"/>
      <w:r w:rsidRPr="007B079E">
        <w:rPr>
          <w:rFonts w:cs="Arial"/>
        </w:rPr>
        <w:t>Dalkilic</w:t>
      </w:r>
      <w:proofErr w:type="spellEnd"/>
      <w:r w:rsidRPr="007B079E">
        <w:rPr>
          <w:rFonts w:cs="Arial"/>
        </w:rPr>
        <w:t xml:space="preserve">, A. (2008). Polypharmacy with second-generation antipsychotics: a review of evidence. J </w:t>
      </w:r>
      <w:proofErr w:type="spellStart"/>
      <w:r w:rsidRPr="007B079E">
        <w:rPr>
          <w:rFonts w:cs="Arial"/>
        </w:rPr>
        <w:t>Psychiatr</w:t>
      </w:r>
      <w:proofErr w:type="spellEnd"/>
      <w:r w:rsidRPr="007B079E">
        <w:rPr>
          <w:rFonts w:cs="Arial"/>
        </w:rPr>
        <w:t xml:space="preserve"> </w:t>
      </w:r>
      <w:proofErr w:type="spellStart"/>
      <w:r w:rsidRPr="007B079E">
        <w:rPr>
          <w:rFonts w:cs="Arial"/>
        </w:rPr>
        <w:t>Pract</w:t>
      </w:r>
      <w:proofErr w:type="spellEnd"/>
      <w:r w:rsidRPr="007B079E">
        <w:rPr>
          <w:rFonts w:cs="Arial"/>
        </w:rPr>
        <w:t xml:space="preserve">. 14(6):345-67. </w:t>
      </w:r>
    </w:p>
    <w:p w14:paraId="5D434092" w14:textId="77777777" w:rsidR="00007334" w:rsidRPr="007B079E" w:rsidRDefault="00007334" w:rsidP="00916C40">
      <w:pPr>
        <w:rPr>
          <w:rFonts w:cs="Arial"/>
        </w:rPr>
      </w:pPr>
      <w:r w:rsidRPr="007B079E">
        <w:rPr>
          <w:rFonts w:cs="Arial"/>
        </w:rPr>
        <w:t>•</w:t>
      </w:r>
      <w:r w:rsidRPr="007B079E">
        <w:rPr>
          <w:rFonts w:cs="Arial"/>
        </w:rPr>
        <w:tab/>
      </w:r>
      <w:proofErr w:type="spellStart"/>
      <w:r w:rsidRPr="007B079E">
        <w:rPr>
          <w:rFonts w:cs="Arial"/>
        </w:rPr>
        <w:t>Potkin</w:t>
      </w:r>
      <w:proofErr w:type="spellEnd"/>
      <w:r w:rsidRPr="007B079E">
        <w:rPr>
          <w:rFonts w:cs="Arial"/>
        </w:rPr>
        <w:t xml:space="preserve">, S.G., </w:t>
      </w:r>
      <w:proofErr w:type="spellStart"/>
      <w:r w:rsidRPr="007B079E">
        <w:rPr>
          <w:rFonts w:cs="Arial"/>
        </w:rPr>
        <w:t>Thyrum</w:t>
      </w:r>
      <w:proofErr w:type="spellEnd"/>
      <w:r w:rsidRPr="007B079E">
        <w:rPr>
          <w:rFonts w:cs="Arial"/>
        </w:rPr>
        <w:t xml:space="preserve">, P.T., Alva, G., </w:t>
      </w:r>
      <w:proofErr w:type="spellStart"/>
      <w:r w:rsidRPr="007B079E">
        <w:rPr>
          <w:rFonts w:cs="Arial"/>
        </w:rPr>
        <w:t>Bera</w:t>
      </w:r>
      <w:proofErr w:type="spellEnd"/>
      <w:r w:rsidRPr="007B079E">
        <w:rPr>
          <w:rFonts w:cs="Arial"/>
        </w:rPr>
        <w:t xml:space="preserve">, R., </w:t>
      </w:r>
      <w:proofErr w:type="spellStart"/>
      <w:r w:rsidRPr="007B079E">
        <w:rPr>
          <w:rFonts w:cs="Arial"/>
        </w:rPr>
        <w:t>Yeh</w:t>
      </w:r>
      <w:proofErr w:type="spellEnd"/>
      <w:r w:rsidRPr="007B079E">
        <w:rPr>
          <w:rFonts w:cs="Arial"/>
        </w:rPr>
        <w:t xml:space="preserve">, C., &amp; </w:t>
      </w:r>
      <w:proofErr w:type="spellStart"/>
      <w:r w:rsidRPr="007B079E">
        <w:rPr>
          <w:rFonts w:cs="Arial"/>
        </w:rPr>
        <w:t>Arvanitis</w:t>
      </w:r>
      <w:proofErr w:type="spellEnd"/>
      <w:r w:rsidRPr="007B079E">
        <w:rPr>
          <w:rFonts w:cs="Arial"/>
        </w:rPr>
        <w:t xml:space="preserve">, L.A. (2002). The safety and pharmacokinetics of quetiapine when </w:t>
      </w:r>
      <w:proofErr w:type="spellStart"/>
      <w:r w:rsidRPr="007B079E">
        <w:rPr>
          <w:rFonts w:cs="Arial"/>
        </w:rPr>
        <w:t>coadministered</w:t>
      </w:r>
      <w:proofErr w:type="spellEnd"/>
      <w:r w:rsidRPr="007B079E">
        <w:rPr>
          <w:rFonts w:cs="Arial"/>
        </w:rPr>
        <w:t xml:space="preserve"> with haloperidol, risperidone or </w:t>
      </w:r>
      <w:proofErr w:type="spellStart"/>
      <w:r w:rsidRPr="007B079E">
        <w:rPr>
          <w:rFonts w:cs="Arial"/>
        </w:rPr>
        <w:t>thioridazine</w:t>
      </w:r>
      <w:proofErr w:type="spellEnd"/>
      <w:r w:rsidRPr="007B079E">
        <w:rPr>
          <w:rFonts w:cs="Arial"/>
        </w:rPr>
        <w:t xml:space="preserve">. J </w:t>
      </w:r>
      <w:proofErr w:type="spellStart"/>
      <w:r w:rsidRPr="007B079E">
        <w:rPr>
          <w:rFonts w:cs="Arial"/>
        </w:rPr>
        <w:t>Clin</w:t>
      </w:r>
      <w:proofErr w:type="spellEnd"/>
      <w:r w:rsidRPr="007B079E">
        <w:rPr>
          <w:rFonts w:cs="Arial"/>
        </w:rPr>
        <w:t xml:space="preserve"> </w:t>
      </w:r>
      <w:proofErr w:type="spellStart"/>
      <w:r w:rsidRPr="007B079E">
        <w:rPr>
          <w:rFonts w:cs="Arial"/>
        </w:rPr>
        <w:t>Psychopharmacol</w:t>
      </w:r>
      <w:proofErr w:type="spellEnd"/>
      <w:r w:rsidRPr="007B079E">
        <w:rPr>
          <w:rFonts w:cs="Arial"/>
        </w:rPr>
        <w:t xml:space="preserve">. 22:121-130. </w:t>
      </w:r>
    </w:p>
    <w:p w14:paraId="7811188C" w14:textId="77777777" w:rsidR="00007334" w:rsidRPr="007B079E" w:rsidRDefault="00007334" w:rsidP="00916C40">
      <w:pPr>
        <w:rPr>
          <w:rFonts w:cs="Arial"/>
        </w:rPr>
      </w:pPr>
      <w:r w:rsidRPr="007B079E">
        <w:rPr>
          <w:rFonts w:cs="Arial"/>
        </w:rPr>
        <w:t>•</w:t>
      </w:r>
      <w:r w:rsidRPr="007B079E">
        <w:rPr>
          <w:rFonts w:cs="Arial"/>
        </w:rPr>
        <w:tab/>
        <w:t xml:space="preserve">Shim, J.C., Shin, J.G., Kelly, D.L., Jung, D.U., </w:t>
      </w:r>
      <w:proofErr w:type="spellStart"/>
      <w:r w:rsidRPr="007B079E">
        <w:rPr>
          <w:rFonts w:cs="Arial"/>
        </w:rPr>
        <w:t>Seo</w:t>
      </w:r>
      <w:proofErr w:type="spellEnd"/>
      <w:r w:rsidRPr="007B079E">
        <w:rPr>
          <w:rFonts w:cs="Arial"/>
        </w:rPr>
        <w:t xml:space="preserve">, Y.S., Liu, K.H., et al. (2007). Adjunctive treatment with a dopamine partial agonist aripiprazole, for treatment of antipsychotic-induced hyperprolactinemia: A placebo controlled trial. Am J Psych.164:1404-1410. </w:t>
      </w:r>
    </w:p>
    <w:p w14:paraId="42E7A832" w14:textId="77777777" w:rsidR="00007334" w:rsidRPr="007B079E" w:rsidRDefault="00007334" w:rsidP="00916C40">
      <w:pPr>
        <w:rPr>
          <w:rFonts w:cs="Arial"/>
        </w:rPr>
      </w:pPr>
      <w:r w:rsidRPr="007B079E">
        <w:rPr>
          <w:rFonts w:cs="Arial"/>
        </w:rPr>
        <w:t>•</w:t>
      </w:r>
      <w:r w:rsidRPr="007B079E">
        <w:rPr>
          <w:rFonts w:cs="Arial"/>
        </w:rPr>
        <w:tab/>
        <w:t xml:space="preserve">Stahl, S.M. &amp; Grady, M.M. (2004). A critical review of atypical antipsychotic utilization: comparing monotherapy with polypharmacy augmentation. </w:t>
      </w:r>
      <w:proofErr w:type="spellStart"/>
      <w:r w:rsidRPr="007B079E">
        <w:rPr>
          <w:rFonts w:cs="Arial"/>
        </w:rPr>
        <w:t>Curr</w:t>
      </w:r>
      <w:proofErr w:type="spellEnd"/>
      <w:r w:rsidRPr="007B079E">
        <w:rPr>
          <w:rFonts w:cs="Arial"/>
        </w:rPr>
        <w:t xml:space="preserve"> Med Chem.11:313-327.</w:t>
      </w:r>
    </w:p>
    <w:p w14:paraId="4C2C7163" w14:textId="77777777" w:rsidR="00007334" w:rsidRPr="007B079E" w:rsidRDefault="00007334" w:rsidP="00916C40">
      <w:pPr>
        <w:rPr>
          <w:rFonts w:cs="Arial"/>
        </w:rPr>
      </w:pPr>
      <w:r w:rsidRPr="007B079E">
        <w:rPr>
          <w:rFonts w:cs="Arial"/>
        </w:rPr>
        <w:t>•</w:t>
      </w:r>
      <w:r w:rsidRPr="007B079E">
        <w:rPr>
          <w:rFonts w:cs="Arial"/>
        </w:rPr>
        <w:tab/>
      </w:r>
      <w:proofErr w:type="spellStart"/>
      <w:r w:rsidRPr="007B079E">
        <w:rPr>
          <w:rFonts w:cs="Arial"/>
        </w:rPr>
        <w:t>Tandon</w:t>
      </w:r>
      <w:proofErr w:type="spellEnd"/>
      <w:r w:rsidRPr="007B079E">
        <w:rPr>
          <w:rFonts w:cs="Arial"/>
        </w:rPr>
        <w:t>, R. (2012). Antipsychotic polypharmacy: update and guidelines for practice.  Retrieved on March 27, 2012 at: http://medicaidmentalhealth.org</w:t>
      </w:r>
    </w:p>
    <w:p w14:paraId="6006BA08" w14:textId="77777777" w:rsidR="00007334" w:rsidRPr="007B079E" w:rsidRDefault="00007334" w:rsidP="00916C40">
      <w:pPr>
        <w:rPr>
          <w:rFonts w:cs="Arial"/>
        </w:rPr>
      </w:pPr>
      <w:r w:rsidRPr="007B079E">
        <w:rPr>
          <w:rFonts w:cs="Arial"/>
        </w:rPr>
        <w:t>•</w:t>
      </w:r>
      <w:r w:rsidRPr="007B079E">
        <w:rPr>
          <w:rFonts w:cs="Arial"/>
        </w:rPr>
        <w:tab/>
        <w:t>Thompson, A., Sullivan, S.A., Barley, M., Strange, S.O., Moore, L., Rogers, P., Sipos, A</w:t>
      </w:r>
      <w:proofErr w:type="gramStart"/>
      <w:r w:rsidRPr="007B079E">
        <w:rPr>
          <w:rFonts w:cs="Arial"/>
        </w:rPr>
        <w:t>.&amp;</w:t>
      </w:r>
      <w:proofErr w:type="gramEnd"/>
      <w:r w:rsidRPr="007B079E">
        <w:rPr>
          <w:rFonts w:cs="Arial"/>
        </w:rPr>
        <w:t xml:space="preserve"> Harrison, G. (2008). The DEBIT trial: an intervention to reduce antipsychotic polypharmacy prescribing in adult psychiatry wards- a randomized controlled trial. Psychological Medicine. 38(5)</w:t>
      </w:r>
      <w:proofErr w:type="gramStart"/>
      <w:r w:rsidRPr="007B079E">
        <w:rPr>
          <w:rFonts w:cs="Arial"/>
        </w:rPr>
        <w:t>;705</w:t>
      </w:r>
      <w:proofErr w:type="gramEnd"/>
      <w:r w:rsidRPr="007B079E">
        <w:rPr>
          <w:rFonts w:cs="Arial"/>
        </w:rPr>
        <w:t>-15.</w:t>
      </w:r>
    </w:p>
    <w:p w14:paraId="7D1BA14A" w14:textId="77777777" w:rsidR="00007334" w:rsidRPr="007B079E" w:rsidRDefault="00007334" w:rsidP="00916C40">
      <w:pPr>
        <w:rPr>
          <w:rFonts w:cs="Arial"/>
        </w:rPr>
      </w:pPr>
      <w:r w:rsidRPr="007B079E">
        <w:rPr>
          <w:rFonts w:cs="Arial"/>
        </w:rPr>
        <w:t>•</w:t>
      </w:r>
      <w:r w:rsidRPr="007B079E">
        <w:rPr>
          <w:rFonts w:cs="Arial"/>
        </w:rPr>
        <w:tab/>
      </w:r>
      <w:proofErr w:type="spellStart"/>
      <w:r w:rsidRPr="007B079E">
        <w:rPr>
          <w:rFonts w:cs="Arial"/>
        </w:rPr>
        <w:t>Tranulis</w:t>
      </w:r>
      <w:proofErr w:type="spellEnd"/>
      <w:r w:rsidRPr="007B079E">
        <w:rPr>
          <w:rFonts w:cs="Arial"/>
        </w:rPr>
        <w:t xml:space="preserve">, C., </w:t>
      </w:r>
      <w:proofErr w:type="spellStart"/>
      <w:r w:rsidRPr="007B079E">
        <w:rPr>
          <w:rFonts w:cs="Arial"/>
        </w:rPr>
        <w:t>Skalli</w:t>
      </w:r>
      <w:proofErr w:type="spellEnd"/>
      <w:r w:rsidRPr="007B079E">
        <w:rPr>
          <w:rFonts w:cs="Arial"/>
        </w:rPr>
        <w:t xml:space="preserve">, L., Lalonde, P., &amp; Nicole, L. (2008). Benefits and risks of antipsychotic polypharmacy. An evidence based review of the literature. _Drug </w:t>
      </w:r>
      <w:proofErr w:type="spellStart"/>
      <w:r w:rsidRPr="007B079E">
        <w:rPr>
          <w:rFonts w:cs="Arial"/>
        </w:rPr>
        <w:t>Saf</w:t>
      </w:r>
      <w:proofErr w:type="spellEnd"/>
      <w:r w:rsidRPr="007B079E">
        <w:rPr>
          <w:rFonts w:cs="Arial"/>
        </w:rPr>
        <w:t>. 31</w:t>
      </w:r>
      <w:proofErr w:type="gramStart"/>
      <w:r w:rsidRPr="007B079E">
        <w:rPr>
          <w:rFonts w:cs="Arial"/>
        </w:rPr>
        <w:t>_(</w:t>
      </w:r>
      <w:proofErr w:type="gramEnd"/>
      <w:r w:rsidRPr="007B079E">
        <w:rPr>
          <w:rFonts w:cs="Arial"/>
        </w:rPr>
        <w:t xml:space="preserve">1):7-20 </w:t>
      </w:r>
    </w:p>
    <w:p w14:paraId="280792AA" w14:textId="77777777" w:rsidR="00007334" w:rsidRPr="007B079E" w:rsidRDefault="00007334" w:rsidP="00916C40">
      <w:pPr>
        <w:rPr>
          <w:rFonts w:cs="Arial"/>
        </w:rPr>
      </w:pPr>
      <w:r w:rsidRPr="007B079E">
        <w:rPr>
          <w:rFonts w:cs="Arial"/>
        </w:rPr>
        <w:t>•</w:t>
      </w:r>
      <w:r w:rsidRPr="007B079E">
        <w:rPr>
          <w:rFonts w:cs="Arial"/>
        </w:rPr>
        <w:tab/>
        <w:t xml:space="preserve">University </w:t>
      </w:r>
      <w:proofErr w:type="spellStart"/>
      <w:r w:rsidRPr="007B079E">
        <w:rPr>
          <w:rFonts w:cs="Arial"/>
        </w:rPr>
        <w:t>HealthSystem</w:t>
      </w:r>
      <w:proofErr w:type="spellEnd"/>
      <w:r w:rsidRPr="007B079E">
        <w:rPr>
          <w:rFonts w:cs="Arial"/>
        </w:rPr>
        <w:t xml:space="preserve"> Consortium. (2006). Mental health performance measures field brief. Oakbrook, IL.</w:t>
      </w:r>
    </w:p>
    <w:p w14:paraId="1C0FA1BA" w14:textId="11C61B8A" w:rsidR="00007334" w:rsidRPr="001B772D" w:rsidRDefault="00007334" w:rsidP="00916C40">
      <w:r w:rsidRPr="00173CE5">
        <w:rPr>
          <w:rFonts w:cs="Arial"/>
        </w:rPr>
        <w:t xml:space="preserve">•      Zhu, B., </w:t>
      </w:r>
      <w:proofErr w:type="spellStart"/>
      <w:r w:rsidRPr="00173CE5">
        <w:rPr>
          <w:rFonts w:cs="Arial"/>
        </w:rPr>
        <w:t>Ascher-Svanum</w:t>
      </w:r>
      <w:proofErr w:type="spellEnd"/>
      <w:r w:rsidRPr="00173CE5">
        <w:rPr>
          <w:rFonts w:cs="Arial"/>
        </w:rPr>
        <w:t xml:space="preserve">, H., </w:t>
      </w:r>
      <w:proofErr w:type="spellStart"/>
      <w:r w:rsidRPr="00173CE5">
        <w:rPr>
          <w:rFonts w:cs="Arial"/>
        </w:rPr>
        <w:t>Faries</w:t>
      </w:r>
      <w:proofErr w:type="spellEnd"/>
      <w:r w:rsidRPr="00173CE5">
        <w:rPr>
          <w:rFonts w:cs="Arial"/>
        </w:rPr>
        <w:t xml:space="preserve">, D.E., </w:t>
      </w:r>
      <w:proofErr w:type="spellStart"/>
      <w:r w:rsidRPr="00173CE5">
        <w:rPr>
          <w:rFonts w:cs="Arial"/>
        </w:rPr>
        <w:t>Correll</w:t>
      </w:r>
      <w:proofErr w:type="spellEnd"/>
      <w:r w:rsidRPr="00173CE5">
        <w:rPr>
          <w:rFonts w:cs="Arial"/>
        </w:rPr>
        <w:t xml:space="preserve">, C.U., Kane, &amp; J.M. (2008). </w:t>
      </w:r>
      <w:r w:rsidRPr="007B079E">
        <w:rPr>
          <w:rFonts w:cs="Arial"/>
        </w:rPr>
        <w:t xml:space="preserve">Cost of antipsychotic polypharmacy in the treatment of schizophrenia. BMC Psychiatry. 8, </w:t>
      </w:r>
      <w:proofErr w:type="spellStart"/>
      <w:r w:rsidRPr="007B079E">
        <w:rPr>
          <w:rFonts w:cs="Arial"/>
        </w:rPr>
        <w:t>ArtID</w:t>
      </w:r>
      <w:proofErr w:type="spellEnd"/>
      <w:r w:rsidRPr="007B079E">
        <w:rPr>
          <w:rFonts w:cs="Arial"/>
        </w:rPr>
        <w:t xml:space="preserve"> 19.</w:t>
      </w:r>
    </w:p>
    <w:sectPr w:rsidR="00007334" w:rsidRPr="001B772D">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E733E0" w14:textId="77777777" w:rsidR="00BA7C70" w:rsidRDefault="00BA7C70" w:rsidP="007E37A5">
      <w:r>
        <w:separator/>
      </w:r>
    </w:p>
  </w:endnote>
  <w:endnote w:type="continuationSeparator" w:id="0">
    <w:p w14:paraId="5A350948" w14:textId="77777777" w:rsidR="00BA7C70" w:rsidRDefault="00BA7C70"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3" w14:textId="278EF352"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8B4D71">
      <w:rPr>
        <w:noProof/>
      </w:rPr>
      <w:t>10</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53A57" w14:textId="77777777" w:rsidR="00BA7C70" w:rsidRDefault="00BA7C70" w:rsidP="007E37A5">
      <w:r>
        <w:separator/>
      </w:r>
    </w:p>
  </w:footnote>
  <w:footnote w:type="continuationSeparator" w:id="0">
    <w:p w14:paraId="01992733" w14:textId="77777777" w:rsidR="00BA7C70" w:rsidRDefault="00BA7C70"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6469F4"/>
    <w:multiLevelType w:val="hybridMultilevel"/>
    <w:tmpl w:val="12882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847FA0"/>
    <w:multiLevelType w:val="hybridMultilevel"/>
    <w:tmpl w:val="BECAD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B781F79"/>
    <w:multiLevelType w:val="hybridMultilevel"/>
    <w:tmpl w:val="45E02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4A315C"/>
    <w:multiLevelType w:val="hybridMultilevel"/>
    <w:tmpl w:val="9F6699B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5088E77C">
      <w:numFmt w:val="bullet"/>
      <w:lvlText w:val="•"/>
      <w:lvlJc w:val="left"/>
      <w:pPr>
        <w:ind w:left="2160" w:hanging="360"/>
      </w:pPr>
      <w:rPr>
        <w:rFonts w:ascii="Calibri" w:eastAsiaTheme="minorHAnsi" w:hAnsi="Calibri" w:cs="Arial" w:hint="default"/>
        <w:color w:val="0000FF"/>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2"/>
  </w:num>
  <w:num w:numId="4">
    <w:abstractNumId w:val="3"/>
  </w:num>
  <w:num w:numId="5">
    <w:abstractNumId w:val="6"/>
  </w:num>
  <w:num w:numId="6">
    <w:abstractNumId w:val="5"/>
  </w:num>
  <w:num w:numId="7">
    <w:abstractNumId w:val="12"/>
  </w:num>
  <w:num w:numId="8">
    <w:abstractNumId w:val="11"/>
  </w:num>
  <w:num w:numId="9">
    <w:abstractNumId w:val="13"/>
  </w:num>
  <w:num w:numId="10">
    <w:abstractNumId w:val="1"/>
  </w:num>
  <w:num w:numId="11">
    <w:abstractNumId w:val="9"/>
  </w:num>
  <w:num w:numId="12">
    <w:abstractNumId w:val="0"/>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07334"/>
    <w:rsid w:val="00015986"/>
    <w:rsid w:val="000160E6"/>
    <w:rsid w:val="00024526"/>
    <w:rsid w:val="00030F43"/>
    <w:rsid w:val="00040DCF"/>
    <w:rsid w:val="00052C0B"/>
    <w:rsid w:val="00061CF3"/>
    <w:rsid w:val="00063601"/>
    <w:rsid w:val="00073079"/>
    <w:rsid w:val="0007593F"/>
    <w:rsid w:val="00081DB1"/>
    <w:rsid w:val="00090530"/>
    <w:rsid w:val="00095EC9"/>
    <w:rsid w:val="00096A37"/>
    <w:rsid w:val="000A0810"/>
    <w:rsid w:val="000B627F"/>
    <w:rsid w:val="000D0C75"/>
    <w:rsid w:val="000D649E"/>
    <w:rsid w:val="000D6D06"/>
    <w:rsid w:val="000E5C93"/>
    <w:rsid w:val="000F4A7F"/>
    <w:rsid w:val="00114848"/>
    <w:rsid w:val="00120934"/>
    <w:rsid w:val="00125A81"/>
    <w:rsid w:val="0013120A"/>
    <w:rsid w:val="00132070"/>
    <w:rsid w:val="00141875"/>
    <w:rsid w:val="0014347E"/>
    <w:rsid w:val="00154438"/>
    <w:rsid w:val="001551F6"/>
    <w:rsid w:val="0015535B"/>
    <w:rsid w:val="00162036"/>
    <w:rsid w:val="001632DD"/>
    <w:rsid w:val="00173CE5"/>
    <w:rsid w:val="00176E60"/>
    <w:rsid w:val="00194913"/>
    <w:rsid w:val="00194D9A"/>
    <w:rsid w:val="001A196B"/>
    <w:rsid w:val="001A6D05"/>
    <w:rsid w:val="001B38BF"/>
    <w:rsid w:val="001B772D"/>
    <w:rsid w:val="001D511C"/>
    <w:rsid w:val="001D5B5D"/>
    <w:rsid w:val="001E6153"/>
    <w:rsid w:val="00201FF9"/>
    <w:rsid w:val="00205857"/>
    <w:rsid w:val="00235ADC"/>
    <w:rsid w:val="00236F87"/>
    <w:rsid w:val="00237C5A"/>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619E"/>
    <w:rsid w:val="0035760D"/>
    <w:rsid w:val="00363ECC"/>
    <w:rsid w:val="00387B2C"/>
    <w:rsid w:val="0039020B"/>
    <w:rsid w:val="00395263"/>
    <w:rsid w:val="003956E0"/>
    <w:rsid w:val="0039609A"/>
    <w:rsid w:val="00397500"/>
    <w:rsid w:val="003B1CC5"/>
    <w:rsid w:val="003B65CE"/>
    <w:rsid w:val="003D6721"/>
    <w:rsid w:val="003E039E"/>
    <w:rsid w:val="0040230E"/>
    <w:rsid w:val="004043B5"/>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330C0"/>
    <w:rsid w:val="00537150"/>
    <w:rsid w:val="00540984"/>
    <w:rsid w:val="00543851"/>
    <w:rsid w:val="00550DC7"/>
    <w:rsid w:val="0055559D"/>
    <w:rsid w:val="005569AE"/>
    <w:rsid w:val="005857F8"/>
    <w:rsid w:val="00594029"/>
    <w:rsid w:val="00594689"/>
    <w:rsid w:val="005B0D18"/>
    <w:rsid w:val="005B12C3"/>
    <w:rsid w:val="005B409D"/>
    <w:rsid w:val="005B4F98"/>
    <w:rsid w:val="005D0FDB"/>
    <w:rsid w:val="005D25E9"/>
    <w:rsid w:val="005D6D59"/>
    <w:rsid w:val="0061327A"/>
    <w:rsid w:val="00617390"/>
    <w:rsid w:val="00623420"/>
    <w:rsid w:val="00625457"/>
    <w:rsid w:val="00634768"/>
    <w:rsid w:val="0063596F"/>
    <w:rsid w:val="00653306"/>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84533"/>
    <w:rsid w:val="007B079E"/>
    <w:rsid w:val="007B1373"/>
    <w:rsid w:val="007C0297"/>
    <w:rsid w:val="007C1887"/>
    <w:rsid w:val="007D4775"/>
    <w:rsid w:val="007D5DC6"/>
    <w:rsid w:val="007E23E0"/>
    <w:rsid w:val="007E37A5"/>
    <w:rsid w:val="007F49D8"/>
    <w:rsid w:val="00805940"/>
    <w:rsid w:val="0081019C"/>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4D71"/>
    <w:rsid w:val="008B51D9"/>
    <w:rsid w:val="008B652E"/>
    <w:rsid w:val="008D05B7"/>
    <w:rsid w:val="008F1DC6"/>
    <w:rsid w:val="008F6F51"/>
    <w:rsid w:val="00905C5B"/>
    <w:rsid w:val="00916C40"/>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87B67"/>
    <w:rsid w:val="00A9011D"/>
    <w:rsid w:val="00A91A47"/>
    <w:rsid w:val="00A95D2B"/>
    <w:rsid w:val="00AA5587"/>
    <w:rsid w:val="00AB072C"/>
    <w:rsid w:val="00AB4ECE"/>
    <w:rsid w:val="00AC1825"/>
    <w:rsid w:val="00AC1E53"/>
    <w:rsid w:val="00AD79C8"/>
    <w:rsid w:val="00AE6CE0"/>
    <w:rsid w:val="00B058A6"/>
    <w:rsid w:val="00B117D0"/>
    <w:rsid w:val="00B13998"/>
    <w:rsid w:val="00B35C5F"/>
    <w:rsid w:val="00B439DD"/>
    <w:rsid w:val="00B47E1A"/>
    <w:rsid w:val="00B52E0F"/>
    <w:rsid w:val="00B74629"/>
    <w:rsid w:val="00B91F58"/>
    <w:rsid w:val="00BA579E"/>
    <w:rsid w:val="00BA7C70"/>
    <w:rsid w:val="00BE2295"/>
    <w:rsid w:val="00BE6373"/>
    <w:rsid w:val="00BF533A"/>
    <w:rsid w:val="00C41794"/>
    <w:rsid w:val="00C46677"/>
    <w:rsid w:val="00C5180E"/>
    <w:rsid w:val="00C54E40"/>
    <w:rsid w:val="00C55F56"/>
    <w:rsid w:val="00C57BA4"/>
    <w:rsid w:val="00C613EB"/>
    <w:rsid w:val="00C71C1A"/>
    <w:rsid w:val="00C84623"/>
    <w:rsid w:val="00CB06C9"/>
    <w:rsid w:val="00CB1E41"/>
    <w:rsid w:val="00CB271C"/>
    <w:rsid w:val="00CC0364"/>
    <w:rsid w:val="00CC0F87"/>
    <w:rsid w:val="00CE4F96"/>
    <w:rsid w:val="00CF0AB1"/>
    <w:rsid w:val="00CF4B9B"/>
    <w:rsid w:val="00CF55E6"/>
    <w:rsid w:val="00CF772F"/>
    <w:rsid w:val="00D048DB"/>
    <w:rsid w:val="00D14F0B"/>
    <w:rsid w:val="00D178CA"/>
    <w:rsid w:val="00D3311C"/>
    <w:rsid w:val="00D33D7D"/>
    <w:rsid w:val="00D53405"/>
    <w:rsid w:val="00D5457B"/>
    <w:rsid w:val="00D72995"/>
    <w:rsid w:val="00D73685"/>
    <w:rsid w:val="00DA7FA2"/>
    <w:rsid w:val="00DB7E9E"/>
    <w:rsid w:val="00DC2D8D"/>
    <w:rsid w:val="00DC7F67"/>
    <w:rsid w:val="00DE1F5D"/>
    <w:rsid w:val="00DE50D8"/>
    <w:rsid w:val="00DF278A"/>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4765"/>
    <w:rsid w:val="00EE5AF6"/>
    <w:rsid w:val="00EF26CD"/>
    <w:rsid w:val="00EF2CEF"/>
    <w:rsid w:val="00F07E43"/>
    <w:rsid w:val="00F1092D"/>
    <w:rsid w:val="00F42C20"/>
    <w:rsid w:val="00F431D8"/>
    <w:rsid w:val="00F63E8D"/>
    <w:rsid w:val="00F67706"/>
    <w:rsid w:val="00F81FE3"/>
    <w:rsid w:val="00F90F82"/>
    <w:rsid w:val="00F92D75"/>
    <w:rsid w:val="00F97327"/>
    <w:rsid w:val="00FA296F"/>
    <w:rsid w:val="00FA7323"/>
    <w:rsid w:val="00FB1299"/>
    <w:rsid w:val="00FC0A12"/>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diagramQuickStyle" Target="diagrams/quickStyle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psychiatryonline.org/pb/assets/raw/sitewide/practice_guidelines/guidelines/schizophrenia.pdf" TargetMode="Externa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diagramLayout" Target="diagrams/layout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diagramColors" Target="diagrams/colors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AA717EA-7BF1-4D21-BCFF-2F2E24C2AD2C}" type="doc">
      <dgm:prSet loTypeId="urn:microsoft.com/office/officeart/2005/8/layout/process1" loCatId="process" qsTypeId="urn:microsoft.com/office/officeart/2005/8/quickstyle/simple1" qsCatId="simple" csTypeId="urn:microsoft.com/office/officeart/2005/8/colors/accent0_1" csCatId="mainScheme" phldr="1"/>
      <dgm:spPr/>
    </dgm:pt>
    <dgm:pt modelId="{6B743B21-787D-4982-AAB0-178EA25617A9}">
      <dgm:prSet phldrT="[Text]" custT="1"/>
      <dgm:spPr>
        <a:xfrm>
          <a:off x="2411" y="117131"/>
          <a:ext cx="1054149" cy="1106857"/>
        </a:xfrm>
      </dgm:spPr>
      <dgm:t>
        <a:bodyPr/>
        <a:lstStyle/>
        <a:p>
          <a:r>
            <a:rPr lang="en-US" sz="700">
              <a:solidFill>
                <a:srgbClr val="FF0000"/>
              </a:solidFill>
              <a:latin typeface="Calibri"/>
              <a:ea typeface="+mn-ea"/>
              <a:cs typeface="+mn-cs"/>
            </a:rPr>
            <a:t>Patient is admitted to a hospital inpatient psychiatric facility</a:t>
          </a:r>
        </a:p>
      </dgm:t>
    </dgm:pt>
    <dgm:pt modelId="{8D583DFE-95E6-43AE-8E8A-EED23183936B}" type="parTrans" cxnId="{78CEB215-ECB3-4E78-8AF6-DB6BC50985D2}">
      <dgm:prSet/>
      <dgm:spPr/>
      <dgm:t>
        <a:bodyPr/>
        <a:lstStyle/>
        <a:p>
          <a:endParaRPr lang="en-US"/>
        </a:p>
      </dgm:t>
    </dgm:pt>
    <dgm:pt modelId="{90301840-46BD-43D3-B1D4-6FA3A72151E7}" type="sibTrans" cxnId="{78CEB215-ECB3-4E78-8AF6-DB6BC50985D2}">
      <dgm:prSet/>
      <dgm:spPr>
        <a:xfrm>
          <a:off x="1161975" y="539845"/>
          <a:ext cx="223479" cy="261429"/>
        </a:xfrm>
      </dgm:spPr>
      <dgm:t>
        <a:bodyPr/>
        <a:lstStyle/>
        <a:p>
          <a:endParaRPr lang="en-US">
            <a:solidFill>
              <a:sysClr val="window" lastClr="FFFFFF"/>
            </a:solidFill>
            <a:latin typeface="Calibri"/>
            <a:ea typeface="+mn-ea"/>
            <a:cs typeface="+mn-cs"/>
          </a:endParaRPr>
        </a:p>
      </dgm:t>
    </dgm:pt>
    <dgm:pt modelId="{C438F146-AFA8-4D9D-9F4A-C1E156743A3A}">
      <dgm:prSet phldrT="[Text]" custT="1"/>
      <dgm:spPr>
        <a:xfrm>
          <a:off x="2954029" y="117131"/>
          <a:ext cx="1054149" cy="1106857"/>
        </a:xfrm>
      </dgm:spPr>
      <dgm:t>
        <a:bodyPr/>
        <a:lstStyle/>
        <a:p>
          <a:pPr>
            <a:lnSpc>
              <a:spcPct val="100000"/>
            </a:lnSpc>
            <a:spcAft>
              <a:spcPts val="0"/>
            </a:spcAft>
          </a:pPr>
          <a:r>
            <a:rPr lang="en-US" sz="700">
              <a:solidFill>
                <a:srgbClr val="FF0000"/>
              </a:solidFill>
              <a:latin typeface="Calibri"/>
              <a:ea typeface="+mn-ea"/>
              <a:cs typeface="+mn-cs"/>
            </a:rPr>
            <a:t>Appropriate justification for multiple antipsychotic medications </a:t>
          </a:r>
        </a:p>
        <a:p>
          <a:pPr>
            <a:lnSpc>
              <a:spcPct val="100000"/>
            </a:lnSpc>
            <a:spcAft>
              <a:spcPts val="0"/>
            </a:spcAft>
          </a:pPr>
          <a:r>
            <a:rPr lang="en-US" sz="700">
              <a:solidFill>
                <a:srgbClr val="FF0000"/>
              </a:solidFill>
              <a:latin typeface="Calibri"/>
              <a:ea typeface="+mn-ea"/>
              <a:cs typeface="+mn-cs"/>
            </a:rPr>
            <a:t>required</a:t>
          </a:r>
        </a:p>
      </dgm:t>
    </dgm:pt>
    <dgm:pt modelId="{63F41804-8E5C-463E-9683-A3567C0EE096}" type="parTrans" cxnId="{68B310D0-B3E6-4A9C-B8A4-7081FB0BCB18}">
      <dgm:prSet/>
      <dgm:spPr/>
      <dgm:t>
        <a:bodyPr/>
        <a:lstStyle/>
        <a:p>
          <a:endParaRPr lang="en-US"/>
        </a:p>
      </dgm:t>
    </dgm:pt>
    <dgm:pt modelId="{58D5EC90-730A-4088-9079-2ED50FAD0258}" type="sibTrans" cxnId="{68B310D0-B3E6-4A9C-B8A4-7081FB0BCB18}">
      <dgm:prSet/>
      <dgm:spPr>
        <a:xfrm>
          <a:off x="4113594" y="539845"/>
          <a:ext cx="223479" cy="261429"/>
        </a:xfrm>
      </dgm:spPr>
      <dgm:t>
        <a:bodyPr/>
        <a:lstStyle/>
        <a:p>
          <a:endParaRPr lang="en-US">
            <a:solidFill>
              <a:sysClr val="window" lastClr="FFFFFF"/>
            </a:solidFill>
            <a:latin typeface="Calibri"/>
            <a:ea typeface="+mn-ea"/>
            <a:cs typeface="+mn-cs"/>
          </a:endParaRPr>
        </a:p>
      </dgm:t>
    </dgm:pt>
    <dgm:pt modelId="{0013FB7F-1A30-490F-B342-A4EF8A52A0BC}">
      <dgm:prSet phldrT="[Text]" custT="1"/>
      <dgm:spPr>
        <a:xfrm>
          <a:off x="4429839" y="117131"/>
          <a:ext cx="1054149" cy="1106857"/>
        </a:xfrm>
      </dgm:spPr>
      <dgm:t>
        <a:bodyPr/>
        <a:lstStyle/>
        <a:p>
          <a:r>
            <a:rPr lang="en-US" sz="700">
              <a:solidFill>
                <a:srgbClr val="FF0000"/>
              </a:solidFill>
              <a:latin typeface="Calibri"/>
              <a:ea typeface="+mn-ea"/>
              <a:cs typeface="+mn-cs"/>
            </a:rPr>
            <a:t>Patient evaluated for adequate trial of antipsychotic medication monotherapy</a:t>
          </a:r>
        </a:p>
      </dgm:t>
    </dgm:pt>
    <dgm:pt modelId="{950394CB-63B7-42D0-AA87-A31945A74F39}" type="parTrans" cxnId="{8F8C7BDB-8968-46B7-9152-953E805C6003}">
      <dgm:prSet/>
      <dgm:spPr/>
      <dgm:t>
        <a:bodyPr/>
        <a:lstStyle/>
        <a:p>
          <a:endParaRPr lang="en-US"/>
        </a:p>
      </dgm:t>
    </dgm:pt>
    <dgm:pt modelId="{FD76D26A-8C1C-4E95-AEA1-69B7E1065DC2}" type="sibTrans" cxnId="{8F8C7BDB-8968-46B7-9152-953E805C6003}">
      <dgm:prSet/>
      <dgm:spPr/>
      <dgm:t>
        <a:bodyPr/>
        <a:lstStyle/>
        <a:p>
          <a:endParaRPr lang="en-US"/>
        </a:p>
      </dgm:t>
    </dgm:pt>
    <dgm:pt modelId="{1091DE54-F86A-43C6-A70E-119A5425635B}">
      <dgm:prSet phldrT="[Text]" custT="1"/>
      <dgm:spPr>
        <a:xfrm>
          <a:off x="1478220" y="117131"/>
          <a:ext cx="1054149" cy="1106857"/>
        </a:xfrm>
      </dgm:spPr>
      <dgm:t>
        <a:bodyPr/>
        <a:lstStyle/>
        <a:p>
          <a:pPr>
            <a:lnSpc>
              <a:spcPct val="100000"/>
            </a:lnSpc>
            <a:spcAft>
              <a:spcPts val="0"/>
            </a:spcAft>
          </a:pPr>
          <a:r>
            <a:rPr lang="en-US" sz="700">
              <a:solidFill>
                <a:srgbClr val="FF0000"/>
              </a:solidFill>
              <a:latin typeface="Calibri"/>
              <a:ea typeface="+mn-ea"/>
              <a:cs typeface="+mn-cs"/>
            </a:rPr>
            <a:t>Number of antipsychotic medications prescribed at discharge </a:t>
          </a:r>
        </a:p>
        <a:p>
          <a:pPr>
            <a:lnSpc>
              <a:spcPct val="100000"/>
            </a:lnSpc>
            <a:spcAft>
              <a:spcPts val="0"/>
            </a:spcAft>
          </a:pPr>
          <a:r>
            <a:rPr lang="en-US" sz="700">
              <a:solidFill>
                <a:srgbClr val="FF0000"/>
              </a:solidFill>
              <a:latin typeface="Calibri" panose="020F0502020204030204" pitchFamily="34" charset="0"/>
              <a:ea typeface="+mn-ea"/>
              <a:cs typeface="+mn-cs"/>
            </a:rPr>
            <a:t>≥</a:t>
          </a:r>
          <a:r>
            <a:rPr lang="en-US" sz="700">
              <a:solidFill>
                <a:srgbClr val="FF0000"/>
              </a:solidFill>
              <a:latin typeface="Calibri"/>
              <a:ea typeface="+mn-ea"/>
              <a:cs typeface="+mn-cs"/>
            </a:rPr>
            <a:t> 2</a:t>
          </a:r>
        </a:p>
      </dgm:t>
    </dgm:pt>
    <dgm:pt modelId="{826E7F9B-5469-4AB9-BF82-6D4D092D0526}" type="sibTrans" cxnId="{E6F26651-7062-4C7B-84B8-C54B890384FF}">
      <dgm:prSet/>
      <dgm:spPr>
        <a:xfrm>
          <a:off x="2637785" y="539845"/>
          <a:ext cx="223479" cy="261429"/>
        </a:xfrm>
      </dgm:spPr>
      <dgm:t>
        <a:bodyPr/>
        <a:lstStyle/>
        <a:p>
          <a:endParaRPr lang="en-US">
            <a:solidFill>
              <a:sysClr val="window" lastClr="FFFFFF"/>
            </a:solidFill>
            <a:latin typeface="Calibri"/>
            <a:ea typeface="+mn-ea"/>
            <a:cs typeface="+mn-cs"/>
          </a:endParaRPr>
        </a:p>
      </dgm:t>
    </dgm:pt>
    <dgm:pt modelId="{CF49D59E-50AD-4C68-97FC-08D8C56DE738}" type="parTrans" cxnId="{E6F26651-7062-4C7B-84B8-C54B890384FF}">
      <dgm:prSet/>
      <dgm:spPr/>
      <dgm:t>
        <a:bodyPr/>
        <a:lstStyle/>
        <a:p>
          <a:endParaRPr lang="en-US"/>
        </a:p>
      </dgm:t>
    </dgm:pt>
    <dgm:pt modelId="{86DA617F-8824-495C-A395-0E2A8A8C5002}">
      <dgm:prSet phldrT="[Text]"/>
      <dgm:spPr>
        <a:xfrm>
          <a:off x="2954029" y="117131"/>
          <a:ext cx="1054149" cy="1106857"/>
        </a:xfrm>
      </dgm:spPr>
      <dgm:t>
        <a:bodyPr/>
        <a:lstStyle/>
        <a:p>
          <a:r>
            <a:rPr lang="en-US">
              <a:solidFill>
                <a:srgbClr val="FF0000"/>
              </a:solidFill>
              <a:latin typeface="Calibri"/>
              <a:ea typeface="+mn-ea"/>
              <a:cs typeface="+mn-cs"/>
            </a:rPr>
            <a:t>Reduction in antipsychotic  polypharmacy without appropriate justifiacation</a:t>
          </a:r>
        </a:p>
      </dgm:t>
    </dgm:pt>
    <dgm:pt modelId="{3400A415-B078-4181-A44E-2AC7D0702036}" type="parTrans" cxnId="{557E4C8B-9E8A-4FB8-A255-A878EB294DE4}">
      <dgm:prSet/>
      <dgm:spPr/>
      <dgm:t>
        <a:bodyPr/>
        <a:lstStyle/>
        <a:p>
          <a:endParaRPr lang="en-US"/>
        </a:p>
      </dgm:t>
    </dgm:pt>
    <dgm:pt modelId="{2CB11A40-B8DE-4347-BC5D-F335A2854F8F}" type="sibTrans" cxnId="{557E4C8B-9E8A-4FB8-A255-A878EB294DE4}">
      <dgm:prSet/>
      <dgm:spPr>
        <a:prstGeom prst="rightArrow">
          <a:avLst>
            <a:gd name="adj1" fmla="val 60000"/>
            <a:gd name="adj2" fmla="val 50000"/>
          </a:avLst>
        </a:prstGeom>
      </dgm:spPr>
      <dgm:t>
        <a:bodyPr/>
        <a:lstStyle/>
        <a:p>
          <a:endParaRPr lang="en-US"/>
        </a:p>
      </dgm:t>
    </dgm:pt>
    <dgm:pt modelId="{99F6DC77-D83C-4695-A911-DA132A98F35C}" type="pres">
      <dgm:prSet presAssocID="{9AA717EA-7BF1-4D21-BCFF-2F2E24C2AD2C}" presName="Name0" presStyleCnt="0">
        <dgm:presLayoutVars>
          <dgm:dir/>
          <dgm:resizeHandles val="exact"/>
        </dgm:presLayoutVars>
      </dgm:prSet>
      <dgm:spPr/>
    </dgm:pt>
    <dgm:pt modelId="{6A581AFD-992D-4313-B9CE-27E9B9AD1EE1}" type="pres">
      <dgm:prSet presAssocID="{6B743B21-787D-4982-AAB0-178EA25617A9}" presName="node" presStyleLbl="node1" presStyleIdx="0" presStyleCnt="5" custScaleX="52051" custScaleY="83605" custLinFactNeighborX="17390" custLinFactNeighborY="876">
        <dgm:presLayoutVars>
          <dgm:bulletEnabled val="1"/>
        </dgm:presLayoutVars>
      </dgm:prSet>
      <dgm:spPr>
        <a:prstGeom prst="roundRect">
          <a:avLst>
            <a:gd name="adj" fmla="val 10000"/>
          </a:avLst>
        </a:prstGeom>
      </dgm:spPr>
      <dgm:t>
        <a:bodyPr/>
        <a:lstStyle/>
        <a:p>
          <a:endParaRPr lang="en-US"/>
        </a:p>
      </dgm:t>
    </dgm:pt>
    <dgm:pt modelId="{A910D53E-6C57-455E-90B9-A19DFD8591FF}" type="pres">
      <dgm:prSet presAssocID="{90301840-46BD-43D3-B1D4-6FA3A72151E7}" presName="sibTrans" presStyleLbl="sibTrans2D1" presStyleIdx="0" presStyleCnt="4"/>
      <dgm:spPr>
        <a:prstGeom prst="rightArrow">
          <a:avLst>
            <a:gd name="adj1" fmla="val 60000"/>
            <a:gd name="adj2" fmla="val 50000"/>
          </a:avLst>
        </a:prstGeom>
      </dgm:spPr>
      <dgm:t>
        <a:bodyPr/>
        <a:lstStyle/>
        <a:p>
          <a:endParaRPr lang="en-US"/>
        </a:p>
      </dgm:t>
    </dgm:pt>
    <dgm:pt modelId="{8BB890BA-B480-4C83-BA74-40D2EE4904BE}" type="pres">
      <dgm:prSet presAssocID="{90301840-46BD-43D3-B1D4-6FA3A72151E7}" presName="connectorText" presStyleLbl="sibTrans2D1" presStyleIdx="0" presStyleCnt="4"/>
      <dgm:spPr/>
      <dgm:t>
        <a:bodyPr/>
        <a:lstStyle/>
        <a:p>
          <a:endParaRPr lang="en-US"/>
        </a:p>
      </dgm:t>
    </dgm:pt>
    <dgm:pt modelId="{F99CB341-899E-4917-B126-C086FF221180}" type="pres">
      <dgm:prSet presAssocID="{1091DE54-F86A-43C6-A70E-119A5425635B}" presName="node" presStyleLbl="node1" presStyleIdx="1" presStyleCnt="5" custScaleX="56119" custScaleY="81239" custLinFactNeighborX="-14091" custLinFactNeighborY="614">
        <dgm:presLayoutVars>
          <dgm:bulletEnabled val="1"/>
        </dgm:presLayoutVars>
      </dgm:prSet>
      <dgm:spPr>
        <a:prstGeom prst="roundRect">
          <a:avLst>
            <a:gd name="adj" fmla="val 10000"/>
          </a:avLst>
        </a:prstGeom>
      </dgm:spPr>
      <dgm:t>
        <a:bodyPr/>
        <a:lstStyle/>
        <a:p>
          <a:endParaRPr lang="en-US"/>
        </a:p>
      </dgm:t>
    </dgm:pt>
    <dgm:pt modelId="{80E2A0D6-AC1C-46E4-9FE4-0895F60299DC}" type="pres">
      <dgm:prSet presAssocID="{826E7F9B-5469-4AB9-BF82-6D4D092D0526}" presName="sibTrans" presStyleLbl="sibTrans2D1" presStyleIdx="1" presStyleCnt="4"/>
      <dgm:spPr>
        <a:prstGeom prst="rightArrow">
          <a:avLst>
            <a:gd name="adj1" fmla="val 60000"/>
            <a:gd name="adj2" fmla="val 50000"/>
          </a:avLst>
        </a:prstGeom>
      </dgm:spPr>
      <dgm:t>
        <a:bodyPr/>
        <a:lstStyle/>
        <a:p>
          <a:endParaRPr lang="en-US"/>
        </a:p>
      </dgm:t>
    </dgm:pt>
    <dgm:pt modelId="{60D72A1B-18FD-4089-808F-247EF869916B}" type="pres">
      <dgm:prSet presAssocID="{826E7F9B-5469-4AB9-BF82-6D4D092D0526}" presName="connectorText" presStyleLbl="sibTrans2D1" presStyleIdx="1" presStyleCnt="4"/>
      <dgm:spPr/>
      <dgm:t>
        <a:bodyPr/>
        <a:lstStyle/>
        <a:p>
          <a:endParaRPr lang="en-US"/>
        </a:p>
      </dgm:t>
    </dgm:pt>
    <dgm:pt modelId="{65306567-63F2-49B5-8B81-01AD117C0C15}" type="pres">
      <dgm:prSet presAssocID="{C438F146-AFA8-4D9D-9F4A-C1E156743A3A}" presName="node" presStyleLbl="node1" presStyleIdx="2" presStyleCnt="5" custScaleX="49407" custScaleY="84416" custLinFactNeighborX="-18117" custLinFactNeighborY="-641">
        <dgm:presLayoutVars>
          <dgm:bulletEnabled val="1"/>
        </dgm:presLayoutVars>
      </dgm:prSet>
      <dgm:spPr>
        <a:prstGeom prst="roundRect">
          <a:avLst>
            <a:gd name="adj" fmla="val 10000"/>
          </a:avLst>
        </a:prstGeom>
      </dgm:spPr>
      <dgm:t>
        <a:bodyPr/>
        <a:lstStyle/>
        <a:p>
          <a:endParaRPr lang="en-US"/>
        </a:p>
      </dgm:t>
    </dgm:pt>
    <dgm:pt modelId="{118E2C81-1FB8-4DF4-BEF4-AFE955ADBDCD}" type="pres">
      <dgm:prSet presAssocID="{58D5EC90-730A-4088-9079-2ED50FAD0258}" presName="sibTrans" presStyleLbl="sibTrans2D1" presStyleIdx="2" presStyleCnt="4"/>
      <dgm:spPr>
        <a:prstGeom prst="rightArrow">
          <a:avLst>
            <a:gd name="adj1" fmla="val 60000"/>
            <a:gd name="adj2" fmla="val 50000"/>
          </a:avLst>
        </a:prstGeom>
      </dgm:spPr>
      <dgm:t>
        <a:bodyPr/>
        <a:lstStyle/>
        <a:p>
          <a:endParaRPr lang="en-US"/>
        </a:p>
      </dgm:t>
    </dgm:pt>
    <dgm:pt modelId="{9CBB3FE4-C0EE-4328-BCE0-2CF787479044}" type="pres">
      <dgm:prSet presAssocID="{58D5EC90-730A-4088-9079-2ED50FAD0258}" presName="connectorText" presStyleLbl="sibTrans2D1" presStyleIdx="2" presStyleCnt="4"/>
      <dgm:spPr/>
      <dgm:t>
        <a:bodyPr/>
        <a:lstStyle/>
        <a:p>
          <a:endParaRPr lang="en-US"/>
        </a:p>
      </dgm:t>
    </dgm:pt>
    <dgm:pt modelId="{7A9908BE-9DDA-41C4-BE2B-951E6C56FBB4}" type="pres">
      <dgm:prSet presAssocID="{0013FB7F-1A30-490F-B342-A4EF8A52A0BC}" presName="node" presStyleLbl="node1" presStyleIdx="3" presStyleCnt="5" custScaleX="54729" custScaleY="83401" custLinFactNeighborX="-10524" custLinFactNeighborY="584">
        <dgm:presLayoutVars>
          <dgm:bulletEnabled val="1"/>
        </dgm:presLayoutVars>
      </dgm:prSet>
      <dgm:spPr>
        <a:prstGeom prst="roundRect">
          <a:avLst>
            <a:gd name="adj" fmla="val 10000"/>
          </a:avLst>
        </a:prstGeom>
      </dgm:spPr>
      <dgm:t>
        <a:bodyPr/>
        <a:lstStyle/>
        <a:p>
          <a:endParaRPr lang="en-US"/>
        </a:p>
      </dgm:t>
    </dgm:pt>
    <dgm:pt modelId="{BA4DC753-A0AA-45A5-A090-0DFB48E77E5E}" type="pres">
      <dgm:prSet presAssocID="{FD76D26A-8C1C-4E95-AEA1-69B7E1065DC2}" presName="sibTrans" presStyleLbl="sibTrans2D1" presStyleIdx="3" presStyleCnt="4"/>
      <dgm:spPr/>
      <dgm:t>
        <a:bodyPr/>
        <a:lstStyle/>
        <a:p>
          <a:endParaRPr lang="en-US"/>
        </a:p>
      </dgm:t>
    </dgm:pt>
    <dgm:pt modelId="{FE10FDF9-CAFA-486C-9D75-167AFF48BC8E}" type="pres">
      <dgm:prSet presAssocID="{FD76D26A-8C1C-4E95-AEA1-69B7E1065DC2}" presName="connectorText" presStyleLbl="sibTrans2D1" presStyleIdx="3" presStyleCnt="4"/>
      <dgm:spPr/>
      <dgm:t>
        <a:bodyPr/>
        <a:lstStyle/>
        <a:p>
          <a:endParaRPr lang="en-US"/>
        </a:p>
      </dgm:t>
    </dgm:pt>
    <dgm:pt modelId="{F0F500BC-C3BF-409B-8E2B-306761E16964}" type="pres">
      <dgm:prSet presAssocID="{86DA617F-8824-495C-A395-0E2A8A8C5002}" presName="node" presStyleLbl="node1" presStyleIdx="4" presStyleCnt="5" custScaleX="61370" custScaleY="85641" custLinFactNeighborX="-29659" custLinFactNeighborY="1168">
        <dgm:presLayoutVars>
          <dgm:bulletEnabled val="1"/>
        </dgm:presLayoutVars>
      </dgm:prSet>
      <dgm:spPr>
        <a:prstGeom prst="roundRect">
          <a:avLst>
            <a:gd name="adj" fmla="val 10000"/>
          </a:avLst>
        </a:prstGeom>
      </dgm:spPr>
      <dgm:t>
        <a:bodyPr/>
        <a:lstStyle/>
        <a:p>
          <a:endParaRPr lang="en-US"/>
        </a:p>
      </dgm:t>
    </dgm:pt>
  </dgm:ptLst>
  <dgm:cxnLst>
    <dgm:cxn modelId="{AC46AD76-FBBB-4DD1-8433-CFED06A8B0E6}" type="presOf" srcId="{9AA717EA-7BF1-4D21-BCFF-2F2E24C2AD2C}" destId="{99F6DC77-D83C-4695-A911-DA132A98F35C}" srcOrd="0" destOrd="0" presId="urn:microsoft.com/office/officeart/2005/8/layout/process1"/>
    <dgm:cxn modelId="{557E4C8B-9E8A-4FB8-A255-A878EB294DE4}" srcId="{9AA717EA-7BF1-4D21-BCFF-2F2E24C2AD2C}" destId="{86DA617F-8824-495C-A395-0E2A8A8C5002}" srcOrd="4" destOrd="0" parTransId="{3400A415-B078-4181-A44E-2AC7D0702036}" sibTransId="{2CB11A40-B8DE-4347-BC5D-F335A2854F8F}"/>
    <dgm:cxn modelId="{BE8CBDF7-91E9-4371-8B2A-B83C2E656817}" type="presOf" srcId="{FD76D26A-8C1C-4E95-AEA1-69B7E1065DC2}" destId="{FE10FDF9-CAFA-486C-9D75-167AFF48BC8E}" srcOrd="1" destOrd="0" presId="urn:microsoft.com/office/officeart/2005/8/layout/process1"/>
    <dgm:cxn modelId="{5BEB4832-3CC7-41AA-8C7B-E56FFE3AB54E}" type="presOf" srcId="{58D5EC90-730A-4088-9079-2ED50FAD0258}" destId="{118E2C81-1FB8-4DF4-BEF4-AFE955ADBDCD}" srcOrd="0" destOrd="0" presId="urn:microsoft.com/office/officeart/2005/8/layout/process1"/>
    <dgm:cxn modelId="{24C71E14-E822-4669-9197-4C5ECE97F316}" type="presOf" srcId="{90301840-46BD-43D3-B1D4-6FA3A72151E7}" destId="{A910D53E-6C57-455E-90B9-A19DFD8591FF}" srcOrd="0" destOrd="0" presId="urn:microsoft.com/office/officeart/2005/8/layout/process1"/>
    <dgm:cxn modelId="{68B310D0-B3E6-4A9C-B8A4-7081FB0BCB18}" srcId="{9AA717EA-7BF1-4D21-BCFF-2F2E24C2AD2C}" destId="{C438F146-AFA8-4D9D-9F4A-C1E156743A3A}" srcOrd="2" destOrd="0" parTransId="{63F41804-8E5C-463E-9683-A3567C0EE096}" sibTransId="{58D5EC90-730A-4088-9079-2ED50FAD0258}"/>
    <dgm:cxn modelId="{8F8C7BDB-8968-46B7-9152-953E805C6003}" srcId="{9AA717EA-7BF1-4D21-BCFF-2F2E24C2AD2C}" destId="{0013FB7F-1A30-490F-B342-A4EF8A52A0BC}" srcOrd="3" destOrd="0" parTransId="{950394CB-63B7-42D0-AA87-A31945A74F39}" sibTransId="{FD76D26A-8C1C-4E95-AEA1-69B7E1065DC2}"/>
    <dgm:cxn modelId="{90776F6E-E8A6-4404-979E-C3D47C3F2388}" type="presOf" srcId="{6B743B21-787D-4982-AAB0-178EA25617A9}" destId="{6A581AFD-992D-4313-B9CE-27E9B9AD1EE1}" srcOrd="0" destOrd="0" presId="urn:microsoft.com/office/officeart/2005/8/layout/process1"/>
    <dgm:cxn modelId="{78CEB215-ECB3-4E78-8AF6-DB6BC50985D2}" srcId="{9AA717EA-7BF1-4D21-BCFF-2F2E24C2AD2C}" destId="{6B743B21-787D-4982-AAB0-178EA25617A9}" srcOrd="0" destOrd="0" parTransId="{8D583DFE-95E6-43AE-8E8A-EED23183936B}" sibTransId="{90301840-46BD-43D3-B1D4-6FA3A72151E7}"/>
    <dgm:cxn modelId="{99DD7F5B-D0F4-420E-8AFD-A0806F32F5EA}" type="presOf" srcId="{0013FB7F-1A30-490F-B342-A4EF8A52A0BC}" destId="{7A9908BE-9DDA-41C4-BE2B-951E6C56FBB4}" srcOrd="0" destOrd="0" presId="urn:microsoft.com/office/officeart/2005/8/layout/process1"/>
    <dgm:cxn modelId="{E6F26651-7062-4C7B-84B8-C54B890384FF}" srcId="{9AA717EA-7BF1-4D21-BCFF-2F2E24C2AD2C}" destId="{1091DE54-F86A-43C6-A70E-119A5425635B}" srcOrd="1" destOrd="0" parTransId="{CF49D59E-50AD-4C68-97FC-08D8C56DE738}" sibTransId="{826E7F9B-5469-4AB9-BF82-6D4D092D0526}"/>
    <dgm:cxn modelId="{7C9B7A9B-3194-44D1-AC83-8D3080ED7334}" type="presOf" srcId="{58D5EC90-730A-4088-9079-2ED50FAD0258}" destId="{9CBB3FE4-C0EE-4328-BCE0-2CF787479044}" srcOrd="1" destOrd="0" presId="urn:microsoft.com/office/officeart/2005/8/layout/process1"/>
    <dgm:cxn modelId="{65AAA95F-8FC9-4F1D-848F-FFED19BABF3F}" type="presOf" srcId="{86DA617F-8824-495C-A395-0E2A8A8C5002}" destId="{F0F500BC-C3BF-409B-8E2B-306761E16964}" srcOrd="0" destOrd="0" presId="urn:microsoft.com/office/officeart/2005/8/layout/process1"/>
    <dgm:cxn modelId="{879F8F68-5574-4DA3-9D71-668B258D1904}" type="presOf" srcId="{1091DE54-F86A-43C6-A70E-119A5425635B}" destId="{F99CB341-899E-4917-B126-C086FF221180}" srcOrd="0" destOrd="0" presId="urn:microsoft.com/office/officeart/2005/8/layout/process1"/>
    <dgm:cxn modelId="{BAEA4016-5635-4837-8C70-E3229D6C096A}" type="presOf" srcId="{C438F146-AFA8-4D9D-9F4A-C1E156743A3A}" destId="{65306567-63F2-49B5-8B81-01AD117C0C15}" srcOrd="0" destOrd="0" presId="urn:microsoft.com/office/officeart/2005/8/layout/process1"/>
    <dgm:cxn modelId="{3A20143B-B130-4585-8FFC-83DB7FCF6DB9}" type="presOf" srcId="{826E7F9B-5469-4AB9-BF82-6D4D092D0526}" destId="{80E2A0D6-AC1C-46E4-9FE4-0895F60299DC}" srcOrd="0" destOrd="0" presId="urn:microsoft.com/office/officeart/2005/8/layout/process1"/>
    <dgm:cxn modelId="{D069B49E-AC35-4D9A-AF0A-FBDCB4DEE123}" type="presOf" srcId="{FD76D26A-8C1C-4E95-AEA1-69B7E1065DC2}" destId="{BA4DC753-A0AA-45A5-A090-0DFB48E77E5E}" srcOrd="0" destOrd="0" presId="urn:microsoft.com/office/officeart/2005/8/layout/process1"/>
    <dgm:cxn modelId="{2A9C9DCD-0D2D-4B3C-BF88-BC5A7B52830E}" type="presOf" srcId="{826E7F9B-5469-4AB9-BF82-6D4D092D0526}" destId="{60D72A1B-18FD-4089-808F-247EF869916B}" srcOrd="1" destOrd="0" presId="urn:microsoft.com/office/officeart/2005/8/layout/process1"/>
    <dgm:cxn modelId="{B0CA940B-3438-4290-AB06-63E8C3A632E2}" type="presOf" srcId="{90301840-46BD-43D3-B1D4-6FA3A72151E7}" destId="{8BB890BA-B480-4C83-BA74-40D2EE4904BE}" srcOrd="1" destOrd="0" presId="urn:microsoft.com/office/officeart/2005/8/layout/process1"/>
    <dgm:cxn modelId="{352E2E58-198B-4F1B-97EA-341F2B084C06}" type="presParOf" srcId="{99F6DC77-D83C-4695-A911-DA132A98F35C}" destId="{6A581AFD-992D-4313-B9CE-27E9B9AD1EE1}" srcOrd="0" destOrd="0" presId="urn:microsoft.com/office/officeart/2005/8/layout/process1"/>
    <dgm:cxn modelId="{0615BA32-E50D-4F02-8066-924FE7112568}" type="presParOf" srcId="{99F6DC77-D83C-4695-A911-DA132A98F35C}" destId="{A910D53E-6C57-455E-90B9-A19DFD8591FF}" srcOrd="1" destOrd="0" presId="urn:microsoft.com/office/officeart/2005/8/layout/process1"/>
    <dgm:cxn modelId="{454C8D4B-6E34-4AD4-BA4A-E3CCCAD19E6B}" type="presParOf" srcId="{A910D53E-6C57-455E-90B9-A19DFD8591FF}" destId="{8BB890BA-B480-4C83-BA74-40D2EE4904BE}" srcOrd="0" destOrd="0" presId="urn:microsoft.com/office/officeart/2005/8/layout/process1"/>
    <dgm:cxn modelId="{E2F782D5-88A9-4D1D-9C47-B83D293C6CD4}" type="presParOf" srcId="{99F6DC77-D83C-4695-A911-DA132A98F35C}" destId="{F99CB341-899E-4917-B126-C086FF221180}" srcOrd="2" destOrd="0" presId="urn:microsoft.com/office/officeart/2005/8/layout/process1"/>
    <dgm:cxn modelId="{C6F12083-583F-4B5A-9DDB-CB04CD041ACF}" type="presParOf" srcId="{99F6DC77-D83C-4695-A911-DA132A98F35C}" destId="{80E2A0D6-AC1C-46E4-9FE4-0895F60299DC}" srcOrd="3" destOrd="0" presId="urn:microsoft.com/office/officeart/2005/8/layout/process1"/>
    <dgm:cxn modelId="{069C0EC9-4846-4438-B66A-D5763B8B91FB}" type="presParOf" srcId="{80E2A0D6-AC1C-46E4-9FE4-0895F60299DC}" destId="{60D72A1B-18FD-4089-808F-247EF869916B}" srcOrd="0" destOrd="0" presId="urn:microsoft.com/office/officeart/2005/8/layout/process1"/>
    <dgm:cxn modelId="{6635D768-833D-42A5-91AF-5A46E098401B}" type="presParOf" srcId="{99F6DC77-D83C-4695-A911-DA132A98F35C}" destId="{65306567-63F2-49B5-8B81-01AD117C0C15}" srcOrd="4" destOrd="0" presId="urn:microsoft.com/office/officeart/2005/8/layout/process1"/>
    <dgm:cxn modelId="{170B5381-0069-47F1-82D3-74775F3219CC}" type="presParOf" srcId="{99F6DC77-D83C-4695-A911-DA132A98F35C}" destId="{118E2C81-1FB8-4DF4-BEF4-AFE955ADBDCD}" srcOrd="5" destOrd="0" presId="urn:microsoft.com/office/officeart/2005/8/layout/process1"/>
    <dgm:cxn modelId="{267D4476-51DF-42CF-8A6A-0FCE5A6CC0C6}" type="presParOf" srcId="{118E2C81-1FB8-4DF4-BEF4-AFE955ADBDCD}" destId="{9CBB3FE4-C0EE-4328-BCE0-2CF787479044}" srcOrd="0" destOrd="0" presId="urn:microsoft.com/office/officeart/2005/8/layout/process1"/>
    <dgm:cxn modelId="{DB260EE0-0003-4460-9D43-6C417E67C842}" type="presParOf" srcId="{99F6DC77-D83C-4695-A911-DA132A98F35C}" destId="{7A9908BE-9DDA-41C4-BE2B-951E6C56FBB4}" srcOrd="6" destOrd="0" presId="urn:microsoft.com/office/officeart/2005/8/layout/process1"/>
    <dgm:cxn modelId="{0ADDAC38-1D3A-4940-B5B8-F4B9D97E38AF}" type="presParOf" srcId="{99F6DC77-D83C-4695-A911-DA132A98F35C}" destId="{BA4DC753-A0AA-45A5-A090-0DFB48E77E5E}" srcOrd="7" destOrd="0" presId="urn:microsoft.com/office/officeart/2005/8/layout/process1"/>
    <dgm:cxn modelId="{70687C71-EC96-48B8-8215-AC3052B4E727}" type="presParOf" srcId="{BA4DC753-A0AA-45A5-A090-0DFB48E77E5E}" destId="{FE10FDF9-CAFA-486C-9D75-167AFF48BC8E}" srcOrd="0" destOrd="0" presId="urn:microsoft.com/office/officeart/2005/8/layout/process1"/>
    <dgm:cxn modelId="{CA6E84E2-05D2-43DA-A708-AAE7D98CAF5E}" type="presParOf" srcId="{99F6DC77-D83C-4695-A911-DA132A98F35C}" destId="{F0F500BC-C3BF-409B-8E2B-306761E16964}" srcOrd="8" destOrd="0" presId="urn:microsoft.com/office/officeart/2005/8/layout/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581AFD-992D-4313-B9CE-27E9B9AD1EE1}">
      <dsp:nvSpPr>
        <dsp:cNvPr id="0" name=""/>
        <dsp:cNvSpPr/>
      </dsp:nvSpPr>
      <dsp:spPr>
        <a:xfrm>
          <a:off x="91951" y="301504"/>
          <a:ext cx="657512" cy="75391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FF0000"/>
              </a:solidFill>
              <a:latin typeface="Calibri"/>
              <a:ea typeface="+mn-ea"/>
              <a:cs typeface="+mn-cs"/>
            </a:rPr>
            <a:t>Patient is admitted to a hospital inpatient psychiatric facility</a:t>
          </a:r>
        </a:p>
      </dsp:txBody>
      <dsp:txXfrm>
        <a:off x="111209" y="320762"/>
        <a:ext cx="618996" cy="715394"/>
      </dsp:txXfrm>
    </dsp:sp>
    <dsp:sp modelId="{A910D53E-6C57-455E-90B9-A19DFD8591FF}">
      <dsp:nvSpPr>
        <dsp:cNvPr id="0" name=""/>
        <dsp:cNvSpPr/>
      </dsp:nvSpPr>
      <dsp:spPr>
        <a:xfrm rot="21592110">
          <a:off x="836018" y="520657"/>
          <a:ext cx="183494" cy="313275"/>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836018" y="583375"/>
        <a:ext cx="128446" cy="187965"/>
      </dsp:txXfrm>
    </dsp:sp>
    <dsp:sp modelId="{F99CB341-899E-4917-B126-C086FF221180}">
      <dsp:nvSpPr>
        <dsp:cNvPr id="0" name=""/>
        <dsp:cNvSpPr/>
      </dsp:nvSpPr>
      <dsp:spPr>
        <a:xfrm>
          <a:off x="1095679" y="309809"/>
          <a:ext cx="708900" cy="73257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100000"/>
            </a:lnSpc>
            <a:spcBef>
              <a:spcPct val="0"/>
            </a:spcBef>
            <a:spcAft>
              <a:spcPts val="0"/>
            </a:spcAft>
          </a:pPr>
          <a:r>
            <a:rPr lang="en-US" sz="700" kern="1200">
              <a:solidFill>
                <a:srgbClr val="FF0000"/>
              </a:solidFill>
              <a:latin typeface="Calibri"/>
              <a:ea typeface="+mn-ea"/>
              <a:cs typeface="+mn-cs"/>
            </a:rPr>
            <a:t>Number of antipsychotic medications prescribed at discharge </a:t>
          </a:r>
        </a:p>
        <a:p>
          <a:pPr lvl="0" algn="ctr" defTabSz="311150">
            <a:lnSpc>
              <a:spcPct val="100000"/>
            </a:lnSpc>
            <a:spcBef>
              <a:spcPct val="0"/>
            </a:spcBef>
            <a:spcAft>
              <a:spcPts val="0"/>
            </a:spcAft>
          </a:pPr>
          <a:r>
            <a:rPr lang="en-US" sz="700" kern="1200">
              <a:solidFill>
                <a:srgbClr val="FF0000"/>
              </a:solidFill>
              <a:latin typeface="Calibri" panose="020F0502020204030204" pitchFamily="34" charset="0"/>
              <a:ea typeface="+mn-ea"/>
              <a:cs typeface="+mn-cs"/>
            </a:rPr>
            <a:t>≥</a:t>
          </a:r>
          <a:r>
            <a:rPr lang="en-US" sz="700" kern="1200">
              <a:solidFill>
                <a:srgbClr val="FF0000"/>
              </a:solidFill>
              <a:latin typeface="Calibri"/>
              <a:ea typeface="+mn-ea"/>
              <a:cs typeface="+mn-cs"/>
            </a:rPr>
            <a:t> 2</a:t>
          </a:r>
        </a:p>
      </dsp:txBody>
      <dsp:txXfrm>
        <a:off x="1116442" y="330572"/>
        <a:ext cx="667374" cy="691048"/>
      </dsp:txXfrm>
    </dsp:sp>
    <dsp:sp modelId="{80E2A0D6-AC1C-46E4-9FE4-0895F60299DC}">
      <dsp:nvSpPr>
        <dsp:cNvPr id="0" name=""/>
        <dsp:cNvSpPr/>
      </dsp:nvSpPr>
      <dsp:spPr>
        <a:xfrm rot="21566213">
          <a:off x="1925809" y="513520"/>
          <a:ext cx="257031" cy="313275"/>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925811" y="576554"/>
        <a:ext cx="179922" cy="187965"/>
      </dsp:txXfrm>
    </dsp:sp>
    <dsp:sp modelId="{65306567-63F2-49B5-8B81-01AD117C0C15}">
      <dsp:nvSpPr>
        <dsp:cNvPr id="0" name=""/>
        <dsp:cNvSpPr/>
      </dsp:nvSpPr>
      <dsp:spPr>
        <a:xfrm>
          <a:off x="2289521" y="284168"/>
          <a:ext cx="624113" cy="76122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100000"/>
            </a:lnSpc>
            <a:spcBef>
              <a:spcPct val="0"/>
            </a:spcBef>
            <a:spcAft>
              <a:spcPts val="0"/>
            </a:spcAft>
          </a:pPr>
          <a:r>
            <a:rPr lang="en-US" sz="700" kern="1200">
              <a:solidFill>
                <a:srgbClr val="FF0000"/>
              </a:solidFill>
              <a:latin typeface="Calibri"/>
              <a:ea typeface="+mn-ea"/>
              <a:cs typeface="+mn-cs"/>
            </a:rPr>
            <a:t>Appropriate justification for multiple antipsychotic medications </a:t>
          </a:r>
        </a:p>
        <a:p>
          <a:pPr lvl="0" algn="ctr" defTabSz="311150">
            <a:lnSpc>
              <a:spcPct val="100000"/>
            </a:lnSpc>
            <a:spcBef>
              <a:spcPct val="0"/>
            </a:spcBef>
            <a:spcAft>
              <a:spcPts val="0"/>
            </a:spcAft>
          </a:pPr>
          <a:r>
            <a:rPr lang="en-US" sz="700" kern="1200">
              <a:solidFill>
                <a:srgbClr val="FF0000"/>
              </a:solidFill>
              <a:latin typeface="Calibri"/>
              <a:ea typeface="+mn-ea"/>
              <a:cs typeface="+mn-cs"/>
            </a:rPr>
            <a:t>required</a:t>
          </a:r>
        </a:p>
      </dsp:txBody>
      <dsp:txXfrm>
        <a:off x="2307801" y="302448"/>
        <a:ext cx="587553" cy="724663"/>
      </dsp:txXfrm>
    </dsp:sp>
    <dsp:sp modelId="{118E2C81-1FB8-4DF4-BEF4-AFE955ADBDCD}">
      <dsp:nvSpPr>
        <dsp:cNvPr id="0" name=""/>
        <dsp:cNvSpPr/>
      </dsp:nvSpPr>
      <dsp:spPr>
        <a:xfrm rot="31609">
          <a:off x="3049541" y="513585"/>
          <a:ext cx="288146" cy="313275"/>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049543" y="575843"/>
        <a:ext cx="201702" cy="187965"/>
      </dsp:txXfrm>
    </dsp:sp>
    <dsp:sp modelId="{7A9908BE-9DDA-41C4-BE2B-951E6C56FBB4}">
      <dsp:nvSpPr>
        <dsp:cNvPr id="0" name=""/>
        <dsp:cNvSpPr/>
      </dsp:nvSpPr>
      <dsp:spPr>
        <a:xfrm>
          <a:off x="3457284" y="299790"/>
          <a:ext cx="691341" cy="75207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FF0000"/>
              </a:solidFill>
              <a:latin typeface="Calibri"/>
              <a:ea typeface="+mn-ea"/>
              <a:cs typeface="+mn-cs"/>
            </a:rPr>
            <a:t>Patient evaluated for adequate trial of antipsychotic medication monotherapy</a:t>
          </a:r>
        </a:p>
      </dsp:txBody>
      <dsp:txXfrm>
        <a:off x="3477533" y="320039"/>
        <a:ext cx="650843" cy="711572"/>
      </dsp:txXfrm>
    </dsp:sp>
    <dsp:sp modelId="{BA4DC753-A0AA-45A5-A090-0DFB48E77E5E}">
      <dsp:nvSpPr>
        <dsp:cNvPr id="0" name=""/>
        <dsp:cNvSpPr/>
      </dsp:nvSpPr>
      <dsp:spPr>
        <a:xfrm rot="15854">
          <a:off x="4250774" y="521752"/>
          <a:ext cx="216559" cy="313275"/>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4250774" y="584257"/>
        <a:ext cx="151591" cy="187965"/>
      </dsp:txXfrm>
    </dsp:sp>
    <dsp:sp modelId="{F0F500BC-C3BF-409B-8E2B-306761E16964}">
      <dsp:nvSpPr>
        <dsp:cNvPr id="0" name=""/>
        <dsp:cNvSpPr/>
      </dsp:nvSpPr>
      <dsp:spPr>
        <a:xfrm>
          <a:off x="4557223" y="294957"/>
          <a:ext cx="775231" cy="77226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FF0000"/>
              </a:solidFill>
              <a:latin typeface="Calibri"/>
              <a:ea typeface="+mn-ea"/>
              <a:cs typeface="+mn-cs"/>
            </a:rPr>
            <a:t>Reduction in antipsychotic  polypharmacy without appropriate justifiacation</a:t>
          </a:r>
        </a:p>
      </dsp:txBody>
      <dsp:txXfrm>
        <a:off x="4579842" y="317576"/>
        <a:ext cx="729993" cy="72703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419B3"/>
    <w:rsid w:val="003A1E4B"/>
    <w:rsid w:val="003C35B4"/>
    <w:rsid w:val="00455EB5"/>
    <w:rsid w:val="004560F1"/>
    <w:rsid w:val="00461C1C"/>
    <w:rsid w:val="004E2027"/>
    <w:rsid w:val="00550C00"/>
    <w:rsid w:val="005E3243"/>
    <w:rsid w:val="005F21F3"/>
    <w:rsid w:val="008F6A9B"/>
    <w:rsid w:val="00A77B15"/>
    <w:rsid w:val="00B12BEF"/>
    <w:rsid w:val="00BB7535"/>
    <w:rsid w:val="00BE0F2D"/>
    <w:rsid w:val="00C03643"/>
    <w:rsid w:val="00C2797F"/>
    <w:rsid w:val="00C80225"/>
    <w:rsid w:val="00D228C9"/>
    <w:rsid w:val="00D2552B"/>
    <w:rsid w:val="00D75B64"/>
    <w:rsid w:val="00DB5324"/>
    <w:rsid w:val="00E97654"/>
    <w:rsid w:val="00EA555A"/>
    <w:rsid w:val="00ED7F37"/>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3.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 ds:uri="836b82f1-340d-495e-85b5-201c5296619a"/>
  </ds:schemaRefs>
</ds:datastoreItem>
</file>

<file path=customXml/itemProps5.xml><?xml version="1.0" encoding="utf-8"?>
<ds:datastoreItem xmlns:ds="http://schemas.openxmlformats.org/officeDocument/2006/customXml" ds:itemID="{A6D02BD1-F494-4009-A37B-D3FD2E159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10</Pages>
  <Words>3568</Words>
  <Characters>20340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23861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Ryan, Elvira</cp:lastModifiedBy>
  <cp:revision>22</cp:revision>
  <dcterms:created xsi:type="dcterms:W3CDTF">2018-12-07T15:32:00Z</dcterms:created>
  <dcterms:modified xsi:type="dcterms:W3CDTF">2018-12-19T20:11:00Z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