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ABCF53" w14:textId="11B98013" w:rsidR="00927027" w:rsidRDefault="000E78F6" w:rsidP="00927027">
      <w:pPr>
        <w:contextualSpacing/>
        <w:jc w:val="center"/>
        <w:rPr>
          <w:rFonts w:cstheme="minorHAnsi"/>
          <w:b/>
          <w:noProof/>
        </w:rPr>
      </w:pPr>
      <w:r>
        <w:rPr>
          <w:b/>
          <w:smallCaps/>
          <w:noProof/>
          <w:sz w:val="24"/>
          <w:szCs w:val="24"/>
        </w:rPr>
        <w:t>N</w:t>
      </w:r>
      <w:r w:rsidRPr="001A6D05">
        <w:rPr>
          <w:b/>
          <w:smallCaps/>
          <w:noProof/>
          <w:sz w:val="24"/>
          <w:szCs w:val="24"/>
        </w:rPr>
        <w:t>ational Quality Forum</w:t>
      </w:r>
      <w:r w:rsidRPr="001A6D05">
        <w:rPr>
          <w:b/>
          <w:noProof/>
          <w:sz w:val="24"/>
          <w:szCs w:val="24"/>
        </w:rPr>
        <w:t>—</w:t>
      </w:r>
      <w:r w:rsidR="00927027">
        <w:rPr>
          <w:rFonts w:cstheme="minorHAnsi"/>
          <w:b/>
          <w:noProof/>
        </w:rPr>
        <w:t>Measure Te</w:t>
      </w:r>
      <w:r>
        <w:rPr>
          <w:rFonts w:cstheme="minorHAnsi"/>
          <w:b/>
          <w:noProof/>
        </w:rPr>
        <w:t>sting (subcriteria 2a2, 2b</w:t>
      </w:r>
      <w:r w:rsidR="00651D44">
        <w:rPr>
          <w:rFonts w:cstheme="minorHAnsi"/>
          <w:b/>
          <w:noProof/>
        </w:rPr>
        <w:t>1</w:t>
      </w:r>
      <w:r>
        <w:rPr>
          <w:rFonts w:cstheme="minorHAnsi"/>
          <w:b/>
          <w:noProof/>
        </w:rPr>
        <w:t>-2b</w:t>
      </w:r>
      <w:r w:rsidR="00651D44">
        <w:rPr>
          <w:rFonts w:cstheme="minorHAnsi"/>
          <w:b/>
          <w:noProof/>
        </w:rPr>
        <w:t>6</w:t>
      </w:r>
      <w:r>
        <w:rPr>
          <w:rFonts w:cstheme="minorHAnsi"/>
          <w:b/>
          <w:noProof/>
        </w:rPr>
        <w:t>)</w:t>
      </w:r>
    </w:p>
    <w:p w14:paraId="0CABCF54" w14:textId="77777777" w:rsidR="00797624" w:rsidRDefault="00797624" w:rsidP="00105D8B">
      <w:pPr>
        <w:contextualSpacing/>
        <w:rPr>
          <w:rFonts w:cstheme="minorHAnsi"/>
          <w:b/>
          <w:noProof/>
        </w:rPr>
      </w:pPr>
    </w:p>
    <w:p w14:paraId="0CABCF55" w14:textId="45FE02D8" w:rsidR="00927027" w:rsidRDefault="00797624" w:rsidP="00105D8B">
      <w:pPr>
        <w:contextualSpacing/>
        <w:rPr>
          <w:rFonts w:cstheme="minorHAnsi"/>
          <w:b/>
          <w:noProof/>
        </w:rPr>
      </w:pPr>
      <w:r>
        <w:rPr>
          <w:rFonts w:cstheme="minorHAnsi"/>
          <w:b/>
          <w:noProof/>
        </w:rPr>
        <w:t xml:space="preserve">Measure Number </w:t>
      </w:r>
      <w:r w:rsidRPr="00797624">
        <w:rPr>
          <w:rFonts w:cstheme="minorHAnsi"/>
          <w:noProof/>
        </w:rPr>
        <w:t>(</w:t>
      </w:r>
      <w:r w:rsidRPr="00797624">
        <w:rPr>
          <w:rFonts w:cstheme="minorHAnsi"/>
          <w:i/>
          <w:noProof/>
        </w:rPr>
        <w:t>if previously endorsed</w:t>
      </w:r>
      <w:r w:rsidRPr="00797624">
        <w:rPr>
          <w:rFonts w:cstheme="minorHAnsi"/>
          <w:noProof/>
        </w:rPr>
        <w:t>)</w:t>
      </w:r>
      <w:r>
        <w:rPr>
          <w:rFonts w:cstheme="minorHAnsi"/>
          <w:b/>
          <w:noProof/>
        </w:rPr>
        <w:t xml:space="preserve">: </w:t>
      </w:r>
      <w:sdt>
        <w:sdtPr>
          <w:rPr>
            <w:rStyle w:val="Style1"/>
          </w:rPr>
          <w:id w:val="1103681744"/>
          <w:placeholder>
            <w:docPart w:val="D06AB11FD608490E9B47857CE12EB3BD"/>
          </w:placeholder>
        </w:sdtPr>
        <w:sdtEndPr>
          <w:rPr>
            <w:rStyle w:val="DefaultParagraphFont"/>
            <w:rFonts w:cstheme="minorHAnsi"/>
            <w:b/>
            <w:noProof/>
            <w:color w:val="auto"/>
          </w:rPr>
        </w:sdtEndPr>
        <w:sdtContent>
          <w:r w:rsidR="00277402">
            <w:rPr>
              <w:rStyle w:val="Style1"/>
            </w:rPr>
            <w:t>0641</w:t>
          </w:r>
        </w:sdtContent>
      </w:sdt>
    </w:p>
    <w:p w14:paraId="0CABCF56" w14:textId="7D4507F8" w:rsidR="00105D8B" w:rsidRPr="00A25024" w:rsidRDefault="00105D8B" w:rsidP="00105D8B">
      <w:pPr>
        <w:contextualSpacing/>
        <w:rPr>
          <w:rFonts w:cstheme="minorHAnsi"/>
          <w:noProof/>
        </w:rPr>
      </w:pPr>
      <w:r w:rsidRPr="00A25024">
        <w:rPr>
          <w:rFonts w:cstheme="minorHAnsi"/>
          <w:b/>
          <w:noProof/>
        </w:rPr>
        <w:t>Measure Title</w:t>
      </w:r>
      <w:r w:rsidRPr="00A25024">
        <w:rPr>
          <w:rFonts w:cstheme="minorHAnsi"/>
          <w:noProof/>
        </w:rPr>
        <w:t xml:space="preserve">:  </w:t>
      </w:r>
      <w:sdt>
        <w:sdtPr>
          <w:rPr>
            <w:rStyle w:val="Style1"/>
            <w:rFonts w:cstheme="minorHAnsi"/>
          </w:rPr>
          <w:id w:val="-882640736"/>
          <w:placeholder>
            <w:docPart w:val="00949831315D4E1BAFC508BD77E32A40"/>
          </w:placeholder>
        </w:sdtPr>
        <w:sdtEndPr>
          <w:rPr>
            <w:rStyle w:val="DefaultParagraphFont"/>
            <w:noProof/>
            <w:color w:val="auto"/>
          </w:rPr>
        </w:sdtEndPr>
        <w:sdtContent>
          <w:r w:rsidR="00277402">
            <w:rPr>
              <w:rStyle w:val="Style1"/>
              <w:rFonts w:cstheme="minorHAnsi"/>
            </w:rPr>
            <w:t>Hours of seclusion use</w:t>
          </w:r>
        </w:sdtContent>
      </w:sdt>
    </w:p>
    <w:p w14:paraId="0CABCF57" w14:textId="06AAFA13" w:rsidR="005C73CA" w:rsidRPr="00450C58" w:rsidRDefault="00105D8B" w:rsidP="009E1846">
      <w:pPr>
        <w:spacing w:after="0"/>
        <w:rPr>
          <w:rStyle w:val="Style2"/>
          <w:rFonts w:cstheme="minorHAnsi"/>
        </w:rPr>
      </w:pPr>
      <w:r w:rsidRPr="00450C58">
        <w:rPr>
          <w:rFonts w:cstheme="minorHAnsi"/>
          <w:b/>
          <w:noProof/>
        </w:rPr>
        <w:t>Date of Submission</w:t>
      </w:r>
      <w:r w:rsidRPr="00450C58">
        <w:rPr>
          <w:rFonts w:cstheme="minorHAnsi"/>
          <w:noProof/>
        </w:rPr>
        <w:t xml:space="preserve">:  </w:t>
      </w:r>
      <w:sdt>
        <w:sdtPr>
          <w:rPr>
            <w:rStyle w:val="Style2"/>
            <w:rFonts w:cstheme="minorHAnsi"/>
          </w:rPr>
          <w:id w:val="-1689821638"/>
          <w:placeholder>
            <w:docPart w:val="D0A5AE3409394D21BA5FA5F27780E302"/>
          </w:placeholder>
          <w:date w:fullDate="2018-12-20T00:00:00Z">
            <w:dateFormat w:val="M/d/yyyy"/>
            <w:lid w:val="en-US"/>
            <w:storeMappedDataAs w:val="dateTime"/>
            <w:calendar w:val="gregorian"/>
          </w:date>
        </w:sdtPr>
        <w:sdtEndPr>
          <w:rPr>
            <w:rStyle w:val="DefaultParagraphFont"/>
            <w:noProof/>
            <w:color w:val="auto"/>
            <w:u w:val="none"/>
          </w:rPr>
        </w:sdtEndPr>
        <w:sdtContent>
          <w:r w:rsidR="006962D0">
            <w:rPr>
              <w:rStyle w:val="Style2"/>
              <w:rFonts w:cstheme="minorHAnsi"/>
            </w:rPr>
            <w:t>12/20/2018</w:t>
          </w:r>
        </w:sdtContent>
      </w:sdt>
    </w:p>
    <w:p w14:paraId="0CABCF58" w14:textId="77777777" w:rsidR="00CD364B" w:rsidRPr="00450C58" w:rsidRDefault="009E1846" w:rsidP="009E1846">
      <w:pPr>
        <w:spacing w:after="0"/>
        <w:rPr>
          <w:rFonts w:cstheme="minorHAnsi"/>
          <w:b/>
        </w:rPr>
      </w:pPr>
      <w:r w:rsidRPr="00450C58">
        <w:rPr>
          <w:rStyle w:val="Style2"/>
          <w:rFonts w:cstheme="minorHAnsi"/>
          <w:b/>
          <w:color w:val="auto"/>
          <w:u w:val="none"/>
        </w:rPr>
        <w:t>Type of Measure:</w:t>
      </w:r>
    </w:p>
    <w:tbl>
      <w:tblPr>
        <w:tblStyle w:val="TableGrid"/>
        <w:tblW w:w="4159"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909"/>
        <w:gridCol w:w="3868"/>
      </w:tblGrid>
      <w:tr w:rsidR="000B7D57" w:rsidRPr="00450C58" w14:paraId="0CABCF5B" w14:textId="77777777" w:rsidTr="000B7D57">
        <w:trPr>
          <w:jc w:val="center"/>
        </w:trPr>
        <w:tc>
          <w:tcPr>
            <w:tcW w:w="2513" w:type="pct"/>
          </w:tcPr>
          <w:p w14:paraId="0CABCF59" w14:textId="77777777" w:rsidR="000B7D57" w:rsidRPr="00C775CE" w:rsidRDefault="00EA61A3" w:rsidP="00CD364B">
            <w:pPr>
              <w:autoSpaceDE w:val="0"/>
              <w:autoSpaceDN w:val="0"/>
              <w:adjustRightInd w:val="0"/>
              <w:rPr>
                <w:rFonts w:cstheme="minorHAnsi"/>
                <w:bCs/>
              </w:rPr>
            </w:pPr>
            <w:sdt>
              <w:sdtPr>
                <w:rPr>
                  <w:rFonts w:cstheme="minorHAnsi"/>
                  <w:bCs/>
                  <w:color w:val="0000FF"/>
                </w:rPr>
                <w:id w:val="40960739"/>
                <w14:checkbox>
                  <w14:checked w14:val="0"/>
                  <w14:checkedState w14:val="2612" w14:font="MS Gothic"/>
                  <w14:uncheckedState w14:val="2610" w14:font="MS Gothic"/>
                </w14:checkbox>
              </w:sdtPr>
              <w:sdtEndPr/>
              <w:sdtContent>
                <w:r w:rsidR="000B7D57" w:rsidRPr="00C775CE">
                  <w:rPr>
                    <w:rFonts w:ascii="MS Gothic" w:eastAsia="MS Gothic" w:cstheme="minorHAnsi" w:hint="eastAsia"/>
                    <w:bCs/>
                    <w:color w:val="0000FF"/>
                  </w:rPr>
                  <w:t>☐</w:t>
                </w:r>
              </w:sdtContent>
            </w:sdt>
            <w:r w:rsidR="000B7D57" w:rsidRPr="00C775CE">
              <w:rPr>
                <w:rFonts w:cstheme="minorHAnsi"/>
                <w:bCs/>
              </w:rPr>
              <w:t xml:space="preserve"> Outcome (</w:t>
            </w:r>
            <w:r w:rsidR="000B7D57" w:rsidRPr="00C775CE">
              <w:rPr>
                <w:rFonts w:cstheme="minorHAnsi"/>
                <w:bCs/>
                <w:i/>
              </w:rPr>
              <w:t>including PRO-PM</w:t>
            </w:r>
            <w:r w:rsidR="000B7D57" w:rsidRPr="00C775CE">
              <w:rPr>
                <w:rFonts w:cstheme="minorHAnsi"/>
                <w:bCs/>
              </w:rPr>
              <w:t>)</w:t>
            </w:r>
          </w:p>
        </w:tc>
        <w:tc>
          <w:tcPr>
            <w:tcW w:w="2487" w:type="pct"/>
          </w:tcPr>
          <w:p w14:paraId="0CABCF5A" w14:textId="77777777" w:rsidR="000B7D57" w:rsidRPr="00C775CE" w:rsidRDefault="00EA61A3" w:rsidP="00CD364B">
            <w:pPr>
              <w:autoSpaceDE w:val="0"/>
              <w:autoSpaceDN w:val="0"/>
              <w:adjustRightInd w:val="0"/>
              <w:rPr>
                <w:rFonts w:cstheme="minorHAnsi"/>
                <w:bCs/>
              </w:rPr>
            </w:pPr>
            <w:sdt>
              <w:sdtPr>
                <w:rPr>
                  <w:rFonts w:cstheme="minorHAnsi"/>
                  <w:bCs/>
                </w:rPr>
                <w:id w:val="-2091002545"/>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Composite – </w:t>
            </w:r>
            <w:r w:rsidR="000B7D57" w:rsidRPr="00C775CE">
              <w:rPr>
                <w:rFonts w:cstheme="minorHAnsi"/>
                <w:b/>
                <w:bCs/>
                <w:i/>
              </w:rPr>
              <w:t>STOP – use composite testing form</w:t>
            </w:r>
          </w:p>
        </w:tc>
      </w:tr>
      <w:tr w:rsidR="000B7D57" w:rsidRPr="00450C58" w14:paraId="0CABCF5E" w14:textId="77777777" w:rsidTr="000B7D57">
        <w:trPr>
          <w:jc w:val="center"/>
        </w:trPr>
        <w:tc>
          <w:tcPr>
            <w:tcW w:w="2513" w:type="pct"/>
          </w:tcPr>
          <w:p w14:paraId="0CABCF5C" w14:textId="77777777" w:rsidR="000B7D57" w:rsidRPr="00C775CE" w:rsidRDefault="00EA61A3" w:rsidP="00CD364B">
            <w:pPr>
              <w:autoSpaceDE w:val="0"/>
              <w:autoSpaceDN w:val="0"/>
              <w:adjustRightInd w:val="0"/>
              <w:rPr>
                <w:rFonts w:cstheme="minorHAnsi"/>
                <w:bCs/>
                <w:color w:val="0000FF"/>
              </w:rPr>
            </w:pPr>
            <w:sdt>
              <w:sdtPr>
                <w:rPr>
                  <w:rFonts w:cstheme="minorHAnsi"/>
                  <w:bCs/>
                  <w:color w:val="0000FF"/>
                </w:rPr>
                <w:id w:val="654653068"/>
                <w14:checkbox>
                  <w14:checked w14:val="0"/>
                  <w14:checkedState w14:val="2612" w14:font="MS Gothic"/>
                  <w14:uncheckedState w14:val="2610" w14:font="MS Gothic"/>
                </w14:checkbox>
              </w:sdtPr>
              <w:sdtEndPr/>
              <w:sdtContent>
                <w:r w:rsidR="000B7D57" w:rsidRPr="00C775CE">
                  <w:rPr>
                    <w:rFonts w:cstheme="minorHAnsi" w:hint="eastAsia"/>
                    <w:bCs/>
                    <w:color w:val="0000FF"/>
                  </w:rPr>
                  <w:t>☐</w:t>
                </w:r>
              </w:sdtContent>
            </w:sdt>
            <w:r w:rsidR="000B7D57" w:rsidRPr="00C775CE">
              <w:rPr>
                <w:rFonts w:cstheme="minorHAnsi"/>
                <w:bCs/>
                <w:color w:val="0000FF"/>
              </w:rPr>
              <w:t xml:space="preserve"> </w:t>
            </w:r>
            <w:r w:rsidR="000B7D57" w:rsidRPr="00C775CE">
              <w:rPr>
                <w:rFonts w:cstheme="minorHAnsi"/>
                <w:bCs/>
              </w:rPr>
              <w:t>Intermediate Clinical Outcome</w:t>
            </w:r>
          </w:p>
        </w:tc>
        <w:tc>
          <w:tcPr>
            <w:tcW w:w="2487" w:type="pct"/>
          </w:tcPr>
          <w:p w14:paraId="0CABCF5D" w14:textId="77777777" w:rsidR="000B7D57" w:rsidRPr="00C775CE" w:rsidRDefault="00EA61A3" w:rsidP="00CD364B">
            <w:pPr>
              <w:autoSpaceDE w:val="0"/>
              <w:autoSpaceDN w:val="0"/>
              <w:adjustRightInd w:val="0"/>
              <w:rPr>
                <w:rFonts w:cstheme="minorHAnsi"/>
                <w:bCs/>
              </w:rPr>
            </w:pPr>
            <w:sdt>
              <w:sdtPr>
                <w:rPr>
                  <w:rFonts w:cstheme="minorHAnsi"/>
                  <w:bCs/>
                </w:rPr>
                <w:id w:val="1280841322"/>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Cost/resource</w:t>
            </w:r>
          </w:p>
        </w:tc>
      </w:tr>
      <w:tr w:rsidR="000B7D57" w:rsidRPr="00450C58" w14:paraId="0CABCF61" w14:textId="77777777" w:rsidTr="000B7D57">
        <w:trPr>
          <w:jc w:val="center"/>
        </w:trPr>
        <w:tc>
          <w:tcPr>
            <w:tcW w:w="2513" w:type="pct"/>
          </w:tcPr>
          <w:p w14:paraId="0CABCF5F" w14:textId="58844A92" w:rsidR="000B7D57" w:rsidRPr="00C775CE" w:rsidRDefault="00EA61A3" w:rsidP="00CD364B">
            <w:pPr>
              <w:autoSpaceDE w:val="0"/>
              <w:autoSpaceDN w:val="0"/>
              <w:adjustRightInd w:val="0"/>
              <w:rPr>
                <w:rFonts w:cstheme="minorHAnsi"/>
                <w:bCs/>
              </w:rPr>
            </w:pPr>
            <w:sdt>
              <w:sdtPr>
                <w:rPr>
                  <w:rFonts w:cstheme="minorHAnsi"/>
                  <w:bCs/>
                  <w:color w:val="0000FF"/>
                </w:rPr>
                <w:id w:val="-1952933063"/>
                <w14:checkbox>
                  <w14:checked w14:val="1"/>
                  <w14:checkedState w14:val="2612" w14:font="MS Gothic"/>
                  <w14:uncheckedState w14:val="2610" w14:font="MS Gothic"/>
                </w14:checkbox>
              </w:sdtPr>
              <w:sdtEndPr/>
              <w:sdtContent>
                <w:r w:rsidR="00277402">
                  <w:rPr>
                    <w:rFonts w:ascii="MS Gothic" w:eastAsia="MS Gothic" w:hAnsi="MS Gothic" w:cstheme="minorHAnsi" w:hint="eastAsia"/>
                    <w:bCs/>
                    <w:color w:val="0000FF"/>
                  </w:rPr>
                  <w:t>☒</w:t>
                </w:r>
              </w:sdtContent>
            </w:sdt>
            <w:r w:rsidR="000B7D57" w:rsidRPr="00C775CE">
              <w:rPr>
                <w:rFonts w:cstheme="minorHAnsi"/>
                <w:bCs/>
              </w:rPr>
              <w:t xml:space="preserve"> </w:t>
            </w:r>
            <w:r w:rsidR="000B7D57" w:rsidRPr="00C775CE">
              <w:rPr>
                <w:rFonts w:eastAsia="MS Gothic" w:cstheme="minorHAnsi"/>
                <w:bCs/>
              </w:rPr>
              <w:t>Process</w:t>
            </w:r>
            <w:r w:rsidR="00C775CE" w:rsidRPr="00C775CE">
              <w:rPr>
                <w:rFonts w:eastAsia="MS Gothic" w:cstheme="minorHAnsi"/>
                <w:bCs/>
              </w:rPr>
              <w:t xml:space="preserve"> </w:t>
            </w:r>
            <w:r w:rsidR="00C775CE" w:rsidRPr="00C775CE">
              <w:rPr>
                <w:rFonts w:eastAsia="MS Gothic" w:cstheme="minorHAnsi"/>
                <w:bCs/>
                <w:i/>
              </w:rPr>
              <w:t>(including Appropriate Use)</w:t>
            </w:r>
          </w:p>
        </w:tc>
        <w:tc>
          <w:tcPr>
            <w:tcW w:w="2487" w:type="pct"/>
          </w:tcPr>
          <w:p w14:paraId="0CABCF60" w14:textId="77777777" w:rsidR="000B7D57" w:rsidRPr="00C775CE" w:rsidRDefault="00EA61A3" w:rsidP="00CD364B">
            <w:pPr>
              <w:autoSpaceDE w:val="0"/>
              <w:autoSpaceDN w:val="0"/>
              <w:adjustRightInd w:val="0"/>
              <w:rPr>
                <w:rFonts w:cstheme="minorHAnsi"/>
                <w:bCs/>
              </w:rPr>
            </w:pPr>
            <w:sdt>
              <w:sdtPr>
                <w:rPr>
                  <w:rFonts w:cstheme="minorHAnsi"/>
                  <w:bCs/>
                </w:rPr>
                <w:id w:val="-2050835103"/>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Efficiency</w:t>
            </w:r>
          </w:p>
        </w:tc>
      </w:tr>
      <w:tr w:rsidR="000B7D57" w:rsidRPr="00B82A57" w14:paraId="0CABCF64" w14:textId="77777777" w:rsidTr="000B7D57">
        <w:trPr>
          <w:jc w:val="center"/>
        </w:trPr>
        <w:tc>
          <w:tcPr>
            <w:tcW w:w="2513" w:type="pct"/>
          </w:tcPr>
          <w:p w14:paraId="0CABCF62" w14:textId="77777777" w:rsidR="000B7D57" w:rsidRPr="00C775CE" w:rsidRDefault="00EA61A3" w:rsidP="00CD364B">
            <w:pPr>
              <w:autoSpaceDE w:val="0"/>
              <w:autoSpaceDN w:val="0"/>
              <w:adjustRightInd w:val="0"/>
              <w:rPr>
                <w:rFonts w:cstheme="minorHAnsi"/>
                <w:bCs/>
              </w:rPr>
            </w:pPr>
            <w:sdt>
              <w:sdtPr>
                <w:rPr>
                  <w:rFonts w:cstheme="minorHAnsi"/>
                  <w:bCs/>
                  <w:color w:val="0000FF"/>
                </w:rPr>
                <w:id w:val="-1898113707"/>
                <w14:checkbox>
                  <w14:checked w14:val="0"/>
                  <w14:checkedState w14:val="2612" w14:font="MS Gothic"/>
                  <w14:uncheckedState w14:val="2610" w14:font="MS Gothic"/>
                </w14:checkbox>
              </w:sdtPr>
              <w:sdtEndPr/>
              <w:sdtContent>
                <w:r w:rsidR="000B7D57" w:rsidRPr="00C775CE">
                  <w:rPr>
                    <w:rFonts w:ascii="MS Gothic" w:eastAsia="MS Gothic" w:cstheme="minorHAnsi" w:hint="eastAsia"/>
                    <w:bCs/>
                    <w:color w:val="0000FF"/>
                  </w:rPr>
                  <w:t>☐</w:t>
                </w:r>
              </w:sdtContent>
            </w:sdt>
            <w:r w:rsidR="000B7D57" w:rsidRPr="00C775CE">
              <w:rPr>
                <w:rFonts w:cstheme="minorHAnsi"/>
                <w:bCs/>
              </w:rPr>
              <w:t xml:space="preserve"> </w:t>
            </w:r>
            <w:r w:rsidR="000B7D57" w:rsidRPr="00C775CE">
              <w:rPr>
                <w:rFonts w:eastAsia="MS Gothic" w:cstheme="minorHAnsi"/>
                <w:bCs/>
              </w:rPr>
              <w:t>Structure</w:t>
            </w:r>
          </w:p>
        </w:tc>
        <w:tc>
          <w:tcPr>
            <w:tcW w:w="2487" w:type="pct"/>
          </w:tcPr>
          <w:p w14:paraId="0CABCF63" w14:textId="77777777" w:rsidR="000B7D57" w:rsidRDefault="000B7D57" w:rsidP="00CD364B">
            <w:pPr>
              <w:autoSpaceDE w:val="0"/>
              <w:autoSpaceDN w:val="0"/>
              <w:adjustRightInd w:val="0"/>
              <w:rPr>
                <w:rFonts w:cstheme="minorHAnsi"/>
                <w:bCs/>
                <w:color w:val="0000FF"/>
              </w:rPr>
            </w:pPr>
          </w:p>
        </w:tc>
      </w:tr>
    </w:tbl>
    <w:p w14:paraId="0CABCF65" w14:textId="77777777" w:rsidR="00CD364B"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702C73" w14:paraId="0CABCF70" w14:textId="77777777" w:rsidTr="00145149">
        <w:trPr>
          <w:jc w:val="center"/>
        </w:trPr>
        <w:tc>
          <w:tcPr>
            <w:tcW w:w="9576" w:type="dxa"/>
          </w:tcPr>
          <w:p w14:paraId="0CABCF66" w14:textId="77777777" w:rsidR="00B53E8B" w:rsidRPr="00B53E8B" w:rsidRDefault="00B53E8B" w:rsidP="00B53E8B">
            <w:pPr>
              <w:rPr>
                <w:rFonts w:cstheme="minorHAnsi"/>
                <w:b/>
                <w:noProof/>
              </w:rPr>
            </w:pPr>
            <w:r w:rsidRPr="00B53E8B">
              <w:rPr>
                <w:rFonts w:cstheme="minorHAnsi"/>
                <w:b/>
                <w:noProof/>
              </w:rPr>
              <w:t>Instructions</w:t>
            </w:r>
          </w:p>
          <w:p w14:paraId="0CABCF67" w14:textId="77777777" w:rsidR="00C14CCC" w:rsidRPr="00C14CCC" w:rsidRDefault="00C14CCC" w:rsidP="00904E91">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14:paraId="0CABCF68" w14:textId="5AF5ED13" w:rsidR="00702C73" w:rsidRPr="00053F02" w:rsidRDefault="00702C73" w:rsidP="00904E91">
            <w:pPr>
              <w:pStyle w:val="ListParagraph"/>
              <w:numPr>
                <w:ilvl w:val="0"/>
                <w:numId w:val="6"/>
              </w:numPr>
              <w:rPr>
                <w:rFonts w:cstheme="minorHAnsi"/>
                <w:b/>
                <w:noProof/>
              </w:rPr>
            </w:pPr>
            <w:r w:rsidRPr="00053F02">
              <w:rPr>
                <w:rFonts w:cstheme="minorHAnsi"/>
                <w:b/>
                <w:noProof/>
              </w:rPr>
              <w:t xml:space="preserve">For </w:t>
            </w:r>
            <w:r w:rsidRPr="00483E94">
              <w:rPr>
                <w:rFonts w:cstheme="minorHAnsi"/>
                <w:b/>
                <w:noProof/>
                <w:u w:val="single"/>
              </w:rPr>
              <w:t>all</w:t>
            </w:r>
            <w:r w:rsidR="00D369E9">
              <w:rPr>
                <w:rFonts w:cstheme="minorHAnsi"/>
                <w:b/>
                <w:noProof/>
              </w:rPr>
              <w:t xml:space="preserve"> measures, sections 1, 2a2, 2b1, 2b2</w:t>
            </w:r>
            <w:r w:rsidRPr="00053F02">
              <w:rPr>
                <w:rFonts w:cstheme="minorHAnsi"/>
                <w:b/>
                <w:noProof/>
              </w:rPr>
              <w:t xml:space="preserve">, </w:t>
            </w:r>
            <w:r w:rsidR="004D4D8A">
              <w:rPr>
                <w:rFonts w:cstheme="minorHAnsi"/>
                <w:b/>
                <w:noProof/>
              </w:rPr>
              <w:t xml:space="preserve">and </w:t>
            </w:r>
            <w:r w:rsidR="00D369E9">
              <w:rPr>
                <w:rFonts w:cstheme="minorHAnsi"/>
                <w:b/>
                <w:noProof/>
              </w:rPr>
              <w:t>2b4</w:t>
            </w:r>
            <w:r w:rsidRPr="00053F02">
              <w:rPr>
                <w:rFonts w:cstheme="minorHAnsi"/>
                <w:b/>
                <w:noProof/>
              </w:rPr>
              <w:t xml:space="preserve"> must be completed</w:t>
            </w:r>
            <w:r w:rsidR="00E96884">
              <w:rPr>
                <w:rFonts w:cstheme="minorHAnsi"/>
                <w:b/>
                <w:noProof/>
              </w:rPr>
              <w:t>.</w:t>
            </w:r>
          </w:p>
          <w:p w14:paraId="0CABCF69" w14:textId="796FE809" w:rsidR="00702C73" w:rsidRDefault="00702C73" w:rsidP="00904E91">
            <w:pPr>
              <w:pStyle w:val="ListParagraph"/>
              <w:numPr>
                <w:ilvl w:val="0"/>
                <w:numId w:val="6"/>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00D369E9">
              <w:rPr>
                <w:rFonts w:cstheme="minorHAnsi"/>
                <w:b/>
                <w:noProof/>
              </w:rPr>
              <w:t xml:space="preserve">2b3 </w:t>
            </w:r>
            <w:r>
              <w:rPr>
                <w:rFonts w:cstheme="minorHAnsi"/>
                <w:noProof/>
              </w:rPr>
              <w:t>also must be completed</w:t>
            </w:r>
            <w:r w:rsidR="00892176">
              <w:rPr>
                <w:rFonts w:cstheme="minorHAnsi"/>
                <w:noProof/>
              </w:rPr>
              <w:t>.</w:t>
            </w:r>
          </w:p>
          <w:p w14:paraId="0CABCF6A" w14:textId="3FB05666" w:rsidR="00702C73" w:rsidRDefault="00702C73" w:rsidP="00904E91">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4D4D8A">
              <w:rPr>
                <w:rFonts w:cstheme="minorHAnsi"/>
                <w:b/>
                <w:noProof/>
                <w:u w:val="single"/>
              </w:rPr>
              <w:t>/sets of specificaitons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00D369E9">
              <w:rPr>
                <w:rFonts w:cstheme="minorHAnsi"/>
                <w:b/>
                <w:noProof/>
              </w:rPr>
              <w:t>2b5</w:t>
            </w:r>
            <w:r>
              <w:rPr>
                <w:rFonts w:cstheme="minorHAnsi"/>
                <w:noProof/>
              </w:rPr>
              <w:t xml:space="preserve"> also must be completed</w:t>
            </w:r>
            <w:r w:rsidR="00E96884">
              <w:rPr>
                <w:rFonts w:cstheme="minorHAnsi"/>
                <w:noProof/>
              </w:rPr>
              <w:t>.</w:t>
            </w:r>
          </w:p>
          <w:p w14:paraId="0CABCF6B" w14:textId="311D53E3" w:rsidR="00702C73" w:rsidRPr="008F589F" w:rsidRDefault="00702C73" w:rsidP="0096278F">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proofErr w:type="spellStart"/>
            <w:r w:rsidR="008F589F">
              <w:t>subcriteria</w:t>
            </w:r>
            <w:proofErr w:type="spellEnd"/>
            <w:r w:rsidR="008F589F">
              <w:t xml:space="preserve"> for reliability (2</w:t>
            </w:r>
            <w:r w:rsidR="00D30678">
              <w:t xml:space="preserve"> </w:t>
            </w:r>
            <w:r w:rsidR="008F589F">
              <w:t>a</w:t>
            </w:r>
            <w:r w:rsidR="00145149">
              <w:t>2</w:t>
            </w:r>
            <w:r w:rsidR="008F589F">
              <w:t>) and validity (2b</w:t>
            </w:r>
            <w:r w:rsidR="00D369E9">
              <w:t>1</w:t>
            </w:r>
            <w:r w:rsidR="00145149">
              <w:t>-2b6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14:paraId="0CABCF6C" w14:textId="77777777" w:rsidR="00C14CCC" w:rsidRDefault="00977591" w:rsidP="00904E91">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14:paraId="0CABCF6D" w14:textId="617A32A4" w:rsidR="00904E91" w:rsidRPr="00D30678" w:rsidRDefault="009D7E38" w:rsidP="008F589F">
            <w:pPr>
              <w:pStyle w:val="ListParagraph"/>
              <w:numPr>
                <w:ilvl w:val="0"/>
                <w:numId w:val="6"/>
              </w:numPr>
              <w:rPr>
                <w:rFonts w:cstheme="minorHAnsi"/>
                <w:noProof/>
                <w:highlight w:val="yellow"/>
              </w:rPr>
            </w:pPr>
            <w:r w:rsidRPr="00D30678">
              <w:rPr>
                <w:rFonts w:cstheme="minorHAnsi"/>
                <w:noProof/>
                <w:highlight w:val="yellow"/>
              </w:rPr>
              <w:t>Maximum of 2</w:t>
            </w:r>
            <w:r w:rsidR="00CD0E24" w:rsidRPr="00D30678">
              <w:rPr>
                <w:rFonts w:cstheme="minorHAnsi"/>
                <w:noProof/>
                <w:highlight w:val="yellow"/>
              </w:rPr>
              <w:t>5</w:t>
            </w:r>
            <w:r w:rsidR="00702C73" w:rsidRPr="00D30678">
              <w:rPr>
                <w:rFonts w:cstheme="minorHAnsi"/>
                <w:noProof/>
                <w:highlight w:val="yellow"/>
              </w:rPr>
              <w:t xml:space="preserve"> pages (</w:t>
            </w:r>
            <w:r w:rsidR="00702C73" w:rsidRPr="00D30678">
              <w:rPr>
                <w:rFonts w:cstheme="minorHAnsi"/>
                <w:i/>
                <w:noProof/>
                <w:highlight w:val="yellow"/>
              </w:rPr>
              <w:t xml:space="preserve">incuding questions/instructions; </w:t>
            </w:r>
            <w:r w:rsidR="00977591" w:rsidRPr="00D30678">
              <w:rPr>
                <w:highlight w:val="yellow"/>
              </w:rPr>
              <w:t>minimum font size 11 pt; do not change margins</w:t>
            </w:r>
            <w:r w:rsidRPr="00D30678">
              <w:rPr>
                <w:highlight w:val="yellow"/>
              </w:rPr>
              <w:t>)</w:t>
            </w:r>
            <w:r w:rsidR="00977591" w:rsidRPr="00D30678">
              <w:rPr>
                <w:highlight w:val="yellow"/>
              </w:rPr>
              <w:t xml:space="preserve">. </w:t>
            </w:r>
            <w:r w:rsidR="00977591" w:rsidRPr="00D30678">
              <w:rPr>
                <w:b/>
                <w:i/>
                <w:highlight w:val="yellow"/>
              </w:rPr>
              <w:t>Contact NQF staff if more pages are needed.</w:t>
            </w:r>
          </w:p>
          <w:p w14:paraId="0CABCF6E" w14:textId="77777777" w:rsidR="00904E91" w:rsidRPr="00A71200" w:rsidRDefault="00977591" w:rsidP="00904E91">
            <w:pPr>
              <w:pStyle w:val="ListParagraph"/>
              <w:numPr>
                <w:ilvl w:val="0"/>
                <w:numId w:val="6"/>
              </w:numPr>
              <w:rPr>
                <w:rFonts w:cstheme="minorHAnsi"/>
                <w:noProof/>
              </w:rPr>
            </w:pPr>
            <w:r w:rsidRPr="00496AF8">
              <w:t>Contact NQ</w:t>
            </w:r>
            <w:r>
              <w:t>F staff regardi</w:t>
            </w:r>
            <w:r w:rsidR="008F589F">
              <w:t xml:space="preserve">ng questions. Check for resources at </w:t>
            </w:r>
            <w:hyperlink r:id="rId12" w:history="1">
              <w:r w:rsidR="00145149" w:rsidRPr="00145149">
                <w:rPr>
                  <w:rStyle w:val="Hyperlink"/>
                </w:rPr>
                <w:t>Submitting Standards webpage</w:t>
              </w:r>
            </w:hyperlink>
            <w:r w:rsidR="00145149">
              <w:t>.</w:t>
            </w:r>
          </w:p>
          <w:p w14:paraId="0CABCF6F" w14:textId="6C90AAB9" w:rsidR="00A64EBF" w:rsidRDefault="00A64EBF" w:rsidP="000C036D">
            <w:pPr>
              <w:pStyle w:val="ListParagraph"/>
              <w:numPr>
                <w:ilvl w:val="0"/>
                <w:numId w:val="6"/>
              </w:numPr>
              <w:rPr>
                <w:rFonts w:cstheme="minorHAnsi"/>
                <w:noProof/>
              </w:rPr>
            </w:pPr>
            <w:r>
              <w:t xml:space="preserve">For information on the most updated guidance on how to address </w:t>
            </w:r>
            <w:r w:rsidR="00D369E9">
              <w:t>social risk factors</w:t>
            </w:r>
            <w:r>
              <w:t xml:space="preserve"> variables and testing in this form refer to the release notes for version </w:t>
            </w:r>
            <w:r w:rsidR="000C036D">
              <w:t>7.1</w:t>
            </w:r>
            <w:r>
              <w:t xml:space="preserve"> of the Measure Testing Attachment.</w:t>
            </w:r>
          </w:p>
        </w:tc>
      </w:tr>
    </w:tbl>
    <w:p w14:paraId="0CABCF71" w14:textId="77777777" w:rsidR="005C73CA"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BC0D25" w:rsidRPr="00A831B4" w14:paraId="0CABCF90" w14:textId="77777777" w:rsidTr="00145149">
        <w:trPr>
          <w:jc w:val="center"/>
        </w:trPr>
        <w:tc>
          <w:tcPr>
            <w:tcW w:w="9576" w:type="dxa"/>
          </w:tcPr>
          <w:p w14:paraId="0CABCF72" w14:textId="7EAF47D5" w:rsidR="00B53E8B" w:rsidRPr="000F034A" w:rsidRDefault="00B53E8B" w:rsidP="00702C73">
            <w:pPr>
              <w:rPr>
                <w:rFonts w:cstheme="minorHAnsi"/>
                <w:b/>
                <w:bCs/>
              </w:rPr>
            </w:pPr>
            <w:r w:rsidRPr="000F034A">
              <w:rPr>
                <w:b/>
                <w:bCs/>
                <w:u w:val="single"/>
              </w:rPr>
              <w:t>Note</w:t>
            </w:r>
            <w:r w:rsidRPr="000F034A">
              <w:rPr>
                <w:b/>
                <w:bCs/>
              </w:rPr>
              <w:t xml:space="preserve">: </w:t>
            </w:r>
            <w:r w:rsidRPr="00D369E9">
              <w:rPr>
                <w:bCs/>
              </w:rPr>
              <w:t xml:space="preserve">The information provided in this form is intended to aid the </w:t>
            </w:r>
            <w:r w:rsidR="00D369E9" w:rsidRPr="00D369E9">
              <w:rPr>
                <w:bCs/>
              </w:rPr>
              <w:t>Standing</w:t>
            </w:r>
            <w:r w:rsidRPr="00D369E9">
              <w:rPr>
                <w:bCs/>
              </w:rPr>
              <w:t xml:space="preserve"> Committee and other stakeholders in understanding to what degree the testing results for this measure meet NQF’s evaluation criteria</w:t>
            </w:r>
            <w:r w:rsidR="000E78F6" w:rsidRPr="00D369E9">
              <w:rPr>
                <w:bCs/>
              </w:rPr>
              <w:t xml:space="preserve"> for testing</w:t>
            </w:r>
            <w:r w:rsidRPr="00D369E9">
              <w:rPr>
                <w:bCs/>
              </w:rPr>
              <w:t>.</w:t>
            </w:r>
          </w:p>
          <w:p w14:paraId="0CABCF73" w14:textId="77777777" w:rsidR="00B53E8B" w:rsidRPr="00A831B4" w:rsidRDefault="00B53E8B" w:rsidP="00702C73">
            <w:pPr>
              <w:rPr>
                <w:rFonts w:cstheme="minorHAnsi"/>
                <w:b/>
                <w:bCs/>
                <w:sz w:val="20"/>
                <w:szCs w:val="20"/>
              </w:rPr>
            </w:pPr>
          </w:p>
          <w:p w14:paraId="0CABCF74" w14:textId="7D41E4AD" w:rsidR="00BC0D25" w:rsidRPr="000F034A" w:rsidRDefault="00145149" w:rsidP="00702C73">
            <w:pPr>
              <w:rPr>
                <w:rFonts w:cstheme="minorHAnsi"/>
                <w:bCs/>
                <w:iCs/>
              </w:rPr>
            </w:pPr>
            <w:r w:rsidRPr="000F034A">
              <w:rPr>
                <w:rFonts w:cstheme="minorHAnsi"/>
                <w:b/>
                <w:bCs/>
              </w:rPr>
              <w:t>2a2.</w:t>
            </w:r>
            <w:r w:rsidRPr="000F034A">
              <w:rPr>
                <w:rFonts w:cstheme="minorHAnsi"/>
              </w:rPr>
              <w:t xml:space="preserve"> </w:t>
            </w:r>
            <w:r w:rsidRPr="000F034A">
              <w:rPr>
                <w:rFonts w:cstheme="minorHAnsi"/>
                <w:b/>
              </w:rPr>
              <w:t>Reliability testing</w:t>
            </w:r>
            <w:r w:rsidRPr="000F034A">
              <w:rPr>
                <w:rFonts w:cstheme="minorHAnsi"/>
              </w:rPr>
              <w:t xml:space="preserve"> </w:t>
            </w:r>
            <w:hyperlink w:anchor="Note10" w:history="1">
              <w:r w:rsidRPr="000F034A">
                <w:rPr>
                  <w:rStyle w:val="Hyperlink"/>
                  <w:rFonts w:cstheme="minorHAnsi"/>
                  <w:b/>
                  <w:vertAlign w:val="superscript"/>
                </w:rPr>
                <w:t>10</w:t>
              </w:r>
            </w:hyperlink>
            <w:r w:rsidRPr="000F034A">
              <w:rPr>
                <w:rFonts w:cstheme="minorHAnsi"/>
              </w:rPr>
              <w:t xml:space="preserve"> demonstrates the measure data elements are repeatable, producing the same results a high proportion of the time when assessed </w:t>
            </w:r>
            <w:r w:rsidRPr="000F034A">
              <w:rPr>
                <w:rFonts w:cstheme="minorHAnsi"/>
                <w:bCs/>
                <w:iCs/>
              </w:rPr>
              <w:t xml:space="preserve">in the same population in the same time period </w:t>
            </w:r>
            <w:r w:rsidRPr="000F034A">
              <w:rPr>
                <w:rFonts w:cstheme="minorHAnsi"/>
              </w:rPr>
              <w:t>and/or that the measure score is precise</w:t>
            </w:r>
            <w:r w:rsidRPr="000F034A">
              <w:rPr>
                <w:rFonts w:cstheme="minorHAnsi"/>
                <w:bCs/>
                <w:iCs/>
              </w:rPr>
              <w:t>.</w:t>
            </w:r>
            <w:r w:rsidR="00125273" w:rsidRPr="000F034A">
              <w:rPr>
                <w:rFonts w:cstheme="minorHAnsi"/>
                <w:bCs/>
                <w:iCs/>
              </w:rPr>
              <w:t xml:space="preserve"> For </w:t>
            </w:r>
            <w:r w:rsidR="00651D44" w:rsidRPr="00651D44">
              <w:rPr>
                <w:rFonts w:cstheme="minorHAnsi"/>
                <w:b/>
                <w:bCs/>
                <w:iCs/>
              </w:rPr>
              <w:t xml:space="preserve">instrument-based measures </w:t>
            </w:r>
            <w:r w:rsidR="00651D44" w:rsidRPr="00651D44">
              <w:rPr>
                <w:rFonts w:cstheme="minorHAnsi"/>
                <w:bCs/>
                <w:iCs/>
              </w:rPr>
              <w:t>(including PRO-PMs)</w:t>
            </w:r>
            <w:r w:rsidR="00651D44" w:rsidRPr="00651D44">
              <w:rPr>
                <w:rFonts w:cstheme="minorHAnsi"/>
                <w:b/>
                <w:bCs/>
                <w:iCs/>
              </w:rPr>
              <w:t xml:space="preserve"> and composite performance measures</w:t>
            </w:r>
            <w:r w:rsidR="00125273" w:rsidRPr="000F034A">
              <w:rPr>
                <w:rFonts w:cstheme="minorHAnsi"/>
                <w:bCs/>
                <w:iCs/>
              </w:rPr>
              <w:t>, reliability should be demonstrated for the computed performance score.</w:t>
            </w:r>
          </w:p>
          <w:p w14:paraId="0CABCF75" w14:textId="77777777" w:rsidR="00145149" w:rsidRPr="000F034A" w:rsidRDefault="00145149" w:rsidP="00145149">
            <w:pPr>
              <w:autoSpaceDE w:val="0"/>
              <w:autoSpaceDN w:val="0"/>
              <w:adjustRightInd w:val="0"/>
              <w:rPr>
                <w:rFonts w:cstheme="minorHAnsi"/>
                <w:b/>
                <w:iCs/>
              </w:rPr>
            </w:pPr>
          </w:p>
          <w:p w14:paraId="0CABCF76" w14:textId="10AB769D" w:rsidR="00145149" w:rsidRDefault="00145149" w:rsidP="00145149">
            <w:pPr>
              <w:autoSpaceDE w:val="0"/>
              <w:autoSpaceDN w:val="0"/>
              <w:adjustRightInd w:val="0"/>
              <w:rPr>
                <w:rFonts w:cstheme="minorHAnsi"/>
                <w:bCs/>
                <w:iCs/>
              </w:rPr>
            </w:pPr>
            <w:r w:rsidRPr="000F034A">
              <w:rPr>
                <w:rFonts w:cstheme="minorHAnsi"/>
                <w:b/>
                <w:iCs/>
              </w:rPr>
              <w:t>2b</w:t>
            </w:r>
            <w:r w:rsidR="00651D44">
              <w:rPr>
                <w:rFonts w:cstheme="minorHAnsi"/>
                <w:b/>
                <w:iCs/>
              </w:rPr>
              <w:t>1</w:t>
            </w:r>
            <w:r w:rsidRPr="000F034A">
              <w:rPr>
                <w:rFonts w:cstheme="minorHAnsi"/>
                <w:b/>
                <w:iCs/>
              </w:rPr>
              <w:t>.</w:t>
            </w:r>
            <w:r w:rsidRPr="000F034A">
              <w:rPr>
                <w:rFonts w:cstheme="minorHAnsi"/>
                <w:bCs/>
                <w:iCs/>
              </w:rPr>
              <w:t xml:space="preserve"> </w:t>
            </w:r>
            <w:r w:rsidRPr="000F034A">
              <w:rPr>
                <w:rFonts w:cstheme="minorHAnsi"/>
                <w:b/>
                <w:bCs/>
                <w:iCs/>
              </w:rPr>
              <w:t>Validity testing</w:t>
            </w:r>
            <w:r w:rsidRPr="000F034A">
              <w:rPr>
                <w:rFonts w:cstheme="minorHAnsi"/>
                <w:bCs/>
                <w:iCs/>
              </w:rPr>
              <w:t xml:space="preserve"> </w:t>
            </w:r>
            <w:hyperlink w:anchor="Note11" w:history="1">
              <w:r w:rsidRPr="000F034A">
                <w:rPr>
                  <w:rStyle w:val="Hyperlink"/>
                  <w:rFonts w:cstheme="minorHAnsi"/>
                  <w:b/>
                  <w:vertAlign w:val="superscript"/>
                </w:rPr>
                <w:t>11</w:t>
              </w:r>
            </w:hyperlink>
            <w:r w:rsidRPr="000F034A">
              <w:rPr>
                <w:rFonts w:cstheme="minorHAnsi"/>
                <w:bCs/>
                <w:iCs/>
              </w:rPr>
              <w:t xml:space="preserve"> demonstrates that the measure data elements are correct and/or the </w:t>
            </w:r>
            <w:r w:rsidRPr="000F034A">
              <w:rPr>
                <w:rFonts w:cstheme="minorHAnsi"/>
              </w:rPr>
              <w:t>measure score correctly reflects the quality of care provided, adequately identifying differences in quality</w:t>
            </w:r>
            <w:r w:rsidRPr="000F034A">
              <w:rPr>
                <w:rFonts w:cstheme="minorHAnsi"/>
                <w:color w:val="0000FF"/>
              </w:rPr>
              <w:t xml:space="preserve">.  </w:t>
            </w:r>
            <w:r w:rsidR="00372FE3" w:rsidRPr="000F034A">
              <w:rPr>
                <w:rFonts w:cstheme="minorHAnsi"/>
                <w:bCs/>
                <w:iCs/>
              </w:rPr>
              <w:t xml:space="preserve">For </w:t>
            </w:r>
            <w:r w:rsidR="00651D44" w:rsidRPr="00651D44">
              <w:rPr>
                <w:rFonts w:cstheme="minorHAnsi"/>
                <w:b/>
                <w:bCs/>
                <w:iCs/>
              </w:rPr>
              <w:t>instrument-based measures (including PRO-PMs) and composite performance measures</w:t>
            </w:r>
            <w:r w:rsidR="00372FE3" w:rsidRPr="000F034A">
              <w:rPr>
                <w:rFonts w:cstheme="minorHAnsi"/>
                <w:bCs/>
                <w:iCs/>
              </w:rPr>
              <w:t xml:space="preserve">, </w:t>
            </w:r>
            <w:r w:rsidR="00372FE3">
              <w:rPr>
                <w:rFonts w:cstheme="minorHAnsi"/>
                <w:bCs/>
                <w:iCs/>
              </w:rPr>
              <w:t>validity</w:t>
            </w:r>
            <w:r w:rsidR="00372FE3" w:rsidRPr="000F034A">
              <w:rPr>
                <w:rFonts w:cstheme="minorHAnsi"/>
                <w:bCs/>
                <w:iCs/>
              </w:rPr>
              <w:t xml:space="preserve"> should be demonstrated for the computed performance score.</w:t>
            </w:r>
          </w:p>
          <w:p w14:paraId="1CF21D3C" w14:textId="77777777" w:rsidR="00A44D8D" w:rsidRDefault="00A44D8D" w:rsidP="00145149">
            <w:pPr>
              <w:autoSpaceDE w:val="0"/>
              <w:autoSpaceDN w:val="0"/>
              <w:adjustRightInd w:val="0"/>
              <w:rPr>
                <w:rFonts w:cstheme="minorHAnsi"/>
                <w:bCs/>
                <w:iCs/>
              </w:rPr>
            </w:pPr>
          </w:p>
          <w:p w14:paraId="4263FB46" w14:textId="50173C33" w:rsidR="00A44D8D" w:rsidRPr="000F034A" w:rsidRDefault="00A44D8D" w:rsidP="00A44D8D">
            <w:pPr>
              <w:autoSpaceDE w:val="0"/>
              <w:autoSpaceDN w:val="0"/>
              <w:adjustRightInd w:val="0"/>
              <w:rPr>
                <w:rFonts w:cstheme="minorHAnsi"/>
              </w:rPr>
            </w:pPr>
          </w:p>
          <w:p w14:paraId="016CB4E2" w14:textId="77777777" w:rsidR="00A44D8D" w:rsidRPr="000F034A" w:rsidRDefault="00A44D8D" w:rsidP="00145149">
            <w:pPr>
              <w:autoSpaceDE w:val="0"/>
              <w:autoSpaceDN w:val="0"/>
              <w:adjustRightInd w:val="0"/>
              <w:rPr>
                <w:rFonts w:cstheme="minorHAnsi"/>
              </w:rPr>
            </w:pPr>
          </w:p>
          <w:p w14:paraId="0CABCF77" w14:textId="77777777" w:rsidR="00145149" w:rsidRPr="000F034A" w:rsidRDefault="00145149" w:rsidP="00145149">
            <w:pPr>
              <w:rPr>
                <w:rFonts w:cstheme="minorHAnsi"/>
              </w:rPr>
            </w:pPr>
            <w:bookmarkStart w:id="0" w:name="_Toc256067249"/>
          </w:p>
          <w:p w14:paraId="0CABCF78" w14:textId="03461BC0" w:rsidR="00145149" w:rsidRPr="000F034A" w:rsidRDefault="00145149" w:rsidP="00145149">
            <w:pPr>
              <w:rPr>
                <w:rFonts w:cstheme="minorHAnsi"/>
              </w:rPr>
            </w:pPr>
            <w:r w:rsidRPr="000F034A">
              <w:rPr>
                <w:rFonts w:cstheme="minorHAnsi"/>
                <w:b/>
                <w:bCs/>
              </w:rPr>
              <w:t>2b</w:t>
            </w:r>
            <w:r w:rsidR="00651D44">
              <w:rPr>
                <w:rFonts w:cstheme="minorHAnsi"/>
                <w:b/>
                <w:bCs/>
              </w:rPr>
              <w:t>2</w:t>
            </w:r>
            <w:r w:rsidRPr="000F034A">
              <w:rPr>
                <w:rFonts w:cstheme="minorHAnsi"/>
                <w:b/>
                <w:bCs/>
              </w:rPr>
              <w:t>.</w:t>
            </w:r>
            <w:r w:rsidRPr="000F034A">
              <w:rPr>
                <w:rFonts w:cstheme="minorHAnsi"/>
              </w:rPr>
              <w:t xml:space="preserve"> </w:t>
            </w:r>
            <w:r w:rsidR="00651D44" w:rsidRPr="00651D44">
              <w:rPr>
                <w:rFonts w:cstheme="minorHAnsi"/>
                <w:b/>
              </w:rPr>
              <w:t>Exclusions</w:t>
            </w:r>
            <w:r w:rsidR="00651D44" w:rsidRPr="00651D44">
              <w:rPr>
                <w:rFonts w:cstheme="minorHAnsi"/>
              </w:rPr>
              <w:t xml:space="preserve"> are supported by the clinical evidence and are of sufficient frequency to warrant inclusion in the specifications of the measure</w:t>
            </w:r>
            <w:r w:rsidRPr="000F034A">
              <w:rPr>
                <w:rFonts w:cstheme="minorHAnsi"/>
              </w:rPr>
              <w:t xml:space="preserve">; </w:t>
            </w:r>
            <w:hyperlink w:anchor="Note12" w:history="1">
              <w:r w:rsidRPr="000F034A">
                <w:rPr>
                  <w:rStyle w:val="Hyperlink"/>
                  <w:rFonts w:cstheme="minorHAnsi"/>
                  <w:b/>
                  <w:vertAlign w:val="superscript"/>
                </w:rPr>
                <w:t>12</w:t>
              </w:r>
            </w:hyperlink>
          </w:p>
          <w:p w14:paraId="0CABCF79" w14:textId="77777777" w:rsidR="00145149" w:rsidRPr="000F034A" w:rsidRDefault="00145149" w:rsidP="00145149">
            <w:pPr>
              <w:rPr>
                <w:rFonts w:cstheme="minorHAnsi"/>
                <w:b/>
              </w:rPr>
            </w:pPr>
            <w:r w:rsidRPr="000F034A">
              <w:rPr>
                <w:rFonts w:cstheme="minorHAnsi"/>
                <w:b/>
              </w:rPr>
              <w:t xml:space="preserve">AND </w:t>
            </w:r>
          </w:p>
          <w:p w14:paraId="0CABCF7A" w14:textId="77777777" w:rsidR="00145149" w:rsidRPr="000F034A" w:rsidRDefault="00145149" w:rsidP="00145149">
            <w:pPr>
              <w:rPr>
                <w:rFonts w:cstheme="minorHAnsi"/>
              </w:rPr>
            </w:pPr>
            <w:r w:rsidRPr="000F034A">
              <w:rPr>
                <w:rFonts w:cstheme="minorHAnsi"/>
              </w:rPr>
              <w:t xml:space="preserve">If patient preference (e.g., informed </w:t>
            </w:r>
            <w:proofErr w:type="spellStart"/>
            <w:r w:rsidRPr="000F034A">
              <w:rPr>
                <w:rFonts w:cstheme="minorHAnsi"/>
              </w:rPr>
              <w:t>decisionmaking</w:t>
            </w:r>
            <w:proofErr w:type="spellEnd"/>
            <w:r w:rsidRPr="000F034A">
              <w:rPr>
                <w:rFonts w:cstheme="minorHAnsi"/>
              </w:rPr>
              <w:t xml:space="preserve">)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0F034A">
                <w:rPr>
                  <w:rStyle w:val="Hyperlink"/>
                  <w:rFonts w:cstheme="minorHAnsi"/>
                  <w:b/>
                  <w:vertAlign w:val="superscript"/>
                </w:rPr>
                <w:t>13</w:t>
              </w:r>
            </w:hyperlink>
          </w:p>
          <w:p w14:paraId="0CABCF7B" w14:textId="77777777" w:rsidR="00145149" w:rsidRPr="000F034A" w:rsidRDefault="00145149" w:rsidP="00145149">
            <w:pPr>
              <w:rPr>
                <w:rFonts w:cstheme="minorHAnsi"/>
                <w:b/>
                <w:bCs/>
              </w:rPr>
            </w:pPr>
          </w:p>
          <w:p w14:paraId="0CABCF7C" w14:textId="29DA93BC" w:rsidR="00145149" w:rsidRPr="000F034A" w:rsidRDefault="00145149" w:rsidP="00145149">
            <w:pPr>
              <w:rPr>
                <w:rFonts w:cstheme="minorHAnsi"/>
              </w:rPr>
            </w:pPr>
            <w:bookmarkStart w:id="1" w:name="_Toc256067250"/>
            <w:r w:rsidRPr="000F034A">
              <w:rPr>
                <w:rFonts w:cstheme="minorHAnsi"/>
                <w:b/>
                <w:bCs/>
              </w:rPr>
              <w:t>2b</w:t>
            </w:r>
            <w:r w:rsidR="00651D44">
              <w:rPr>
                <w:rFonts w:cstheme="minorHAnsi"/>
                <w:b/>
                <w:bCs/>
              </w:rPr>
              <w:t>3</w:t>
            </w:r>
            <w:r w:rsidRPr="000F034A">
              <w:rPr>
                <w:rFonts w:cstheme="minorHAnsi"/>
                <w:b/>
                <w:bCs/>
              </w:rPr>
              <w:t>.</w:t>
            </w:r>
            <w:r w:rsidRPr="000F034A">
              <w:rPr>
                <w:rFonts w:cstheme="minorHAnsi"/>
              </w:rPr>
              <w:t xml:space="preserve"> </w:t>
            </w:r>
            <w:r w:rsidRPr="000F034A">
              <w:rPr>
                <w:rFonts w:cstheme="minorHAnsi"/>
                <w:b/>
              </w:rPr>
              <w:t>For outcome measures and other measures when indicated</w:t>
            </w:r>
            <w:r w:rsidRPr="000F034A">
              <w:rPr>
                <w:rFonts w:cstheme="minorHAnsi"/>
              </w:rPr>
              <w:t xml:space="preserve"> (e.g., resource use): </w:t>
            </w:r>
          </w:p>
          <w:p w14:paraId="0CABCF7D" w14:textId="14552318" w:rsidR="00145149" w:rsidRPr="000F034A" w:rsidRDefault="00145149" w:rsidP="00145149">
            <w:pPr>
              <w:numPr>
                <w:ilvl w:val="0"/>
                <w:numId w:val="26"/>
              </w:numPr>
              <w:ind w:left="0" w:firstLine="0"/>
              <w:rPr>
                <w:rFonts w:cstheme="minorHAnsi"/>
              </w:rPr>
            </w:pPr>
            <w:r w:rsidRPr="000F034A">
              <w:rPr>
                <w:rFonts w:cstheme="minorHAnsi"/>
                <w:b/>
              </w:rPr>
              <w:t>an evidence-based risk-adjustment strategy</w:t>
            </w:r>
            <w:r w:rsidRPr="000F034A">
              <w:rPr>
                <w:rFonts w:cstheme="minorHAnsi"/>
              </w:rPr>
              <w:t xml:space="preserve"> (e.g., risk models, risk stratification) is specified; is based on patient factors </w:t>
            </w:r>
            <w:r w:rsidR="00A64EBF">
              <w:rPr>
                <w:rFonts w:cstheme="minorHAnsi"/>
              </w:rPr>
              <w:t xml:space="preserve">(including clinical and </w:t>
            </w:r>
            <w:r w:rsidR="00651D44">
              <w:rPr>
                <w:rFonts w:cstheme="minorHAnsi"/>
              </w:rPr>
              <w:t>social risk</w:t>
            </w:r>
            <w:r w:rsidR="00A64EBF">
              <w:rPr>
                <w:rFonts w:cstheme="minorHAnsi"/>
              </w:rPr>
              <w:t xml:space="preserve"> factors) </w:t>
            </w:r>
            <w:r w:rsidRPr="000F034A">
              <w:rPr>
                <w:rFonts w:cstheme="minorHAnsi"/>
              </w:rPr>
              <w:t xml:space="preserve">that influence the measured outcome and are present at start of care; </w:t>
            </w:r>
            <w:hyperlink w:anchor="Note14" w:history="1">
              <w:r w:rsidRPr="000F034A">
                <w:rPr>
                  <w:rStyle w:val="Hyperlink"/>
                  <w:rFonts w:cstheme="minorHAnsi"/>
                  <w:b/>
                  <w:vertAlign w:val="superscript"/>
                </w:rPr>
                <w:t>14</w:t>
              </w:r>
            </w:hyperlink>
            <w:r w:rsidRPr="000F034A">
              <w:rPr>
                <w:rFonts w:cstheme="minorHAnsi"/>
                <w:b/>
                <w:vertAlign w:val="superscript"/>
              </w:rPr>
              <w:t>,</w:t>
            </w:r>
            <w:hyperlink w:anchor="Note15" w:history="1">
              <w:r w:rsidRPr="000F034A">
                <w:rPr>
                  <w:rStyle w:val="Hyperlink"/>
                  <w:rFonts w:cstheme="minorHAnsi"/>
                  <w:b/>
                  <w:vertAlign w:val="superscript"/>
                </w:rPr>
                <w:t>15</w:t>
              </w:r>
            </w:hyperlink>
            <w:r w:rsidRPr="000F034A">
              <w:rPr>
                <w:rFonts w:cstheme="minorHAnsi"/>
              </w:rPr>
              <w:t xml:space="preserve"> and has demonstrated adequate discrimination and calibration</w:t>
            </w:r>
          </w:p>
          <w:p w14:paraId="0CABCF7E" w14:textId="77777777" w:rsidR="00145149" w:rsidRPr="000F034A" w:rsidRDefault="00145149" w:rsidP="00145149">
            <w:pPr>
              <w:rPr>
                <w:rFonts w:cstheme="minorHAnsi"/>
                <w:b/>
              </w:rPr>
            </w:pPr>
            <w:r w:rsidRPr="000F034A">
              <w:rPr>
                <w:rFonts w:cstheme="minorHAnsi"/>
                <w:b/>
              </w:rPr>
              <w:t>OR</w:t>
            </w:r>
          </w:p>
          <w:p w14:paraId="0CABCF7F" w14:textId="77777777" w:rsidR="00145149" w:rsidRPr="000F034A" w:rsidRDefault="00145149" w:rsidP="00145149">
            <w:pPr>
              <w:numPr>
                <w:ilvl w:val="0"/>
                <w:numId w:val="26"/>
              </w:numPr>
              <w:ind w:left="0" w:firstLine="0"/>
              <w:rPr>
                <w:rFonts w:cstheme="minorHAnsi"/>
              </w:rPr>
            </w:pPr>
            <w:proofErr w:type="gramStart"/>
            <w:r w:rsidRPr="000F034A">
              <w:rPr>
                <w:rFonts w:cstheme="minorHAnsi"/>
              </w:rPr>
              <w:t>rationale/data</w:t>
            </w:r>
            <w:proofErr w:type="gramEnd"/>
            <w:r w:rsidRPr="000F034A">
              <w:rPr>
                <w:rFonts w:cstheme="minorHAnsi"/>
              </w:rPr>
              <w:t xml:space="preserve"> support no risk adjustment/ stratification. </w:t>
            </w:r>
          </w:p>
          <w:p w14:paraId="0CABCF80" w14:textId="77777777" w:rsidR="00145149" w:rsidRPr="000F034A" w:rsidRDefault="00145149" w:rsidP="00145149">
            <w:pPr>
              <w:rPr>
                <w:rFonts w:cstheme="minorHAnsi"/>
                <w:b/>
                <w:bCs/>
              </w:rPr>
            </w:pPr>
          </w:p>
          <w:bookmarkEnd w:id="1"/>
          <w:p w14:paraId="0CABCF81" w14:textId="2585CCD3" w:rsidR="00145149" w:rsidRPr="000F034A" w:rsidRDefault="00145149" w:rsidP="00145149">
            <w:pPr>
              <w:rPr>
                <w:rFonts w:cstheme="minorHAnsi"/>
              </w:rPr>
            </w:pPr>
            <w:r w:rsidRPr="000F034A">
              <w:rPr>
                <w:rFonts w:cstheme="minorHAnsi"/>
                <w:b/>
                <w:bCs/>
              </w:rPr>
              <w:t>2b</w:t>
            </w:r>
            <w:r w:rsidR="00651D44">
              <w:rPr>
                <w:rFonts w:cstheme="minorHAnsi"/>
                <w:b/>
                <w:bCs/>
              </w:rPr>
              <w:t>4</w:t>
            </w:r>
            <w:r w:rsidRPr="000F034A">
              <w:rPr>
                <w:rFonts w:cstheme="minorHAnsi"/>
                <w:b/>
                <w:bCs/>
              </w:rPr>
              <w:t>.</w:t>
            </w:r>
            <w:r w:rsidRPr="000F034A">
              <w:rPr>
                <w:rFonts w:cstheme="minorHAnsi"/>
              </w:rPr>
              <w:t xml:space="preserve"> Data analysis of computed measure scores demonstrates that methods for scoring and analysis of the specified measure allow for </w:t>
            </w:r>
            <w:r w:rsidRPr="000F034A">
              <w:rPr>
                <w:rFonts w:cstheme="minorHAnsi"/>
                <w:b/>
              </w:rPr>
              <w:t>identification of statistically significant and practically/clinically meaningful</w:t>
            </w:r>
            <w:r w:rsidRPr="000F034A">
              <w:rPr>
                <w:rFonts w:cstheme="minorHAnsi"/>
              </w:rPr>
              <w:t xml:space="preserve"> </w:t>
            </w:r>
            <w:hyperlink w:anchor="Note16" w:history="1">
              <w:r w:rsidRPr="000F034A">
                <w:rPr>
                  <w:rStyle w:val="Hyperlink"/>
                  <w:rFonts w:cstheme="minorHAnsi"/>
                  <w:b/>
                  <w:vertAlign w:val="superscript"/>
                </w:rPr>
                <w:t>16</w:t>
              </w:r>
            </w:hyperlink>
            <w:r w:rsidRPr="000F034A">
              <w:rPr>
                <w:rFonts w:cstheme="minorHAnsi"/>
              </w:rPr>
              <w:t xml:space="preserve"> </w:t>
            </w:r>
            <w:r w:rsidRPr="000F034A">
              <w:rPr>
                <w:rFonts w:cstheme="minorHAnsi"/>
                <w:b/>
              </w:rPr>
              <w:t>differences in performance</w:t>
            </w:r>
            <w:r w:rsidRPr="000F034A">
              <w:rPr>
                <w:rFonts w:cstheme="minorHAnsi"/>
              </w:rPr>
              <w:t>;</w:t>
            </w:r>
          </w:p>
          <w:p w14:paraId="0CABCF82" w14:textId="77777777" w:rsidR="00145149" w:rsidRPr="000F034A" w:rsidRDefault="00145149" w:rsidP="00145149">
            <w:pPr>
              <w:rPr>
                <w:rFonts w:cstheme="minorHAnsi"/>
              </w:rPr>
            </w:pPr>
            <w:r w:rsidRPr="000F034A">
              <w:rPr>
                <w:rFonts w:cstheme="minorHAnsi"/>
                <w:b/>
              </w:rPr>
              <w:t>OR</w:t>
            </w:r>
          </w:p>
          <w:p w14:paraId="0CABCF83" w14:textId="77777777" w:rsidR="00145149" w:rsidRPr="000F034A" w:rsidRDefault="00145149" w:rsidP="00145149">
            <w:pPr>
              <w:rPr>
                <w:rFonts w:cstheme="minorHAnsi"/>
              </w:rPr>
            </w:pPr>
            <w:proofErr w:type="gramStart"/>
            <w:r w:rsidRPr="000F034A">
              <w:rPr>
                <w:rFonts w:cstheme="minorHAnsi"/>
              </w:rPr>
              <w:t>there</w:t>
            </w:r>
            <w:proofErr w:type="gramEnd"/>
            <w:r w:rsidRPr="000F034A">
              <w:rPr>
                <w:rFonts w:cstheme="minorHAnsi"/>
              </w:rPr>
              <w:t xml:space="preserve"> is evidence of overall less-than-optimal performance. </w:t>
            </w:r>
          </w:p>
          <w:p w14:paraId="0CABCF84" w14:textId="77777777" w:rsidR="00145149" w:rsidRPr="000F034A" w:rsidRDefault="00145149" w:rsidP="00145149">
            <w:pPr>
              <w:rPr>
                <w:rFonts w:cstheme="minorHAnsi"/>
                <w:b/>
                <w:bCs/>
              </w:rPr>
            </w:pPr>
          </w:p>
          <w:p w14:paraId="0CABCF85" w14:textId="64041FFB" w:rsidR="00145149" w:rsidRPr="000F034A" w:rsidRDefault="00145149" w:rsidP="00145149">
            <w:pPr>
              <w:rPr>
                <w:rFonts w:cstheme="minorHAnsi"/>
              </w:rPr>
            </w:pPr>
            <w:r w:rsidRPr="000F034A">
              <w:rPr>
                <w:rFonts w:cstheme="minorHAnsi"/>
                <w:b/>
                <w:bCs/>
              </w:rPr>
              <w:t>2b</w:t>
            </w:r>
            <w:r w:rsidR="00651D44">
              <w:rPr>
                <w:rFonts w:cstheme="minorHAnsi"/>
                <w:b/>
                <w:bCs/>
              </w:rPr>
              <w:t>5</w:t>
            </w:r>
            <w:r w:rsidRPr="000F034A">
              <w:rPr>
                <w:rFonts w:cstheme="minorHAnsi"/>
                <w:b/>
                <w:bCs/>
              </w:rPr>
              <w:t>.</w:t>
            </w:r>
            <w:r w:rsidRPr="000F034A">
              <w:rPr>
                <w:rFonts w:cstheme="minorHAnsi"/>
              </w:rPr>
              <w:t xml:space="preserve"> </w:t>
            </w:r>
            <w:r w:rsidRPr="000F034A">
              <w:rPr>
                <w:rFonts w:cstheme="minorHAnsi"/>
                <w:b/>
              </w:rPr>
              <w:t>If multiple data sources/methods are specified, there is demonstration they produce comparable results</w:t>
            </w:r>
            <w:r w:rsidRPr="000F034A">
              <w:rPr>
                <w:rFonts w:cstheme="minorHAnsi"/>
              </w:rPr>
              <w:t>.</w:t>
            </w:r>
          </w:p>
          <w:p w14:paraId="0CABCF86" w14:textId="77777777" w:rsidR="00E30584" w:rsidRPr="000F034A" w:rsidRDefault="00E30584" w:rsidP="00145149">
            <w:pPr>
              <w:rPr>
                <w:rFonts w:cstheme="minorHAnsi"/>
              </w:rPr>
            </w:pPr>
          </w:p>
          <w:p w14:paraId="0CABCF87" w14:textId="74D99AAC" w:rsidR="00E30584" w:rsidRPr="00A831B4" w:rsidRDefault="00651D44" w:rsidP="00145149">
            <w:pPr>
              <w:rPr>
                <w:rFonts w:cstheme="minorHAnsi"/>
                <w:sz w:val="20"/>
                <w:szCs w:val="20"/>
              </w:rPr>
            </w:pPr>
            <w:r>
              <w:rPr>
                <w:rFonts w:ascii="Calibri" w:eastAsia="Calibri" w:hAnsi="Calibri" w:cs="Calibri"/>
                <w:b/>
              </w:rPr>
              <w:t>2b6</w:t>
            </w:r>
            <w:r w:rsidR="00E30584" w:rsidRPr="000F034A">
              <w:rPr>
                <w:rFonts w:ascii="Calibri" w:eastAsia="Calibri" w:hAnsi="Calibri" w:cs="Calibri"/>
                <w:b/>
              </w:rPr>
              <w:t>.</w:t>
            </w:r>
            <w:r w:rsidR="00E30584" w:rsidRPr="000F034A">
              <w:rPr>
                <w:rFonts w:ascii="Calibri" w:eastAsia="Calibri" w:hAnsi="Calibri" w:cs="Calibri"/>
              </w:rPr>
              <w:t xml:space="preserve"> </w:t>
            </w:r>
            <w:r>
              <w:rPr>
                <w:rFonts w:ascii="Calibri" w:eastAsia="Calibri" w:hAnsi="Calibri" w:cs="Calibri"/>
              </w:rPr>
              <w:t>A</w:t>
            </w:r>
            <w:r w:rsidR="00E30584" w:rsidRPr="000F034A">
              <w:rPr>
                <w:rFonts w:ascii="Calibri" w:eastAsia="Calibri" w:hAnsi="Calibri" w:cs="Calibri"/>
              </w:rPr>
              <w:t xml:space="preserve">nalyses identify the extent and distribution of </w:t>
            </w:r>
            <w:r w:rsidR="00E30584" w:rsidRPr="00651D44">
              <w:rPr>
                <w:rFonts w:ascii="Calibri" w:eastAsia="Calibri" w:hAnsi="Calibri" w:cs="Calibri"/>
                <w:b/>
              </w:rPr>
              <w:t>missing data</w:t>
            </w:r>
            <w:r w:rsidR="00E30584" w:rsidRPr="000F034A">
              <w:rPr>
                <w:rFonts w:ascii="Calibri" w:eastAsia="Calibri" w:hAnsi="Calibri" w:cs="Calibri"/>
              </w:rPr>
              <w:t xml:space="preserve"> (or nonresponse) and demonstrate that performance results are not biased due to systematic missing data (or differences between responders and </w:t>
            </w:r>
            <w:proofErr w:type="spellStart"/>
            <w:r w:rsidR="00E30584" w:rsidRPr="000F034A">
              <w:rPr>
                <w:rFonts w:ascii="Calibri" w:eastAsia="Calibri" w:hAnsi="Calibri" w:cs="Calibri"/>
              </w:rPr>
              <w:t>nonresponders</w:t>
            </w:r>
            <w:proofErr w:type="spellEnd"/>
            <w:r w:rsidR="00E30584" w:rsidRPr="000F034A">
              <w:rPr>
                <w:rFonts w:ascii="Calibri" w:eastAsia="Calibri" w:hAnsi="Calibri" w:cs="Calibri"/>
              </w:rPr>
              <w:t>) and how the specified handling of missing data minimizes bias.</w:t>
            </w:r>
          </w:p>
          <w:bookmarkEnd w:id="0"/>
          <w:p w14:paraId="0CABCF88" w14:textId="77777777" w:rsidR="00145149" w:rsidRPr="00A831B4" w:rsidRDefault="00145149" w:rsidP="00145149">
            <w:pPr>
              <w:rPr>
                <w:rFonts w:cstheme="minorHAnsi"/>
                <w:b/>
                <w:bCs/>
                <w:sz w:val="20"/>
                <w:szCs w:val="20"/>
              </w:rPr>
            </w:pPr>
          </w:p>
          <w:p w14:paraId="0CABCF89" w14:textId="77777777" w:rsidR="00145149" w:rsidRPr="00A831B4" w:rsidRDefault="00145149" w:rsidP="00145149">
            <w:pPr>
              <w:autoSpaceDE w:val="0"/>
              <w:autoSpaceDN w:val="0"/>
              <w:adjustRightInd w:val="0"/>
              <w:rPr>
                <w:rFonts w:cstheme="minorHAnsi"/>
                <w:b/>
                <w:bCs/>
                <w:iCs/>
                <w:sz w:val="20"/>
                <w:szCs w:val="20"/>
              </w:rPr>
            </w:pPr>
            <w:r w:rsidRPr="00A831B4">
              <w:rPr>
                <w:rFonts w:cstheme="minorHAnsi"/>
                <w:b/>
                <w:bCs/>
                <w:iCs/>
                <w:sz w:val="20"/>
                <w:szCs w:val="20"/>
              </w:rPr>
              <w:t>Notes</w:t>
            </w:r>
          </w:p>
          <w:p w14:paraId="0CABCF8A" w14:textId="77777777" w:rsidR="00145149" w:rsidRPr="00A831B4" w:rsidRDefault="00145149" w:rsidP="00145149">
            <w:pPr>
              <w:autoSpaceDE w:val="0"/>
              <w:autoSpaceDN w:val="0"/>
              <w:adjustRightInd w:val="0"/>
              <w:rPr>
                <w:rFonts w:cstheme="minorHAnsi"/>
                <w:sz w:val="20"/>
                <w:szCs w:val="20"/>
              </w:rPr>
            </w:pPr>
            <w:bookmarkStart w:id="2" w:name="Note8"/>
            <w:bookmarkStart w:id="3" w:name="Note9"/>
            <w:bookmarkStart w:id="4" w:name="Note10"/>
            <w:bookmarkEnd w:id="2"/>
            <w:bookmarkEnd w:id="3"/>
            <w:bookmarkEnd w:id="4"/>
            <w:r w:rsidRPr="00A831B4">
              <w:rPr>
                <w:rFonts w:cstheme="minorHAnsi"/>
                <w:b/>
                <w:sz w:val="20"/>
                <w:szCs w:val="20"/>
              </w:rPr>
              <w:t>10.</w:t>
            </w:r>
            <w:r w:rsidRPr="00A831B4">
              <w:rPr>
                <w:rFonts w:cstheme="minorHAnsi"/>
                <w:sz w:val="20"/>
                <w:szCs w:val="20"/>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14:paraId="0CABCF8B" w14:textId="7EEFF898" w:rsidR="00145149" w:rsidRPr="00A831B4" w:rsidRDefault="00145149" w:rsidP="00145149">
            <w:pPr>
              <w:rPr>
                <w:rFonts w:cstheme="minorHAnsi"/>
                <w:sz w:val="20"/>
                <w:szCs w:val="20"/>
              </w:rPr>
            </w:pPr>
            <w:bookmarkStart w:id="5" w:name="Note11"/>
            <w:bookmarkEnd w:id="5"/>
            <w:r w:rsidRPr="00A831B4">
              <w:rPr>
                <w:rFonts w:cstheme="minorHAnsi"/>
                <w:b/>
                <w:sz w:val="20"/>
                <w:szCs w:val="20"/>
              </w:rPr>
              <w:t>11.</w:t>
            </w:r>
            <w:r w:rsidRPr="00A831B4">
              <w:rPr>
                <w:rFonts w:cstheme="minorHAnsi"/>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w:t>
            </w:r>
            <w:r w:rsidR="00651D44" w:rsidRPr="00651D44">
              <w:rPr>
                <w:rFonts w:cstheme="minorHAnsi"/>
                <w:sz w:val="20"/>
                <w:szCs w:val="20"/>
              </w:rPr>
              <w:t>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r w:rsidRPr="00A831B4">
              <w:rPr>
                <w:rFonts w:cstheme="minorHAnsi"/>
                <w:sz w:val="20"/>
                <w:szCs w:val="20"/>
              </w:rPr>
              <w:t>.</w:t>
            </w:r>
            <w:r w:rsidR="00651D44">
              <w:rPr>
                <w:rFonts w:cstheme="minorHAnsi"/>
                <w:sz w:val="20"/>
                <w:szCs w:val="20"/>
              </w:rPr>
              <w:t xml:space="preserve"> </w:t>
            </w:r>
            <w:r w:rsidR="00651D44" w:rsidRPr="00651D44">
              <w:rPr>
                <w:rFonts w:cstheme="minorHAnsi"/>
                <w:sz w:val="20"/>
                <w:szCs w:val="20"/>
              </w:rPr>
              <w:t>The degree of consensus and any areas of disagreement must be provided/discussed.</w:t>
            </w:r>
          </w:p>
          <w:p w14:paraId="0CABCF8C" w14:textId="77777777" w:rsidR="00145149" w:rsidRPr="00A831B4" w:rsidRDefault="00145149" w:rsidP="00145149">
            <w:pPr>
              <w:pStyle w:val="FootnoteText"/>
              <w:rPr>
                <w:rFonts w:asciiTheme="minorHAnsi" w:hAnsiTheme="minorHAnsi" w:cstheme="minorHAnsi"/>
              </w:rPr>
            </w:pPr>
            <w:bookmarkStart w:id="6" w:name="Note12"/>
            <w:bookmarkEnd w:id="6"/>
            <w:r w:rsidRPr="00A831B4">
              <w:rPr>
                <w:rFonts w:asciiTheme="minorHAnsi" w:hAnsiTheme="minorHAnsi" w:cstheme="minorHAnsi"/>
                <w:b/>
              </w:rPr>
              <w:t>12.</w:t>
            </w:r>
            <w:r w:rsidRPr="00A831B4">
              <w:rPr>
                <w:rFonts w:asciiTheme="minorHAnsi" w:hAnsiTheme="minorHAnsi" w:cstheme="minorHAnsi"/>
              </w:rPr>
              <w:t xml:space="preserve"> Examples of evidence that an exclusion distorts measure results include, but are not limited to: frequency of occurrence, variability of exclusions across providers, and sensitivity analyses with and without the exclusion.  </w:t>
            </w:r>
          </w:p>
          <w:p w14:paraId="0CABCF8D" w14:textId="77777777" w:rsidR="00145149" w:rsidRPr="00A831B4" w:rsidRDefault="00145149" w:rsidP="00145149">
            <w:pPr>
              <w:autoSpaceDE w:val="0"/>
              <w:autoSpaceDN w:val="0"/>
              <w:adjustRightInd w:val="0"/>
              <w:rPr>
                <w:rFonts w:cstheme="minorHAnsi"/>
                <w:b/>
                <w:sz w:val="20"/>
                <w:szCs w:val="20"/>
              </w:rPr>
            </w:pPr>
            <w:bookmarkStart w:id="7" w:name="Note13"/>
            <w:bookmarkEnd w:id="7"/>
            <w:r w:rsidRPr="00A831B4">
              <w:rPr>
                <w:rFonts w:cstheme="minorHAnsi"/>
                <w:b/>
                <w:sz w:val="20"/>
                <w:szCs w:val="20"/>
              </w:rPr>
              <w:t>13.</w:t>
            </w:r>
            <w:r w:rsidRPr="00A831B4">
              <w:rPr>
                <w:rFonts w:cstheme="minorHAnsi"/>
                <w:sz w:val="20"/>
                <w:szCs w:val="20"/>
              </w:rPr>
              <w:t xml:space="preserve"> Patient preference is not a clinical exception to eligibility and can be influenced by provider interventions.</w:t>
            </w:r>
          </w:p>
          <w:p w14:paraId="0CABCF8E" w14:textId="51FE465E" w:rsidR="00145149" w:rsidRPr="00A831B4" w:rsidRDefault="00145149" w:rsidP="00A71200">
            <w:pPr>
              <w:pStyle w:val="FootnoteText"/>
              <w:rPr>
                <w:b/>
                <w:bCs/>
              </w:rPr>
            </w:pPr>
            <w:bookmarkStart w:id="8" w:name="Note14"/>
            <w:bookmarkEnd w:id="8"/>
            <w:r w:rsidRPr="00A831B4">
              <w:rPr>
                <w:rFonts w:asciiTheme="minorHAnsi" w:hAnsiTheme="minorHAnsi" w:cstheme="minorHAnsi"/>
                <w:b/>
              </w:rPr>
              <w:t xml:space="preserve">14. </w:t>
            </w:r>
            <w:r w:rsidRPr="00A831B4">
              <w:rPr>
                <w:rFonts w:asciiTheme="minorHAnsi" w:hAnsiTheme="minorHAnsi" w:cstheme="minorHAnsi"/>
              </w:rPr>
              <w:t>Risk factors that influence outcomes should not be specified as exclusions</w:t>
            </w:r>
            <w:bookmarkStart w:id="9" w:name="Note15"/>
            <w:bookmarkEnd w:id="9"/>
            <w:r w:rsidR="00651D44">
              <w:rPr>
                <w:rFonts w:asciiTheme="minorHAnsi" w:hAnsiTheme="minorHAnsi" w:cstheme="minorHAnsi"/>
              </w:rPr>
              <w:t>.</w:t>
            </w:r>
          </w:p>
          <w:p w14:paraId="0CABCF8F" w14:textId="77777777" w:rsidR="00145149" w:rsidRPr="00A831B4" w:rsidRDefault="00A64EBF">
            <w:pPr>
              <w:rPr>
                <w:rFonts w:cstheme="minorHAnsi"/>
                <w:noProof/>
                <w:sz w:val="20"/>
                <w:szCs w:val="20"/>
              </w:rPr>
            </w:pPr>
            <w:bookmarkStart w:id="10" w:name="Note16"/>
            <w:bookmarkEnd w:id="10"/>
            <w:r w:rsidRPr="00A831B4">
              <w:rPr>
                <w:rFonts w:cstheme="minorHAnsi"/>
                <w:b/>
                <w:sz w:val="20"/>
                <w:szCs w:val="20"/>
              </w:rPr>
              <w:t>1</w:t>
            </w:r>
            <w:r>
              <w:rPr>
                <w:rFonts w:cstheme="minorHAnsi"/>
                <w:b/>
                <w:sz w:val="20"/>
                <w:szCs w:val="20"/>
              </w:rPr>
              <w:t>5</w:t>
            </w:r>
            <w:r w:rsidR="00145149" w:rsidRPr="00A831B4">
              <w:rPr>
                <w:rFonts w:cstheme="minorHAnsi"/>
                <w:b/>
                <w:sz w:val="20"/>
                <w:szCs w:val="20"/>
              </w:rPr>
              <w:t>.</w:t>
            </w:r>
            <w:r w:rsidR="00145149" w:rsidRPr="00A831B4">
              <w:rPr>
                <w:rFonts w:cstheme="minorHAnsi"/>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w:t>
            </w:r>
            <w:r w:rsidR="00145149" w:rsidRPr="00A831B4">
              <w:rPr>
                <w:rFonts w:cstheme="minorHAnsi"/>
                <w:sz w:val="20"/>
                <w:szCs w:val="20"/>
              </w:rPr>
              <w:lastRenderedPageBreak/>
              <w:t>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14:paraId="0CABCF93" w14:textId="77777777" w:rsidR="00E27240" w:rsidRPr="00A25024" w:rsidRDefault="002B5016" w:rsidP="008A403A">
      <w:pPr>
        <w:spacing w:after="0" w:line="240" w:lineRule="auto"/>
        <w:rPr>
          <w:rFonts w:cstheme="minorHAnsi"/>
          <w:b/>
          <w:noProof/>
        </w:rPr>
      </w:pPr>
      <w:r>
        <w:rPr>
          <w:rFonts w:cstheme="minorHAnsi"/>
          <w:b/>
          <w:noProof/>
        </w:rPr>
        <w:lastRenderedPageBreak/>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14:paraId="0CABCF94" w14:textId="77777777" w:rsidR="002E78A0" w:rsidRPr="00A25024" w:rsidRDefault="002E78A0" w:rsidP="008A403A">
      <w:pPr>
        <w:spacing w:after="0" w:line="240" w:lineRule="auto"/>
        <w:rPr>
          <w:rFonts w:cstheme="minorHAnsi"/>
          <w:noProof/>
        </w:rPr>
      </w:pPr>
      <w:r w:rsidRPr="00A25024">
        <w:rPr>
          <w:rFonts w:cstheme="minorHAnsi"/>
          <w:i/>
          <w:noProof/>
        </w:rPr>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14:paraId="0CABCF95" w14:textId="77777777" w:rsidR="000574AB" w:rsidRPr="00A25024" w:rsidRDefault="000574AB" w:rsidP="008A403A">
      <w:pPr>
        <w:spacing w:after="0" w:line="240" w:lineRule="auto"/>
        <w:rPr>
          <w:rFonts w:cstheme="minorHAnsi"/>
          <w:noProof/>
        </w:rPr>
      </w:pPr>
    </w:p>
    <w:p w14:paraId="0CABCF96" w14:textId="77777777" w:rsidR="00A01494"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84"/>
        <w:gridCol w:w="4734"/>
      </w:tblGrid>
      <w:tr w:rsidR="00A01494" w:rsidRPr="00A01494" w14:paraId="0CABCF9A" w14:textId="77777777" w:rsidTr="0014773C">
        <w:trPr>
          <w:jc w:val="center"/>
        </w:trPr>
        <w:tc>
          <w:tcPr>
            <w:tcW w:w="5208" w:type="dxa"/>
            <w:shd w:val="clear" w:color="auto" w:fill="D9D9D9" w:themeFill="background1" w:themeFillShade="D9"/>
          </w:tcPr>
          <w:p w14:paraId="0CABCF97" w14:textId="77777777" w:rsidR="00A01494" w:rsidRDefault="00A01494" w:rsidP="00DB3627">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14:paraId="0CABCF98" w14:textId="66B206CC" w:rsidR="009A6A57" w:rsidRPr="00A01494" w:rsidRDefault="009A6A57" w:rsidP="00DB3627">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000F1B7A">
              <w:rPr>
                <w:rFonts w:cstheme="minorHAnsi"/>
                <w:b/>
                <w:bCs/>
                <w:i/>
              </w:rPr>
              <w:t>S.17</w:t>
            </w:r>
            <w:r>
              <w:rPr>
                <w:rFonts w:cstheme="minorHAnsi"/>
                <w:b/>
                <w:bCs/>
              </w:rPr>
              <w:t>)</w:t>
            </w:r>
          </w:p>
        </w:tc>
        <w:tc>
          <w:tcPr>
            <w:tcW w:w="4847" w:type="dxa"/>
            <w:shd w:val="clear" w:color="auto" w:fill="D9D9D9" w:themeFill="background1" w:themeFillShade="D9"/>
          </w:tcPr>
          <w:p w14:paraId="0CABCF99" w14:textId="77777777" w:rsidR="00A01494" w:rsidRPr="00A01494" w:rsidRDefault="00A01494" w:rsidP="00DB3627">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14:paraId="0CABCF9D" w14:textId="77777777" w:rsidTr="0014773C">
        <w:trPr>
          <w:jc w:val="center"/>
        </w:trPr>
        <w:tc>
          <w:tcPr>
            <w:tcW w:w="5208" w:type="dxa"/>
          </w:tcPr>
          <w:p w14:paraId="0CABCF9B" w14:textId="1962C096" w:rsidR="00A01494" w:rsidRPr="00A01494" w:rsidRDefault="00EA61A3" w:rsidP="00DB3627">
            <w:pPr>
              <w:autoSpaceDE w:val="0"/>
              <w:autoSpaceDN w:val="0"/>
              <w:adjustRightInd w:val="0"/>
              <w:rPr>
                <w:rFonts w:cstheme="minorHAnsi"/>
                <w:bCs/>
              </w:rPr>
            </w:pPr>
            <w:sdt>
              <w:sdtPr>
                <w:rPr>
                  <w:rFonts w:cstheme="minorHAnsi"/>
                  <w:bCs/>
                  <w:color w:val="0000FF"/>
                </w:rPr>
                <w:id w:val="-839233565"/>
                <w14:checkbox>
                  <w14:checked w14:val="1"/>
                  <w14:checkedState w14:val="2612" w14:font="MS Gothic"/>
                  <w14:uncheckedState w14:val="2610" w14:font="MS Gothic"/>
                </w14:checkbox>
              </w:sdtPr>
              <w:sdtEndPr/>
              <w:sdtContent>
                <w:r w:rsidR="00B42EAE">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c>
          <w:tcPr>
            <w:tcW w:w="4847" w:type="dxa"/>
          </w:tcPr>
          <w:p w14:paraId="0CABCF9C" w14:textId="0C777BBC" w:rsidR="00A01494" w:rsidRPr="00A01494" w:rsidRDefault="00EA61A3" w:rsidP="00DB3627">
            <w:pPr>
              <w:autoSpaceDE w:val="0"/>
              <w:autoSpaceDN w:val="0"/>
              <w:adjustRightInd w:val="0"/>
              <w:rPr>
                <w:rFonts w:cstheme="minorHAnsi"/>
                <w:bCs/>
              </w:rPr>
            </w:pPr>
            <w:sdt>
              <w:sdtPr>
                <w:rPr>
                  <w:rFonts w:cstheme="minorHAnsi"/>
                  <w:bCs/>
                  <w:color w:val="0000FF"/>
                </w:rPr>
                <w:id w:val="98917060"/>
                <w14:checkbox>
                  <w14:checked w14:val="1"/>
                  <w14:checkedState w14:val="2612" w14:font="MS Gothic"/>
                  <w14:uncheckedState w14:val="2610" w14:font="MS Gothic"/>
                </w14:checkbox>
              </w:sdtPr>
              <w:sdtEndPr/>
              <w:sdtContent>
                <w:r w:rsidR="00B42EAE">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r>
      <w:tr w:rsidR="00A01494" w:rsidRPr="00A01494" w14:paraId="0CABCFA0" w14:textId="77777777" w:rsidTr="0014773C">
        <w:trPr>
          <w:jc w:val="center"/>
        </w:trPr>
        <w:tc>
          <w:tcPr>
            <w:tcW w:w="5208" w:type="dxa"/>
          </w:tcPr>
          <w:p w14:paraId="0CABCF9E" w14:textId="07A77AD8" w:rsidR="00A01494" w:rsidRPr="000F1B7A" w:rsidRDefault="00EA61A3" w:rsidP="000F1B7A">
            <w:pPr>
              <w:autoSpaceDE w:val="0"/>
              <w:autoSpaceDN w:val="0"/>
              <w:adjustRightInd w:val="0"/>
              <w:rPr>
                <w:rFonts w:cstheme="minorHAnsi"/>
                <w:bCs/>
              </w:rPr>
            </w:pPr>
            <w:sdt>
              <w:sdtPr>
                <w:rPr>
                  <w:rFonts w:cstheme="minorHAnsi"/>
                  <w:bCs/>
                  <w:color w:val="0000FF"/>
                </w:rPr>
                <w:id w:val="560149406"/>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claims</w:t>
            </w:r>
          </w:p>
        </w:tc>
        <w:tc>
          <w:tcPr>
            <w:tcW w:w="4847" w:type="dxa"/>
          </w:tcPr>
          <w:p w14:paraId="0CABCF9F" w14:textId="5871DBAE" w:rsidR="00A01494" w:rsidRPr="000F1B7A" w:rsidRDefault="00EA61A3" w:rsidP="000F1B7A">
            <w:pPr>
              <w:autoSpaceDE w:val="0"/>
              <w:autoSpaceDN w:val="0"/>
              <w:adjustRightInd w:val="0"/>
              <w:rPr>
                <w:rFonts w:cstheme="minorHAnsi"/>
                <w:bCs/>
              </w:rPr>
            </w:pPr>
            <w:sdt>
              <w:sdtPr>
                <w:rPr>
                  <w:rFonts w:cstheme="minorHAnsi"/>
                  <w:bCs/>
                  <w:color w:val="0000FF"/>
                </w:rPr>
                <w:id w:val="-387195507"/>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0F1B7A" w:rsidRPr="000F1B7A">
              <w:rPr>
                <w:rFonts w:cstheme="minorHAnsi"/>
                <w:bCs/>
              </w:rPr>
              <w:t>c</w:t>
            </w:r>
            <w:r w:rsidR="00A01494" w:rsidRPr="000F1B7A">
              <w:rPr>
                <w:rFonts w:cstheme="minorHAnsi"/>
                <w:bCs/>
              </w:rPr>
              <w:t>laims</w:t>
            </w:r>
          </w:p>
        </w:tc>
      </w:tr>
      <w:tr w:rsidR="00A01494" w:rsidRPr="00A01494" w14:paraId="0CABCFA3" w14:textId="77777777" w:rsidTr="0014773C">
        <w:trPr>
          <w:jc w:val="center"/>
        </w:trPr>
        <w:tc>
          <w:tcPr>
            <w:tcW w:w="5208" w:type="dxa"/>
          </w:tcPr>
          <w:p w14:paraId="0CABCFA1" w14:textId="38318C23" w:rsidR="00A01494" w:rsidRPr="000F1B7A" w:rsidRDefault="00EA61A3" w:rsidP="000F1B7A">
            <w:pPr>
              <w:autoSpaceDE w:val="0"/>
              <w:autoSpaceDN w:val="0"/>
              <w:adjustRightInd w:val="0"/>
              <w:rPr>
                <w:rFonts w:cstheme="minorHAnsi"/>
                <w:bCs/>
              </w:rPr>
            </w:pPr>
            <w:sdt>
              <w:sdtPr>
                <w:rPr>
                  <w:rFonts w:cstheme="minorHAnsi"/>
                  <w:bCs/>
                  <w:color w:val="0000FF"/>
                </w:rPr>
                <w:id w:val="751091068"/>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eastAsia="MS Gothic" w:cstheme="minorHAnsi"/>
                <w:bCs/>
              </w:rPr>
              <w:t>registry</w:t>
            </w:r>
          </w:p>
        </w:tc>
        <w:tc>
          <w:tcPr>
            <w:tcW w:w="4847" w:type="dxa"/>
          </w:tcPr>
          <w:p w14:paraId="0CABCFA2" w14:textId="562084B1" w:rsidR="00A01494" w:rsidRPr="000F1B7A" w:rsidRDefault="00EA61A3" w:rsidP="000F1B7A">
            <w:pPr>
              <w:autoSpaceDE w:val="0"/>
              <w:autoSpaceDN w:val="0"/>
              <w:adjustRightInd w:val="0"/>
              <w:rPr>
                <w:rFonts w:cstheme="minorHAnsi"/>
                <w:bCs/>
              </w:rPr>
            </w:pPr>
            <w:sdt>
              <w:sdtPr>
                <w:rPr>
                  <w:rFonts w:cstheme="minorHAnsi"/>
                  <w:bCs/>
                  <w:color w:val="0000FF"/>
                </w:rPr>
                <w:id w:val="547026371"/>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6574D2" w:rsidRPr="000F1B7A">
              <w:rPr>
                <w:rFonts w:cstheme="minorHAnsi"/>
                <w:bCs/>
                <w:color w:val="0000FF"/>
              </w:rPr>
              <w:t xml:space="preserve"> </w:t>
            </w:r>
            <w:r w:rsidR="00A01494" w:rsidRPr="000F1B7A">
              <w:rPr>
                <w:rFonts w:eastAsia="MS Gothic" w:cstheme="minorHAnsi"/>
                <w:bCs/>
              </w:rPr>
              <w:t>registry</w:t>
            </w:r>
          </w:p>
        </w:tc>
      </w:tr>
      <w:tr w:rsidR="00A01494" w:rsidRPr="00A01494" w14:paraId="0CABCFA6" w14:textId="77777777" w:rsidTr="0014773C">
        <w:trPr>
          <w:jc w:val="center"/>
        </w:trPr>
        <w:tc>
          <w:tcPr>
            <w:tcW w:w="5208" w:type="dxa"/>
          </w:tcPr>
          <w:p w14:paraId="0CABCFA4" w14:textId="4A0F054D" w:rsidR="00A01494" w:rsidRPr="000F1B7A" w:rsidRDefault="00EA61A3" w:rsidP="00DB3627">
            <w:pPr>
              <w:autoSpaceDE w:val="0"/>
              <w:autoSpaceDN w:val="0"/>
              <w:adjustRightInd w:val="0"/>
              <w:rPr>
                <w:rFonts w:cstheme="minorHAnsi"/>
                <w:bCs/>
              </w:rPr>
            </w:pPr>
            <w:sdt>
              <w:sdtPr>
                <w:rPr>
                  <w:rFonts w:cstheme="minorHAnsi"/>
                  <w:bCs/>
                  <w:color w:val="0000FF"/>
                </w:rPr>
                <w:id w:val="1121342177"/>
                <w14:checkbox>
                  <w14:checked w14:val="1"/>
                  <w14:checkedState w14:val="2612" w14:font="MS Gothic"/>
                  <w14:uncheckedState w14:val="2610" w14:font="MS Gothic"/>
                </w14:checkbox>
              </w:sdtPr>
              <w:sdtEndPr/>
              <w:sdtContent>
                <w:r w:rsidR="00B42EAE">
                  <w:rPr>
                    <w:rFonts w:ascii="MS Gothic" w:eastAsia="MS Gothic" w:hAnsi="MS Gothic" w:cstheme="minorHAnsi" w:hint="eastAsia"/>
                    <w:bCs/>
                    <w:color w:val="0000FF"/>
                  </w:rPr>
                  <w:t>☒</w:t>
                </w:r>
              </w:sdtContent>
            </w:sdt>
            <w:r w:rsidR="00B82A57" w:rsidRPr="000F1B7A">
              <w:rPr>
                <w:rFonts w:cstheme="minorHAnsi"/>
                <w:bCs/>
              </w:rPr>
              <w:t xml:space="preserve"> </w:t>
            </w:r>
            <w:r w:rsidR="00A01494" w:rsidRPr="000F1B7A">
              <w:rPr>
                <w:rFonts w:cstheme="minorHAnsi"/>
                <w:bCs/>
              </w:rPr>
              <w:t>abstracted from electronic health record</w:t>
            </w:r>
          </w:p>
        </w:tc>
        <w:tc>
          <w:tcPr>
            <w:tcW w:w="4847" w:type="dxa"/>
          </w:tcPr>
          <w:p w14:paraId="0CABCFA5" w14:textId="4DCA9E77" w:rsidR="00A01494" w:rsidRPr="000F1B7A" w:rsidRDefault="00EA61A3" w:rsidP="00DB3627">
            <w:pPr>
              <w:autoSpaceDE w:val="0"/>
              <w:autoSpaceDN w:val="0"/>
              <w:adjustRightInd w:val="0"/>
              <w:rPr>
                <w:rFonts w:cstheme="minorHAnsi"/>
                <w:bCs/>
              </w:rPr>
            </w:pPr>
            <w:sdt>
              <w:sdtPr>
                <w:rPr>
                  <w:rFonts w:cstheme="minorHAnsi"/>
                  <w:bCs/>
                  <w:color w:val="0000FF"/>
                </w:rPr>
                <w:id w:val="-359203911"/>
                <w14:checkbox>
                  <w14:checked w14:val="1"/>
                  <w14:checkedState w14:val="2612" w14:font="MS Gothic"/>
                  <w14:uncheckedState w14:val="2610" w14:font="MS Gothic"/>
                </w14:checkbox>
              </w:sdtPr>
              <w:sdtEndPr/>
              <w:sdtContent>
                <w:r w:rsidR="00B42EAE">
                  <w:rPr>
                    <w:rFonts w:ascii="MS Gothic" w:eastAsia="MS Gothic" w:hAnsi="MS Gothic" w:cstheme="minorHAnsi" w:hint="eastAsia"/>
                    <w:bCs/>
                    <w:color w:val="0000FF"/>
                  </w:rPr>
                  <w:t>☒</w:t>
                </w:r>
              </w:sdtContent>
            </w:sdt>
            <w:r w:rsidR="00B82A57" w:rsidRPr="000F1B7A">
              <w:rPr>
                <w:rFonts w:cstheme="minorHAnsi"/>
                <w:bCs/>
              </w:rPr>
              <w:t xml:space="preserve"> </w:t>
            </w:r>
            <w:r w:rsidR="00A01494" w:rsidRPr="000F1B7A">
              <w:rPr>
                <w:rFonts w:cstheme="minorHAnsi"/>
                <w:bCs/>
              </w:rPr>
              <w:t>abstracted from electronic health record</w:t>
            </w:r>
          </w:p>
        </w:tc>
      </w:tr>
      <w:tr w:rsidR="00A01494" w:rsidRPr="00A01494" w14:paraId="0CABCFA9" w14:textId="77777777" w:rsidTr="0014773C">
        <w:trPr>
          <w:jc w:val="center"/>
        </w:trPr>
        <w:tc>
          <w:tcPr>
            <w:tcW w:w="5208" w:type="dxa"/>
          </w:tcPr>
          <w:p w14:paraId="0CABCFA7" w14:textId="77777777" w:rsidR="00A01494" w:rsidRPr="000F1B7A" w:rsidRDefault="00EA61A3" w:rsidP="00B82A57">
            <w:pPr>
              <w:autoSpaceDE w:val="0"/>
              <w:autoSpaceDN w:val="0"/>
              <w:adjustRightInd w:val="0"/>
              <w:rPr>
                <w:rFonts w:cstheme="minorHAnsi"/>
                <w:bCs/>
              </w:rPr>
            </w:pPr>
            <w:sdt>
              <w:sdtPr>
                <w:rPr>
                  <w:rFonts w:cstheme="minorHAnsi"/>
                  <w:bCs/>
                  <w:color w:val="0000FF"/>
                </w:rPr>
                <w:id w:val="615648267"/>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eMeasure </w:t>
            </w:r>
            <w:r w:rsidR="004756E1" w:rsidRPr="000F1B7A">
              <w:rPr>
                <w:rFonts w:cstheme="minorHAnsi"/>
                <w:bCs/>
              </w:rPr>
              <w:t xml:space="preserve">(HQMF) </w:t>
            </w:r>
            <w:r w:rsidR="00A01494" w:rsidRPr="000F1B7A">
              <w:rPr>
                <w:rFonts w:cstheme="minorHAnsi"/>
                <w:bCs/>
              </w:rPr>
              <w:t xml:space="preserve">implemented in </w:t>
            </w:r>
            <w:r w:rsidR="00B82A57" w:rsidRPr="000F1B7A">
              <w:rPr>
                <w:rFonts w:cstheme="minorHAnsi"/>
                <w:bCs/>
              </w:rPr>
              <w:t>EHRs</w:t>
            </w:r>
          </w:p>
        </w:tc>
        <w:tc>
          <w:tcPr>
            <w:tcW w:w="4847" w:type="dxa"/>
          </w:tcPr>
          <w:p w14:paraId="0CABCFA8" w14:textId="77777777" w:rsidR="00A01494" w:rsidRPr="000F1B7A" w:rsidRDefault="00EA61A3" w:rsidP="00DB3627">
            <w:pPr>
              <w:autoSpaceDE w:val="0"/>
              <w:autoSpaceDN w:val="0"/>
              <w:adjustRightInd w:val="0"/>
              <w:rPr>
                <w:rFonts w:cstheme="minorHAnsi"/>
                <w:bCs/>
              </w:rPr>
            </w:pPr>
            <w:sdt>
              <w:sdtPr>
                <w:rPr>
                  <w:rFonts w:cstheme="minorHAnsi"/>
                  <w:bCs/>
                  <w:color w:val="0000FF"/>
                </w:rPr>
                <w:id w:val="498854310"/>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eMeasure </w:t>
            </w:r>
            <w:r w:rsidR="004756E1" w:rsidRPr="000F1B7A">
              <w:rPr>
                <w:rFonts w:cstheme="minorHAnsi"/>
                <w:bCs/>
              </w:rPr>
              <w:t xml:space="preserve">(HQMF) </w:t>
            </w:r>
            <w:r w:rsidR="00A01494" w:rsidRPr="000F1B7A">
              <w:rPr>
                <w:rFonts w:cstheme="minorHAnsi"/>
                <w:bCs/>
              </w:rPr>
              <w:t>impleme</w:t>
            </w:r>
            <w:r w:rsidR="00B82A57" w:rsidRPr="000F1B7A">
              <w:rPr>
                <w:rFonts w:cstheme="minorHAnsi"/>
                <w:bCs/>
              </w:rPr>
              <w:t>nted in EHRs</w:t>
            </w:r>
          </w:p>
        </w:tc>
      </w:tr>
      <w:tr w:rsidR="00A01494" w:rsidRPr="00A01494" w14:paraId="0CABCFAC" w14:textId="77777777" w:rsidTr="0014773C">
        <w:trPr>
          <w:jc w:val="center"/>
        </w:trPr>
        <w:tc>
          <w:tcPr>
            <w:tcW w:w="5208" w:type="dxa"/>
          </w:tcPr>
          <w:p w14:paraId="0CABCFAA" w14:textId="77777777" w:rsidR="00A01494" w:rsidRPr="000F1B7A" w:rsidRDefault="00EA61A3" w:rsidP="00DB3627">
            <w:pPr>
              <w:autoSpaceDE w:val="0"/>
              <w:autoSpaceDN w:val="0"/>
              <w:adjustRightInd w:val="0"/>
              <w:rPr>
                <w:rFonts w:cstheme="minorHAnsi"/>
                <w:bCs/>
              </w:rPr>
            </w:pPr>
            <w:sdt>
              <w:sdtPr>
                <w:rPr>
                  <w:rFonts w:cstheme="minorHAnsi"/>
                  <w:bCs/>
                  <w:color w:val="0000FF"/>
                </w:rPr>
                <w:id w:val="1316375390"/>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other:  </w:t>
            </w:r>
            <w:sdt>
              <w:sdtPr>
                <w:rPr>
                  <w:rStyle w:val="Style1"/>
                </w:rPr>
                <w:id w:val="1834251992"/>
                <w:showingPlcHdr/>
                <w:text/>
              </w:sdtPr>
              <w:sdtEndPr>
                <w:rPr>
                  <w:rStyle w:val="DefaultParagraphFont"/>
                  <w:rFonts w:cstheme="minorHAnsi"/>
                  <w:bCs/>
                  <w:color w:val="auto"/>
                </w:rPr>
              </w:sdtEndPr>
              <w:sdtContent>
                <w:r w:rsidR="00A01494" w:rsidRPr="000F1B7A">
                  <w:rPr>
                    <w:rStyle w:val="PlaceholderText"/>
                  </w:rPr>
                  <w:t>Click here to describe</w:t>
                </w:r>
              </w:sdtContent>
            </w:sdt>
          </w:p>
        </w:tc>
        <w:tc>
          <w:tcPr>
            <w:tcW w:w="4847" w:type="dxa"/>
          </w:tcPr>
          <w:p w14:paraId="0CABCFAB" w14:textId="77777777" w:rsidR="00A01494" w:rsidRPr="000F1B7A" w:rsidRDefault="00EA61A3" w:rsidP="00DB3627">
            <w:pPr>
              <w:autoSpaceDE w:val="0"/>
              <w:autoSpaceDN w:val="0"/>
              <w:adjustRightInd w:val="0"/>
              <w:rPr>
                <w:rFonts w:cstheme="minorHAnsi"/>
                <w:bCs/>
              </w:rPr>
            </w:pPr>
            <w:sdt>
              <w:sdtPr>
                <w:rPr>
                  <w:rFonts w:cstheme="minorHAnsi"/>
                  <w:bCs/>
                  <w:color w:val="0000FF"/>
                </w:rPr>
                <w:id w:val="1689098749"/>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other:  </w:t>
            </w:r>
            <w:sdt>
              <w:sdtPr>
                <w:rPr>
                  <w:rStyle w:val="Style1"/>
                </w:rPr>
                <w:id w:val="1976178076"/>
                <w:showingPlcHdr/>
                <w:text/>
              </w:sdtPr>
              <w:sdtEndPr>
                <w:rPr>
                  <w:rStyle w:val="DefaultParagraphFont"/>
                  <w:rFonts w:cstheme="minorHAnsi"/>
                  <w:bCs/>
                  <w:color w:val="auto"/>
                </w:rPr>
              </w:sdtEndPr>
              <w:sdtContent>
                <w:r w:rsidR="00A01494" w:rsidRPr="000F1B7A">
                  <w:rPr>
                    <w:rStyle w:val="PlaceholderText"/>
                  </w:rPr>
                  <w:t>Click here to describe</w:t>
                </w:r>
              </w:sdtContent>
            </w:sdt>
          </w:p>
        </w:tc>
      </w:tr>
    </w:tbl>
    <w:p w14:paraId="0CABCFAD" w14:textId="77777777" w:rsidR="00A01494" w:rsidRDefault="006327D8" w:rsidP="00DB3627">
      <w:pPr>
        <w:autoSpaceDE w:val="0"/>
        <w:autoSpaceDN w:val="0"/>
        <w:adjustRightInd w:val="0"/>
        <w:spacing w:after="0" w:line="240" w:lineRule="auto"/>
        <w:rPr>
          <w:rFonts w:cstheme="minorHAnsi"/>
          <w:b/>
          <w:bCs/>
        </w:rPr>
      </w:pPr>
      <w:r w:rsidRPr="00A25024">
        <w:rPr>
          <w:rFonts w:cstheme="minorHAnsi"/>
          <w:b/>
          <w:bCs/>
        </w:rPr>
        <w:t xml:space="preserve">     </w:t>
      </w:r>
    </w:p>
    <w:p w14:paraId="684870A9" w14:textId="77777777" w:rsidR="006962D0"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2. </w:t>
      </w:r>
      <w:r w:rsidR="004348CC" w:rsidRPr="00A25024">
        <w:rPr>
          <w:rFonts w:cstheme="minorHAnsi"/>
          <w:b/>
          <w:bCs/>
        </w:rPr>
        <w:t>If an existing data</w:t>
      </w:r>
      <w:r w:rsidR="006327D8" w:rsidRPr="00A25024">
        <w:rPr>
          <w:rFonts w:cstheme="minorHAnsi"/>
          <w:b/>
          <w:bCs/>
        </w:rPr>
        <w:t>set</w:t>
      </w:r>
      <w:r w:rsidR="003605B4">
        <w:rPr>
          <w:rFonts w:cstheme="minorHAnsi"/>
          <w:b/>
          <w:bCs/>
        </w:rPr>
        <w:t xml:space="preserve"> was used</w:t>
      </w:r>
      <w:r w:rsidR="004348CC" w:rsidRPr="00A25024">
        <w:rPr>
          <w:rFonts w:cstheme="minorHAnsi"/>
          <w:b/>
          <w:bCs/>
        </w:rPr>
        <w:t xml:space="preserve">, identify the </w:t>
      </w:r>
      <w:r w:rsidR="009E1846">
        <w:rPr>
          <w:rFonts w:cstheme="minorHAnsi"/>
          <w:b/>
          <w:bCs/>
        </w:rPr>
        <w:t xml:space="preserve">specific </w:t>
      </w:r>
      <w:r w:rsidR="004348CC" w:rsidRPr="00A25024">
        <w:rPr>
          <w:rFonts w:cstheme="minorHAnsi"/>
          <w:b/>
          <w:bCs/>
        </w:rPr>
        <w:t>data</w:t>
      </w:r>
      <w:r w:rsidR="006327D8" w:rsidRPr="00A25024">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health OASIS, clinical registry</w:t>
      </w:r>
      <w:r w:rsidR="00DB3627" w:rsidRPr="00A25024">
        <w:rPr>
          <w:rFonts w:cstheme="minorHAnsi"/>
          <w:bCs/>
        </w:rPr>
        <w:t>)</w:t>
      </w:r>
      <w:r w:rsidR="009E1846">
        <w:rPr>
          <w:rFonts w:cstheme="minorHAnsi"/>
          <w:bCs/>
        </w:rPr>
        <w:t xml:space="preserve">. </w:t>
      </w:r>
      <w:r w:rsidR="00080CF7" w:rsidRPr="00A25024">
        <w:rPr>
          <w:rFonts w:cstheme="minorHAnsi"/>
          <w:bCs/>
        </w:rPr>
        <w:t xml:space="preserve"> </w:t>
      </w:r>
      <w:r w:rsidR="004348CC" w:rsidRPr="00A25024">
        <w:rPr>
          <w:rFonts w:cstheme="minorHAnsi"/>
          <w:bCs/>
        </w:rPr>
        <w:t xml:space="preserve"> </w:t>
      </w:r>
    </w:p>
    <w:p w14:paraId="0CABCFAE" w14:textId="561055FA" w:rsidR="00C355B9" w:rsidRDefault="006962D0" w:rsidP="00DB3627">
      <w:pPr>
        <w:autoSpaceDE w:val="0"/>
        <w:autoSpaceDN w:val="0"/>
        <w:adjustRightInd w:val="0"/>
        <w:spacing w:after="0" w:line="240" w:lineRule="auto"/>
        <w:rPr>
          <w:rFonts w:cstheme="minorHAnsi"/>
          <w:bCs/>
        </w:rPr>
      </w:pPr>
      <w:r>
        <w:rPr>
          <w:rFonts w:cstheme="minorHAnsi"/>
          <w:bCs/>
        </w:rPr>
        <w:t>Not applicable</w:t>
      </w:r>
    </w:p>
    <w:p w14:paraId="0CABCFAF" w14:textId="77777777" w:rsidR="009E1846" w:rsidRDefault="009E1846" w:rsidP="00DB3627">
      <w:pPr>
        <w:autoSpaceDE w:val="0"/>
        <w:autoSpaceDN w:val="0"/>
        <w:adjustRightInd w:val="0"/>
        <w:spacing w:after="0" w:line="240" w:lineRule="auto"/>
        <w:rPr>
          <w:rFonts w:cstheme="minorHAnsi"/>
          <w:b/>
        </w:rPr>
      </w:pPr>
    </w:p>
    <w:p w14:paraId="0CABCFB0" w14:textId="38AD5DE7" w:rsidR="0004593A" w:rsidRPr="00A25024" w:rsidRDefault="002B5016" w:rsidP="00DB3627">
      <w:pPr>
        <w:autoSpaceDE w:val="0"/>
        <w:autoSpaceDN w:val="0"/>
        <w:adjustRightInd w:val="0"/>
        <w:spacing w:after="0" w:line="240" w:lineRule="auto"/>
        <w:rPr>
          <w:rFonts w:cstheme="minorHAnsi"/>
          <w:bCs/>
        </w:rPr>
      </w:pPr>
      <w:r>
        <w:rPr>
          <w:rFonts w:cstheme="minorHAnsi"/>
          <w:b/>
        </w:rPr>
        <w:t>1</w:t>
      </w:r>
      <w:r w:rsidR="00927027">
        <w:rPr>
          <w:rFonts w:cstheme="minorHAnsi"/>
          <w:b/>
        </w:rPr>
        <w:t>.</w:t>
      </w:r>
      <w:r w:rsidR="00DB3627" w:rsidRPr="00A25024">
        <w:rPr>
          <w:rFonts w:cstheme="minorHAnsi"/>
          <w:b/>
        </w:rPr>
        <w:t xml:space="preserve">3. </w:t>
      </w:r>
      <w:r w:rsidR="000574AB" w:rsidRPr="00A25024">
        <w:rPr>
          <w:rFonts w:cstheme="minorHAnsi"/>
          <w:b/>
        </w:rPr>
        <w:t xml:space="preserve">What </w:t>
      </w:r>
      <w:r w:rsidR="000968F8" w:rsidRPr="00A25024">
        <w:rPr>
          <w:rFonts w:cstheme="minorHAnsi"/>
          <w:b/>
        </w:rPr>
        <w:t xml:space="preserve">are the </w:t>
      </w:r>
      <w:r w:rsidR="000574AB" w:rsidRPr="00A25024">
        <w:rPr>
          <w:rFonts w:cstheme="minorHAnsi"/>
          <w:b/>
        </w:rPr>
        <w:t xml:space="preserve">dates of </w:t>
      </w:r>
      <w:r w:rsidR="000968F8" w:rsidRPr="00A25024">
        <w:rPr>
          <w:rFonts w:cstheme="minorHAnsi"/>
          <w:b/>
        </w:rPr>
        <w:t xml:space="preserve">the </w:t>
      </w:r>
      <w:r w:rsidR="000574AB" w:rsidRPr="00A25024">
        <w:rPr>
          <w:rFonts w:cstheme="minorHAnsi"/>
          <w:b/>
        </w:rPr>
        <w:t xml:space="preserve">data </w:t>
      </w:r>
      <w:r w:rsidR="000968F8" w:rsidRPr="00A25024">
        <w:rPr>
          <w:rFonts w:cstheme="minorHAnsi"/>
          <w:b/>
        </w:rPr>
        <w:t>used in testing</w:t>
      </w:r>
      <w:r w:rsidR="000968F8" w:rsidRPr="00A25024">
        <w:rPr>
          <w:rFonts w:cstheme="minorHAnsi"/>
        </w:rPr>
        <w:t>?</w:t>
      </w:r>
      <w:r w:rsidR="00080CF7" w:rsidRPr="00A25024">
        <w:rPr>
          <w:rFonts w:cstheme="minorHAnsi"/>
        </w:rPr>
        <w:t xml:space="preserve"> </w:t>
      </w:r>
      <w:r w:rsidR="000574AB" w:rsidRPr="00A25024">
        <w:rPr>
          <w:rFonts w:cstheme="minorHAnsi"/>
        </w:rPr>
        <w:t xml:space="preserve"> </w:t>
      </w:r>
      <w:sdt>
        <w:sdtPr>
          <w:rPr>
            <w:rFonts w:cstheme="minorHAnsi"/>
          </w:rPr>
          <w:id w:val="950514773"/>
          <w:text/>
        </w:sdtPr>
        <w:sdtEndPr/>
        <w:sdtContent>
          <w:r w:rsidR="009D78A0" w:rsidRPr="006962D0">
            <w:rPr>
              <w:rFonts w:cstheme="minorHAnsi"/>
            </w:rPr>
            <w:t>4/1/2007 – 7/1/2007</w:t>
          </w:r>
        </w:sdtContent>
      </w:sdt>
    </w:p>
    <w:p w14:paraId="0CABCFB1" w14:textId="77777777" w:rsidR="000574AB" w:rsidRDefault="000574AB" w:rsidP="00DB3627">
      <w:pPr>
        <w:autoSpaceDE w:val="0"/>
        <w:autoSpaceDN w:val="0"/>
        <w:adjustRightInd w:val="0"/>
        <w:spacing w:after="0" w:line="240" w:lineRule="auto"/>
        <w:rPr>
          <w:rFonts w:cstheme="minorHAnsi"/>
          <w:bCs/>
        </w:rPr>
      </w:pPr>
    </w:p>
    <w:p w14:paraId="0CABCFB2" w14:textId="77777777" w:rsidR="000414E8"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4. </w:t>
      </w:r>
      <w:r w:rsidR="00021170" w:rsidRPr="00A25024">
        <w:rPr>
          <w:rFonts w:cstheme="minorHAnsi"/>
          <w:b/>
          <w:bCs/>
        </w:rPr>
        <w:t>What level</w:t>
      </w:r>
      <w:r w:rsidR="006327D8" w:rsidRPr="00A25024">
        <w:rPr>
          <w:rFonts w:cstheme="minorHAnsi"/>
          <w:b/>
          <w:bCs/>
        </w:rPr>
        <w:t>s</w:t>
      </w:r>
      <w:r w:rsidR="00021170" w:rsidRPr="00A25024">
        <w:rPr>
          <w:rFonts w:cstheme="minorHAnsi"/>
          <w:b/>
          <w:bCs/>
        </w:rPr>
        <w:t xml:space="preserve"> of analysis</w:t>
      </w:r>
      <w:r w:rsidR="00021170" w:rsidRPr="00A25024">
        <w:rPr>
          <w:rFonts w:cstheme="minorHAnsi"/>
          <w:bCs/>
        </w:rPr>
        <w:t xml:space="preserve"> </w:t>
      </w:r>
      <w:r w:rsidR="00021170" w:rsidRPr="00A25024">
        <w:rPr>
          <w:rFonts w:cstheme="minorHAnsi"/>
          <w:b/>
          <w:bCs/>
        </w:rPr>
        <w:t>w</w:t>
      </w:r>
      <w:r w:rsidR="006327D8" w:rsidRPr="00A25024">
        <w:rPr>
          <w:rFonts w:cstheme="minorHAnsi"/>
          <w:b/>
          <w:bCs/>
        </w:rPr>
        <w:t>ere</w:t>
      </w:r>
      <w:r w:rsidR="00021170" w:rsidRPr="00A25024">
        <w:rPr>
          <w:rFonts w:cstheme="minorHAnsi"/>
          <w:b/>
          <w:bCs/>
        </w:rPr>
        <w:t xml:space="preserve"> </w:t>
      </w:r>
      <w:r w:rsidR="006327D8" w:rsidRPr="00A25024">
        <w:rPr>
          <w:rFonts w:cstheme="minorHAnsi"/>
          <w:b/>
          <w:bCs/>
        </w:rPr>
        <w:t>tested</w:t>
      </w:r>
      <w:r w:rsidR="00021170" w:rsidRPr="00A25024">
        <w:rPr>
          <w:rFonts w:cstheme="minorHAnsi"/>
          <w:bCs/>
        </w:rPr>
        <w:t>? (</w:t>
      </w:r>
      <w:proofErr w:type="gramStart"/>
      <w:r w:rsidR="00F435AA" w:rsidRPr="00A25024">
        <w:rPr>
          <w:rFonts w:cstheme="minorHAnsi"/>
          <w:bCs/>
          <w:i/>
        </w:rPr>
        <w:t>testing</w:t>
      </w:r>
      <w:proofErr w:type="gramEnd"/>
      <w:r w:rsidR="00F435AA" w:rsidRPr="00A25024">
        <w:rPr>
          <w:rFonts w:cstheme="minorHAnsi"/>
          <w:bCs/>
          <w:i/>
        </w:rPr>
        <w:t xml:space="preserve">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909"/>
        <w:gridCol w:w="4909"/>
      </w:tblGrid>
      <w:tr w:rsidR="000414E8" w:rsidRPr="00A01494" w14:paraId="0CABCFB6" w14:textId="77777777" w:rsidTr="000414E8">
        <w:trPr>
          <w:jc w:val="center"/>
        </w:trPr>
        <w:tc>
          <w:tcPr>
            <w:tcW w:w="5027" w:type="dxa"/>
            <w:shd w:val="clear" w:color="auto" w:fill="D9D9D9" w:themeFill="background1" w:themeFillShade="D9"/>
          </w:tcPr>
          <w:p w14:paraId="0CABCFB3" w14:textId="77777777" w:rsidR="000414E8" w:rsidRDefault="000414E8" w:rsidP="00D61410">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14:paraId="0CABCFB4" w14:textId="74E71B33" w:rsidR="009A6A57" w:rsidRPr="00A01494" w:rsidRDefault="009A6A57" w:rsidP="009A6A57">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000F1B7A">
              <w:rPr>
                <w:rFonts w:cstheme="minorHAnsi"/>
                <w:b/>
                <w:bCs/>
                <w:i/>
              </w:rPr>
              <w:t>levels entered in item S.20</w:t>
            </w:r>
            <w:r>
              <w:rPr>
                <w:rFonts w:cstheme="minorHAnsi"/>
                <w:b/>
                <w:bCs/>
              </w:rPr>
              <w:t>)</w:t>
            </w:r>
          </w:p>
        </w:tc>
        <w:tc>
          <w:tcPr>
            <w:tcW w:w="5028" w:type="dxa"/>
            <w:shd w:val="clear" w:color="auto" w:fill="D9D9D9" w:themeFill="background1" w:themeFillShade="D9"/>
          </w:tcPr>
          <w:p w14:paraId="0CABCFB5" w14:textId="77777777" w:rsidR="000414E8" w:rsidRPr="00A01494" w:rsidRDefault="000414E8" w:rsidP="00D61410">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14:paraId="0CABCFB9" w14:textId="77777777" w:rsidTr="000414E8">
        <w:trPr>
          <w:jc w:val="center"/>
        </w:trPr>
        <w:tc>
          <w:tcPr>
            <w:tcW w:w="5027" w:type="dxa"/>
          </w:tcPr>
          <w:p w14:paraId="0CABCFB7" w14:textId="77777777" w:rsidR="000414E8" w:rsidRPr="00A01494" w:rsidRDefault="00EA61A3" w:rsidP="00D61410">
            <w:pPr>
              <w:autoSpaceDE w:val="0"/>
              <w:autoSpaceDN w:val="0"/>
              <w:adjustRightInd w:val="0"/>
              <w:rPr>
                <w:rFonts w:cstheme="minorHAnsi"/>
                <w:bCs/>
              </w:rPr>
            </w:pPr>
            <w:sdt>
              <w:sdtPr>
                <w:rPr>
                  <w:rFonts w:cstheme="minorHAnsi"/>
                  <w:bCs/>
                  <w:color w:val="0000FF"/>
                </w:rPr>
                <w:id w:val="44751427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c>
          <w:tcPr>
            <w:tcW w:w="5028" w:type="dxa"/>
          </w:tcPr>
          <w:p w14:paraId="0CABCFB8" w14:textId="77777777" w:rsidR="000414E8" w:rsidRPr="00A01494" w:rsidRDefault="00EA61A3" w:rsidP="00D61410">
            <w:pPr>
              <w:autoSpaceDE w:val="0"/>
              <w:autoSpaceDN w:val="0"/>
              <w:adjustRightInd w:val="0"/>
              <w:rPr>
                <w:rFonts w:cstheme="minorHAnsi"/>
                <w:bCs/>
              </w:rPr>
            </w:pPr>
            <w:sdt>
              <w:sdtPr>
                <w:rPr>
                  <w:rFonts w:cstheme="minorHAnsi"/>
                  <w:bCs/>
                  <w:color w:val="0000FF"/>
                </w:rPr>
                <w:id w:val="1571624283"/>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r>
      <w:tr w:rsidR="000414E8" w:rsidRPr="00A01494" w14:paraId="0CABCFBC" w14:textId="77777777" w:rsidTr="000414E8">
        <w:trPr>
          <w:jc w:val="center"/>
        </w:trPr>
        <w:tc>
          <w:tcPr>
            <w:tcW w:w="5027" w:type="dxa"/>
          </w:tcPr>
          <w:p w14:paraId="0CABCFBA" w14:textId="77777777" w:rsidR="000414E8" w:rsidRPr="00A01494" w:rsidRDefault="00EA61A3" w:rsidP="00D61410">
            <w:pPr>
              <w:autoSpaceDE w:val="0"/>
              <w:autoSpaceDN w:val="0"/>
              <w:adjustRightInd w:val="0"/>
              <w:rPr>
                <w:rFonts w:cstheme="minorHAnsi"/>
                <w:bCs/>
              </w:rPr>
            </w:pPr>
            <w:sdt>
              <w:sdtPr>
                <w:rPr>
                  <w:rFonts w:cstheme="minorHAnsi"/>
                  <w:bCs/>
                  <w:color w:val="0000FF"/>
                </w:rPr>
                <w:id w:val="-834455086"/>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c>
          <w:tcPr>
            <w:tcW w:w="5028" w:type="dxa"/>
          </w:tcPr>
          <w:p w14:paraId="0CABCFBB" w14:textId="77777777" w:rsidR="000414E8" w:rsidRPr="00A01494" w:rsidRDefault="00EA61A3" w:rsidP="00D61410">
            <w:pPr>
              <w:autoSpaceDE w:val="0"/>
              <w:autoSpaceDN w:val="0"/>
              <w:adjustRightInd w:val="0"/>
              <w:rPr>
                <w:rFonts w:cstheme="minorHAnsi"/>
                <w:bCs/>
              </w:rPr>
            </w:pPr>
            <w:sdt>
              <w:sdtPr>
                <w:rPr>
                  <w:rFonts w:cstheme="minorHAnsi"/>
                  <w:bCs/>
                  <w:color w:val="0000FF"/>
                </w:rPr>
                <w:id w:val="-4126276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r>
      <w:tr w:rsidR="000414E8" w:rsidRPr="00A01494" w14:paraId="0CABCFBF" w14:textId="77777777" w:rsidTr="000414E8">
        <w:trPr>
          <w:jc w:val="center"/>
        </w:trPr>
        <w:tc>
          <w:tcPr>
            <w:tcW w:w="5027" w:type="dxa"/>
          </w:tcPr>
          <w:p w14:paraId="0CABCFBD" w14:textId="224E2CC5" w:rsidR="000414E8" w:rsidRPr="00A01494" w:rsidRDefault="00EA61A3" w:rsidP="00D61410">
            <w:pPr>
              <w:autoSpaceDE w:val="0"/>
              <w:autoSpaceDN w:val="0"/>
              <w:adjustRightInd w:val="0"/>
              <w:rPr>
                <w:rFonts w:cstheme="minorHAnsi"/>
                <w:bCs/>
              </w:rPr>
            </w:pPr>
            <w:sdt>
              <w:sdtPr>
                <w:rPr>
                  <w:rFonts w:cstheme="minorHAnsi"/>
                  <w:bCs/>
                  <w:color w:val="0000FF"/>
                </w:rPr>
                <w:id w:val="-1855098074"/>
                <w14:checkbox>
                  <w14:checked w14:val="1"/>
                  <w14:checkedState w14:val="2612" w14:font="MS Gothic"/>
                  <w14:uncheckedState w14:val="2610" w14:font="MS Gothic"/>
                </w14:checkbox>
              </w:sdtPr>
              <w:sdtEndPr/>
              <w:sdtContent>
                <w:r w:rsidR="009D78A0">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c>
          <w:tcPr>
            <w:tcW w:w="5028" w:type="dxa"/>
          </w:tcPr>
          <w:p w14:paraId="0CABCFBE" w14:textId="3883CF7D" w:rsidR="000414E8" w:rsidRPr="00A01494" w:rsidRDefault="00EA61A3" w:rsidP="00D61410">
            <w:pPr>
              <w:autoSpaceDE w:val="0"/>
              <w:autoSpaceDN w:val="0"/>
              <w:adjustRightInd w:val="0"/>
              <w:rPr>
                <w:rFonts w:cstheme="minorHAnsi"/>
                <w:bCs/>
              </w:rPr>
            </w:pPr>
            <w:sdt>
              <w:sdtPr>
                <w:rPr>
                  <w:rFonts w:cstheme="minorHAnsi"/>
                  <w:bCs/>
                  <w:color w:val="0000FF"/>
                </w:rPr>
                <w:id w:val="1857455968"/>
                <w14:checkbox>
                  <w14:checked w14:val="1"/>
                  <w14:checkedState w14:val="2612" w14:font="MS Gothic"/>
                  <w14:uncheckedState w14:val="2610" w14:font="MS Gothic"/>
                </w14:checkbox>
              </w:sdtPr>
              <w:sdtEndPr/>
              <w:sdtContent>
                <w:r w:rsidR="009D78A0">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r>
      <w:tr w:rsidR="000414E8" w:rsidRPr="00A01494" w14:paraId="0CABCFC2" w14:textId="77777777" w:rsidTr="000414E8">
        <w:trPr>
          <w:jc w:val="center"/>
        </w:trPr>
        <w:tc>
          <w:tcPr>
            <w:tcW w:w="5027" w:type="dxa"/>
          </w:tcPr>
          <w:p w14:paraId="0CABCFC0" w14:textId="77777777" w:rsidR="000414E8" w:rsidRPr="00A01494" w:rsidRDefault="00EA61A3" w:rsidP="00D61410">
            <w:pPr>
              <w:autoSpaceDE w:val="0"/>
              <w:autoSpaceDN w:val="0"/>
              <w:adjustRightInd w:val="0"/>
              <w:rPr>
                <w:rFonts w:cstheme="minorHAnsi"/>
                <w:bCs/>
              </w:rPr>
            </w:pPr>
            <w:sdt>
              <w:sdtPr>
                <w:rPr>
                  <w:rFonts w:cstheme="minorHAnsi"/>
                  <w:bCs/>
                  <w:color w:val="0000FF"/>
                </w:rPr>
                <w:id w:val="27553521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0414E8">
              <w:rPr>
                <w:rFonts w:cstheme="minorHAnsi"/>
                <w:bCs/>
              </w:rPr>
              <w:t>health plan</w:t>
            </w:r>
          </w:p>
        </w:tc>
        <w:tc>
          <w:tcPr>
            <w:tcW w:w="5028" w:type="dxa"/>
          </w:tcPr>
          <w:p w14:paraId="0CABCFC1" w14:textId="77777777" w:rsidR="000414E8" w:rsidRPr="00A01494" w:rsidRDefault="00EA61A3" w:rsidP="00D61410">
            <w:pPr>
              <w:autoSpaceDE w:val="0"/>
              <w:autoSpaceDN w:val="0"/>
              <w:adjustRightInd w:val="0"/>
              <w:rPr>
                <w:rFonts w:cstheme="minorHAnsi"/>
                <w:bCs/>
              </w:rPr>
            </w:pPr>
            <w:sdt>
              <w:sdtPr>
                <w:rPr>
                  <w:rFonts w:cstheme="minorHAnsi"/>
                  <w:bCs/>
                  <w:color w:val="0000FF"/>
                </w:rPr>
                <w:id w:val="189692437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health plan</w:t>
            </w:r>
          </w:p>
        </w:tc>
      </w:tr>
      <w:tr w:rsidR="000414E8" w:rsidRPr="00A01494" w14:paraId="0CABCFC5" w14:textId="77777777" w:rsidTr="000414E8">
        <w:trPr>
          <w:jc w:val="center"/>
        </w:trPr>
        <w:tc>
          <w:tcPr>
            <w:tcW w:w="5027" w:type="dxa"/>
          </w:tcPr>
          <w:p w14:paraId="0CABCFC3" w14:textId="77777777" w:rsidR="000414E8" w:rsidRPr="00A01494" w:rsidRDefault="00EA61A3" w:rsidP="00D61410">
            <w:pPr>
              <w:autoSpaceDE w:val="0"/>
              <w:autoSpaceDN w:val="0"/>
              <w:adjustRightInd w:val="0"/>
              <w:rPr>
                <w:rFonts w:cstheme="minorHAnsi"/>
                <w:bCs/>
              </w:rPr>
            </w:pPr>
            <w:sdt>
              <w:sdtPr>
                <w:rPr>
                  <w:rFonts w:cstheme="minorHAnsi"/>
                  <w:bCs/>
                  <w:color w:val="0000FF"/>
                </w:rPr>
                <w:id w:val="-113802415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1923679898"/>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c>
          <w:tcPr>
            <w:tcW w:w="5028" w:type="dxa"/>
          </w:tcPr>
          <w:p w14:paraId="0CABCFC4" w14:textId="77777777" w:rsidR="000414E8" w:rsidRPr="00A01494" w:rsidRDefault="00EA61A3" w:rsidP="00D61410">
            <w:pPr>
              <w:autoSpaceDE w:val="0"/>
              <w:autoSpaceDN w:val="0"/>
              <w:adjustRightInd w:val="0"/>
              <w:rPr>
                <w:rFonts w:cstheme="minorHAnsi"/>
                <w:bCs/>
              </w:rPr>
            </w:pPr>
            <w:sdt>
              <w:sdtPr>
                <w:rPr>
                  <w:rFonts w:cstheme="minorHAnsi"/>
                  <w:bCs/>
                  <w:color w:val="0000FF"/>
                </w:rPr>
                <w:id w:val="-41733351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2034217519"/>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r>
    </w:tbl>
    <w:p w14:paraId="0CABCFC6" w14:textId="77777777" w:rsidR="000414E8" w:rsidRPr="00A25024" w:rsidRDefault="000414E8" w:rsidP="00DB3627">
      <w:pPr>
        <w:autoSpaceDE w:val="0"/>
        <w:autoSpaceDN w:val="0"/>
        <w:adjustRightInd w:val="0"/>
        <w:spacing w:after="0" w:line="240" w:lineRule="auto"/>
        <w:rPr>
          <w:rFonts w:cstheme="minorHAnsi"/>
          <w:bCs/>
        </w:rPr>
      </w:pPr>
    </w:p>
    <w:p w14:paraId="0CABCFC7" w14:textId="77777777" w:rsidR="002E78A0"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5. </w:t>
      </w:r>
      <w:r w:rsidR="004348CC" w:rsidRPr="00A25024">
        <w:rPr>
          <w:rFonts w:cstheme="minorHAnsi"/>
          <w:b/>
          <w:bCs/>
        </w:rPr>
        <w:t xml:space="preserve">How 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proofErr w:type="gramStart"/>
      <w:r w:rsidR="004348CC" w:rsidRPr="00A25024">
        <w:rPr>
          <w:rFonts w:cstheme="minorHAnsi"/>
          <w:bCs/>
          <w:i/>
        </w:rPr>
        <w:t>identify</w:t>
      </w:r>
      <w:proofErr w:type="gramEnd"/>
      <w:r w:rsidR="004348CC" w:rsidRPr="00A25024">
        <w:rPr>
          <w:rFonts w:cstheme="minorHAnsi"/>
          <w:bCs/>
          <w:i/>
        </w:rPr>
        <w:t xml:space="preserve">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of measured entities 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t>selected</w:t>
      </w:r>
      <w:r w:rsidR="005A7634" w:rsidRPr="00A25024">
        <w:rPr>
          <w:rFonts w:cstheme="minorHAnsi"/>
          <w:bCs/>
          <w:i/>
        </w:rPr>
        <w:t xml:space="preserve"> for inclusion in the sample</w:t>
      </w:r>
      <w:r w:rsidR="004348CC" w:rsidRPr="00A25024">
        <w:rPr>
          <w:rFonts w:cstheme="minorHAnsi"/>
          <w:bCs/>
        </w:rPr>
        <w:t xml:space="preserve">) </w:t>
      </w:r>
    </w:p>
    <w:p w14:paraId="4093908D" w14:textId="77777777" w:rsidR="0091420A" w:rsidRDefault="0091420A" w:rsidP="006962D0">
      <w:pPr>
        <w:autoSpaceDE w:val="0"/>
        <w:autoSpaceDN w:val="0"/>
        <w:adjustRightInd w:val="0"/>
        <w:spacing w:after="0" w:line="240" w:lineRule="auto"/>
        <w:rPr>
          <w:rFonts w:cs="Arial"/>
        </w:rPr>
      </w:pPr>
    </w:p>
    <w:p w14:paraId="150FE3E2" w14:textId="77777777" w:rsidR="009D78A0" w:rsidRPr="006962D0" w:rsidRDefault="009D78A0" w:rsidP="006962D0">
      <w:pPr>
        <w:autoSpaceDE w:val="0"/>
        <w:autoSpaceDN w:val="0"/>
        <w:adjustRightInd w:val="0"/>
        <w:spacing w:after="0" w:line="240" w:lineRule="auto"/>
        <w:rPr>
          <w:rFonts w:cstheme="minorHAnsi"/>
          <w:bCs/>
        </w:rPr>
      </w:pPr>
      <w:r w:rsidRPr="006962D0">
        <w:rPr>
          <w:rFonts w:cs="Arial"/>
        </w:rPr>
        <w:t>Description of the population characteristics</w:t>
      </w:r>
    </w:p>
    <w:p w14:paraId="1DA61697" w14:textId="77777777" w:rsidR="009D78A0" w:rsidRPr="006962D0" w:rsidRDefault="009D78A0" w:rsidP="006962D0">
      <w:pPr>
        <w:spacing w:after="0" w:line="240" w:lineRule="auto"/>
        <w:rPr>
          <w:rFonts w:cs="Arial"/>
        </w:rPr>
      </w:pPr>
      <w:r w:rsidRPr="006962D0">
        <w:rPr>
          <w:rFonts w:cs="Arial"/>
        </w:rPr>
        <w:lastRenderedPageBreak/>
        <w:t xml:space="preserve">This measure has been in national use since the 4th quarter of 2008. Demographics of organizations collecting and reporting data on these measures are as follows:  </w:t>
      </w:r>
    </w:p>
    <w:p w14:paraId="07BD6F42" w14:textId="77777777" w:rsidR="009D78A0" w:rsidRPr="006962D0" w:rsidRDefault="009D78A0" w:rsidP="006962D0">
      <w:pPr>
        <w:spacing w:after="0" w:line="240" w:lineRule="auto"/>
        <w:rPr>
          <w:rFonts w:cs="Arial"/>
        </w:rPr>
      </w:pPr>
      <w:r w:rsidRPr="006962D0">
        <w:rPr>
          <w:rFonts w:cs="Arial"/>
        </w:rPr>
        <w:t>487 Health care organizations representing various types, locations and sizes:</w:t>
      </w:r>
    </w:p>
    <w:p w14:paraId="0961E6A2" w14:textId="77777777" w:rsidR="009D78A0" w:rsidRPr="006962D0" w:rsidRDefault="009D78A0" w:rsidP="006962D0">
      <w:pPr>
        <w:spacing w:after="0" w:line="240" w:lineRule="auto"/>
        <w:rPr>
          <w:rFonts w:cs="Arial"/>
        </w:rPr>
      </w:pPr>
      <w:r w:rsidRPr="006962D0">
        <w:rPr>
          <w:rFonts w:cs="Arial"/>
        </w:rPr>
        <w:t xml:space="preserve">408 Free-Standing Psychiatric Hospitals, 79 Acute-Care Hospitals with Psychiatric Units </w:t>
      </w:r>
    </w:p>
    <w:p w14:paraId="0BD99C69" w14:textId="77777777" w:rsidR="009D78A0" w:rsidRPr="006962D0" w:rsidRDefault="009D78A0" w:rsidP="006962D0">
      <w:pPr>
        <w:spacing w:after="0" w:line="240" w:lineRule="auto"/>
        <w:rPr>
          <w:rFonts w:cs="Arial"/>
        </w:rPr>
      </w:pPr>
      <w:r w:rsidRPr="006962D0">
        <w:rPr>
          <w:rFonts w:cs="Arial"/>
        </w:rPr>
        <w:t xml:space="preserve">103 For Profit, 120 Not for Profit, 184 Government </w:t>
      </w:r>
    </w:p>
    <w:p w14:paraId="36522D87" w14:textId="77777777" w:rsidR="009D78A0" w:rsidRPr="006962D0" w:rsidRDefault="009D78A0" w:rsidP="006962D0">
      <w:pPr>
        <w:spacing w:after="0" w:line="240" w:lineRule="auto"/>
        <w:rPr>
          <w:rFonts w:cs="Arial"/>
        </w:rPr>
      </w:pPr>
      <w:r w:rsidRPr="006962D0">
        <w:rPr>
          <w:rFonts w:cs="Arial"/>
        </w:rPr>
        <w:t>103 &gt;=300 beds; 217 100-299 beds; 67 &lt;100 beds</w:t>
      </w:r>
    </w:p>
    <w:p w14:paraId="09A97587" w14:textId="77777777" w:rsidR="009D78A0" w:rsidRPr="006962D0" w:rsidRDefault="009D78A0" w:rsidP="006962D0">
      <w:pPr>
        <w:spacing w:after="0" w:line="240" w:lineRule="auto"/>
        <w:rPr>
          <w:rFonts w:cs="Arial"/>
        </w:rPr>
      </w:pPr>
      <w:r w:rsidRPr="006962D0">
        <w:rPr>
          <w:rFonts w:cs="Arial"/>
        </w:rPr>
        <w:t xml:space="preserve">States represented in this data collection effort include:  AK, AL, AR, AZ, CA, CO, CT, DC, DE, FL, GA, HI, IA, ID, IL, IN, KS, KY, LA, MA, MD, ME, MI, MN, MO, MS, NC, ND,  NE, NH, NJ, NM, NV, NY, OH, OK, OR, PA, PR, RI, SC, SD, TN, TX, UT, VA, VT, WA, WI, WV, WY </w:t>
      </w:r>
    </w:p>
    <w:p w14:paraId="450E7B95" w14:textId="77777777" w:rsidR="009D78A0" w:rsidRPr="006962D0" w:rsidRDefault="009D78A0" w:rsidP="006962D0">
      <w:pPr>
        <w:spacing w:after="0" w:line="240" w:lineRule="auto"/>
        <w:rPr>
          <w:rFonts w:cs="Arial"/>
        </w:rPr>
      </w:pPr>
      <w:r w:rsidRPr="006962D0">
        <w:rPr>
          <w:rFonts w:cs="Arial"/>
        </w:rPr>
        <w:t>27 performance measurement systems are used for data transmission to The Joint Commission.</w:t>
      </w:r>
    </w:p>
    <w:p w14:paraId="57A7DE2A" w14:textId="77777777" w:rsidR="009D78A0" w:rsidRPr="006962D0" w:rsidRDefault="009D78A0" w:rsidP="006962D0">
      <w:pPr>
        <w:spacing w:after="0" w:line="240" w:lineRule="auto"/>
        <w:rPr>
          <w:rFonts w:cs="Arial"/>
        </w:rPr>
      </w:pPr>
    </w:p>
    <w:p w14:paraId="5E02E5B2" w14:textId="77777777" w:rsidR="009D78A0" w:rsidRPr="006962D0" w:rsidRDefault="009D78A0" w:rsidP="006962D0">
      <w:pPr>
        <w:autoSpaceDE w:val="0"/>
        <w:autoSpaceDN w:val="0"/>
        <w:adjustRightInd w:val="0"/>
        <w:spacing w:after="0" w:line="240" w:lineRule="auto"/>
        <w:rPr>
          <w:rFonts w:cs="Arial"/>
        </w:rPr>
      </w:pPr>
      <w:r w:rsidRPr="006962D0">
        <w:rPr>
          <w:rFonts w:cs="Arial"/>
        </w:rPr>
        <w:t>Description of sampling method</w:t>
      </w:r>
    </w:p>
    <w:p w14:paraId="3032C1D8" w14:textId="77777777" w:rsidR="009D78A0" w:rsidRDefault="009D78A0" w:rsidP="006962D0">
      <w:pPr>
        <w:autoSpaceDE w:val="0"/>
        <w:autoSpaceDN w:val="0"/>
        <w:adjustRightInd w:val="0"/>
        <w:spacing w:after="0" w:line="240" w:lineRule="auto"/>
        <w:rPr>
          <w:rFonts w:cstheme="minorHAnsi"/>
          <w:bCs/>
        </w:rPr>
      </w:pPr>
      <w:r w:rsidRPr="006962D0">
        <w:rPr>
          <w:rFonts w:cs="Arial"/>
        </w:rPr>
        <w:t xml:space="preserve">Ten hospitals were randomly sampled from the 487 hospitals in the population, using a stratified sampling methodology to represent the three bed size and three ownership categories. </w:t>
      </w:r>
      <w:r>
        <w:rPr>
          <w:rFonts w:ascii="Arial Narrow" w:hAnsi="Arial Narrow" w:cs="Arial"/>
          <w:color w:val="0000FF"/>
        </w:rPr>
        <w:t xml:space="preserve"> </w:t>
      </w:r>
    </w:p>
    <w:p w14:paraId="0CABCFC8" w14:textId="77777777" w:rsidR="002B5016" w:rsidRPr="00A25024" w:rsidRDefault="002B5016" w:rsidP="00DB3627">
      <w:pPr>
        <w:autoSpaceDE w:val="0"/>
        <w:autoSpaceDN w:val="0"/>
        <w:adjustRightInd w:val="0"/>
        <w:spacing w:after="0" w:line="240" w:lineRule="auto"/>
        <w:rPr>
          <w:rFonts w:cstheme="minorHAnsi"/>
          <w:bCs/>
        </w:rPr>
      </w:pPr>
    </w:p>
    <w:p w14:paraId="781D5ADE" w14:textId="77777777" w:rsidR="0091420A" w:rsidRDefault="002B5016" w:rsidP="009D78A0">
      <w:pPr>
        <w:autoSpaceDE w:val="0"/>
        <w:autoSpaceDN w:val="0"/>
        <w:adjustRightInd w:val="0"/>
        <w:spacing w:after="0" w:line="240" w:lineRule="auto"/>
        <w:rPr>
          <w:rFonts w:cs="Arial"/>
        </w:rPr>
      </w:pPr>
      <w:r>
        <w:rPr>
          <w:rFonts w:cstheme="minorHAnsi"/>
          <w:b/>
          <w:bCs/>
        </w:rPr>
        <w:t>1.</w:t>
      </w:r>
      <w:r w:rsidR="00E310B9" w:rsidRPr="00A25024">
        <w:rPr>
          <w:rFonts w:cstheme="minorHAnsi"/>
          <w:b/>
          <w:bCs/>
        </w:rPr>
        <w:t xml:space="preserve">6. </w:t>
      </w:r>
      <w:r w:rsidR="007422FD" w:rsidRPr="00A25024">
        <w:rPr>
          <w:rFonts w:cstheme="minorHAnsi"/>
          <w:b/>
          <w:bCs/>
        </w:rPr>
        <w:t xml:space="preserve">How many and which </w:t>
      </w:r>
      <w:r w:rsidR="007422FD" w:rsidRPr="00A25024">
        <w:rPr>
          <w:rFonts w:cstheme="minorHAnsi"/>
          <w:b/>
          <w:bCs/>
          <w:u w:val="single"/>
        </w:rPr>
        <w:t>patients</w:t>
      </w:r>
      <w:r w:rsidR="007422FD" w:rsidRPr="00A25024">
        <w:rPr>
          <w:rFonts w:cstheme="minorHAnsi"/>
          <w:b/>
          <w:bCs/>
        </w:rPr>
        <w:t xml:space="preserve"> were included in the testing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7422FD" w:rsidRPr="00A25024">
        <w:rPr>
          <w:rFonts w:cstheme="minorHAnsi"/>
          <w:bCs/>
        </w:rPr>
        <w:t>? (</w:t>
      </w:r>
      <w:proofErr w:type="gramStart"/>
      <w:r w:rsidR="007422FD" w:rsidRPr="00A25024">
        <w:rPr>
          <w:rFonts w:cstheme="minorHAnsi"/>
          <w:bCs/>
          <w:i/>
        </w:rPr>
        <w:t>identify</w:t>
      </w:r>
      <w:proofErr w:type="gramEnd"/>
      <w:r w:rsidR="007422FD" w:rsidRPr="00A25024">
        <w:rPr>
          <w:rFonts w:cstheme="minorHAnsi"/>
          <w:bCs/>
          <w:i/>
        </w:rPr>
        <w:t xml:space="preserve">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the sample</w:t>
      </w:r>
      <w:r w:rsidR="007422FD" w:rsidRPr="00A25024">
        <w:rPr>
          <w:rFonts w:cstheme="minorHAnsi"/>
          <w:bCs/>
        </w:rPr>
        <w:t xml:space="preserve">) </w:t>
      </w:r>
      <w:r w:rsidR="007422FD" w:rsidRPr="00A25024">
        <w:rPr>
          <w:rFonts w:cstheme="minorHAnsi"/>
          <w:bCs/>
        </w:rPr>
        <w:br/>
      </w:r>
    </w:p>
    <w:p w14:paraId="7F54F311" w14:textId="1933FB33" w:rsidR="009D78A0" w:rsidRPr="006962D0" w:rsidRDefault="009D78A0" w:rsidP="009D78A0">
      <w:pPr>
        <w:autoSpaceDE w:val="0"/>
        <w:autoSpaceDN w:val="0"/>
        <w:adjustRightInd w:val="0"/>
        <w:spacing w:after="0" w:line="240" w:lineRule="auto"/>
        <w:rPr>
          <w:rFonts w:cs="Arial"/>
        </w:rPr>
      </w:pPr>
      <w:r w:rsidRPr="006962D0">
        <w:rPr>
          <w:rFonts w:cs="Arial"/>
        </w:rPr>
        <w:t>Patients were randomly sampled from each of the ten hospitals in the sample, using a stratified sampling methodology so that measure numerator and denominator cases identified in the original abstraction were represented in the sample and an equal number of cases were sampled for each hospital. There were 191 patients sampled in all.</w:t>
      </w:r>
    </w:p>
    <w:p w14:paraId="0CABCFC9" w14:textId="77777777" w:rsidR="007422FD" w:rsidRDefault="007422FD" w:rsidP="00DB3627">
      <w:pPr>
        <w:autoSpaceDE w:val="0"/>
        <w:autoSpaceDN w:val="0"/>
        <w:adjustRightInd w:val="0"/>
        <w:spacing w:after="0" w:line="240" w:lineRule="auto"/>
        <w:rPr>
          <w:rFonts w:cstheme="minorHAnsi"/>
          <w:bCs/>
        </w:rPr>
      </w:pPr>
    </w:p>
    <w:p w14:paraId="0CABCFCA" w14:textId="77777777" w:rsidR="0021054A" w:rsidRDefault="002B5016" w:rsidP="00E37E1B">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7. </w:t>
      </w:r>
      <w:r w:rsidR="000574AB" w:rsidRPr="00A25024">
        <w:rPr>
          <w:rFonts w:cstheme="minorHAnsi"/>
          <w:b/>
          <w:bCs/>
        </w:rPr>
        <w:t>If there are differences in the data</w:t>
      </w:r>
      <w:r w:rsidR="009726E1" w:rsidRPr="00A25024">
        <w:rPr>
          <w:rFonts w:cstheme="minorHAnsi"/>
          <w:b/>
          <w:bCs/>
        </w:rPr>
        <w:t xml:space="preserve"> or sample</w:t>
      </w:r>
      <w:r w:rsidR="000574AB" w:rsidRPr="00A25024">
        <w:rPr>
          <w:rFonts w:cstheme="minorHAnsi"/>
          <w:b/>
          <w:bCs/>
        </w:rPr>
        <w:t xml:space="preserve"> used for different </w:t>
      </w:r>
      <w:r w:rsidR="000968F8" w:rsidRPr="00A25024">
        <w:rPr>
          <w:rFonts w:cstheme="minorHAnsi"/>
          <w:b/>
          <w:bCs/>
        </w:rPr>
        <w:t>aspects</w:t>
      </w:r>
      <w:r w:rsidR="000574AB" w:rsidRPr="00A25024">
        <w:rPr>
          <w:rFonts w:cstheme="minorHAnsi"/>
          <w:b/>
          <w:bCs/>
        </w:rPr>
        <w:t xml:space="preserve"> of testing (e.g., reliability, validi</w:t>
      </w:r>
      <w:r w:rsidR="007422FD" w:rsidRPr="00A25024">
        <w:rPr>
          <w:rFonts w:cstheme="minorHAnsi"/>
          <w:b/>
          <w:bCs/>
        </w:rPr>
        <w:t>ty, exclusions, risk adjustment</w:t>
      </w:r>
      <w:r w:rsidR="000574AB" w:rsidRPr="00A25024">
        <w:rPr>
          <w:rFonts w:cstheme="minorHAnsi"/>
          <w:b/>
          <w:bCs/>
        </w:rPr>
        <w:t xml:space="preserve">), identify </w:t>
      </w:r>
      <w:r w:rsidR="005A7634" w:rsidRPr="00A25024">
        <w:rPr>
          <w:rFonts w:cstheme="minorHAnsi"/>
          <w:b/>
          <w:bCs/>
        </w:rPr>
        <w:t xml:space="preserve">how the data or sample are different for </w:t>
      </w:r>
      <w:r w:rsidR="000574AB" w:rsidRPr="00A25024">
        <w:rPr>
          <w:rFonts w:cstheme="minorHAnsi"/>
          <w:b/>
          <w:bCs/>
        </w:rPr>
        <w:t xml:space="preserve">each </w:t>
      </w:r>
      <w:r w:rsidR="000968F8" w:rsidRPr="00A25024">
        <w:rPr>
          <w:rFonts w:cstheme="minorHAnsi"/>
          <w:b/>
          <w:bCs/>
        </w:rPr>
        <w:t>aspect</w:t>
      </w:r>
      <w:r w:rsidR="000574AB" w:rsidRPr="00A25024">
        <w:rPr>
          <w:rFonts w:cstheme="minorHAnsi"/>
          <w:b/>
          <w:bCs/>
        </w:rPr>
        <w:t xml:space="preserve"> of testing reported </w:t>
      </w:r>
      <w:r w:rsidR="00857EE8" w:rsidRPr="00A25024">
        <w:rPr>
          <w:rFonts w:cstheme="minorHAnsi"/>
          <w:b/>
          <w:bCs/>
        </w:rPr>
        <w:t>below</w:t>
      </w:r>
      <w:r w:rsidR="00E37E1B">
        <w:rPr>
          <w:rFonts w:cstheme="minorHAnsi"/>
          <w:bCs/>
        </w:rPr>
        <w:t>.</w:t>
      </w:r>
    </w:p>
    <w:p w14:paraId="0CABCFCB" w14:textId="77777777" w:rsidR="00E37E1B" w:rsidRDefault="00E37E1B" w:rsidP="00E37E1B">
      <w:pPr>
        <w:autoSpaceDE w:val="0"/>
        <w:autoSpaceDN w:val="0"/>
        <w:adjustRightInd w:val="0"/>
        <w:spacing w:after="0" w:line="240" w:lineRule="auto"/>
        <w:rPr>
          <w:rFonts w:cstheme="minorHAnsi"/>
          <w:bCs/>
        </w:rPr>
      </w:pPr>
    </w:p>
    <w:p w14:paraId="6033ED83" w14:textId="15B60095" w:rsidR="005A6399" w:rsidRDefault="005A6399" w:rsidP="00E37E1B">
      <w:pPr>
        <w:autoSpaceDE w:val="0"/>
        <w:autoSpaceDN w:val="0"/>
        <w:adjustRightInd w:val="0"/>
        <w:spacing w:after="0" w:line="240" w:lineRule="auto"/>
        <w:rPr>
          <w:rFonts w:cstheme="minorHAnsi"/>
          <w:bCs/>
          <w:color w:val="FF0000"/>
        </w:rPr>
      </w:pPr>
      <w:r>
        <w:rPr>
          <w:rFonts w:cstheme="minorHAnsi"/>
          <w:bCs/>
          <w:color w:val="FF0000"/>
        </w:rPr>
        <w:t>The validity and exclusion analysis</w:t>
      </w:r>
      <w:r w:rsidRPr="003E1F69">
        <w:rPr>
          <w:rFonts w:cstheme="minorHAnsi"/>
          <w:bCs/>
          <w:color w:val="FF0000"/>
        </w:rPr>
        <w:t xml:space="preserve"> was done using 2017 data (from patients with a discharge in 2017) from all hospitals submitting the HBIPS measures to The Joint Commission.</w:t>
      </w:r>
    </w:p>
    <w:p w14:paraId="02410A9B" w14:textId="77777777" w:rsidR="005A6399" w:rsidRDefault="005A6399" w:rsidP="00E37E1B">
      <w:pPr>
        <w:autoSpaceDE w:val="0"/>
        <w:autoSpaceDN w:val="0"/>
        <w:adjustRightInd w:val="0"/>
        <w:spacing w:after="0" w:line="240" w:lineRule="auto"/>
        <w:rPr>
          <w:rFonts w:cstheme="minorHAnsi"/>
          <w:bCs/>
        </w:rPr>
      </w:pPr>
      <w:bookmarkStart w:id="11" w:name="_GoBack"/>
      <w:bookmarkEnd w:id="11"/>
    </w:p>
    <w:p w14:paraId="0CABCFCC" w14:textId="7824D2B1" w:rsidR="0021054A" w:rsidRDefault="0021054A" w:rsidP="00E37E1B">
      <w:pPr>
        <w:autoSpaceDE w:val="0"/>
        <w:autoSpaceDN w:val="0"/>
        <w:adjustRightInd w:val="0"/>
        <w:spacing w:after="0" w:line="240" w:lineRule="auto"/>
        <w:rPr>
          <w:rFonts w:cstheme="minorHAnsi"/>
          <w:bCs/>
        </w:rPr>
      </w:pPr>
      <w:r w:rsidRPr="009C7513">
        <w:rPr>
          <w:rFonts w:cstheme="minorHAnsi"/>
          <w:b/>
          <w:bCs/>
        </w:rPr>
        <w:t>1.8</w:t>
      </w:r>
      <w:r>
        <w:rPr>
          <w:rFonts w:cstheme="minorHAnsi"/>
          <w:bCs/>
        </w:rPr>
        <w:t xml:space="preserve"> </w:t>
      </w:r>
      <w:r w:rsidRPr="00AF2D68">
        <w:rPr>
          <w:rFonts w:cstheme="minorHAnsi"/>
          <w:b/>
          <w:bCs/>
        </w:rPr>
        <w:t xml:space="preserve">What were the </w:t>
      </w:r>
      <w:r w:rsidR="009C7513" w:rsidRPr="00AF2D68">
        <w:rPr>
          <w:rFonts w:cstheme="minorHAnsi"/>
          <w:b/>
          <w:bCs/>
        </w:rPr>
        <w:t>social risk factors</w:t>
      </w:r>
      <w:r w:rsidRPr="00AF2D68">
        <w:rPr>
          <w:rFonts w:cstheme="minorHAnsi"/>
          <w:b/>
          <w:bCs/>
        </w:rPr>
        <w:t xml:space="preserve"> that were available and analyzed</w:t>
      </w:r>
      <w:r>
        <w:rPr>
          <w:rFonts w:cstheme="minorHAnsi"/>
          <w:bCs/>
        </w:rPr>
        <w:t xml:space="preserve">? For example, patient-reported data (e.g., income, education, language), proxy variables when </w:t>
      </w:r>
      <w:r w:rsidR="009C7513">
        <w:rPr>
          <w:rFonts w:cstheme="minorHAnsi"/>
          <w:bCs/>
        </w:rPr>
        <w:t>social risk</w:t>
      </w:r>
      <w:r>
        <w:rPr>
          <w:rFonts w:cstheme="minorHAnsi"/>
          <w:bCs/>
        </w:rPr>
        <w:t xml:space="preserve"> data are not collected from each patient (e.g. census tract), or patient community characteristics (e.g. percent vacant housing, crime rate)</w:t>
      </w:r>
      <w:r w:rsidR="009C7513">
        <w:rPr>
          <w:rFonts w:cstheme="minorHAnsi"/>
          <w:bCs/>
        </w:rPr>
        <w:t xml:space="preserve"> which do not have to be a proxy for patient-level data</w:t>
      </w:r>
      <w:r>
        <w:rPr>
          <w:rFonts w:cstheme="minorHAnsi"/>
          <w:bCs/>
        </w:rPr>
        <w:t xml:space="preserve">. </w:t>
      </w:r>
    </w:p>
    <w:p w14:paraId="7A389370" w14:textId="77777777" w:rsidR="0091420A" w:rsidRDefault="0091420A" w:rsidP="009D78A0">
      <w:pPr>
        <w:autoSpaceDE w:val="0"/>
        <w:autoSpaceDN w:val="0"/>
        <w:adjustRightInd w:val="0"/>
        <w:spacing w:after="0" w:line="240" w:lineRule="auto"/>
        <w:rPr>
          <w:rFonts w:cs="Arial"/>
        </w:rPr>
      </w:pPr>
    </w:p>
    <w:p w14:paraId="4FFB7F1E" w14:textId="4E4B485F" w:rsidR="009D78A0" w:rsidRPr="006962D0" w:rsidRDefault="006962D0" w:rsidP="009D78A0">
      <w:pPr>
        <w:autoSpaceDE w:val="0"/>
        <w:autoSpaceDN w:val="0"/>
        <w:adjustRightInd w:val="0"/>
        <w:spacing w:after="0" w:line="240" w:lineRule="auto"/>
        <w:rPr>
          <w:rFonts w:cstheme="minorHAnsi"/>
          <w:bCs/>
        </w:rPr>
      </w:pPr>
      <w:r w:rsidRPr="006962D0">
        <w:rPr>
          <w:rFonts w:cs="Arial"/>
        </w:rPr>
        <w:t>Not applicable</w:t>
      </w:r>
      <w:r w:rsidR="009D78A0" w:rsidRPr="006962D0">
        <w:rPr>
          <w:rFonts w:cs="Arial"/>
        </w:rPr>
        <w:t>, not required at the time this testing was done.</w:t>
      </w:r>
    </w:p>
    <w:p w14:paraId="0CABCFCD" w14:textId="77777777" w:rsidR="004348CC" w:rsidRPr="00E37E1B" w:rsidRDefault="00483E94" w:rsidP="00E37E1B">
      <w:pPr>
        <w:autoSpaceDE w:val="0"/>
        <w:autoSpaceDN w:val="0"/>
        <w:adjustRightInd w:val="0"/>
        <w:spacing w:after="0" w:line="240" w:lineRule="auto"/>
        <w:rPr>
          <w:rFonts w:cstheme="minorHAnsi"/>
          <w:bCs/>
        </w:rPr>
      </w:pPr>
      <w:r>
        <w:rPr>
          <w:rFonts w:cstheme="minorHAnsi"/>
          <w:noProof/>
        </w:rPr>
        <w:t>________</w:t>
      </w:r>
      <w:r w:rsidR="00E37E1B">
        <w:rPr>
          <w:rFonts w:cstheme="minorHAnsi"/>
          <w:noProof/>
        </w:rPr>
        <w:t>_______________</w:t>
      </w:r>
      <w:r w:rsidR="003755CB">
        <w:rPr>
          <w:rFonts w:cstheme="minorHAnsi"/>
          <w:noProof/>
        </w:rPr>
        <w:t>_________</w:t>
      </w:r>
    </w:p>
    <w:p w14:paraId="0CABCFCE" w14:textId="77777777" w:rsidR="008A403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a</w:t>
      </w:r>
      <w:r w:rsidRPr="00A25024">
        <w:rPr>
          <w:rFonts w:cstheme="minorHAnsi"/>
          <w:b/>
          <w:noProof/>
        </w:rPr>
        <w:t xml:space="preserve">2. </w:t>
      </w:r>
      <w:r w:rsidRPr="00A25024">
        <w:rPr>
          <w:rFonts w:cstheme="minorHAnsi"/>
          <w:b/>
          <w:bCs/>
        </w:rPr>
        <w:t>RELIABILITY TESTING</w:t>
      </w:r>
      <w:r w:rsidR="008A403A" w:rsidRPr="00A25024">
        <w:rPr>
          <w:rFonts w:cstheme="minorHAnsi"/>
          <w:b/>
          <w:bCs/>
        </w:rPr>
        <w:t xml:space="preserve"> </w:t>
      </w:r>
    </w:p>
    <w:p w14:paraId="0CABCFCF" w14:textId="77777777" w:rsidR="00E310B9" w:rsidRPr="00A25024" w:rsidRDefault="00E310B9" w:rsidP="00DB3627">
      <w:pPr>
        <w:autoSpaceDE w:val="0"/>
        <w:autoSpaceDN w:val="0"/>
        <w:adjustRightInd w:val="0"/>
        <w:spacing w:after="0" w:line="240" w:lineRule="auto"/>
        <w:rPr>
          <w:rFonts w:cstheme="minorHAnsi"/>
          <w:b/>
          <w:bCs/>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sidR="00127C06">
        <w:rPr>
          <w:rFonts w:cstheme="minorHAnsi"/>
          <w:bCs/>
          <w:i/>
        </w:rPr>
        <w:t xml:space="preserve">in 2a2.1 </w:t>
      </w:r>
      <w:r w:rsidR="00C867F0">
        <w:rPr>
          <w:rFonts w:cstheme="minorHAnsi"/>
          <w:bCs/>
          <w:i/>
        </w:rPr>
        <w:t>check critical data elements;</w:t>
      </w:r>
      <w:r w:rsidR="00127C06">
        <w:rPr>
          <w:rFonts w:cstheme="minorHAnsi"/>
          <w:bCs/>
          <w:i/>
        </w:rPr>
        <w:t xml:space="preserve"> in 2a2.2 enter “see s</w:t>
      </w:r>
      <w:r w:rsidR="002F2687">
        <w:rPr>
          <w:rFonts w:cstheme="minorHAnsi"/>
          <w:bCs/>
          <w:i/>
        </w:rPr>
        <w:t>e</w:t>
      </w:r>
      <w:r w:rsidR="00127C06">
        <w:rPr>
          <w:rFonts w:cstheme="minorHAnsi"/>
          <w:bCs/>
          <w:i/>
        </w:rPr>
        <w:t xml:space="preserve">ction 2b2 for </w:t>
      </w:r>
      <w:r w:rsidRPr="00A25024">
        <w:rPr>
          <w:rFonts w:cstheme="minorHAnsi"/>
          <w:bCs/>
          <w:i/>
        </w:rPr>
        <w:t xml:space="preserve">validity </w:t>
      </w:r>
      <w:r w:rsidR="00127C06">
        <w:rPr>
          <w:rFonts w:cstheme="minorHAnsi"/>
          <w:bCs/>
          <w:i/>
        </w:rPr>
        <w:t xml:space="preserve">testing </w:t>
      </w:r>
      <w:r w:rsidR="002F2687">
        <w:rPr>
          <w:rFonts w:cstheme="minorHAnsi"/>
          <w:bCs/>
          <w:i/>
        </w:rPr>
        <w:t>of data elements”</w:t>
      </w:r>
      <w:r w:rsidR="00C867F0">
        <w:rPr>
          <w:rFonts w:cstheme="minorHAnsi"/>
          <w:bCs/>
          <w:i/>
        </w:rPr>
        <w:t>;</w:t>
      </w:r>
      <w:r w:rsidR="002F2687">
        <w:rPr>
          <w:rFonts w:cstheme="minorHAnsi"/>
          <w:bCs/>
          <w:i/>
        </w:rPr>
        <w:t xml:space="preserve"> and skip 2a2.3 and 2a2.4.</w:t>
      </w:r>
    </w:p>
    <w:p w14:paraId="0CABCFD0" w14:textId="77777777" w:rsidR="008C54A9" w:rsidRPr="00A25024" w:rsidRDefault="008C54A9" w:rsidP="00DB3627">
      <w:pPr>
        <w:autoSpaceDE w:val="0"/>
        <w:autoSpaceDN w:val="0"/>
        <w:adjustRightInd w:val="0"/>
        <w:spacing w:after="0" w:line="240" w:lineRule="auto"/>
        <w:rPr>
          <w:rFonts w:cstheme="minorHAnsi"/>
          <w:b/>
          <w:bCs/>
        </w:rPr>
      </w:pPr>
    </w:p>
    <w:p w14:paraId="0CABCFD1" w14:textId="3DF0B122" w:rsidR="001969C5" w:rsidRPr="00A25024" w:rsidRDefault="00092566" w:rsidP="008C54A9">
      <w:pPr>
        <w:autoSpaceDE w:val="0"/>
        <w:autoSpaceDN w:val="0"/>
        <w:adjustRightInd w:val="0"/>
        <w:spacing w:after="0" w:line="240" w:lineRule="auto"/>
        <w:rPr>
          <w:rFonts w:cstheme="minorHAnsi"/>
          <w:bCs/>
        </w:rPr>
      </w:pPr>
      <w:r>
        <w:rPr>
          <w:rFonts w:cstheme="minorHAnsi"/>
          <w:b/>
          <w:bCs/>
        </w:rPr>
        <w:t>2a2.1</w:t>
      </w:r>
      <w:r w:rsidR="008C54A9" w:rsidRPr="00A25024">
        <w:rPr>
          <w:rFonts w:cstheme="minorHAnsi"/>
          <w:b/>
          <w:bCs/>
        </w:rPr>
        <w:t xml:space="preserve">. </w:t>
      </w:r>
      <w:proofErr w:type="gramStart"/>
      <w:r w:rsidR="000968F8" w:rsidRPr="00A25024">
        <w:rPr>
          <w:rFonts w:cstheme="minorHAnsi"/>
          <w:b/>
          <w:bCs/>
        </w:rPr>
        <w:t>What</w:t>
      </w:r>
      <w:proofErr w:type="gramEnd"/>
      <w:r w:rsidR="000968F8" w:rsidRPr="00A25024">
        <w:rPr>
          <w:rFonts w:cstheme="minorHAnsi"/>
          <w:b/>
          <w:bCs/>
        </w:rPr>
        <w:t xml:space="preserve"> level of reliability testing was conducted</w:t>
      </w:r>
      <w:r w:rsidR="000574AB" w:rsidRPr="00A25024">
        <w:rPr>
          <w:rFonts w:cstheme="minorHAnsi"/>
          <w:bCs/>
        </w:rPr>
        <w:t>?</w:t>
      </w:r>
      <w:r w:rsidR="00D50704" w:rsidRPr="00A25024">
        <w:rPr>
          <w:rFonts w:cstheme="minorHAnsi"/>
          <w:bCs/>
        </w:rPr>
        <w:t xml:space="preserve"> (</w:t>
      </w:r>
      <w:proofErr w:type="gramStart"/>
      <w:r w:rsidR="00E310B9" w:rsidRPr="00A25024">
        <w:rPr>
          <w:rFonts w:cstheme="minorHAnsi"/>
          <w:bCs/>
          <w:i/>
        </w:rPr>
        <w:t>may</w:t>
      </w:r>
      <w:proofErr w:type="gramEnd"/>
      <w:r w:rsidR="00E310B9" w:rsidRPr="00A25024">
        <w:rPr>
          <w:rFonts w:cstheme="minorHAnsi"/>
          <w:bCs/>
          <w:i/>
        </w:rPr>
        <w:t xml:space="preserve"> </w:t>
      </w:r>
      <w:r w:rsidR="00D50704" w:rsidRPr="00A25024">
        <w:rPr>
          <w:rFonts w:cstheme="minorHAnsi"/>
          <w:bCs/>
          <w:i/>
        </w:rPr>
        <w:t>be one or both levels</w:t>
      </w:r>
      <w:r w:rsidR="00D50704" w:rsidRPr="00A25024">
        <w:rPr>
          <w:rFonts w:cstheme="minorHAnsi"/>
          <w:bCs/>
        </w:rPr>
        <w:t>)</w:t>
      </w:r>
      <w:r w:rsidR="00B8015A" w:rsidRPr="00A25024">
        <w:rPr>
          <w:rFonts w:cstheme="minorHAnsi"/>
          <w:bCs/>
        </w:rPr>
        <w:br/>
      </w:r>
      <w:sdt>
        <w:sdtPr>
          <w:rPr>
            <w:rFonts w:cstheme="minorHAnsi"/>
            <w:bCs/>
            <w:color w:val="0000FF"/>
          </w:rPr>
          <w:id w:val="423926269"/>
          <w14:checkbox>
            <w14:checked w14:val="1"/>
            <w14:checkedState w14:val="2612" w14:font="MS Gothic"/>
            <w14:uncheckedState w14:val="2610" w14:font="MS Gothic"/>
          </w14:checkbox>
        </w:sdtPr>
        <w:sdtEndPr/>
        <w:sdtContent>
          <w:r w:rsidR="009D78A0">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1F7A20">
        <w:rPr>
          <w:rFonts w:cstheme="minorHAnsi"/>
          <w:b/>
          <w:bCs/>
        </w:rPr>
        <w:t>C</w:t>
      </w:r>
      <w:r w:rsidR="001F7A20" w:rsidRPr="00A25024">
        <w:rPr>
          <w:rFonts w:cstheme="minorHAnsi"/>
          <w:b/>
          <w:bCs/>
        </w:rPr>
        <w:t>ritical data elements used in the measure</w:t>
      </w:r>
      <w:r w:rsidR="001F7A20" w:rsidRPr="00A25024">
        <w:rPr>
          <w:rFonts w:cstheme="minorHAnsi"/>
          <w:bCs/>
        </w:rPr>
        <w:t xml:space="preserve"> (</w:t>
      </w:r>
      <w:r w:rsidR="001F7A20" w:rsidRPr="00756FDB">
        <w:rPr>
          <w:rFonts w:cstheme="minorHAnsi"/>
          <w:bCs/>
          <w:i/>
        </w:rPr>
        <w:t>e.g., inter-abstractor reliability</w:t>
      </w:r>
      <w:r w:rsidR="001F7A20">
        <w:rPr>
          <w:rFonts w:cstheme="minorHAnsi"/>
          <w:bCs/>
          <w:i/>
        </w:rPr>
        <w:t>; data element reliability</w:t>
      </w:r>
      <w:r w:rsidR="001F7A20" w:rsidRPr="000414E8">
        <w:rPr>
          <w:rFonts w:cstheme="minorHAnsi"/>
          <w:bCs/>
          <w:i/>
        </w:rPr>
        <w:t xml:space="preserve"> must address ALL critical data elements</w:t>
      </w:r>
      <w:proofErr w:type="gramStart"/>
      <w:r w:rsidR="001F7A20">
        <w:rPr>
          <w:rFonts w:cstheme="minorHAnsi"/>
          <w:bCs/>
        </w:rPr>
        <w:t>)</w:t>
      </w:r>
      <w:proofErr w:type="gramEnd"/>
      <w:r w:rsidR="001F7A20" w:rsidRPr="00A25024">
        <w:rPr>
          <w:rFonts w:cstheme="minorHAnsi"/>
          <w:bCs/>
        </w:rPr>
        <w:br/>
      </w:r>
      <w:sdt>
        <w:sdtPr>
          <w:rPr>
            <w:rFonts w:cstheme="minorHAnsi"/>
            <w:bCs/>
            <w:color w:val="0000FF"/>
          </w:rPr>
          <w:id w:val="1807820231"/>
          <w14:checkbox>
            <w14:checked w14:val="0"/>
            <w14:checkedState w14:val="2612" w14:font="MS Gothic"/>
            <w14:uncheckedState w14:val="2610" w14:font="MS Gothic"/>
          </w14:checkbox>
        </w:sdtPr>
        <w:sdtEndPr/>
        <w:sdtContent>
          <w:r w:rsidR="001F7A20" w:rsidRPr="006574D2">
            <w:rPr>
              <w:rFonts w:ascii="MS Gothic" w:eastAsia="MS Gothic" w:cstheme="minorHAnsi" w:hint="eastAsia"/>
              <w:bCs/>
              <w:color w:val="0000FF"/>
            </w:rPr>
            <w:t>☐</w:t>
          </w:r>
        </w:sdtContent>
      </w:sdt>
      <w:r w:rsidR="001F7A20" w:rsidRPr="00A25024">
        <w:rPr>
          <w:rFonts w:eastAsia="MS Mincho" w:cstheme="minorHAnsi"/>
          <w:b/>
          <w:bCs/>
          <w:color w:val="0000FF"/>
        </w:rPr>
        <w:t xml:space="preserve"> </w:t>
      </w:r>
      <w:r w:rsidR="001F7A20">
        <w:rPr>
          <w:rFonts w:cstheme="minorHAnsi"/>
          <w:b/>
          <w:bCs/>
        </w:rPr>
        <w:t>P</w:t>
      </w:r>
      <w:r w:rsidR="001F7A20" w:rsidRPr="00A25024">
        <w:rPr>
          <w:rFonts w:cstheme="minorHAnsi"/>
          <w:b/>
          <w:bCs/>
        </w:rPr>
        <w:t>erformance measure score</w:t>
      </w:r>
      <w:r w:rsidR="001F7A20" w:rsidRPr="00A25024">
        <w:rPr>
          <w:rFonts w:cstheme="minorHAnsi"/>
          <w:bCs/>
        </w:rPr>
        <w:t xml:space="preserve"> (e.g., </w:t>
      </w:r>
      <w:r w:rsidR="001F7A20" w:rsidRPr="00A25024">
        <w:rPr>
          <w:rFonts w:cstheme="minorHAnsi"/>
          <w:bCs/>
          <w:i/>
        </w:rPr>
        <w:t>signal-to-noise</w:t>
      </w:r>
      <w:r w:rsidR="001F7A20">
        <w:rPr>
          <w:rFonts w:cstheme="minorHAnsi"/>
          <w:bCs/>
          <w:i/>
        </w:rPr>
        <w:t xml:space="preserve"> analysis</w:t>
      </w:r>
      <w:r w:rsidR="001F7A20" w:rsidRPr="00A25024">
        <w:rPr>
          <w:rFonts w:cstheme="minorHAnsi"/>
          <w:bCs/>
        </w:rPr>
        <w:t>)</w:t>
      </w:r>
      <w:r w:rsidR="001F7A20" w:rsidRPr="00A25024">
        <w:rPr>
          <w:rFonts w:cstheme="minorHAnsi"/>
          <w:bCs/>
        </w:rPr>
        <w:br/>
      </w:r>
      <w:r w:rsidR="001F7A20" w:rsidRPr="00A25024">
        <w:rPr>
          <w:rFonts w:cstheme="minorHAnsi"/>
          <w:bCs/>
          <w:u w:val="single"/>
        </w:rPr>
        <w:lastRenderedPageBreak/>
        <w:br/>
      </w:r>
      <w:r w:rsidR="001F7A20">
        <w:rPr>
          <w:rFonts w:cstheme="minorHAnsi"/>
          <w:b/>
          <w:bCs/>
        </w:rPr>
        <w:t>2a2.</w:t>
      </w:r>
      <w:r w:rsidR="001F7A20" w:rsidRPr="00A25024">
        <w:rPr>
          <w:rFonts w:cstheme="minorHAnsi"/>
          <w:b/>
          <w:bCs/>
        </w:rPr>
        <w:t xml:space="preserve">2. </w:t>
      </w:r>
      <w:r w:rsidR="008C54A9" w:rsidRPr="00A25024">
        <w:rPr>
          <w:rFonts w:cstheme="minorHAnsi"/>
          <w:b/>
          <w:bCs/>
        </w:rPr>
        <w:t xml:space="preserve">For each level checked above, describe the method of </w:t>
      </w:r>
      <w:r w:rsidR="000968F8" w:rsidRPr="00A25024">
        <w:rPr>
          <w:rFonts w:cstheme="minorHAnsi"/>
          <w:b/>
          <w:bCs/>
        </w:rPr>
        <w:t xml:space="preserve">reliability </w:t>
      </w:r>
      <w:r w:rsidR="008C54A9" w:rsidRPr="00A25024">
        <w:rPr>
          <w:rFonts w:cstheme="minorHAnsi"/>
          <w:b/>
          <w:bCs/>
        </w:rPr>
        <w:t>testing and what it tests</w:t>
      </w:r>
      <w:r w:rsidR="008C54A9" w:rsidRPr="00A25024">
        <w:rPr>
          <w:rFonts w:cstheme="minorHAnsi"/>
          <w:bCs/>
        </w:rPr>
        <w:t xml:space="preserve"> (</w:t>
      </w:r>
      <w:r w:rsidR="008C54A9" w:rsidRPr="00A25024">
        <w:rPr>
          <w:rFonts w:cstheme="minorHAnsi"/>
          <w:bCs/>
          <w:i/>
        </w:rPr>
        <w:t xml:space="preserve">describe the steps―do not just name a method; </w:t>
      </w:r>
      <w:r w:rsidR="008C54A9" w:rsidRPr="0022691B">
        <w:rPr>
          <w:rFonts w:cstheme="minorHAnsi"/>
          <w:bCs/>
          <w:i/>
        </w:rPr>
        <w:t xml:space="preserve">what </w:t>
      </w:r>
      <w:r w:rsidR="002408E4">
        <w:rPr>
          <w:rFonts w:cstheme="minorHAnsi"/>
          <w:bCs/>
          <w:i/>
        </w:rPr>
        <w:t>type of erro</w:t>
      </w:r>
      <w:r w:rsidR="007D7019">
        <w:rPr>
          <w:rFonts w:cstheme="minorHAnsi"/>
          <w:bCs/>
          <w:i/>
        </w:rPr>
        <w:t>r</w:t>
      </w:r>
      <w:r w:rsidR="002408E4">
        <w:rPr>
          <w:rFonts w:cstheme="minorHAnsi"/>
          <w:bCs/>
          <w:i/>
        </w:rPr>
        <w:t xml:space="preserve"> </w:t>
      </w:r>
      <w:r w:rsidR="008C54A9" w:rsidRPr="0022691B">
        <w:rPr>
          <w:rFonts w:cstheme="minorHAnsi"/>
          <w:bCs/>
          <w:i/>
        </w:rPr>
        <w:t>does it test</w:t>
      </w:r>
      <w:r w:rsidR="0022691B">
        <w:rPr>
          <w:rFonts w:cstheme="minorHAnsi"/>
          <w:bCs/>
          <w:i/>
        </w:rPr>
        <w:t>;</w:t>
      </w:r>
      <w:r w:rsidR="0022691B" w:rsidRPr="0022691B">
        <w:rPr>
          <w:rFonts w:cstheme="minorHAnsi"/>
          <w:bCs/>
          <w:i/>
        </w:rPr>
        <w:t xml:space="preserve"> </w:t>
      </w:r>
      <w:r w:rsidR="0022691B">
        <w:rPr>
          <w:rFonts w:cstheme="minorHAnsi"/>
          <w:bCs/>
          <w:i/>
        </w:rPr>
        <w:t>what statistical analysis was used</w:t>
      </w:r>
      <w:r w:rsidR="007757CE" w:rsidRPr="0022691B">
        <w:rPr>
          <w:rFonts w:cstheme="minorHAnsi"/>
          <w:bCs/>
        </w:rPr>
        <w:t>)</w:t>
      </w:r>
    </w:p>
    <w:p w14:paraId="677D2D91" w14:textId="77777777" w:rsidR="0091420A" w:rsidRDefault="0091420A" w:rsidP="009D78A0">
      <w:pPr>
        <w:autoSpaceDE w:val="0"/>
        <w:autoSpaceDN w:val="0"/>
        <w:adjustRightInd w:val="0"/>
        <w:spacing w:after="0" w:line="240" w:lineRule="auto"/>
        <w:rPr>
          <w:rFonts w:cstheme="minorHAnsi"/>
          <w:bCs/>
        </w:rPr>
      </w:pPr>
    </w:p>
    <w:p w14:paraId="7F1E819B" w14:textId="77777777" w:rsidR="009D78A0" w:rsidRPr="006962D0" w:rsidRDefault="009D78A0" w:rsidP="009D78A0">
      <w:pPr>
        <w:autoSpaceDE w:val="0"/>
        <w:autoSpaceDN w:val="0"/>
        <w:adjustRightInd w:val="0"/>
        <w:spacing w:after="0" w:line="240" w:lineRule="auto"/>
        <w:rPr>
          <w:rFonts w:cstheme="minorHAnsi"/>
          <w:bCs/>
        </w:rPr>
      </w:pPr>
      <w:r w:rsidRPr="006962D0">
        <w:rPr>
          <w:rFonts w:cstheme="minorHAnsi"/>
          <w:bCs/>
        </w:rPr>
        <w:t>All sampled cases were re-abstracted by trained Joint Commission staff.  Re-abstracted data are compared with originally abstracted data on a data element by data element basis.  The test used were the calculated agreement rates for individual data elements that are used to compute measure rates for the measure.</w:t>
      </w:r>
    </w:p>
    <w:p w14:paraId="0CABCFD2" w14:textId="77777777" w:rsidR="008C54A9" w:rsidRPr="00A25024" w:rsidRDefault="008C54A9" w:rsidP="008C54A9">
      <w:pPr>
        <w:autoSpaceDE w:val="0"/>
        <w:autoSpaceDN w:val="0"/>
        <w:adjustRightInd w:val="0"/>
        <w:spacing w:after="0" w:line="240" w:lineRule="auto"/>
        <w:rPr>
          <w:rFonts w:cstheme="minorHAnsi"/>
          <w:bCs/>
        </w:rPr>
      </w:pPr>
    </w:p>
    <w:p w14:paraId="58BD0947" w14:textId="77777777" w:rsidR="00F171E0" w:rsidRDefault="00092566" w:rsidP="006962D0">
      <w:pPr>
        <w:spacing w:after="0" w:line="240" w:lineRule="auto"/>
        <w:rPr>
          <w:rFonts w:eastAsia="Calibri" w:cs="Arial"/>
        </w:rPr>
      </w:pPr>
      <w:r>
        <w:rPr>
          <w:rFonts w:cstheme="minorHAnsi"/>
          <w:b/>
          <w:bCs/>
        </w:rPr>
        <w:t>2a2.</w:t>
      </w:r>
      <w:r w:rsidR="008C54A9" w:rsidRPr="00A25024">
        <w:rPr>
          <w:rFonts w:cstheme="minorHAnsi"/>
          <w:b/>
          <w:bCs/>
        </w:rPr>
        <w:t xml:space="preserve">3. </w:t>
      </w:r>
      <w:proofErr w:type="gramStart"/>
      <w:r w:rsidR="008C54A9" w:rsidRPr="00A25024">
        <w:rPr>
          <w:rFonts w:cstheme="minorHAnsi"/>
          <w:b/>
          <w:bCs/>
        </w:rPr>
        <w:t>For</w:t>
      </w:r>
      <w:proofErr w:type="gramEnd"/>
      <w:r w:rsidR="008C54A9" w:rsidRPr="00A25024">
        <w:rPr>
          <w:rFonts w:cstheme="minorHAnsi"/>
          <w:b/>
          <w:bCs/>
        </w:rPr>
        <w:t xml:space="preserve"> each level </w:t>
      </w:r>
      <w:r w:rsidR="008F7E67">
        <w:rPr>
          <w:rFonts w:cstheme="minorHAnsi"/>
          <w:b/>
          <w:bCs/>
        </w:rPr>
        <w:t xml:space="preserve">of testing </w:t>
      </w:r>
      <w:r w:rsidR="008C54A9" w:rsidRPr="00A25024">
        <w:rPr>
          <w:rFonts w:cstheme="minorHAnsi"/>
          <w:b/>
          <w:bCs/>
        </w:rPr>
        <w:t>checked above, w</w:t>
      </w:r>
      <w:r w:rsidR="00900DBF" w:rsidRPr="00A25024">
        <w:rPr>
          <w:rFonts w:cstheme="minorHAnsi"/>
          <w:b/>
          <w:bCs/>
        </w:rPr>
        <w:t>hat were the statistical results</w:t>
      </w:r>
      <w:r w:rsidR="007422FD" w:rsidRPr="00A25024">
        <w:rPr>
          <w:rFonts w:cstheme="minorHAnsi"/>
          <w:b/>
          <w:bCs/>
        </w:rPr>
        <w:t xml:space="preserve"> from reliability testing</w:t>
      </w:r>
      <w:r w:rsidR="00900DBF" w:rsidRPr="00A25024">
        <w:rPr>
          <w:rFonts w:cstheme="minorHAnsi"/>
          <w:bCs/>
        </w:rPr>
        <w:t>?</w:t>
      </w:r>
      <w:r w:rsidR="00B037BA" w:rsidRPr="00A25024">
        <w:rPr>
          <w:rFonts w:cstheme="minorHAnsi"/>
          <w:bCs/>
        </w:rPr>
        <w:t xml:space="preserve"> </w:t>
      </w:r>
      <w:r w:rsidR="00AA5213" w:rsidRPr="00A25024">
        <w:rPr>
          <w:rFonts w:cstheme="minorHAnsi"/>
          <w:bCs/>
        </w:rPr>
        <w:t xml:space="preserve"> (e</w:t>
      </w:r>
      <w:r w:rsidR="00AA5213" w:rsidRPr="00A25024">
        <w:rPr>
          <w:rFonts w:cstheme="minorHAnsi"/>
          <w:bCs/>
          <w:i/>
        </w:rPr>
        <w:t>.g., percent agreement and kappa for the critical data elements; distribution of reliability statistics from a signal-to-noise analysis</w:t>
      </w:r>
      <w:r w:rsidR="00AA5213" w:rsidRPr="00A25024">
        <w:rPr>
          <w:rFonts w:cstheme="minorHAnsi"/>
          <w:bCs/>
        </w:rPr>
        <w:t>)</w:t>
      </w:r>
      <w:r w:rsidR="0048008A" w:rsidRPr="00A25024">
        <w:rPr>
          <w:rFonts w:cstheme="minorHAnsi"/>
          <w:bCs/>
        </w:rPr>
        <w:br/>
      </w:r>
    </w:p>
    <w:tbl>
      <w:tblPr>
        <w:tblStyle w:val="TableGrid"/>
        <w:tblW w:w="0" w:type="auto"/>
        <w:tblLook w:val="04A0" w:firstRow="1" w:lastRow="0" w:firstColumn="1" w:lastColumn="0" w:noHBand="0" w:noVBand="1"/>
      </w:tblPr>
      <w:tblGrid>
        <w:gridCol w:w="3415"/>
        <w:gridCol w:w="1260"/>
        <w:gridCol w:w="1440"/>
        <w:gridCol w:w="1260"/>
      </w:tblGrid>
      <w:tr w:rsidR="00F171E0" w:rsidRPr="002B7CCB" w14:paraId="6009DCEC" w14:textId="77777777" w:rsidTr="008E0C26">
        <w:tc>
          <w:tcPr>
            <w:tcW w:w="3415" w:type="dxa"/>
          </w:tcPr>
          <w:p w14:paraId="6719C447" w14:textId="77777777" w:rsidR="00F171E0" w:rsidRPr="002B7CCB" w:rsidRDefault="00F171E0" w:rsidP="008E0C26">
            <w:pPr>
              <w:rPr>
                <w:rFonts w:cs="Arial"/>
                <w:b/>
                <w:bCs/>
                <w:color w:val="FF0000"/>
              </w:rPr>
            </w:pPr>
          </w:p>
          <w:p w14:paraId="628BCFAD" w14:textId="77777777" w:rsidR="00F171E0" w:rsidRPr="002B7CCB" w:rsidRDefault="00F171E0" w:rsidP="008E0C26">
            <w:pPr>
              <w:rPr>
                <w:rFonts w:cs="Arial"/>
                <w:color w:val="FF0000"/>
              </w:rPr>
            </w:pPr>
            <w:r w:rsidRPr="002B7CCB">
              <w:rPr>
                <w:rFonts w:cs="Arial"/>
                <w:b/>
                <w:bCs/>
                <w:color w:val="FF0000"/>
              </w:rPr>
              <w:t>Data Elements with a Mismatch</w:t>
            </w:r>
          </w:p>
        </w:tc>
        <w:tc>
          <w:tcPr>
            <w:tcW w:w="1260" w:type="dxa"/>
            <w:vAlign w:val="bottom"/>
          </w:tcPr>
          <w:p w14:paraId="28AB11AA" w14:textId="77777777" w:rsidR="00F171E0" w:rsidRPr="002B7CCB" w:rsidRDefault="00F171E0" w:rsidP="008E0C26">
            <w:pPr>
              <w:keepNext/>
              <w:keepLines/>
              <w:outlineLvl w:val="1"/>
              <w:rPr>
                <w:rFonts w:cs="Arial"/>
                <w:b/>
                <w:bCs/>
                <w:color w:val="FF0000"/>
              </w:rPr>
            </w:pPr>
            <w:r w:rsidRPr="002B7CCB">
              <w:rPr>
                <w:rFonts w:cs="Arial"/>
                <w:b/>
                <w:bCs/>
                <w:color w:val="FF0000"/>
              </w:rPr>
              <w:t>Total Numerator</w:t>
            </w:r>
          </w:p>
        </w:tc>
        <w:tc>
          <w:tcPr>
            <w:tcW w:w="1440" w:type="dxa"/>
            <w:vAlign w:val="bottom"/>
          </w:tcPr>
          <w:p w14:paraId="45D17D3A" w14:textId="77777777" w:rsidR="00F171E0" w:rsidRPr="002B7CCB" w:rsidRDefault="00F171E0" w:rsidP="008E0C26">
            <w:pPr>
              <w:keepNext/>
              <w:keepLines/>
              <w:outlineLvl w:val="1"/>
              <w:rPr>
                <w:rFonts w:cs="Arial"/>
                <w:b/>
                <w:bCs/>
                <w:color w:val="FF0000"/>
              </w:rPr>
            </w:pPr>
            <w:r w:rsidRPr="002B7CCB">
              <w:rPr>
                <w:rFonts w:cs="Arial"/>
                <w:b/>
                <w:bCs/>
                <w:color w:val="FF0000"/>
              </w:rPr>
              <w:t>Total Denominator</w:t>
            </w:r>
          </w:p>
        </w:tc>
        <w:tc>
          <w:tcPr>
            <w:tcW w:w="1260" w:type="dxa"/>
            <w:vAlign w:val="bottom"/>
          </w:tcPr>
          <w:p w14:paraId="10BDE514" w14:textId="77777777" w:rsidR="00F171E0" w:rsidRPr="002B7CCB" w:rsidRDefault="00F171E0" w:rsidP="008E0C26">
            <w:pPr>
              <w:keepNext/>
              <w:keepLines/>
              <w:outlineLvl w:val="1"/>
              <w:rPr>
                <w:rFonts w:cs="Arial"/>
                <w:b/>
                <w:bCs/>
                <w:color w:val="FF0000"/>
              </w:rPr>
            </w:pPr>
            <w:r w:rsidRPr="002B7CCB">
              <w:rPr>
                <w:rFonts w:cs="Arial"/>
                <w:b/>
                <w:bCs/>
                <w:color w:val="FF0000"/>
              </w:rPr>
              <w:t>Agreement Rate</w:t>
            </w:r>
          </w:p>
        </w:tc>
      </w:tr>
      <w:tr w:rsidR="00F171E0" w:rsidRPr="002B7CCB" w14:paraId="331D3F12" w14:textId="77777777" w:rsidTr="008E0C26">
        <w:tc>
          <w:tcPr>
            <w:tcW w:w="3415" w:type="dxa"/>
            <w:shd w:val="clear" w:color="auto" w:fill="D9D9D9" w:themeFill="background1" w:themeFillShade="D9"/>
            <w:vAlign w:val="bottom"/>
          </w:tcPr>
          <w:p w14:paraId="756D2D76" w14:textId="77777777" w:rsidR="00F171E0" w:rsidRPr="006713F9" w:rsidRDefault="00F171E0" w:rsidP="008E0C26">
            <w:pPr>
              <w:keepNext/>
              <w:keepLines/>
              <w:outlineLvl w:val="1"/>
              <w:rPr>
                <w:rFonts w:cs="Arial"/>
                <w:b/>
                <w:color w:val="FF0000"/>
              </w:rPr>
            </w:pPr>
            <w:r w:rsidRPr="006713F9">
              <w:rPr>
                <w:rFonts w:cs="Arial"/>
                <w:b/>
                <w:color w:val="FF0000"/>
              </w:rPr>
              <w:t>Numerator Data Elements</w:t>
            </w:r>
          </w:p>
        </w:tc>
        <w:tc>
          <w:tcPr>
            <w:tcW w:w="1260" w:type="dxa"/>
            <w:shd w:val="clear" w:color="auto" w:fill="D9D9D9" w:themeFill="background1" w:themeFillShade="D9"/>
            <w:vAlign w:val="bottom"/>
          </w:tcPr>
          <w:p w14:paraId="7875FF00" w14:textId="77777777" w:rsidR="00F171E0" w:rsidRPr="002B7CCB" w:rsidRDefault="00F171E0" w:rsidP="008E0C26">
            <w:pPr>
              <w:keepNext/>
              <w:keepLines/>
              <w:jc w:val="right"/>
              <w:outlineLvl w:val="1"/>
              <w:rPr>
                <w:rFonts w:cs="Arial"/>
                <w:color w:val="FF0000"/>
              </w:rPr>
            </w:pPr>
          </w:p>
        </w:tc>
        <w:tc>
          <w:tcPr>
            <w:tcW w:w="1440" w:type="dxa"/>
            <w:shd w:val="clear" w:color="auto" w:fill="D9D9D9" w:themeFill="background1" w:themeFillShade="D9"/>
            <w:vAlign w:val="bottom"/>
          </w:tcPr>
          <w:p w14:paraId="61C49C02" w14:textId="77777777" w:rsidR="00F171E0" w:rsidRPr="002B7CCB" w:rsidRDefault="00F171E0" w:rsidP="008E0C26">
            <w:pPr>
              <w:keepNext/>
              <w:keepLines/>
              <w:jc w:val="right"/>
              <w:outlineLvl w:val="1"/>
              <w:rPr>
                <w:rFonts w:cs="Arial"/>
                <w:color w:val="FF0000"/>
              </w:rPr>
            </w:pPr>
          </w:p>
        </w:tc>
        <w:tc>
          <w:tcPr>
            <w:tcW w:w="1260" w:type="dxa"/>
            <w:shd w:val="clear" w:color="auto" w:fill="D9D9D9" w:themeFill="background1" w:themeFillShade="D9"/>
            <w:vAlign w:val="bottom"/>
          </w:tcPr>
          <w:p w14:paraId="4EA1E00D" w14:textId="77777777" w:rsidR="00F171E0" w:rsidRPr="002B7CCB" w:rsidRDefault="00F171E0" w:rsidP="008E0C26">
            <w:pPr>
              <w:keepNext/>
              <w:keepLines/>
              <w:jc w:val="right"/>
              <w:outlineLvl w:val="1"/>
              <w:rPr>
                <w:rFonts w:cs="Arial"/>
                <w:color w:val="FF0000"/>
              </w:rPr>
            </w:pPr>
          </w:p>
        </w:tc>
      </w:tr>
      <w:tr w:rsidR="00F171E0" w:rsidRPr="002B7CCB" w14:paraId="50A56414" w14:textId="77777777" w:rsidTr="008E0C26">
        <w:tc>
          <w:tcPr>
            <w:tcW w:w="3415" w:type="dxa"/>
            <w:vAlign w:val="bottom"/>
          </w:tcPr>
          <w:p w14:paraId="0409620B" w14:textId="77777777" w:rsidR="00F171E0" w:rsidRPr="002B7CCB" w:rsidRDefault="00F171E0" w:rsidP="008E0C26">
            <w:pPr>
              <w:keepNext/>
              <w:keepLines/>
              <w:outlineLvl w:val="1"/>
              <w:rPr>
                <w:rFonts w:cs="Arial"/>
                <w:color w:val="FF0000"/>
              </w:rPr>
            </w:pPr>
            <w:r w:rsidRPr="002B7CCB">
              <w:rPr>
                <w:rFonts w:cs="Arial"/>
                <w:color w:val="FF0000"/>
              </w:rPr>
              <w:t>Event Date</w:t>
            </w:r>
          </w:p>
        </w:tc>
        <w:tc>
          <w:tcPr>
            <w:tcW w:w="1260" w:type="dxa"/>
            <w:vAlign w:val="bottom"/>
          </w:tcPr>
          <w:p w14:paraId="770304ED" w14:textId="77777777" w:rsidR="00F171E0" w:rsidRPr="002B7CCB" w:rsidRDefault="00F171E0" w:rsidP="008E0C26">
            <w:pPr>
              <w:keepNext/>
              <w:keepLines/>
              <w:jc w:val="right"/>
              <w:outlineLvl w:val="1"/>
              <w:rPr>
                <w:rFonts w:cs="Arial"/>
                <w:color w:val="FF0000"/>
              </w:rPr>
            </w:pPr>
            <w:r>
              <w:rPr>
                <w:rFonts w:cs="Arial"/>
                <w:color w:val="FF0000"/>
              </w:rPr>
              <w:t>9</w:t>
            </w:r>
          </w:p>
        </w:tc>
        <w:tc>
          <w:tcPr>
            <w:tcW w:w="1440" w:type="dxa"/>
            <w:vAlign w:val="bottom"/>
          </w:tcPr>
          <w:p w14:paraId="49E0FC7F" w14:textId="77777777" w:rsidR="00F171E0" w:rsidRPr="002B7CCB" w:rsidRDefault="00F171E0" w:rsidP="008E0C26">
            <w:pPr>
              <w:keepNext/>
              <w:keepLines/>
              <w:jc w:val="right"/>
              <w:outlineLvl w:val="1"/>
              <w:rPr>
                <w:rFonts w:cs="Arial"/>
                <w:color w:val="FF0000"/>
              </w:rPr>
            </w:pPr>
            <w:r>
              <w:rPr>
                <w:rFonts w:cs="Arial"/>
                <w:color w:val="FF0000"/>
              </w:rPr>
              <w:t>9</w:t>
            </w:r>
          </w:p>
        </w:tc>
        <w:tc>
          <w:tcPr>
            <w:tcW w:w="1260" w:type="dxa"/>
            <w:vAlign w:val="bottom"/>
          </w:tcPr>
          <w:p w14:paraId="57436C7A" w14:textId="77777777" w:rsidR="00F171E0" w:rsidRPr="002B7CCB" w:rsidRDefault="00F171E0" w:rsidP="008E0C26">
            <w:pPr>
              <w:keepNext/>
              <w:keepLines/>
              <w:jc w:val="right"/>
              <w:outlineLvl w:val="1"/>
              <w:rPr>
                <w:rFonts w:cs="Arial"/>
                <w:color w:val="FF0000"/>
              </w:rPr>
            </w:pPr>
            <w:r w:rsidRPr="002B7CCB">
              <w:rPr>
                <w:rFonts w:cs="Arial"/>
                <w:color w:val="FF0000"/>
              </w:rPr>
              <w:t>100.0%</w:t>
            </w:r>
          </w:p>
        </w:tc>
      </w:tr>
      <w:tr w:rsidR="00F171E0" w:rsidRPr="002B7CCB" w14:paraId="3806E292" w14:textId="77777777" w:rsidTr="008E0C26">
        <w:tc>
          <w:tcPr>
            <w:tcW w:w="3415" w:type="dxa"/>
          </w:tcPr>
          <w:p w14:paraId="73FD3259" w14:textId="77777777" w:rsidR="00F171E0" w:rsidRPr="002B7CCB" w:rsidRDefault="00F171E0" w:rsidP="008E0C26">
            <w:pPr>
              <w:rPr>
                <w:rFonts w:cs="Arial"/>
                <w:color w:val="FF0000"/>
              </w:rPr>
            </w:pPr>
            <w:r w:rsidRPr="002B7CCB">
              <w:rPr>
                <w:rFonts w:cs="Arial"/>
                <w:color w:val="FF0000"/>
              </w:rPr>
              <w:t>Event Type</w:t>
            </w:r>
          </w:p>
        </w:tc>
        <w:tc>
          <w:tcPr>
            <w:tcW w:w="1260" w:type="dxa"/>
            <w:vAlign w:val="bottom"/>
          </w:tcPr>
          <w:p w14:paraId="53816D6D" w14:textId="77777777" w:rsidR="00F171E0" w:rsidRPr="002B7CCB" w:rsidRDefault="00F171E0" w:rsidP="008E0C26">
            <w:pPr>
              <w:jc w:val="right"/>
              <w:rPr>
                <w:rFonts w:cs="Arial"/>
                <w:color w:val="FF0000"/>
              </w:rPr>
            </w:pPr>
            <w:r>
              <w:rPr>
                <w:rFonts w:cs="Arial"/>
                <w:color w:val="FF0000"/>
              </w:rPr>
              <w:t>9</w:t>
            </w:r>
          </w:p>
        </w:tc>
        <w:tc>
          <w:tcPr>
            <w:tcW w:w="1440" w:type="dxa"/>
            <w:vAlign w:val="bottom"/>
          </w:tcPr>
          <w:p w14:paraId="274FDA6C" w14:textId="77777777" w:rsidR="00F171E0" w:rsidRPr="002B7CCB" w:rsidRDefault="00F171E0" w:rsidP="008E0C26">
            <w:pPr>
              <w:jc w:val="right"/>
              <w:rPr>
                <w:rFonts w:cs="Arial"/>
                <w:color w:val="FF0000"/>
              </w:rPr>
            </w:pPr>
            <w:r>
              <w:rPr>
                <w:rFonts w:cs="Arial"/>
                <w:color w:val="FF0000"/>
              </w:rPr>
              <w:t>9</w:t>
            </w:r>
          </w:p>
        </w:tc>
        <w:tc>
          <w:tcPr>
            <w:tcW w:w="1260" w:type="dxa"/>
          </w:tcPr>
          <w:p w14:paraId="3D7B2352" w14:textId="77777777" w:rsidR="00F171E0" w:rsidRPr="002B7CCB" w:rsidRDefault="00F171E0" w:rsidP="008E0C26">
            <w:pPr>
              <w:jc w:val="right"/>
              <w:rPr>
                <w:rFonts w:cs="Arial"/>
                <w:color w:val="FF0000"/>
              </w:rPr>
            </w:pPr>
            <w:r w:rsidRPr="002B7CCB">
              <w:rPr>
                <w:rFonts w:cs="Arial"/>
                <w:color w:val="FF0000"/>
              </w:rPr>
              <w:t>100.0%</w:t>
            </w:r>
          </w:p>
        </w:tc>
      </w:tr>
      <w:tr w:rsidR="00F171E0" w:rsidRPr="002B7CCB" w14:paraId="274EB608" w14:textId="77777777" w:rsidTr="008E0C26">
        <w:tc>
          <w:tcPr>
            <w:tcW w:w="3415" w:type="dxa"/>
          </w:tcPr>
          <w:p w14:paraId="7B2ED673" w14:textId="77777777" w:rsidR="00F171E0" w:rsidRPr="002B7CCB" w:rsidRDefault="00F171E0" w:rsidP="008E0C26">
            <w:pPr>
              <w:rPr>
                <w:rFonts w:cs="Arial"/>
                <w:color w:val="FF0000"/>
              </w:rPr>
            </w:pPr>
            <w:r w:rsidRPr="002B7CCB">
              <w:rPr>
                <w:rFonts w:cs="Arial"/>
                <w:color w:val="FF0000"/>
              </w:rPr>
              <w:t xml:space="preserve">Minutes of </w:t>
            </w:r>
            <w:r>
              <w:rPr>
                <w:rFonts w:cs="Arial"/>
                <w:color w:val="FF0000"/>
              </w:rPr>
              <w:t>Seclusion</w:t>
            </w:r>
          </w:p>
        </w:tc>
        <w:tc>
          <w:tcPr>
            <w:tcW w:w="1260" w:type="dxa"/>
            <w:vAlign w:val="bottom"/>
          </w:tcPr>
          <w:p w14:paraId="4EE5EAB2" w14:textId="77777777" w:rsidR="00F171E0" w:rsidRPr="002B7CCB" w:rsidRDefault="00F171E0" w:rsidP="008E0C26">
            <w:pPr>
              <w:jc w:val="right"/>
              <w:rPr>
                <w:rFonts w:cs="Arial"/>
                <w:color w:val="FF0000"/>
              </w:rPr>
            </w:pPr>
            <w:r>
              <w:rPr>
                <w:rFonts w:cs="Arial"/>
                <w:color w:val="FF0000"/>
              </w:rPr>
              <w:t>9</w:t>
            </w:r>
          </w:p>
        </w:tc>
        <w:tc>
          <w:tcPr>
            <w:tcW w:w="1440" w:type="dxa"/>
            <w:vAlign w:val="bottom"/>
          </w:tcPr>
          <w:p w14:paraId="65697E50" w14:textId="77777777" w:rsidR="00F171E0" w:rsidRPr="002B7CCB" w:rsidRDefault="00F171E0" w:rsidP="008E0C26">
            <w:pPr>
              <w:jc w:val="right"/>
              <w:rPr>
                <w:rFonts w:cs="Arial"/>
                <w:color w:val="FF0000"/>
              </w:rPr>
            </w:pPr>
            <w:r>
              <w:rPr>
                <w:rFonts w:cs="Arial"/>
                <w:color w:val="FF0000"/>
              </w:rPr>
              <w:t>9</w:t>
            </w:r>
          </w:p>
        </w:tc>
        <w:tc>
          <w:tcPr>
            <w:tcW w:w="1260" w:type="dxa"/>
          </w:tcPr>
          <w:p w14:paraId="1B1FA020" w14:textId="77777777" w:rsidR="00F171E0" w:rsidRPr="002B7CCB" w:rsidRDefault="00F171E0" w:rsidP="008E0C26">
            <w:pPr>
              <w:jc w:val="right"/>
              <w:rPr>
                <w:rFonts w:cs="Arial"/>
                <w:color w:val="FF0000"/>
              </w:rPr>
            </w:pPr>
            <w:r w:rsidRPr="002B7CCB">
              <w:rPr>
                <w:rFonts w:cs="Arial"/>
                <w:color w:val="FF0000"/>
              </w:rPr>
              <w:t>100.0%</w:t>
            </w:r>
          </w:p>
        </w:tc>
      </w:tr>
    </w:tbl>
    <w:p w14:paraId="4849F382" w14:textId="7F4D6F8A" w:rsidR="0091420A" w:rsidRDefault="0091420A" w:rsidP="006962D0">
      <w:pPr>
        <w:spacing w:after="0" w:line="240" w:lineRule="auto"/>
        <w:rPr>
          <w:rFonts w:eastAsia="Calibri" w:cs="Arial"/>
        </w:rPr>
      </w:pPr>
    </w:p>
    <w:p w14:paraId="4DF9BB63" w14:textId="32BCE50E" w:rsidR="009D78A0" w:rsidRPr="006962D0" w:rsidRDefault="009D78A0" w:rsidP="006962D0">
      <w:pPr>
        <w:spacing w:after="0" w:line="240" w:lineRule="auto"/>
        <w:rPr>
          <w:rFonts w:eastAsia="Calibri" w:cs="Arial"/>
        </w:rPr>
      </w:pPr>
      <w:r w:rsidRPr="006962D0">
        <w:rPr>
          <w:rFonts w:eastAsia="Calibri" w:cs="Arial"/>
        </w:rPr>
        <w:t xml:space="preserve">The </w:t>
      </w:r>
      <w:r w:rsidR="0091420A">
        <w:rPr>
          <w:rFonts w:eastAsia="Calibri" w:cs="Arial"/>
        </w:rPr>
        <w:t>above</w:t>
      </w:r>
      <w:r w:rsidRPr="006962D0">
        <w:rPr>
          <w:rFonts w:eastAsia="Calibri" w:cs="Arial"/>
        </w:rPr>
        <w:t xml:space="preserve"> data elements were assessed for reliability: event date, event type and minutes of seclusion. There was a 100% match for the calculated agreement rate for these data elements which are used to compute measure rates for the measure.</w:t>
      </w:r>
    </w:p>
    <w:p w14:paraId="4762D48D" w14:textId="77777777" w:rsidR="0091420A" w:rsidRDefault="0091420A" w:rsidP="006962D0">
      <w:pPr>
        <w:autoSpaceDE w:val="0"/>
        <w:autoSpaceDN w:val="0"/>
        <w:adjustRightInd w:val="0"/>
        <w:spacing w:after="0" w:line="240" w:lineRule="auto"/>
        <w:rPr>
          <w:rFonts w:cs="Arial"/>
        </w:rPr>
      </w:pPr>
    </w:p>
    <w:p w14:paraId="2DF52F65" w14:textId="7E89DD7A" w:rsidR="009D78A0" w:rsidRPr="006962D0" w:rsidRDefault="009D78A0" w:rsidP="006962D0">
      <w:pPr>
        <w:autoSpaceDE w:val="0"/>
        <w:autoSpaceDN w:val="0"/>
        <w:adjustRightInd w:val="0"/>
        <w:spacing w:after="0" w:line="240" w:lineRule="auto"/>
        <w:rPr>
          <w:rFonts w:cs="Arial"/>
        </w:rPr>
      </w:pPr>
      <w:r w:rsidRPr="006962D0">
        <w:rPr>
          <w:rFonts w:cs="Arial"/>
        </w:rPr>
        <w:t>Additionally, re</w:t>
      </w:r>
      <w:r w:rsidR="006713F9">
        <w:rPr>
          <w:rFonts w:cs="Arial"/>
        </w:rPr>
        <w:t>-</w:t>
      </w:r>
      <w:r w:rsidRPr="006962D0">
        <w:rPr>
          <w:rFonts w:cs="Arial"/>
        </w:rPr>
        <w:t>abstraction data analysis containing the health care organization’s Category</w:t>
      </w:r>
    </w:p>
    <w:p w14:paraId="3228129B" w14:textId="77777777" w:rsidR="009D78A0" w:rsidRPr="00C310E2" w:rsidRDefault="009D78A0" w:rsidP="006962D0">
      <w:pPr>
        <w:autoSpaceDE w:val="0"/>
        <w:autoSpaceDN w:val="0"/>
        <w:adjustRightInd w:val="0"/>
        <w:spacing w:after="0" w:line="240" w:lineRule="auto"/>
        <w:rPr>
          <w:rFonts w:cs="Arial"/>
          <w:color w:val="4F81BD" w:themeColor="accent1"/>
        </w:rPr>
      </w:pPr>
      <w:r w:rsidRPr="006962D0">
        <w:rPr>
          <w:rFonts w:cs="Arial"/>
        </w:rPr>
        <w:t xml:space="preserve">Assignment Agreement Rate (CAAR) which represents assignment to the numerator or denominator was performed on these same data from the sample hospitals resulting in an agreement rate of 100%. </w:t>
      </w:r>
    </w:p>
    <w:p w14:paraId="0CABCFD3" w14:textId="77777777" w:rsidR="007422FD" w:rsidRPr="00A25024" w:rsidRDefault="007422FD" w:rsidP="008C54A9">
      <w:pPr>
        <w:autoSpaceDE w:val="0"/>
        <w:autoSpaceDN w:val="0"/>
        <w:adjustRightInd w:val="0"/>
        <w:spacing w:after="0" w:line="240" w:lineRule="auto"/>
        <w:rPr>
          <w:rFonts w:cstheme="minorHAnsi"/>
          <w:bCs/>
        </w:rPr>
      </w:pPr>
    </w:p>
    <w:p w14:paraId="3580FBB1" w14:textId="77777777" w:rsidR="0091420A" w:rsidRDefault="00092566" w:rsidP="00DB3627">
      <w:pPr>
        <w:autoSpaceDE w:val="0"/>
        <w:autoSpaceDN w:val="0"/>
        <w:adjustRightInd w:val="0"/>
        <w:spacing w:after="0" w:line="240" w:lineRule="auto"/>
        <w:rPr>
          <w:rFonts w:cs="Arial"/>
        </w:rPr>
      </w:pPr>
      <w:r>
        <w:rPr>
          <w:rFonts w:cstheme="minorHAnsi"/>
          <w:b/>
          <w:bCs/>
        </w:rPr>
        <w:t xml:space="preserve">2a2.4 </w:t>
      </w:r>
      <w:proofErr w:type="gramStart"/>
      <w:r w:rsidR="007422FD" w:rsidRPr="00A25024">
        <w:rPr>
          <w:rFonts w:cstheme="minorHAnsi"/>
          <w:b/>
          <w:bCs/>
        </w:rPr>
        <w:t>What</w:t>
      </w:r>
      <w:proofErr w:type="gramEnd"/>
      <w:r w:rsidR="007422FD" w:rsidRPr="00A25024">
        <w:rPr>
          <w:rFonts w:cstheme="minorHAnsi"/>
          <w:b/>
          <w:bCs/>
        </w:rPr>
        <w:t xml:space="preserve"> </w:t>
      </w:r>
      <w:r w:rsidR="000B2DF7" w:rsidRPr="00A25024">
        <w:rPr>
          <w:rFonts w:cstheme="minorHAnsi"/>
          <w:b/>
          <w:bCs/>
        </w:rPr>
        <w:t>is your interpretation of the results in terms of</w:t>
      </w:r>
      <w:r w:rsidR="007422FD" w:rsidRPr="00A25024">
        <w:rPr>
          <w:rFonts w:cstheme="minorHAnsi"/>
          <w:b/>
          <w:bCs/>
        </w:rPr>
        <w:t xml:space="preserve"> demonstrating reliability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7757CE" w:rsidRPr="00A25024">
        <w:rPr>
          <w:rFonts w:cstheme="minorHAnsi"/>
          <w:bCs/>
          <w:i/>
        </w:rPr>
        <w:t>?</w:t>
      </w:r>
      <w:r w:rsidR="000B2DF7" w:rsidRPr="00A25024">
        <w:rPr>
          <w:rFonts w:cstheme="minorHAnsi"/>
          <w:bCs/>
        </w:rPr>
        <w:t>)</w:t>
      </w:r>
      <w:r w:rsidR="007422FD" w:rsidRPr="00A25024">
        <w:rPr>
          <w:rFonts w:cstheme="minorHAnsi"/>
          <w:bCs/>
        </w:rPr>
        <w:br/>
      </w:r>
    </w:p>
    <w:p w14:paraId="0CABCFD4" w14:textId="3044804E" w:rsidR="007422FD" w:rsidRPr="006962D0" w:rsidRDefault="009D78A0" w:rsidP="00DB3627">
      <w:pPr>
        <w:autoSpaceDE w:val="0"/>
        <w:autoSpaceDN w:val="0"/>
        <w:adjustRightInd w:val="0"/>
        <w:spacing w:after="0" w:line="240" w:lineRule="auto"/>
        <w:rPr>
          <w:rFonts w:ascii="Garamond" w:hAnsi="Garamond" w:cs="Garamond"/>
          <w:sz w:val="24"/>
          <w:szCs w:val="24"/>
        </w:rPr>
      </w:pPr>
      <w:r w:rsidRPr="006962D0">
        <w:rPr>
          <w:rFonts w:cs="Arial"/>
        </w:rPr>
        <w:t>A perfect agreement rate between originally abstracted data and re</w:t>
      </w:r>
      <w:r w:rsidR="006962D0" w:rsidRPr="006962D0">
        <w:rPr>
          <w:rFonts w:cs="Arial"/>
        </w:rPr>
        <w:t>-</w:t>
      </w:r>
      <w:r w:rsidRPr="006962D0">
        <w:rPr>
          <w:rFonts w:cs="Arial"/>
        </w:rPr>
        <w:t xml:space="preserve">abstracted data equals 100%, and an agreement rate below 75% is considered failing. </w:t>
      </w:r>
      <w:r w:rsidRPr="006962D0">
        <w:rPr>
          <w:rFonts w:ascii="Garamond" w:hAnsi="Garamond" w:cs="Garamond"/>
          <w:sz w:val="24"/>
          <w:szCs w:val="24"/>
        </w:rPr>
        <w:t xml:space="preserve">  </w:t>
      </w:r>
      <w:r w:rsidRPr="006962D0">
        <w:rPr>
          <w:rFonts w:cs="Arial"/>
        </w:rPr>
        <w:t xml:space="preserve">These agreement rates are considered to be well within acceptable levels. </w:t>
      </w:r>
    </w:p>
    <w:p w14:paraId="0CABCFD5" w14:textId="77777777" w:rsidR="00021170" w:rsidRPr="00A25024" w:rsidRDefault="00483E94" w:rsidP="00DB3627">
      <w:pPr>
        <w:autoSpaceDE w:val="0"/>
        <w:autoSpaceDN w:val="0"/>
        <w:adjustRightInd w:val="0"/>
        <w:spacing w:after="0" w:line="240" w:lineRule="auto"/>
        <w:rPr>
          <w:rFonts w:cstheme="minorHAnsi"/>
          <w:noProof/>
        </w:rPr>
      </w:pPr>
      <w:r>
        <w:rPr>
          <w:rFonts w:cstheme="minorHAnsi"/>
          <w:noProof/>
        </w:rPr>
        <w:t>_________________________________</w:t>
      </w:r>
    </w:p>
    <w:p w14:paraId="0CABCFD6" w14:textId="215848AB" w:rsidR="00B037B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b</w:t>
      </w:r>
      <w:r w:rsidR="009C7513">
        <w:rPr>
          <w:rFonts w:cstheme="minorHAnsi"/>
          <w:b/>
          <w:noProof/>
        </w:rPr>
        <w:t>1</w:t>
      </w:r>
      <w:r w:rsidRPr="00A25024">
        <w:rPr>
          <w:rFonts w:cstheme="minorHAnsi"/>
          <w:b/>
          <w:noProof/>
        </w:rPr>
        <w:t xml:space="preserve">. </w:t>
      </w:r>
      <w:r w:rsidRPr="00A25024">
        <w:rPr>
          <w:rFonts w:cstheme="minorHAnsi"/>
          <w:b/>
          <w:bCs/>
        </w:rPr>
        <w:t xml:space="preserve">VALIDITY TESTING </w:t>
      </w:r>
    </w:p>
    <w:p w14:paraId="0CABCFD7" w14:textId="222AE22D" w:rsidR="00696262" w:rsidRPr="000414E8" w:rsidRDefault="009C7513" w:rsidP="00DB3627">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1. </w:t>
      </w:r>
      <w:proofErr w:type="gramStart"/>
      <w:r w:rsidR="000968F8" w:rsidRPr="00A25024">
        <w:rPr>
          <w:rFonts w:cstheme="minorHAnsi"/>
          <w:b/>
          <w:bCs/>
        </w:rPr>
        <w:t>What</w:t>
      </w:r>
      <w:proofErr w:type="gramEnd"/>
      <w:r w:rsidR="000968F8" w:rsidRPr="00A25024">
        <w:rPr>
          <w:rFonts w:cstheme="minorHAnsi"/>
          <w:b/>
          <w:bCs/>
        </w:rPr>
        <w:t xml:space="preserve"> level of validity testing was conducted</w:t>
      </w:r>
      <w:r w:rsidR="000968F8" w:rsidRPr="00A25024">
        <w:rPr>
          <w:rFonts w:cstheme="minorHAnsi"/>
          <w:bCs/>
        </w:rPr>
        <w:t>?</w:t>
      </w:r>
      <w:r w:rsidR="00D50704" w:rsidRPr="00A25024">
        <w:rPr>
          <w:rFonts w:cstheme="minorHAnsi"/>
          <w:bCs/>
        </w:rPr>
        <w:t xml:space="preserve"> (</w:t>
      </w:r>
      <w:proofErr w:type="gramStart"/>
      <w:r w:rsidR="00696262" w:rsidRPr="00A25024">
        <w:rPr>
          <w:rFonts w:cstheme="minorHAnsi"/>
          <w:bCs/>
          <w:i/>
        </w:rPr>
        <w:t>may</w:t>
      </w:r>
      <w:proofErr w:type="gramEnd"/>
      <w:r w:rsidR="00D50704" w:rsidRPr="00A25024">
        <w:rPr>
          <w:rFonts w:cstheme="minorHAnsi"/>
          <w:bCs/>
          <w:i/>
        </w:rPr>
        <w:t xml:space="preserve"> be one or both levels</w:t>
      </w:r>
      <w:r w:rsidR="00D50704" w:rsidRPr="00A25024">
        <w:rPr>
          <w:rFonts w:cstheme="minorHAnsi"/>
          <w:bCs/>
        </w:rPr>
        <w:t>)</w:t>
      </w:r>
      <w:r w:rsidR="0048008A" w:rsidRPr="00A25024">
        <w:rPr>
          <w:rFonts w:cstheme="minorHAnsi"/>
          <w:bCs/>
        </w:rPr>
        <w:br/>
      </w:r>
      <w:sdt>
        <w:sdtPr>
          <w:rPr>
            <w:rFonts w:cstheme="minorHAnsi"/>
            <w:bCs/>
            <w:color w:val="0000FF"/>
          </w:rPr>
          <w:id w:val="-29776099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C</w:t>
      </w:r>
      <w:r w:rsidR="00D1754D" w:rsidRPr="00A25024">
        <w:rPr>
          <w:rFonts w:cstheme="minorHAnsi"/>
          <w:b/>
          <w:bCs/>
        </w:rPr>
        <w:t xml:space="preserve">ritical </w:t>
      </w:r>
      <w:r w:rsidR="00B037BA" w:rsidRPr="00A25024">
        <w:rPr>
          <w:rFonts w:cstheme="minorHAnsi"/>
          <w:b/>
          <w:bCs/>
        </w:rPr>
        <w:t>data</w:t>
      </w:r>
      <w:r w:rsidR="00A41377" w:rsidRPr="00A25024">
        <w:rPr>
          <w:rFonts w:cstheme="minorHAnsi"/>
          <w:b/>
          <w:bCs/>
        </w:rPr>
        <w:t xml:space="preserve"> elements</w:t>
      </w:r>
      <w:r w:rsidR="000414E8">
        <w:rPr>
          <w:rFonts w:cstheme="minorHAnsi"/>
          <w:b/>
          <w:bCs/>
        </w:rPr>
        <w:t xml:space="preserve"> </w:t>
      </w:r>
      <w:r w:rsidR="000414E8">
        <w:rPr>
          <w:rFonts w:cstheme="minorHAnsi"/>
          <w:bCs/>
        </w:rPr>
        <w:t>(</w:t>
      </w:r>
      <w:r w:rsidR="000414E8" w:rsidRPr="000414E8">
        <w:rPr>
          <w:rFonts w:cstheme="minorHAnsi"/>
          <w:bCs/>
          <w:i/>
        </w:rPr>
        <w:t>data element validity must address ALL critical data elements</w:t>
      </w:r>
      <w:r w:rsidR="000414E8">
        <w:rPr>
          <w:rFonts w:cstheme="minorHAnsi"/>
          <w:bCs/>
        </w:rPr>
        <w:t>)</w:t>
      </w:r>
    </w:p>
    <w:p w14:paraId="0CABCFD8" w14:textId="1D713333" w:rsidR="00696262" w:rsidRPr="00A25024" w:rsidRDefault="00EA61A3" w:rsidP="00696262">
      <w:pPr>
        <w:autoSpaceDE w:val="0"/>
        <w:autoSpaceDN w:val="0"/>
        <w:adjustRightInd w:val="0"/>
        <w:spacing w:after="0" w:line="240" w:lineRule="auto"/>
        <w:rPr>
          <w:rFonts w:cstheme="minorHAnsi"/>
          <w:b/>
          <w:bCs/>
        </w:rPr>
      </w:pPr>
      <w:sdt>
        <w:sdtPr>
          <w:rPr>
            <w:rFonts w:cstheme="minorHAnsi"/>
            <w:bCs/>
            <w:color w:val="0000FF"/>
          </w:rPr>
          <w:id w:val="-1767844731"/>
          <w14:checkbox>
            <w14:checked w14:val="1"/>
            <w14:checkedState w14:val="2612" w14:font="MS Gothic"/>
            <w14:uncheckedState w14:val="2610" w14:font="MS Gothic"/>
          </w14:checkbox>
        </w:sdtPr>
        <w:sdtEndPr/>
        <w:sdtContent>
          <w:r w:rsidR="009D78A0">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Pr>
          <w:rFonts w:eastAsia="MS Gothic" w:cstheme="minorHAnsi"/>
          <w:b/>
          <w:bCs/>
        </w:rPr>
        <w:t>P</w:t>
      </w:r>
      <w:r w:rsidR="00696262" w:rsidRPr="00A25024">
        <w:rPr>
          <w:rFonts w:eastAsia="MS Gothic" w:cstheme="minorHAnsi"/>
          <w:b/>
          <w:bCs/>
        </w:rPr>
        <w:t xml:space="preserve">erformance </w:t>
      </w:r>
      <w:r w:rsidR="00696262" w:rsidRPr="00A25024">
        <w:rPr>
          <w:rFonts w:cstheme="minorHAnsi"/>
          <w:b/>
          <w:bCs/>
        </w:rPr>
        <w:t>measure score</w:t>
      </w:r>
    </w:p>
    <w:p w14:paraId="0CABCFD9" w14:textId="2033AC64" w:rsidR="000574AB" w:rsidRPr="00A25024" w:rsidRDefault="00EA61A3" w:rsidP="00696262">
      <w:pPr>
        <w:autoSpaceDE w:val="0"/>
        <w:autoSpaceDN w:val="0"/>
        <w:adjustRightInd w:val="0"/>
        <w:spacing w:after="0" w:line="240" w:lineRule="auto"/>
        <w:ind w:left="255"/>
        <w:rPr>
          <w:rFonts w:cstheme="minorHAnsi"/>
          <w:bCs/>
        </w:rPr>
      </w:pPr>
      <w:sdt>
        <w:sdtPr>
          <w:rPr>
            <w:rFonts w:cstheme="minorHAnsi"/>
            <w:bCs/>
            <w:color w:val="0000FF"/>
          </w:rPr>
          <w:id w:val="-114983144"/>
          <w14:checkbox>
            <w14:checked w14:val="1"/>
            <w14:checkedState w14:val="2612" w14:font="MS Gothic"/>
            <w14:uncheckedState w14:val="2610" w14:font="MS Gothic"/>
          </w14:checkbox>
        </w:sdtPr>
        <w:sdtEndPr/>
        <w:sdtContent>
          <w:r w:rsidR="006713F9">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sidRPr="006713F9">
        <w:rPr>
          <w:rFonts w:eastAsia="MS Mincho" w:cstheme="minorHAnsi"/>
          <w:b/>
          <w:bCs/>
        </w:rPr>
        <w:t>E</w:t>
      </w:r>
      <w:r w:rsidR="00696262" w:rsidRPr="006713F9">
        <w:rPr>
          <w:rFonts w:eastAsia="MS Mincho" w:cstheme="minorHAnsi"/>
          <w:b/>
          <w:bCs/>
        </w:rPr>
        <w:t>mpirical validity testing</w:t>
      </w:r>
      <w:r w:rsidR="004B6CEE" w:rsidRPr="00A25024">
        <w:rPr>
          <w:rFonts w:cstheme="minorHAnsi"/>
          <w:b/>
          <w:bCs/>
        </w:rPr>
        <w:br/>
      </w:r>
      <w:sdt>
        <w:sdtPr>
          <w:rPr>
            <w:rFonts w:cstheme="minorHAnsi"/>
            <w:bCs/>
            <w:color w:val="0000FF"/>
          </w:rPr>
          <w:id w:val="-1042279617"/>
          <w14:checkbox>
            <w14:checked w14:val="1"/>
            <w14:checkedState w14:val="2612" w14:font="MS Gothic"/>
            <w14:uncheckedState w14:val="2610" w14:font="MS Gothic"/>
          </w14:checkbox>
        </w:sdtPr>
        <w:sdtEndPr/>
        <w:sdtContent>
          <w:r w:rsidR="009D78A0">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S</w:t>
      </w:r>
      <w:r w:rsidR="00D50704" w:rsidRPr="00A25024">
        <w:rPr>
          <w:rFonts w:cstheme="minorHAnsi"/>
          <w:b/>
          <w:bCs/>
        </w:rPr>
        <w:t xml:space="preserve">ystematic assessment of </w:t>
      </w:r>
      <w:r w:rsidR="004B6CEE" w:rsidRPr="00A25024">
        <w:rPr>
          <w:rFonts w:cstheme="minorHAnsi"/>
          <w:b/>
          <w:bCs/>
        </w:rPr>
        <w:t xml:space="preserve">face </w:t>
      </w:r>
      <w:r w:rsidR="004B6CEE" w:rsidRPr="00A25024">
        <w:rPr>
          <w:rFonts w:eastAsia="MS Gothic" w:cstheme="minorHAnsi"/>
          <w:b/>
          <w:bCs/>
        </w:rPr>
        <w:t xml:space="preserve">validity of </w:t>
      </w:r>
      <w:r w:rsidR="00D1754D" w:rsidRPr="00A25024">
        <w:rPr>
          <w:rFonts w:eastAsia="MS Gothic" w:cstheme="minorHAnsi"/>
          <w:b/>
          <w:bCs/>
          <w:u w:val="single"/>
        </w:rPr>
        <w:t xml:space="preserve">performance </w:t>
      </w:r>
      <w:r w:rsidR="004B6CEE" w:rsidRPr="00A25024">
        <w:rPr>
          <w:rFonts w:eastAsia="MS Gothic" w:cstheme="minorHAnsi"/>
          <w:b/>
          <w:bCs/>
          <w:u w:val="single"/>
        </w:rPr>
        <w:t>measure score</w:t>
      </w:r>
      <w:r w:rsidR="00CA06D8" w:rsidRPr="00A25024">
        <w:rPr>
          <w:rFonts w:eastAsia="MS Gothic" w:cstheme="minorHAnsi"/>
          <w:b/>
          <w:bCs/>
        </w:rPr>
        <w:t xml:space="preserve"> </w:t>
      </w:r>
      <w:r w:rsidR="00A41377" w:rsidRPr="00A25024">
        <w:rPr>
          <w:rFonts w:eastAsia="MS Gothic" w:cstheme="minorHAnsi"/>
          <w:b/>
          <w:bCs/>
        </w:rPr>
        <w:t>as a</w:t>
      </w:r>
      <w:r w:rsidR="00241591">
        <w:rPr>
          <w:rFonts w:eastAsia="MS Gothic" w:cstheme="minorHAnsi"/>
          <w:b/>
          <w:bCs/>
        </w:rPr>
        <w:t>n</w:t>
      </w:r>
      <w:r w:rsidR="00A41377" w:rsidRPr="00A25024">
        <w:rPr>
          <w:rFonts w:eastAsia="MS Gothic" w:cstheme="minorHAnsi"/>
          <w:b/>
          <w:bCs/>
        </w:rPr>
        <w:t xml:space="preserve"> indicator</w:t>
      </w:r>
      <w:r w:rsidR="00A41377" w:rsidRPr="00A25024">
        <w:rPr>
          <w:rFonts w:eastAsia="MS Gothic" w:cstheme="minorHAnsi"/>
          <w:bCs/>
        </w:rPr>
        <w:t xml:space="preserve"> </w:t>
      </w:r>
      <w:r w:rsidR="00241591">
        <w:rPr>
          <w:rFonts w:eastAsia="MS Gothic" w:cstheme="minorHAnsi"/>
          <w:bCs/>
        </w:rPr>
        <w:t xml:space="preserve">of quality or resource use </w:t>
      </w:r>
      <w:r w:rsidR="00A41377" w:rsidRPr="00A25024">
        <w:rPr>
          <w:rFonts w:eastAsia="MS Gothic" w:cstheme="minorHAnsi"/>
          <w:bCs/>
        </w:rPr>
        <w:t>(</w:t>
      </w:r>
      <w:r w:rsidR="00D1754D" w:rsidRPr="00A25024">
        <w:rPr>
          <w:rFonts w:eastAsia="MS Gothic" w:cstheme="minorHAnsi"/>
          <w:bCs/>
          <w:i/>
        </w:rPr>
        <w:t xml:space="preserve">i.e., is an </w:t>
      </w:r>
      <w:r w:rsidR="00A41377" w:rsidRPr="00A25024">
        <w:rPr>
          <w:rFonts w:eastAsia="MS Gothic" w:cstheme="minorHAnsi"/>
          <w:bCs/>
          <w:i/>
        </w:rPr>
        <w:t>accurate reflection of</w:t>
      </w:r>
      <w:r w:rsidR="006D6BC1">
        <w:rPr>
          <w:rFonts w:eastAsia="MS Gothic" w:cstheme="minorHAnsi"/>
          <w:bCs/>
          <w:i/>
        </w:rPr>
        <w:t xml:space="preserve"> </w:t>
      </w:r>
      <w:r w:rsidR="005149E7">
        <w:rPr>
          <w:rFonts w:eastAsia="MS Gothic" w:cstheme="minorHAnsi"/>
          <w:bCs/>
          <w:i/>
        </w:rPr>
        <w:t>performance</w:t>
      </w:r>
      <w:r w:rsidR="00A41377" w:rsidRPr="00A25024">
        <w:rPr>
          <w:rFonts w:eastAsia="MS Gothic" w:cstheme="minorHAnsi"/>
          <w:bCs/>
          <w:i/>
        </w:rPr>
        <w:t xml:space="preserve"> </w:t>
      </w:r>
      <w:r w:rsidR="000414E8">
        <w:rPr>
          <w:rFonts w:eastAsia="MS Gothic" w:cstheme="minorHAnsi"/>
          <w:bCs/>
          <w:i/>
        </w:rPr>
        <w:t xml:space="preserve">on </w:t>
      </w:r>
      <w:r w:rsidR="00241591">
        <w:rPr>
          <w:rFonts w:eastAsia="MS Gothic" w:cstheme="minorHAnsi"/>
          <w:bCs/>
          <w:i/>
        </w:rPr>
        <w:t xml:space="preserve">quality or resource use </w:t>
      </w:r>
      <w:r w:rsidR="00A41377" w:rsidRPr="00A25024">
        <w:rPr>
          <w:rFonts w:eastAsia="MS Gothic" w:cstheme="minorHAnsi"/>
          <w:bCs/>
          <w:i/>
        </w:rPr>
        <w:t xml:space="preserve">and can distinguish </w:t>
      </w:r>
      <w:r w:rsidR="000414E8">
        <w:rPr>
          <w:rFonts w:eastAsia="MS Gothic" w:cstheme="minorHAnsi"/>
          <w:bCs/>
          <w:i/>
        </w:rPr>
        <w:t>good from poor p</w:t>
      </w:r>
      <w:r w:rsidR="005149E7">
        <w:rPr>
          <w:rFonts w:eastAsia="MS Gothic" w:cstheme="minorHAnsi"/>
          <w:bCs/>
          <w:i/>
        </w:rPr>
        <w:t>erformance</w:t>
      </w:r>
      <w:r w:rsidR="00A41377" w:rsidRPr="00A25024">
        <w:rPr>
          <w:rFonts w:eastAsia="MS Gothic" w:cstheme="minorHAnsi"/>
          <w:bCs/>
        </w:rPr>
        <w:t>)</w:t>
      </w:r>
      <w:r w:rsidR="00275563">
        <w:rPr>
          <w:rFonts w:eastAsia="MS Gothic" w:cstheme="minorHAnsi"/>
          <w:bCs/>
        </w:rPr>
        <w:t xml:space="preserve">  </w:t>
      </w:r>
      <w:r w:rsidR="00275563" w:rsidRPr="000F1B7A">
        <w:rPr>
          <w:rFonts w:eastAsia="MS Gothic" w:cstheme="minorHAnsi"/>
          <w:b/>
          <w:bCs/>
        </w:rPr>
        <w:t>NOTE</w:t>
      </w:r>
      <w:r w:rsidR="00275563">
        <w:rPr>
          <w:rFonts w:eastAsia="MS Gothic" w:cstheme="minorHAnsi"/>
          <w:bCs/>
        </w:rPr>
        <w:t>:  Empirical validity testing is expected at time of maintenance review; if not possible, justification is required.</w:t>
      </w:r>
    </w:p>
    <w:p w14:paraId="0CABCFDA" w14:textId="77777777" w:rsidR="00CA06D8" w:rsidRPr="00A25024" w:rsidRDefault="00CA06D8" w:rsidP="00DB3627">
      <w:pPr>
        <w:autoSpaceDE w:val="0"/>
        <w:autoSpaceDN w:val="0"/>
        <w:adjustRightInd w:val="0"/>
        <w:spacing w:after="0" w:line="240" w:lineRule="auto"/>
        <w:rPr>
          <w:rFonts w:cstheme="minorHAnsi"/>
        </w:rPr>
      </w:pPr>
    </w:p>
    <w:p w14:paraId="5EFDDC0D" w14:textId="757AE7B4" w:rsidR="00EA53AF" w:rsidRDefault="009C7513" w:rsidP="00EA53AF">
      <w:pPr>
        <w:rPr>
          <w:rFonts w:cstheme="minorHAnsi"/>
          <w:bCs/>
          <w:i/>
        </w:rPr>
      </w:pPr>
      <w:r>
        <w:rPr>
          <w:rFonts w:cstheme="minorHAnsi"/>
          <w:b/>
          <w:bCs/>
        </w:rPr>
        <w:lastRenderedPageBreak/>
        <w:t>2b1</w:t>
      </w:r>
      <w:r w:rsidR="00092566">
        <w:rPr>
          <w:rFonts w:cstheme="minorHAnsi"/>
          <w:b/>
          <w:bCs/>
        </w:rPr>
        <w:t>.</w:t>
      </w:r>
      <w:r w:rsidR="007757CE" w:rsidRPr="00A25024">
        <w:rPr>
          <w:rFonts w:cstheme="minorHAnsi"/>
          <w:b/>
          <w:bCs/>
        </w:rPr>
        <w:t xml:space="preserve">2. For each level </w:t>
      </w:r>
      <w:r w:rsidR="008F7E67">
        <w:rPr>
          <w:rFonts w:cstheme="minorHAnsi"/>
          <w:b/>
          <w:bCs/>
        </w:rPr>
        <w:t xml:space="preserve">of testing </w:t>
      </w:r>
      <w:r w:rsidR="007757CE" w:rsidRPr="00A25024">
        <w:rPr>
          <w:rFonts w:cstheme="minorHAnsi"/>
          <w:b/>
          <w:bCs/>
        </w:rPr>
        <w:t>checked above, describe the method of validity testing and what it tests</w:t>
      </w:r>
      <w:r w:rsidR="00833325" w:rsidRPr="00A25024">
        <w:rPr>
          <w:rFonts w:cstheme="minorHAnsi"/>
          <w:bCs/>
        </w:rPr>
        <w:t xml:space="preserve"> (</w:t>
      </w:r>
      <w:r w:rsidR="007757CE" w:rsidRPr="00A25024">
        <w:rPr>
          <w:rFonts w:cstheme="minorHAnsi"/>
          <w:bCs/>
          <w:i/>
        </w:rPr>
        <w:t>describe the steps―</w:t>
      </w:r>
      <w:r w:rsidR="00696262" w:rsidRPr="00A25024">
        <w:rPr>
          <w:rFonts w:cstheme="minorHAnsi"/>
          <w:bCs/>
          <w:i/>
        </w:rPr>
        <w:t xml:space="preserve">do </w:t>
      </w:r>
      <w:r w:rsidR="00A25024" w:rsidRPr="00A25024">
        <w:rPr>
          <w:rFonts w:cstheme="minorHAnsi"/>
          <w:bCs/>
          <w:i/>
        </w:rPr>
        <w:t xml:space="preserve">not just name a method; what was </w:t>
      </w:r>
      <w:r w:rsidR="00696262" w:rsidRPr="00A25024">
        <w:rPr>
          <w:rFonts w:cstheme="minorHAnsi"/>
          <w:bCs/>
          <w:i/>
        </w:rPr>
        <w:t>tested, e.g., accuracy of data elements compared to authoritative source, relationship to a</w:t>
      </w:r>
      <w:r w:rsidR="0022691B">
        <w:rPr>
          <w:rFonts w:cstheme="minorHAnsi"/>
          <w:bCs/>
          <w:i/>
        </w:rPr>
        <w:t>nother measure as expected; what statistical analysis was used</w:t>
      </w:r>
      <w:r w:rsidR="00696262" w:rsidRPr="00A25024">
        <w:rPr>
          <w:rFonts w:cstheme="minorHAnsi"/>
          <w:bCs/>
          <w:i/>
        </w:rPr>
        <w:t>)</w:t>
      </w:r>
    </w:p>
    <w:p w14:paraId="3F0ED8B2" w14:textId="32DBA4FE" w:rsidR="00EA53AF" w:rsidRPr="0091420A" w:rsidRDefault="00EA53AF" w:rsidP="006962D0">
      <w:pPr>
        <w:spacing w:after="0" w:line="240" w:lineRule="auto"/>
        <w:rPr>
          <w:rFonts w:cs="Arial"/>
          <w:b/>
          <w:bCs/>
        </w:rPr>
      </w:pPr>
      <w:r w:rsidRPr="0091420A">
        <w:rPr>
          <w:rFonts w:cs="Arial"/>
        </w:rPr>
        <w:t xml:space="preserve">At the time this measure was originally tested measure validity was assessed via survey and focus groups of hospitals participating in the pilot test.  All measure specifications, including population identification, numerator and denominator statements, and data elements and their definitions were found to be understandable, retrievable, and relevant. </w:t>
      </w:r>
    </w:p>
    <w:p w14:paraId="4EFB035B" w14:textId="77777777" w:rsidR="0091420A" w:rsidRPr="0091420A" w:rsidRDefault="0091420A" w:rsidP="006962D0">
      <w:pPr>
        <w:spacing w:after="0" w:line="240" w:lineRule="auto"/>
        <w:rPr>
          <w:rFonts w:cs="Arial"/>
        </w:rPr>
      </w:pPr>
    </w:p>
    <w:p w14:paraId="0CABCFDD" w14:textId="548C2D78" w:rsidR="00833325" w:rsidRPr="009D78A0" w:rsidRDefault="00EA53AF" w:rsidP="006962D0">
      <w:pPr>
        <w:spacing w:after="0" w:line="240" w:lineRule="auto"/>
        <w:rPr>
          <w:rFonts w:ascii="Arial Narrow" w:hAnsi="Arial Narrow" w:cs="Arial"/>
          <w:color w:val="0000FF"/>
        </w:rPr>
      </w:pPr>
      <w:r w:rsidRPr="0091420A">
        <w:rPr>
          <w:rFonts w:cs="Arial"/>
        </w:rPr>
        <w:t>Since the measure has been in national use, continued face validity of the measure has been determined through analysis of feedback from measure users.  The Joint Commission provides a web-based application with which measure users can provide feedback regarding appropriateness of measure specifications, request clarification of specifications, and/or provide other comments pertinent to the measure.  This feedback is systematically, continually, reviewed in order to identify trends and to identify areas of the measure specifications that require clarification or revision.  Additionally, Joint Commission staff continually monitors the national literature and environment in order to assess continued validity of this measure.  And finally, the crosswalk from ICD-9-CM diagnosis codes to ICD-10-CM diagnosis codes has been completed and reviewed by the Technical Advisory Panel for face validity. The panel has determined that the intent of the measure has not changed as a result of the conversion. The crosswalk will also be posted in the next version of the specifications manual for public comment during 2013, and results of feedback will be reviewed and incorporated into the crosswalk where indicated.</w:t>
      </w:r>
      <w:r>
        <w:rPr>
          <w:rFonts w:ascii="Arial Narrow" w:hAnsi="Arial Narrow" w:cs="Arial"/>
          <w:color w:val="0000FF"/>
        </w:rPr>
        <w:t xml:space="preserve"> </w:t>
      </w:r>
      <w:r w:rsidR="009D78A0">
        <w:rPr>
          <w:rFonts w:ascii="Arial Narrow" w:hAnsi="Arial Narrow" w:cs="Arial"/>
          <w:color w:val="0000FF"/>
        </w:rPr>
        <w:t xml:space="preserve"> </w:t>
      </w:r>
    </w:p>
    <w:p w14:paraId="7AFDEC69" w14:textId="77777777" w:rsidR="006962D0" w:rsidRDefault="006962D0" w:rsidP="009D78A0">
      <w:pPr>
        <w:autoSpaceDE w:val="0"/>
        <w:autoSpaceDN w:val="0"/>
        <w:adjustRightInd w:val="0"/>
        <w:spacing w:after="0" w:line="240" w:lineRule="auto"/>
        <w:rPr>
          <w:rFonts w:cstheme="minorHAnsi"/>
          <w:b/>
          <w:bCs/>
        </w:rPr>
      </w:pPr>
    </w:p>
    <w:p w14:paraId="0717DB28" w14:textId="3E198AFC" w:rsidR="00EA53AF" w:rsidRDefault="009C7513" w:rsidP="009D78A0">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3. </w:t>
      </w:r>
      <w:proofErr w:type="gramStart"/>
      <w:r w:rsidR="00833325" w:rsidRPr="00A25024">
        <w:rPr>
          <w:rFonts w:cstheme="minorHAnsi"/>
          <w:b/>
          <w:bCs/>
        </w:rPr>
        <w:t>What</w:t>
      </w:r>
      <w:proofErr w:type="gramEnd"/>
      <w:r w:rsidR="00833325" w:rsidRPr="00A25024">
        <w:rPr>
          <w:rFonts w:cstheme="minorHAnsi"/>
          <w:b/>
          <w:bCs/>
        </w:rPr>
        <w:t xml:space="preserve"> were the </w:t>
      </w:r>
      <w:r w:rsidR="00833325" w:rsidRPr="006713F9">
        <w:rPr>
          <w:rFonts w:cstheme="minorHAnsi"/>
          <w:b/>
          <w:bCs/>
        </w:rPr>
        <w:t>statistical</w:t>
      </w:r>
      <w:r w:rsidR="00833325" w:rsidRPr="00A25024">
        <w:rPr>
          <w:rFonts w:cstheme="minorHAnsi"/>
          <w:b/>
          <w:bCs/>
        </w:rPr>
        <w:t xml:space="preserve"> results </w:t>
      </w:r>
      <w:r w:rsidR="007422FD" w:rsidRPr="00A25024">
        <w:rPr>
          <w:rFonts w:cstheme="minorHAnsi"/>
          <w:b/>
          <w:bCs/>
        </w:rPr>
        <w:t xml:space="preserve">from </w:t>
      </w:r>
      <w:r w:rsidR="00EC79DE" w:rsidRPr="00A25024">
        <w:rPr>
          <w:rFonts w:cstheme="minorHAnsi"/>
          <w:b/>
          <w:bCs/>
        </w:rPr>
        <w:t>validity</w:t>
      </w:r>
      <w:r w:rsidR="007422FD" w:rsidRPr="00A25024">
        <w:rPr>
          <w:rFonts w:cstheme="minorHAnsi"/>
          <w:b/>
          <w:bCs/>
        </w:rPr>
        <w:t xml:space="preserve"> testing</w:t>
      </w:r>
      <w:r w:rsidR="00833325" w:rsidRPr="00A25024">
        <w:rPr>
          <w:rFonts w:cstheme="minorHAnsi"/>
          <w:bCs/>
        </w:rPr>
        <w:t xml:space="preserve">? </w:t>
      </w:r>
      <w:r w:rsidR="00AA5213" w:rsidRPr="00A25024">
        <w:rPr>
          <w:rFonts w:cstheme="minorHAnsi"/>
          <w:bCs/>
        </w:rPr>
        <w:t>(</w:t>
      </w:r>
      <w:r w:rsidR="00AA5213" w:rsidRPr="0022691B">
        <w:rPr>
          <w:rFonts w:cstheme="minorHAnsi"/>
          <w:bCs/>
          <w:i/>
        </w:rPr>
        <w:t xml:space="preserve">e.g., correlation; </w:t>
      </w:r>
      <w:r w:rsidR="001F1DA1">
        <w:rPr>
          <w:rFonts w:cstheme="minorHAnsi"/>
          <w:bCs/>
          <w:i/>
        </w:rPr>
        <w:t>t-test</w:t>
      </w:r>
      <w:r w:rsidR="00AA5213" w:rsidRPr="0022691B">
        <w:rPr>
          <w:rFonts w:cstheme="minorHAnsi"/>
          <w:bCs/>
        </w:rPr>
        <w:t>)</w:t>
      </w:r>
      <w:r w:rsidR="008238D4">
        <w:rPr>
          <w:rFonts w:cstheme="minorHAnsi"/>
          <w:bCs/>
        </w:rPr>
        <w:t xml:space="preserve"> </w:t>
      </w:r>
    </w:p>
    <w:p w14:paraId="3D809C9B" w14:textId="44253FB0" w:rsidR="00D81127" w:rsidRPr="00D81127" w:rsidRDefault="00D81127" w:rsidP="001D58C8">
      <w:pPr>
        <w:spacing w:after="0" w:line="240" w:lineRule="auto"/>
        <w:rPr>
          <w:rFonts w:cstheme="minorHAnsi"/>
          <w:bCs/>
          <w:color w:val="FF0000"/>
        </w:rPr>
      </w:pPr>
      <w:r w:rsidRPr="00D81127">
        <w:rPr>
          <w:rFonts w:cstheme="minorHAnsi"/>
          <w:color w:val="FF0000"/>
        </w:rPr>
        <w:t>Tests for correlations between HBIPS-3 and the remaining HBIPS measures (HBIPS-1, HBIPS-2, HBIPS-5) are</w:t>
      </w:r>
      <w:r w:rsidR="006713F9">
        <w:rPr>
          <w:rFonts w:cstheme="minorHAnsi"/>
          <w:color w:val="FF0000"/>
        </w:rPr>
        <w:t xml:space="preserve"> </w:t>
      </w:r>
      <w:r w:rsidRPr="00D81127">
        <w:rPr>
          <w:color w:val="FF0000"/>
        </w:rPr>
        <w:t xml:space="preserve">-0.00875 (p=0.8144), 0.21596 (p&lt;0.001), and -0.04642 (p=0.2164), respectively. This indicates that there are no statistically significant correlations between HBIPS-3 and HBIPS-1 and HBIPS-5.  There is a slight positive correlation between HBIPS-3 and HBIPS-2.  Employing a longitudinal Poisson regression model of hours of </w:t>
      </w:r>
      <w:r w:rsidR="00FF4A85">
        <w:rPr>
          <w:color w:val="FF0000"/>
        </w:rPr>
        <w:t>seclusion</w:t>
      </w:r>
      <w:r w:rsidRPr="00D81127">
        <w:rPr>
          <w:color w:val="FF0000"/>
        </w:rPr>
        <w:t xml:space="preserve"> with total patient hours as the offset term and the hospital as a random effect yields a significant improvement of rates over time (p&lt;0.0001).</w:t>
      </w:r>
    </w:p>
    <w:p w14:paraId="2E48C91B" w14:textId="77777777" w:rsidR="0091420A" w:rsidRDefault="0091420A" w:rsidP="001D58C8">
      <w:pPr>
        <w:spacing w:after="0" w:line="240" w:lineRule="auto"/>
        <w:rPr>
          <w:rFonts w:cstheme="minorHAnsi"/>
          <w:bCs/>
          <w:color w:val="FF0000"/>
        </w:rPr>
      </w:pPr>
    </w:p>
    <w:p w14:paraId="74F5CDEB" w14:textId="12AB8E48" w:rsidR="001D58C8" w:rsidRDefault="001D58C8" w:rsidP="001D58C8">
      <w:pPr>
        <w:spacing w:after="0" w:line="240" w:lineRule="auto"/>
        <w:rPr>
          <w:rFonts w:ascii="Arial Narrow" w:hAnsi="Arial Narrow" w:cs="Arial"/>
          <w:color w:val="0000FF"/>
          <w:highlight w:val="yellow"/>
        </w:rPr>
      </w:pPr>
      <w:r>
        <w:rPr>
          <w:rFonts w:cstheme="minorHAnsi"/>
          <w:bCs/>
          <w:color w:val="FF0000"/>
        </w:rPr>
        <w:t xml:space="preserve">Queries submitted via the automated feedback system have decreased significantly for the HBIPS measure set in the past 3 years.  (522 in 2016, 288 in 2017, 187 for 2018 YTD).  There have been no major issues with the data elements for this measure.  </w:t>
      </w:r>
      <w:r w:rsidRPr="001C0D1A">
        <w:rPr>
          <w:color w:val="FF0000"/>
        </w:rPr>
        <w:t xml:space="preserve">Notes for Abstraction were updated </w:t>
      </w:r>
      <w:r>
        <w:rPr>
          <w:color w:val="FF0000"/>
        </w:rPr>
        <w:t xml:space="preserve">for the data element Minutes of Seclusion </w:t>
      </w:r>
      <w:r w:rsidRPr="001C0D1A">
        <w:rPr>
          <w:color w:val="FF0000"/>
        </w:rPr>
        <w:t>to clarify the priority for tracking time in restraint vs. seclusion when a patient is placed in restraint and seclusion at the same time</w:t>
      </w:r>
      <w:r>
        <w:rPr>
          <w:color w:val="FF0000"/>
        </w:rPr>
        <w:t>.</w:t>
      </w:r>
    </w:p>
    <w:p w14:paraId="3BB3833B" w14:textId="77777777" w:rsidR="001D58C8" w:rsidRDefault="001D58C8" w:rsidP="001D58C8">
      <w:pPr>
        <w:spacing w:after="0" w:line="240" w:lineRule="auto"/>
        <w:rPr>
          <w:rFonts w:cs="Arial"/>
        </w:rPr>
      </w:pPr>
    </w:p>
    <w:p w14:paraId="4A1E01DD" w14:textId="77777777" w:rsidR="00EA53AF" w:rsidRDefault="00EA53AF" w:rsidP="001D58C8">
      <w:pPr>
        <w:spacing w:after="0" w:line="240" w:lineRule="auto"/>
        <w:rPr>
          <w:rFonts w:cs="Arial"/>
        </w:rPr>
      </w:pPr>
      <w:r w:rsidRPr="001D58C8">
        <w:rPr>
          <w:rFonts w:cs="Arial"/>
        </w:rPr>
        <w:t>Analysis of feedback obtained via our automated feedback system reveals only a few submissions regarding specifications for this measure over the past three years. Predominant themes of these submissions involved questions regarding clarification that the data is reported concurrently and is not based on a discharge date, that a locked unit does not constitute seclusion and seclusion events occurring in the emergency room prior to admission to the psychiatric care setting are not included for the purposes of this measure. The definition of seclusion and examples of seclusion for this measure were taken verbatim from 42 CFR Part 482, Medicare and Medicaid Programs; Hospital Conditions of Participation: Patient’s Rights.</w:t>
      </w:r>
    </w:p>
    <w:p w14:paraId="70BE5575" w14:textId="77777777" w:rsidR="001D58C8" w:rsidRPr="001D58C8" w:rsidRDefault="001D58C8" w:rsidP="001D58C8">
      <w:pPr>
        <w:spacing w:after="0" w:line="240" w:lineRule="auto"/>
        <w:rPr>
          <w:rFonts w:cs="Arial"/>
        </w:rPr>
      </w:pPr>
    </w:p>
    <w:p w14:paraId="7C3A62E8" w14:textId="77777777" w:rsidR="00EA53AF" w:rsidRDefault="00EA53AF" w:rsidP="001D58C8">
      <w:pPr>
        <w:spacing w:after="0" w:line="240" w:lineRule="auto"/>
        <w:rPr>
          <w:rFonts w:cs="Arial"/>
        </w:rPr>
      </w:pPr>
      <w:r w:rsidRPr="001D58C8">
        <w:rPr>
          <w:rFonts w:cs="Arial"/>
        </w:rPr>
        <w:lastRenderedPageBreak/>
        <w:t xml:space="preserve">Face validity was tested by a total of 40 hospitals during May and June 2006. Measure information was sent to the test hospitals for review.  In addition, three site visits with focus interviews were conducted. One site visit had a total of nine state hospitals represented. Criterion validity was evaluated during the focus group interviews conducted during the reliability site visits as well as through an online survey that all pilot hospitals were invited to complete. </w:t>
      </w:r>
    </w:p>
    <w:p w14:paraId="50E16057" w14:textId="77777777" w:rsidR="001D58C8" w:rsidRPr="001D58C8" w:rsidRDefault="001D58C8" w:rsidP="001D58C8">
      <w:pPr>
        <w:spacing w:after="0" w:line="240" w:lineRule="auto"/>
        <w:rPr>
          <w:rFonts w:cs="Arial"/>
        </w:rPr>
      </w:pPr>
    </w:p>
    <w:p w14:paraId="55F61F08" w14:textId="77777777" w:rsidR="00EA53AF" w:rsidRPr="001D58C8" w:rsidRDefault="00EA53AF" w:rsidP="001D58C8">
      <w:pPr>
        <w:autoSpaceDE w:val="0"/>
        <w:autoSpaceDN w:val="0"/>
        <w:adjustRightInd w:val="0"/>
        <w:spacing w:after="0" w:line="240" w:lineRule="auto"/>
        <w:rPr>
          <w:rFonts w:cs="Arial"/>
        </w:rPr>
      </w:pPr>
      <w:r w:rsidRPr="001D58C8">
        <w:rPr>
          <w:rFonts w:cs="Arial"/>
        </w:rPr>
        <w:t xml:space="preserve">The measure information form and the data dictionary were evaluated for face validity. The following parts of the measure information form were evaluated: numerator statement, numerator inclusions, numerator exclusions, denominator statement, denominator inclusions, denominator exclusions and an overall understanding of the measure information form. Each area was scored utilizing a five-point </w:t>
      </w:r>
      <w:proofErr w:type="spellStart"/>
      <w:r w:rsidRPr="001D58C8">
        <w:rPr>
          <w:rFonts w:cs="Arial"/>
        </w:rPr>
        <w:t>likert</w:t>
      </w:r>
      <w:proofErr w:type="spellEnd"/>
      <w:r w:rsidRPr="001D58C8">
        <w:rPr>
          <w:rFonts w:cs="Arial"/>
        </w:rPr>
        <w:t xml:space="preserve"> scale. For each data element, the hospitals were asked to comment on the clarity and understanding of the abstraction guidelines and data definitions. And finally, the data dictionary was reviewed for overall understanding, usefulness and overall clarity utilizing a five-point </w:t>
      </w:r>
      <w:proofErr w:type="spellStart"/>
      <w:r w:rsidRPr="001D58C8">
        <w:rPr>
          <w:rFonts w:cs="Arial"/>
        </w:rPr>
        <w:t>likert</w:t>
      </w:r>
      <w:proofErr w:type="spellEnd"/>
      <w:r w:rsidRPr="001D58C8">
        <w:rPr>
          <w:rFonts w:cs="Arial"/>
        </w:rPr>
        <w:t xml:space="preserve"> scale. Qualitative analysis was performed on measure feedback received during the focus group interviews and from the online surveys.   </w:t>
      </w:r>
    </w:p>
    <w:p w14:paraId="42D887FF" w14:textId="34C23E13" w:rsidR="009D78A0" w:rsidRPr="001D58C8" w:rsidRDefault="00833325" w:rsidP="001D58C8">
      <w:pPr>
        <w:autoSpaceDE w:val="0"/>
        <w:autoSpaceDN w:val="0"/>
        <w:adjustRightInd w:val="0"/>
        <w:spacing w:after="0" w:line="240" w:lineRule="auto"/>
        <w:rPr>
          <w:rFonts w:cstheme="minorHAnsi"/>
          <w:bCs/>
        </w:rPr>
      </w:pPr>
      <w:r w:rsidRPr="001D58C8">
        <w:rPr>
          <w:rFonts w:cstheme="minorHAnsi"/>
          <w:bCs/>
        </w:rPr>
        <w:br/>
      </w:r>
      <w:r w:rsidR="009D78A0" w:rsidRPr="001D58C8">
        <w:rPr>
          <w:rFonts w:cs="Arial"/>
        </w:rPr>
        <w:t xml:space="preserve">A total of 36 hospitals completed the face validity evaluation and rated the overall understanding of the measure as follows: very good n=18, good n=13, average n=5, poor n=0 and very poor n=0. Modifications to improve the understanding and clarity of the measure specifications were made prior to pilot testing based on feedback received from the hospitals during the face validity evaluation. Analysis of the focus group discussions </w:t>
      </w:r>
      <w:r w:rsidR="00EA53AF" w:rsidRPr="001D58C8">
        <w:rPr>
          <w:rFonts w:cs="Arial"/>
        </w:rPr>
        <w:t xml:space="preserve">and the online survey revealed </w:t>
      </w:r>
      <w:r w:rsidR="009D78A0" w:rsidRPr="001D58C8">
        <w:rPr>
          <w:rFonts w:cs="Arial"/>
        </w:rPr>
        <w:t>a majority of the pilot hospitals recommended moving the measure forward in the final measure set with suggested modifications. Since that time continual feedback from customers has not indicated a change in their perception of the measure. Also, this measure has been evaluated for validity and adopted for use in a national reimbursement program (CMS).</w:t>
      </w:r>
    </w:p>
    <w:p w14:paraId="0CABCFDE" w14:textId="6F9D7309" w:rsidR="007422FD" w:rsidRPr="00092566" w:rsidRDefault="007422FD" w:rsidP="00092566">
      <w:pPr>
        <w:autoSpaceDE w:val="0"/>
        <w:autoSpaceDN w:val="0"/>
        <w:adjustRightInd w:val="0"/>
        <w:spacing w:after="0" w:line="240" w:lineRule="auto"/>
        <w:rPr>
          <w:rFonts w:cstheme="minorHAnsi"/>
          <w:bCs/>
        </w:rPr>
      </w:pPr>
    </w:p>
    <w:p w14:paraId="3957D957" w14:textId="5F6FFAD8" w:rsidR="0091420A" w:rsidRDefault="009C7513" w:rsidP="00DB3627">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4. </w:t>
      </w:r>
      <w:proofErr w:type="gramStart"/>
      <w:r w:rsidR="000B2DF7" w:rsidRPr="00A25024">
        <w:rPr>
          <w:rFonts w:cstheme="minorHAnsi"/>
          <w:b/>
          <w:bCs/>
        </w:rPr>
        <w:t>What</w:t>
      </w:r>
      <w:proofErr w:type="gramEnd"/>
      <w:r w:rsidR="000B2DF7" w:rsidRPr="00A25024">
        <w:rPr>
          <w:rFonts w:cstheme="minorHAnsi"/>
          <w:b/>
          <w:bCs/>
        </w:rPr>
        <w:t xml:space="preserve"> is your interpretation of the results </w:t>
      </w:r>
      <w:r w:rsidR="007422FD" w:rsidRPr="00A25024">
        <w:rPr>
          <w:rFonts w:cstheme="minorHAnsi"/>
          <w:b/>
          <w:bCs/>
        </w:rPr>
        <w:t>in terms of demonstrating validity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A25024" w:rsidRPr="00A25024">
        <w:rPr>
          <w:rFonts w:cstheme="minorHAnsi"/>
          <w:bCs/>
          <w:i/>
        </w:rPr>
        <w:t>?</w:t>
      </w:r>
      <w:r w:rsidR="000B2DF7" w:rsidRPr="00A25024">
        <w:rPr>
          <w:rFonts w:cstheme="minorHAnsi"/>
          <w:bCs/>
        </w:rPr>
        <w:t>)</w:t>
      </w:r>
      <w:r w:rsidR="007422FD" w:rsidRPr="00A25024">
        <w:rPr>
          <w:rFonts w:cstheme="minorHAnsi"/>
          <w:bCs/>
        </w:rPr>
        <w:br/>
      </w:r>
    </w:p>
    <w:p w14:paraId="5EBB96B5" w14:textId="1E34CA13" w:rsidR="00AA4CED" w:rsidRDefault="00AA4CED" w:rsidP="00DB3627">
      <w:pPr>
        <w:autoSpaceDE w:val="0"/>
        <w:autoSpaceDN w:val="0"/>
        <w:adjustRightInd w:val="0"/>
        <w:spacing w:after="0" w:line="240" w:lineRule="auto"/>
        <w:rPr>
          <w:rFonts w:cstheme="minorHAnsi"/>
          <w:bCs/>
        </w:rPr>
      </w:pPr>
      <w:r w:rsidRPr="0075281B">
        <w:rPr>
          <w:rFonts w:cstheme="minorHAnsi"/>
          <w:bCs/>
          <w:color w:val="FF0000"/>
        </w:rPr>
        <w:t xml:space="preserve">The positive correlation between </w:t>
      </w:r>
      <w:r>
        <w:rPr>
          <w:rFonts w:cstheme="minorHAnsi"/>
          <w:bCs/>
          <w:color w:val="FF0000"/>
        </w:rPr>
        <w:t>HBIPS-3 and HBIPS-2 validates the use of these 2 measures for evaluating quality of care in the behavioral health setting.</w:t>
      </w:r>
    </w:p>
    <w:p w14:paraId="5D9175B8" w14:textId="77777777" w:rsidR="00AA4CED" w:rsidRDefault="00AA4CED" w:rsidP="00DB3627">
      <w:pPr>
        <w:autoSpaceDE w:val="0"/>
        <w:autoSpaceDN w:val="0"/>
        <w:adjustRightInd w:val="0"/>
        <w:spacing w:after="0" w:line="240" w:lineRule="auto"/>
        <w:rPr>
          <w:rFonts w:cstheme="minorHAnsi"/>
          <w:bCs/>
        </w:rPr>
      </w:pPr>
    </w:p>
    <w:p w14:paraId="0CABCFDF" w14:textId="7A39B1D9" w:rsidR="007422FD" w:rsidRDefault="00EA53AF" w:rsidP="00DB3627">
      <w:pPr>
        <w:autoSpaceDE w:val="0"/>
        <w:autoSpaceDN w:val="0"/>
        <w:adjustRightInd w:val="0"/>
        <w:spacing w:after="0" w:line="240" w:lineRule="auto"/>
        <w:rPr>
          <w:rFonts w:cstheme="minorHAnsi"/>
          <w:bCs/>
        </w:rPr>
      </w:pPr>
      <w:r w:rsidRPr="006962D0">
        <w:rPr>
          <w:rFonts w:cstheme="minorHAnsi"/>
          <w:bCs/>
        </w:rPr>
        <w:t>The measure has considerable face validity which has been improved over time.</w:t>
      </w:r>
    </w:p>
    <w:p w14:paraId="0CABCFE0" w14:textId="77777777" w:rsidR="008A403A" w:rsidRPr="00A25024" w:rsidRDefault="00483E94" w:rsidP="00DB3627">
      <w:pPr>
        <w:autoSpaceDE w:val="0"/>
        <w:autoSpaceDN w:val="0"/>
        <w:adjustRightInd w:val="0"/>
        <w:spacing w:after="0" w:line="240" w:lineRule="auto"/>
        <w:rPr>
          <w:rFonts w:cstheme="minorHAnsi"/>
          <w:bCs/>
        </w:rPr>
      </w:pPr>
      <w:r>
        <w:rPr>
          <w:rFonts w:cstheme="minorHAnsi"/>
          <w:bCs/>
        </w:rPr>
        <w:t>_________________________</w:t>
      </w:r>
    </w:p>
    <w:p w14:paraId="0CABCFE1" w14:textId="5D7F87B5" w:rsidR="00097012" w:rsidRPr="00A25024"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009C7513">
        <w:rPr>
          <w:rFonts w:cstheme="minorHAnsi"/>
          <w:b/>
          <w:bCs/>
        </w:rPr>
        <w:t>2.</w:t>
      </w:r>
      <w:r w:rsidRPr="00A25024">
        <w:rPr>
          <w:rFonts w:cstheme="minorHAnsi"/>
          <w:b/>
          <w:bCs/>
        </w:rPr>
        <w:t xml:space="preserve"> EXCLUSIONS</w:t>
      </w:r>
      <w:r w:rsidR="005333CC" w:rsidRPr="00A25024">
        <w:rPr>
          <w:rFonts w:cstheme="minorHAnsi"/>
          <w:b/>
          <w:bCs/>
        </w:rPr>
        <w:t xml:space="preserve"> </w:t>
      </w:r>
      <w:r w:rsidR="00356BAD" w:rsidRPr="00A25024">
        <w:rPr>
          <w:rFonts w:cstheme="minorHAnsi"/>
          <w:b/>
          <w:bCs/>
        </w:rPr>
        <w:t>ANALYSIS</w:t>
      </w:r>
    </w:p>
    <w:p w14:paraId="0CABCFE2" w14:textId="5819247D" w:rsidR="00B037BA" w:rsidRPr="00A25024" w:rsidRDefault="001E4DD4" w:rsidP="00DB3627">
      <w:pPr>
        <w:autoSpaceDE w:val="0"/>
        <w:autoSpaceDN w:val="0"/>
        <w:adjustRightInd w:val="0"/>
        <w:spacing w:after="0" w:line="240" w:lineRule="auto"/>
        <w:rPr>
          <w:rFonts w:cstheme="minorHAnsi"/>
          <w:b/>
          <w:bCs/>
        </w:rPr>
      </w:pPr>
      <w:r w:rsidRPr="00A25024">
        <w:rPr>
          <w:rFonts w:eastAsia="MS Gothic" w:cstheme="minorHAnsi"/>
          <w:b/>
          <w:bCs/>
        </w:rPr>
        <w:t>NA</w:t>
      </w:r>
      <w:r w:rsidRPr="00A25024">
        <w:rPr>
          <w:rFonts w:eastAsia="MS Gothic" w:cstheme="minorHAnsi"/>
          <w:b/>
          <w:bCs/>
          <w:color w:val="0000FF"/>
        </w:rPr>
        <w:t xml:space="preserve"> </w:t>
      </w:r>
      <w:sdt>
        <w:sdtPr>
          <w:rPr>
            <w:rFonts w:cstheme="minorHAnsi"/>
            <w:bCs/>
            <w:color w:val="0000FF"/>
          </w:rPr>
          <w:id w:val="854622499"/>
          <w14:checkbox>
            <w14:checked w14:val="0"/>
            <w14:checkedState w14:val="2612" w14:font="MS Gothic"/>
            <w14:uncheckedState w14:val="2610" w14:font="MS Gothic"/>
          </w14:checkbox>
        </w:sdtPr>
        <w:sdtEndPr/>
        <w:sdtContent>
          <w:r w:rsidR="00EA53AF">
            <w:rPr>
              <w:rFonts w:ascii="MS Gothic" w:eastAsia="MS Gothic" w:hAnsi="MS Gothic" w:cstheme="minorHAnsi" w:hint="eastAsia"/>
              <w:bCs/>
              <w:color w:val="0000FF"/>
            </w:rPr>
            <w:t>☐</w:t>
          </w:r>
        </w:sdtContent>
      </w:sdt>
      <w:r w:rsidRPr="00A25024">
        <w:rPr>
          <w:rFonts w:eastAsia="MS Gothic" w:cstheme="minorHAnsi"/>
          <w:b/>
          <w:bCs/>
          <w:color w:val="0000FF"/>
        </w:rPr>
        <w:t xml:space="preserve"> </w:t>
      </w:r>
      <w:r w:rsidR="00484120" w:rsidRPr="00A25024">
        <w:rPr>
          <w:rFonts w:cstheme="minorHAnsi"/>
          <w:b/>
          <w:bCs/>
        </w:rPr>
        <w:t>no exclusions</w:t>
      </w:r>
      <w:r w:rsidRPr="00A25024">
        <w:rPr>
          <w:rFonts w:cstheme="minorHAnsi"/>
          <w:b/>
          <w:bCs/>
        </w:rPr>
        <w:t xml:space="preserve"> </w:t>
      </w:r>
      <w:r w:rsidRPr="00A25024">
        <w:rPr>
          <w:rFonts w:eastAsia="MS Gothic" w:cstheme="minorHAnsi"/>
          <w:b/>
          <w:bCs/>
          <w:color w:val="0000FF"/>
        </w:rPr>
        <w:t>—</w:t>
      </w:r>
      <w:r w:rsidRPr="00A25024">
        <w:rPr>
          <w:rFonts w:cstheme="minorHAnsi"/>
          <w:b/>
          <w:bCs/>
          <w:i/>
        </w:rPr>
        <w:t xml:space="preserve"> </w:t>
      </w:r>
      <w:r w:rsidR="00B037BA" w:rsidRPr="00A25024">
        <w:rPr>
          <w:rFonts w:cstheme="minorHAnsi"/>
          <w:b/>
          <w:bCs/>
          <w:i/>
          <w:highlight w:val="green"/>
        </w:rPr>
        <w:t xml:space="preserve">skip </w:t>
      </w:r>
      <w:r w:rsidR="008A4C13" w:rsidRPr="00A25024">
        <w:rPr>
          <w:rFonts w:cstheme="minorHAnsi"/>
          <w:b/>
          <w:bCs/>
          <w:i/>
          <w:highlight w:val="green"/>
        </w:rPr>
        <w:t xml:space="preserve">to </w:t>
      </w:r>
      <w:r w:rsidR="00BE592D">
        <w:rPr>
          <w:rFonts w:cstheme="minorHAnsi"/>
          <w:b/>
          <w:bCs/>
          <w:i/>
          <w:highlight w:val="green"/>
        </w:rPr>
        <w:t xml:space="preserve">section </w:t>
      </w:r>
      <w:hyperlink w:anchor="section2b4" w:history="1">
        <w:r w:rsidR="00483E94" w:rsidRPr="00BE592D">
          <w:rPr>
            <w:rStyle w:val="Hyperlink"/>
            <w:rFonts w:cstheme="minorHAnsi"/>
            <w:b/>
            <w:bCs/>
            <w:i/>
            <w:highlight w:val="green"/>
          </w:rPr>
          <w:t>2b</w:t>
        </w:r>
        <w:r w:rsidR="00AC1D8E" w:rsidRPr="00BE592D">
          <w:rPr>
            <w:rStyle w:val="Hyperlink"/>
            <w:rFonts w:cstheme="minorHAnsi"/>
            <w:b/>
            <w:bCs/>
            <w:i/>
            <w:highlight w:val="green"/>
          </w:rPr>
          <w:t>4</w:t>
        </w:r>
      </w:hyperlink>
    </w:p>
    <w:p w14:paraId="0CABCFE3" w14:textId="77777777" w:rsidR="00001D73" w:rsidRDefault="00001D73" w:rsidP="00DB3627">
      <w:pPr>
        <w:autoSpaceDE w:val="0"/>
        <w:autoSpaceDN w:val="0"/>
        <w:adjustRightInd w:val="0"/>
        <w:spacing w:after="0" w:line="240" w:lineRule="auto"/>
        <w:rPr>
          <w:rFonts w:cstheme="minorHAnsi"/>
          <w:b/>
          <w:bCs/>
        </w:rPr>
      </w:pPr>
    </w:p>
    <w:p w14:paraId="6AAC4C86" w14:textId="56219305" w:rsidR="0091420A" w:rsidRDefault="00092566" w:rsidP="006713F9">
      <w:pPr>
        <w:autoSpaceDE w:val="0"/>
        <w:autoSpaceDN w:val="0"/>
        <w:adjustRightInd w:val="0"/>
        <w:spacing w:after="0" w:line="240" w:lineRule="auto"/>
        <w:rPr>
          <w:rFonts w:cs="Arial"/>
        </w:rPr>
      </w:pPr>
      <w:r>
        <w:rPr>
          <w:rFonts w:cstheme="minorHAnsi"/>
          <w:b/>
          <w:bCs/>
        </w:rPr>
        <w:t>2b</w:t>
      </w:r>
      <w:r w:rsidR="009C7513">
        <w:rPr>
          <w:rFonts w:cstheme="minorHAnsi"/>
          <w:b/>
          <w:bCs/>
        </w:rPr>
        <w:t>2</w:t>
      </w:r>
      <w:r>
        <w:rPr>
          <w:rFonts w:cstheme="minorHAnsi"/>
          <w:b/>
          <w:bCs/>
        </w:rPr>
        <w:t>.</w:t>
      </w:r>
      <w:r w:rsidR="00A25024" w:rsidRPr="00A25024">
        <w:rPr>
          <w:rFonts w:cstheme="minorHAnsi"/>
          <w:b/>
          <w:bCs/>
        </w:rPr>
        <w:t>1. Describe the method of</w:t>
      </w:r>
      <w:r w:rsidR="00E672D6" w:rsidRPr="00A25024">
        <w:rPr>
          <w:rFonts w:cstheme="minorHAnsi"/>
          <w:b/>
          <w:bCs/>
        </w:rPr>
        <w:t xml:space="preserve"> </w:t>
      </w:r>
      <w:r w:rsidR="005333CC" w:rsidRPr="00A25024">
        <w:rPr>
          <w:rFonts w:cstheme="minorHAnsi"/>
          <w:b/>
          <w:bCs/>
        </w:rPr>
        <w:t>testing</w:t>
      </w:r>
      <w:r w:rsidR="00833325" w:rsidRPr="00A25024">
        <w:rPr>
          <w:rFonts w:cstheme="minorHAnsi"/>
          <w:b/>
          <w:bCs/>
        </w:rPr>
        <w:t xml:space="preserve"> </w:t>
      </w:r>
      <w:r w:rsidR="004B6CEE" w:rsidRPr="00A25024">
        <w:rPr>
          <w:rFonts w:cstheme="minorHAnsi"/>
          <w:b/>
          <w:bCs/>
        </w:rPr>
        <w:t xml:space="preserve">exclusions </w:t>
      </w:r>
      <w:r w:rsidR="00A25024" w:rsidRPr="00A25024">
        <w:rPr>
          <w:rFonts w:cstheme="minorHAnsi"/>
          <w:b/>
          <w:bCs/>
        </w:rPr>
        <w:t>and what it tests</w:t>
      </w:r>
      <w:r w:rsidR="00833325" w:rsidRPr="00A25024">
        <w:rPr>
          <w:rFonts w:cstheme="minorHAnsi"/>
          <w:bCs/>
        </w:rPr>
        <w:t xml:space="preserve"> (</w:t>
      </w:r>
      <w:r w:rsidR="00A25024" w:rsidRPr="00A25024">
        <w:rPr>
          <w:rFonts w:cstheme="minorHAnsi"/>
          <w:bCs/>
          <w:i/>
        </w:rPr>
        <w:t>describe the steps―do not just name a method; what was tested, e.g.,</w:t>
      </w:r>
      <w:r w:rsidR="00A25024">
        <w:rPr>
          <w:rFonts w:cstheme="minorHAnsi"/>
          <w:bCs/>
          <w:i/>
        </w:rPr>
        <w:t xml:space="preserve"> whether exclusions affect overall performance scores</w:t>
      </w:r>
      <w:r w:rsidR="0022691B">
        <w:rPr>
          <w:rFonts w:cstheme="minorHAnsi"/>
          <w:bCs/>
          <w:i/>
        </w:rPr>
        <w:t>; what statistical analysis was used</w:t>
      </w:r>
      <w:r w:rsidR="00833325" w:rsidRPr="00A25024">
        <w:rPr>
          <w:rFonts w:cstheme="minorHAnsi"/>
          <w:bCs/>
        </w:rPr>
        <w:t>)</w:t>
      </w:r>
      <w:r w:rsidR="00833325" w:rsidRPr="00A25024">
        <w:rPr>
          <w:rFonts w:cstheme="minorHAnsi"/>
          <w:bCs/>
        </w:rPr>
        <w:br/>
      </w:r>
    </w:p>
    <w:p w14:paraId="713164D2" w14:textId="77777777" w:rsidR="00EA53AF" w:rsidRPr="006962D0" w:rsidRDefault="00EA53AF" w:rsidP="006962D0">
      <w:pPr>
        <w:spacing w:after="0" w:line="240" w:lineRule="auto"/>
        <w:rPr>
          <w:rFonts w:cs="Arial"/>
          <w:b/>
          <w:bCs/>
        </w:rPr>
      </w:pPr>
      <w:r w:rsidRPr="006962D0">
        <w:rPr>
          <w:rFonts w:cs="Arial"/>
        </w:rPr>
        <w:t>Measure exclusions that were not derived directly from the evidence are presented below.  Please note that these are population exclusions that are necessary to ensure consistency in all measures in this 7 measure set.</w:t>
      </w:r>
    </w:p>
    <w:p w14:paraId="05126673" w14:textId="77777777" w:rsidR="006962D0" w:rsidRDefault="006962D0" w:rsidP="006962D0">
      <w:pPr>
        <w:spacing w:after="0" w:line="240" w:lineRule="auto"/>
        <w:rPr>
          <w:rFonts w:cs="Arial"/>
        </w:rPr>
      </w:pPr>
    </w:p>
    <w:p w14:paraId="0EF5C7B3" w14:textId="1627998E" w:rsidR="00EA53AF" w:rsidRPr="006962D0" w:rsidRDefault="00EA53AF" w:rsidP="006962D0">
      <w:pPr>
        <w:spacing w:after="0" w:line="240" w:lineRule="auto"/>
        <w:rPr>
          <w:rFonts w:cs="Arial"/>
        </w:rPr>
      </w:pPr>
      <w:r w:rsidRPr="006962D0">
        <w:rPr>
          <w:rFonts w:cs="Arial"/>
        </w:rPr>
        <w:t xml:space="preserve">This denominator exclusion was analyzed for frequency of occurrence.  An issue that is of great concern to users of this measure is that due to the presence of exceptions to the </w:t>
      </w:r>
      <w:r w:rsidR="00A91598" w:rsidRPr="006962D0">
        <w:rPr>
          <w:rFonts w:cs="Arial"/>
        </w:rPr>
        <w:t>measure.</w:t>
      </w:r>
      <w:r w:rsidRPr="006962D0">
        <w:rPr>
          <w:rFonts w:cs="Arial"/>
        </w:rPr>
        <w:t xml:space="preserve">  Inclusion of leave days in the denominator population would artificially lower the measure rate, and would not be a true </w:t>
      </w:r>
      <w:r w:rsidRPr="006962D0">
        <w:rPr>
          <w:rFonts w:cs="Arial"/>
        </w:rPr>
        <w:lastRenderedPageBreak/>
        <w:t xml:space="preserve">representation of the hospital’s actual practice. Because of the role of this measure in the current Joint Commission accreditation process this is especially troubling </w:t>
      </w:r>
      <w:r w:rsidR="00A91598" w:rsidRPr="006962D0">
        <w:rPr>
          <w:rFonts w:cs="Arial"/>
        </w:rPr>
        <w:t>to end</w:t>
      </w:r>
      <w:r w:rsidRPr="006962D0">
        <w:rPr>
          <w:rFonts w:cs="Arial"/>
        </w:rPr>
        <w:t xml:space="preserve"> users. This concern is the basis for a number of the non-evidence-based exclusions to these measures. The following measure exclusion that was not derived directly from the evidence is as follows:</w:t>
      </w:r>
    </w:p>
    <w:p w14:paraId="6112011A" w14:textId="77777777" w:rsidR="006713F9" w:rsidRDefault="006713F9" w:rsidP="006962D0">
      <w:pPr>
        <w:spacing w:after="0" w:line="240" w:lineRule="auto"/>
        <w:rPr>
          <w:rFonts w:cs="Arial"/>
        </w:rPr>
      </w:pPr>
    </w:p>
    <w:p w14:paraId="05FAD7CD" w14:textId="77777777" w:rsidR="00EA53AF" w:rsidRPr="006962D0" w:rsidRDefault="00EA53AF" w:rsidP="006962D0">
      <w:pPr>
        <w:spacing w:after="0" w:line="240" w:lineRule="auto"/>
        <w:rPr>
          <w:rFonts w:cs="Arial"/>
        </w:rPr>
      </w:pPr>
      <w:r w:rsidRPr="006962D0">
        <w:rPr>
          <w:rFonts w:cs="Arial"/>
        </w:rPr>
        <w:t>1.</w:t>
      </w:r>
      <w:r w:rsidRPr="006962D0">
        <w:rPr>
          <w:rFonts w:cs="Arial"/>
        </w:rPr>
        <w:tab/>
        <w:t>Patients on leave</w:t>
      </w:r>
    </w:p>
    <w:p w14:paraId="2DF10413" w14:textId="77777777" w:rsidR="006962D0" w:rsidRDefault="006962D0" w:rsidP="006962D0">
      <w:pPr>
        <w:autoSpaceDE w:val="0"/>
        <w:autoSpaceDN w:val="0"/>
        <w:adjustRightInd w:val="0"/>
        <w:spacing w:after="0" w:line="240" w:lineRule="auto"/>
        <w:rPr>
          <w:rFonts w:cs="Arial"/>
        </w:rPr>
      </w:pPr>
    </w:p>
    <w:p w14:paraId="033588AD" w14:textId="77777777" w:rsidR="00EA53AF" w:rsidRPr="00001D73" w:rsidRDefault="00EA53AF" w:rsidP="006962D0">
      <w:pPr>
        <w:autoSpaceDE w:val="0"/>
        <w:autoSpaceDN w:val="0"/>
        <w:adjustRightInd w:val="0"/>
        <w:spacing w:after="0" w:line="240" w:lineRule="auto"/>
        <w:rPr>
          <w:rFonts w:cstheme="minorHAnsi"/>
          <w:b/>
          <w:bCs/>
        </w:rPr>
      </w:pPr>
      <w:r w:rsidRPr="006962D0">
        <w:rPr>
          <w:rFonts w:cs="Arial"/>
        </w:rPr>
        <w:t>It is important to note that leave days are typically granted in the public hospital setting and very rarely in the private hospital setting.</w:t>
      </w:r>
    </w:p>
    <w:p w14:paraId="0CABCFE5" w14:textId="77777777" w:rsidR="00833325" w:rsidRPr="00A25024" w:rsidRDefault="00833325" w:rsidP="00DB3627">
      <w:pPr>
        <w:autoSpaceDE w:val="0"/>
        <w:autoSpaceDN w:val="0"/>
        <w:adjustRightInd w:val="0"/>
        <w:spacing w:after="0" w:line="240" w:lineRule="auto"/>
        <w:rPr>
          <w:rFonts w:cstheme="minorHAnsi"/>
          <w:bCs/>
        </w:rPr>
      </w:pPr>
    </w:p>
    <w:p w14:paraId="50FF272D" w14:textId="77777777" w:rsidR="00EA53AF" w:rsidRPr="006962D0" w:rsidRDefault="00092566" w:rsidP="00EA53AF">
      <w:pPr>
        <w:rPr>
          <w:rFonts w:cs="Arial"/>
        </w:rPr>
      </w:pPr>
      <w:r w:rsidRPr="006962D0">
        <w:rPr>
          <w:rFonts w:cstheme="minorHAnsi"/>
          <w:b/>
          <w:bCs/>
        </w:rPr>
        <w:t>2b</w:t>
      </w:r>
      <w:r w:rsidR="009C7513" w:rsidRPr="006962D0">
        <w:rPr>
          <w:rFonts w:cstheme="minorHAnsi"/>
          <w:b/>
          <w:bCs/>
        </w:rPr>
        <w:t>2</w:t>
      </w:r>
      <w:r w:rsidRPr="006962D0">
        <w:rPr>
          <w:rFonts w:cstheme="minorHAnsi"/>
          <w:b/>
          <w:bCs/>
        </w:rPr>
        <w:t>.</w:t>
      </w:r>
      <w:r w:rsidR="00A25024" w:rsidRPr="006962D0">
        <w:rPr>
          <w:rFonts w:cstheme="minorHAnsi"/>
          <w:b/>
          <w:bCs/>
        </w:rPr>
        <w:t>2</w:t>
      </w:r>
      <w:r w:rsidR="00A25024" w:rsidRPr="00A25024">
        <w:rPr>
          <w:rFonts w:cstheme="minorHAnsi"/>
          <w:b/>
          <w:bCs/>
        </w:rPr>
        <w:t xml:space="preserve">. </w:t>
      </w:r>
      <w:proofErr w:type="gramStart"/>
      <w:r w:rsidR="00833325" w:rsidRPr="00A25024">
        <w:rPr>
          <w:rFonts w:cstheme="minorHAnsi"/>
          <w:b/>
          <w:bCs/>
        </w:rPr>
        <w:t>What</w:t>
      </w:r>
      <w:proofErr w:type="gramEnd"/>
      <w:r w:rsidR="00833325" w:rsidRPr="00A25024">
        <w:rPr>
          <w:rFonts w:cstheme="minorHAnsi"/>
          <w:b/>
          <w:bCs/>
        </w:rPr>
        <w:t xml:space="preserve"> were the statistical results </w:t>
      </w:r>
      <w:r w:rsidR="007422FD" w:rsidRPr="00A25024">
        <w:rPr>
          <w:rFonts w:cstheme="minorHAnsi"/>
          <w:b/>
          <w:bCs/>
        </w:rPr>
        <w:t>from testing exclusions</w:t>
      </w:r>
      <w:r w:rsidR="00833325" w:rsidRPr="00A25024">
        <w:rPr>
          <w:rFonts w:cstheme="minorHAnsi"/>
          <w:bCs/>
        </w:rPr>
        <w:t>?</w:t>
      </w:r>
      <w:r w:rsidR="000B2DF7" w:rsidRPr="00A25024">
        <w:rPr>
          <w:rFonts w:cstheme="minorHAnsi"/>
          <w:bCs/>
        </w:rPr>
        <w:t xml:space="preserve"> (</w:t>
      </w:r>
      <w:proofErr w:type="gramStart"/>
      <w:r w:rsidR="000B2DF7" w:rsidRPr="00A25024">
        <w:rPr>
          <w:rFonts w:cstheme="minorHAnsi"/>
          <w:bCs/>
          <w:i/>
        </w:rPr>
        <w:t>include</w:t>
      </w:r>
      <w:proofErr w:type="gramEnd"/>
      <w:r w:rsidR="000B2DF7" w:rsidRPr="00A25024">
        <w:rPr>
          <w:rFonts w:cstheme="minorHAnsi"/>
          <w:bCs/>
          <w:i/>
        </w:rPr>
        <w:t xml:space="preserve"> </w:t>
      </w:r>
      <w:r w:rsidR="00356BAD" w:rsidRPr="00A25024">
        <w:rPr>
          <w:rFonts w:cstheme="minorHAnsi"/>
          <w:bCs/>
          <w:i/>
        </w:rPr>
        <w:t xml:space="preserve">overall </w:t>
      </w:r>
      <w:r w:rsidR="000B2DF7" w:rsidRPr="00A25024">
        <w:rPr>
          <w:rFonts w:cstheme="minorHAnsi"/>
          <w:bCs/>
          <w:i/>
        </w:rPr>
        <w:t>number and percentage of individuals excluded</w:t>
      </w:r>
      <w:r w:rsidR="0025762F" w:rsidRPr="00A25024">
        <w:rPr>
          <w:rFonts w:cstheme="minorHAnsi"/>
          <w:bCs/>
          <w:i/>
        </w:rPr>
        <w:t>, frequency distribution of exclusions across measured entities,</w:t>
      </w:r>
      <w:r w:rsidR="000B2DF7" w:rsidRPr="00A25024">
        <w:rPr>
          <w:rFonts w:cstheme="minorHAnsi"/>
          <w:bCs/>
          <w:i/>
        </w:rPr>
        <w:t xml:space="preserve"> and impact on performance measure scores</w:t>
      </w:r>
      <w:r w:rsidR="000B2DF7" w:rsidRPr="00A25024">
        <w:rPr>
          <w:rFonts w:cstheme="minorHAnsi"/>
          <w:bCs/>
        </w:rPr>
        <w:t>)</w:t>
      </w:r>
      <w:r w:rsidR="00833325" w:rsidRPr="00A25024">
        <w:rPr>
          <w:rFonts w:cstheme="minorHAnsi"/>
          <w:bCs/>
        </w:rPr>
        <w:br/>
      </w:r>
      <w:r w:rsidR="00EA53AF" w:rsidRPr="006962D0">
        <w:rPr>
          <w:rFonts w:cs="Arial"/>
        </w:rPr>
        <w:t>Identification of Meaningful Differences in Performance (Measure evaluation criterion 2b5)</w:t>
      </w:r>
    </w:p>
    <w:p w14:paraId="678EC68E" w14:textId="1607C7F2" w:rsidR="00EA53AF" w:rsidRPr="006962D0" w:rsidRDefault="00EA53AF" w:rsidP="006713F9">
      <w:pPr>
        <w:spacing w:after="0" w:line="240" w:lineRule="auto"/>
        <w:rPr>
          <w:rFonts w:cs="Arial"/>
        </w:rPr>
      </w:pPr>
      <w:r w:rsidRPr="006962D0">
        <w:rPr>
          <w:rFonts w:cs="Arial"/>
        </w:rPr>
        <w:t>N= 278 based on a sample from 17 public hospitals in 2011</w:t>
      </w:r>
      <w:r w:rsidR="003046C4">
        <w:rPr>
          <w:rFonts w:cs="Arial"/>
        </w:rPr>
        <w:t xml:space="preserve">  </w:t>
      </w:r>
    </w:p>
    <w:p w14:paraId="0CABCFE6" w14:textId="0A09B2D5" w:rsidR="007422FD" w:rsidRPr="00A91598" w:rsidRDefault="00EA53AF" w:rsidP="006713F9">
      <w:pPr>
        <w:pStyle w:val="ListParagraph"/>
        <w:numPr>
          <w:ilvl w:val="0"/>
          <w:numId w:val="33"/>
        </w:numPr>
        <w:autoSpaceDE w:val="0"/>
        <w:autoSpaceDN w:val="0"/>
        <w:adjustRightInd w:val="0"/>
        <w:spacing w:after="0" w:line="240" w:lineRule="auto"/>
        <w:rPr>
          <w:rFonts w:cs="Arial"/>
        </w:rPr>
      </w:pPr>
      <w:r w:rsidRPr="00A91598">
        <w:rPr>
          <w:rFonts w:cs="Arial"/>
        </w:rPr>
        <w:t>Total leave days =12%</w:t>
      </w:r>
    </w:p>
    <w:p w14:paraId="48F56AA9" w14:textId="77777777" w:rsidR="00A91598" w:rsidRDefault="00A91598" w:rsidP="00A91598">
      <w:pPr>
        <w:autoSpaceDE w:val="0"/>
        <w:autoSpaceDN w:val="0"/>
        <w:adjustRightInd w:val="0"/>
        <w:spacing w:after="0" w:line="240" w:lineRule="auto"/>
        <w:rPr>
          <w:rFonts w:cstheme="minorHAnsi"/>
          <w:bCs/>
        </w:rPr>
      </w:pPr>
    </w:p>
    <w:p w14:paraId="2BE960C8" w14:textId="4FFF405A" w:rsidR="00A91598" w:rsidRPr="006713F9" w:rsidRDefault="006713F9" w:rsidP="00A91598">
      <w:pPr>
        <w:spacing w:after="0" w:line="240" w:lineRule="auto"/>
        <w:rPr>
          <w:rFonts w:cs="Arial"/>
          <w:color w:val="FF0000"/>
        </w:rPr>
      </w:pPr>
      <w:r>
        <w:rPr>
          <w:rFonts w:cs="Arial"/>
          <w:color w:val="FF0000"/>
        </w:rPr>
        <w:t>Rationale for exclusion:</w:t>
      </w:r>
    </w:p>
    <w:p w14:paraId="3332A8D5" w14:textId="77777777" w:rsidR="00A91598" w:rsidRPr="006713F9" w:rsidRDefault="00A91598" w:rsidP="00A91598">
      <w:pPr>
        <w:pStyle w:val="ListParagraph"/>
        <w:numPr>
          <w:ilvl w:val="0"/>
          <w:numId w:val="30"/>
        </w:numPr>
        <w:spacing w:after="0" w:line="240" w:lineRule="auto"/>
        <w:rPr>
          <w:rFonts w:cs="Arial"/>
          <w:color w:val="FF0000"/>
        </w:rPr>
      </w:pPr>
      <w:r w:rsidRPr="006713F9">
        <w:rPr>
          <w:rFonts w:cs="Arial"/>
          <w:color w:val="FF0000"/>
        </w:rPr>
        <w:t>Total leave days</w:t>
      </w:r>
    </w:p>
    <w:p w14:paraId="3939631F" w14:textId="42EFFF6B" w:rsidR="00A91598" w:rsidRPr="00A91598" w:rsidRDefault="00A91598" w:rsidP="00A91598">
      <w:pPr>
        <w:autoSpaceDE w:val="0"/>
        <w:autoSpaceDN w:val="0"/>
        <w:adjustRightInd w:val="0"/>
        <w:spacing w:after="0" w:line="240" w:lineRule="auto"/>
        <w:ind w:left="720"/>
        <w:rPr>
          <w:rFonts w:cstheme="minorHAnsi"/>
          <w:bCs/>
        </w:rPr>
      </w:pPr>
      <w:r w:rsidRPr="006713F9">
        <w:rPr>
          <w:rFonts w:eastAsia="Times New Roman" w:cs="Arial"/>
          <w:b/>
          <w:color w:val="FF0000"/>
        </w:rPr>
        <w:t xml:space="preserve">Rationale for exclusion:  </w:t>
      </w:r>
      <w:r w:rsidR="006713F9" w:rsidRPr="00D40C84">
        <w:rPr>
          <w:rFonts w:eastAsia="Times New Roman" w:cs="Arial"/>
          <w:color w:val="FF0000"/>
        </w:rPr>
        <w:t>Time in s</w:t>
      </w:r>
      <w:r w:rsidR="006713F9">
        <w:rPr>
          <w:rFonts w:eastAsia="Times New Roman" w:cs="Arial"/>
          <w:color w:val="FF0000"/>
        </w:rPr>
        <w:t>eclusion</w:t>
      </w:r>
      <w:r w:rsidR="006713F9" w:rsidRPr="00D40C84">
        <w:rPr>
          <w:rFonts w:eastAsia="Times New Roman" w:cs="Arial"/>
          <w:color w:val="FF0000"/>
        </w:rPr>
        <w:t xml:space="preserve"> is calculated based on psychiatric inpatient days.  Patient</w:t>
      </w:r>
      <w:r w:rsidR="006713F9">
        <w:rPr>
          <w:rFonts w:eastAsia="Times New Roman" w:cs="Arial"/>
          <w:color w:val="FF0000"/>
        </w:rPr>
        <w:t xml:space="preserve"> </w:t>
      </w:r>
      <w:r w:rsidR="006713F9" w:rsidRPr="00D40C84">
        <w:rPr>
          <w:rFonts w:eastAsia="Times New Roman" w:cs="Arial"/>
          <w:color w:val="FF0000"/>
        </w:rPr>
        <w:t xml:space="preserve">leave </w:t>
      </w:r>
      <w:r w:rsidR="006713F9">
        <w:rPr>
          <w:rFonts w:eastAsia="Times New Roman" w:cs="Arial"/>
          <w:color w:val="FF0000"/>
        </w:rPr>
        <w:t>days are not part of the calculation of inpatient days so these days are not counted.</w:t>
      </w:r>
    </w:p>
    <w:p w14:paraId="0CABCFE7" w14:textId="77777777" w:rsidR="00092566" w:rsidRPr="009D3882" w:rsidRDefault="00092566" w:rsidP="00092566">
      <w:pPr>
        <w:autoSpaceDE w:val="0"/>
        <w:autoSpaceDN w:val="0"/>
        <w:adjustRightInd w:val="0"/>
        <w:spacing w:after="0" w:line="240" w:lineRule="auto"/>
        <w:rPr>
          <w:rFonts w:cstheme="minorHAnsi"/>
          <w:bCs/>
          <w:sz w:val="12"/>
        </w:rPr>
      </w:pPr>
    </w:p>
    <w:p w14:paraId="647BCBC1" w14:textId="77777777" w:rsidR="003046C4" w:rsidRDefault="00092566" w:rsidP="00DB3627">
      <w:pPr>
        <w:autoSpaceDE w:val="0"/>
        <w:autoSpaceDN w:val="0"/>
        <w:adjustRightInd w:val="0"/>
        <w:spacing w:after="0" w:line="240" w:lineRule="auto"/>
        <w:rPr>
          <w:rFonts w:cstheme="minorHAnsi"/>
          <w:bCs/>
        </w:rPr>
      </w:pPr>
      <w:r>
        <w:rPr>
          <w:rFonts w:cstheme="minorHAnsi"/>
          <w:b/>
          <w:bCs/>
        </w:rPr>
        <w:t>2b</w:t>
      </w:r>
      <w:r w:rsidR="009C7513">
        <w:rPr>
          <w:rFonts w:cstheme="minorHAnsi"/>
          <w:b/>
          <w:bCs/>
        </w:rPr>
        <w:t>2</w:t>
      </w:r>
      <w:r>
        <w:rPr>
          <w:rFonts w:cstheme="minorHAnsi"/>
          <w:b/>
          <w:bCs/>
        </w:rPr>
        <w:t>.</w:t>
      </w:r>
      <w:r w:rsidR="00A25024" w:rsidRPr="00A25024">
        <w:rPr>
          <w:rFonts w:cstheme="minorHAnsi"/>
          <w:b/>
          <w:bCs/>
        </w:rPr>
        <w:t xml:space="preserve">3. </w:t>
      </w:r>
      <w:proofErr w:type="gramStart"/>
      <w:r w:rsidR="000B2DF7" w:rsidRPr="00A25024">
        <w:rPr>
          <w:rFonts w:cstheme="minorHAnsi"/>
          <w:b/>
          <w:bCs/>
        </w:rPr>
        <w:t>What</w:t>
      </w:r>
      <w:proofErr w:type="gramEnd"/>
      <w:r w:rsidR="000B2DF7" w:rsidRPr="00A25024">
        <w:rPr>
          <w:rFonts w:cstheme="minorHAnsi"/>
          <w:b/>
          <w:bCs/>
        </w:rPr>
        <w:t xml:space="preserve"> is your interpretation of the results </w:t>
      </w:r>
      <w:r w:rsidR="007422FD" w:rsidRPr="00A25024">
        <w:rPr>
          <w:rFonts w:cstheme="minorHAnsi"/>
          <w:b/>
          <w:bCs/>
        </w:rPr>
        <w:t xml:space="preserve">in terms of </w:t>
      </w:r>
      <w:r w:rsidR="00713394" w:rsidRPr="00A25024">
        <w:rPr>
          <w:rFonts w:cstheme="minorHAnsi"/>
          <w:b/>
          <w:bCs/>
        </w:rPr>
        <w:t>demonstrating</w:t>
      </w:r>
      <w:r w:rsidR="007422FD" w:rsidRPr="00A25024">
        <w:rPr>
          <w:rFonts w:cstheme="minorHAnsi"/>
          <w:b/>
          <w:bCs/>
        </w:rPr>
        <w:t xml:space="preserve"> </w:t>
      </w:r>
      <w:r w:rsidR="00713394" w:rsidRPr="00A25024">
        <w:rPr>
          <w:rFonts w:cstheme="minorHAnsi"/>
          <w:b/>
          <w:bCs/>
        </w:rPr>
        <w:t>that exclusions are needed to prevent unfair distortion of performance results</w:t>
      </w:r>
      <w:r w:rsidR="007422FD" w:rsidRPr="00A25024">
        <w:rPr>
          <w:rFonts w:cstheme="minorHAnsi"/>
          <w:b/>
          <w:bCs/>
        </w:rPr>
        <w:t>?</w:t>
      </w:r>
      <w:r w:rsidR="007422FD" w:rsidRPr="00A25024">
        <w:rPr>
          <w:rFonts w:cstheme="minorHAnsi"/>
          <w:bCs/>
        </w:rPr>
        <w:t xml:space="preserve"> </w:t>
      </w:r>
      <w:r w:rsidR="000B2DF7" w:rsidRPr="00A25024">
        <w:rPr>
          <w:rFonts w:cstheme="minorHAnsi"/>
          <w:bCs/>
        </w:rPr>
        <w:t>(</w:t>
      </w:r>
      <w:r w:rsidR="00713394" w:rsidRPr="00A25024">
        <w:rPr>
          <w:rFonts w:cstheme="minorHAnsi"/>
          <w:bCs/>
          <w:i/>
        </w:rPr>
        <w:t>i.e.,</w:t>
      </w:r>
      <w:r w:rsidR="000B2DF7" w:rsidRPr="00A25024">
        <w:rPr>
          <w:rFonts w:cstheme="minorHAnsi"/>
          <w:bCs/>
          <w:i/>
        </w:rPr>
        <w:t xml:space="preserve"> the value </w:t>
      </w:r>
      <w:r w:rsidR="00713394" w:rsidRPr="00A25024">
        <w:rPr>
          <w:rFonts w:cstheme="minorHAnsi"/>
          <w:bCs/>
          <w:i/>
        </w:rPr>
        <w:t>outweighs the</w:t>
      </w:r>
      <w:r w:rsidR="000B2DF7" w:rsidRPr="00A25024">
        <w:rPr>
          <w:rFonts w:cstheme="minorHAnsi"/>
          <w:bCs/>
          <w:i/>
        </w:rPr>
        <w:t xml:space="preserve"> burden of increased data collection and analysi</w:t>
      </w:r>
      <w:r w:rsidR="00CC086A" w:rsidRPr="00A25024">
        <w:rPr>
          <w:rFonts w:cstheme="minorHAnsi"/>
          <w:bCs/>
          <w:i/>
        </w:rPr>
        <w:t xml:space="preserve">s. </w:t>
      </w:r>
      <w:r w:rsidR="00713394" w:rsidRPr="00A25024">
        <w:rPr>
          <w:rFonts w:cstheme="minorHAnsi"/>
          <w:bCs/>
        </w:rPr>
        <w:t xml:space="preserve"> </w:t>
      </w:r>
      <w:r w:rsidR="00713394" w:rsidRPr="00A25024">
        <w:rPr>
          <w:rFonts w:cstheme="minorHAnsi"/>
          <w:bCs/>
          <w:i/>
          <w:u w:val="single"/>
        </w:rPr>
        <w:t>Note</w:t>
      </w:r>
      <w:r w:rsidR="00713394" w:rsidRPr="00A25024">
        <w:rPr>
          <w:rFonts w:cstheme="minorHAnsi"/>
          <w:bCs/>
          <w:i/>
        </w:rPr>
        <w:t xml:space="preserve">: </w:t>
      </w:r>
      <w:r w:rsidR="00713394" w:rsidRPr="00A25024">
        <w:rPr>
          <w:rFonts w:cstheme="minorHAnsi"/>
          <w:b/>
          <w:bCs/>
          <w:i/>
        </w:rPr>
        <w:t>If patient preference is an exclusion</w:t>
      </w:r>
      <w:r w:rsidR="00713394" w:rsidRPr="00A25024">
        <w:rPr>
          <w:rFonts w:cstheme="minorHAnsi"/>
          <w:bCs/>
          <w:i/>
        </w:rPr>
        <w:t>, the measure must be specified so that the effect on the performance score is transparent, e.g., scores with and without exclusion</w:t>
      </w:r>
      <w:r w:rsidR="00713394" w:rsidRPr="00A25024">
        <w:rPr>
          <w:rFonts w:cstheme="minorHAnsi"/>
          <w:bCs/>
        </w:rPr>
        <w:t>)</w:t>
      </w:r>
      <w:r w:rsidR="007422FD" w:rsidRPr="00A25024">
        <w:rPr>
          <w:rFonts w:cstheme="minorHAnsi"/>
          <w:bCs/>
        </w:rPr>
        <w:br/>
      </w:r>
    </w:p>
    <w:p w14:paraId="6F50AC69" w14:textId="39034FF4" w:rsidR="003046C4" w:rsidRDefault="00891872" w:rsidP="00DB3627">
      <w:pPr>
        <w:autoSpaceDE w:val="0"/>
        <w:autoSpaceDN w:val="0"/>
        <w:adjustRightInd w:val="0"/>
        <w:spacing w:after="0" w:line="240" w:lineRule="auto"/>
        <w:rPr>
          <w:rFonts w:cstheme="minorHAnsi"/>
          <w:bCs/>
        </w:rPr>
      </w:pPr>
      <w:r w:rsidRPr="003A7494">
        <w:rPr>
          <w:rFonts w:cstheme="minorHAnsi"/>
          <w:bCs/>
          <w:color w:val="FF0000"/>
        </w:rPr>
        <w:t xml:space="preserve">The rationale indicates that </w:t>
      </w:r>
      <w:r>
        <w:rPr>
          <w:rFonts w:cstheme="minorHAnsi"/>
          <w:bCs/>
          <w:color w:val="FF0000"/>
        </w:rPr>
        <w:t>patient leave days should not be counted in the calculation for inpatient days.</w:t>
      </w:r>
    </w:p>
    <w:p w14:paraId="4F1F202D" w14:textId="77777777" w:rsidR="00891872" w:rsidRDefault="00891872" w:rsidP="00DB3627">
      <w:pPr>
        <w:autoSpaceDE w:val="0"/>
        <w:autoSpaceDN w:val="0"/>
        <w:adjustRightInd w:val="0"/>
        <w:spacing w:after="0" w:line="240" w:lineRule="auto"/>
        <w:rPr>
          <w:rFonts w:cstheme="minorHAnsi"/>
          <w:bCs/>
        </w:rPr>
      </w:pPr>
    </w:p>
    <w:p w14:paraId="0CABCFE8" w14:textId="7C449D3A" w:rsidR="007422FD" w:rsidRPr="00A25024" w:rsidRDefault="00EA53AF" w:rsidP="00DB3627">
      <w:pPr>
        <w:autoSpaceDE w:val="0"/>
        <w:autoSpaceDN w:val="0"/>
        <w:adjustRightInd w:val="0"/>
        <w:spacing w:after="0" w:line="240" w:lineRule="auto"/>
        <w:rPr>
          <w:rFonts w:cstheme="minorHAnsi"/>
          <w:bCs/>
        </w:rPr>
      </w:pPr>
      <w:r w:rsidRPr="006962D0">
        <w:rPr>
          <w:rFonts w:cstheme="minorHAnsi"/>
          <w:bCs/>
        </w:rPr>
        <w:t>The incidence of this exclusion is frequent enough to continue to include in the measure specifications.</w:t>
      </w:r>
    </w:p>
    <w:p w14:paraId="0CABCFE9" w14:textId="77777777" w:rsidR="001202E9" w:rsidRPr="00A25024" w:rsidRDefault="0086464B" w:rsidP="00DB3627">
      <w:pPr>
        <w:autoSpaceDE w:val="0"/>
        <w:autoSpaceDN w:val="0"/>
        <w:adjustRightInd w:val="0"/>
        <w:spacing w:after="0" w:line="240" w:lineRule="auto"/>
        <w:rPr>
          <w:rFonts w:cstheme="minorHAnsi"/>
          <w:bCs/>
        </w:rPr>
      </w:pPr>
      <w:r>
        <w:rPr>
          <w:rFonts w:cstheme="minorHAnsi"/>
          <w:bCs/>
        </w:rPr>
        <w:t>____________________________</w:t>
      </w:r>
    </w:p>
    <w:p w14:paraId="0CABCFEA" w14:textId="149BD120" w:rsidR="00AC1D8E" w:rsidRPr="0086464B" w:rsidRDefault="00092566" w:rsidP="00AC1D8E">
      <w:pPr>
        <w:autoSpaceDE w:val="0"/>
        <w:autoSpaceDN w:val="0"/>
        <w:adjustRightInd w:val="0"/>
        <w:spacing w:after="0" w:line="240" w:lineRule="auto"/>
        <w:rPr>
          <w:rFonts w:cstheme="minorHAnsi"/>
          <w:b/>
          <w:bCs/>
          <w:i/>
        </w:rPr>
      </w:pPr>
      <w:bookmarkStart w:id="12" w:name="section2b4"/>
      <w:bookmarkEnd w:id="12"/>
      <w:r w:rsidRPr="00A25024">
        <w:rPr>
          <w:rFonts w:cstheme="minorHAnsi"/>
          <w:b/>
          <w:bCs/>
        </w:rPr>
        <w:t>2b</w:t>
      </w:r>
      <w:r w:rsidR="009C7513">
        <w:rPr>
          <w:rFonts w:cstheme="minorHAnsi"/>
          <w:b/>
          <w:bCs/>
        </w:rPr>
        <w:t>3</w:t>
      </w:r>
      <w:r w:rsidRPr="00A25024">
        <w:rPr>
          <w:rFonts w:cstheme="minorHAnsi"/>
          <w:b/>
          <w:bCs/>
        </w:rPr>
        <w:t>. RISK ADJUSTMENT/STRATIFICATION FOR OUTCOME OR RESOURCE USE MEASURES</w:t>
      </w:r>
      <w:r w:rsidRPr="00A25024">
        <w:rPr>
          <w:rFonts w:cstheme="minorHAnsi"/>
          <w:bCs/>
        </w:rPr>
        <w:br/>
      </w:r>
      <w:r w:rsidR="00AC1D8E" w:rsidRPr="0086464B">
        <w:rPr>
          <w:rFonts w:cstheme="minorHAnsi"/>
          <w:b/>
          <w:bCs/>
          <w:i/>
          <w:highlight w:val="green"/>
        </w:rPr>
        <w:t>If not an intermediate or health outcome</w:t>
      </w:r>
      <w:r w:rsidR="00127C06">
        <w:rPr>
          <w:rFonts w:cstheme="minorHAnsi"/>
          <w:b/>
          <w:bCs/>
          <w:i/>
          <w:highlight w:val="green"/>
        </w:rPr>
        <w:t>,</w:t>
      </w:r>
      <w:r w:rsidR="00AC1D8E" w:rsidRPr="0086464B">
        <w:rPr>
          <w:rFonts w:cstheme="minorHAnsi"/>
          <w:b/>
          <w:bCs/>
          <w:i/>
          <w:highlight w:val="green"/>
        </w:rPr>
        <w:t xml:space="preserve"> </w:t>
      </w:r>
      <w:r w:rsidR="00127C06">
        <w:rPr>
          <w:rFonts w:cstheme="minorHAnsi"/>
          <w:b/>
          <w:bCs/>
          <w:i/>
          <w:highlight w:val="green"/>
        </w:rPr>
        <w:t xml:space="preserve">or PRO-PM, </w:t>
      </w:r>
      <w:r w:rsidR="00AC1D8E" w:rsidRPr="0086464B">
        <w:rPr>
          <w:rFonts w:cstheme="minorHAnsi"/>
          <w:b/>
          <w:bCs/>
          <w:i/>
          <w:highlight w:val="green"/>
        </w:rPr>
        <w:t xml:space="preserve">or resource use measure, </w:t>
      </w:r>
      <w:r w:rsidR="00BE592D" w:rsidRPr="00BE592D">
        <w:rPr>
          <w:rFonts w:cstheme="minorHAnsi"/>
          <w:b/>
          <w:bCs/>
          <w:i/>
          <w:highlight w:val="green"/>
        </w:rPr>
        <w:t xml:space="preserve">skip to section </w:t>
      </w:r>
      <w:hyperlink w:anchor="section2b5" w:history="1">
        <w:r w:rsidR="00BE592D" w:rsidRPr="00BE592D">
          <w:rPr>
            <w:rStyle w:val="Hyperlink"/>
            <w:rFonts w:cstheme="minorHAnsi"/>
            <w:b/>
            <w:bCs/>
            <w:i/>
            <w:highlight w:val="green"/>
          </w:rPr>
          <w:t>2b5</w:t>
        </w:r>
      </w:hyperlink>
      <w:r w:rsidR="00BE592D" w:rsidRPr="00BE592D">
        <w:rPr>
          <w:rFonts w:cstheme="minorHAnsi"/>
          <w:b/>
          <w:bCs/>
          <w:i/>
          <w:highlight w:val="green"/>
        </w:rPr>
        <w:t>.</w:t>
      </w:r>
    </w:p>
    <w:p w14:paraId="2291F308" w14:textId="77777777" w:rsidR="003046C4" w:rsidRDefault="003046C4" w:rsidP="00092566">
      <w:pPr>
        <w:autoSpaceDE w:val="0"/>
        <w:autoSpaceDN w:val="0"/>
        <w:adjustRightInd w:val="0"/>
        <w:spacing w:after="0" w:line="240" w:lineRule="auto"/>
        <w:rPr>
          <w:rFonts w:cstheme="minorHAnsi"/>
          <w:bCs/>
        </w:rPr>
      </w:pPr>
    </w:p>
    <w:p w14:paraId="0CABCFEB" w14:textId="2A50E7FF" w:rsidR="008871A9" w:rsidRPr="006962D0" w:rsidRDefault="006962D0" w:rsidP="00092566">
      <w:pPr>
        <w:autoSpaceDE w:val="0"/>
        <w:autoSpaceDN w:val="0"/>
        <w:adjustRightInd w:val="0"/>
        <w:spacing w:after="0" w:line="240" w:lineRule="auto"/>
        <w:rPr>
          <w:rFonts w:cstheme="minorHAnsi"/>
          <w:bCs/>
          <w:color w:val="1F497D" w:themeColor="text2"/>
        </w:rPr>
      </w:pPr>
      <w:r w:rsidRPr="006962D0">
        <w:rPr>
          <w:rFonts w:cstheme="minorHAnsi"/>
          <w:bCs/>
        </w:rPr>
        <w:t>Not applicable</w:t>
      </w:r>
    </w:p>
    <w:p w14:paraId="7DA47CB3" w14:textId="77777777" w:rsidR="006962D0" w:rsidRPr="00EA53AF" w:rsidRDefault="006962D0" w:rsidP="00092566">
      <w:pPr>
        <w:autoSpaceDE w:val="0"/>
        <w:autoSpaceDN w:val="0"/>
        <w:adjustRightInd w:val="0"/>
        <w:spacing w:after="0" w:line="240" w:lineRule="auto"/>
        <w:rPr>
          <w:rFonts w:cstheme="minorHAnsi"/>
          <w:b/>
          <w:bCs/>
          <w:color w:val="1F497D" w:themeColor="text2"/>
        </w:rPr>
      </w:pPr>
    </w:p>
    <w:p w14:paraId="0CABCFEC" w14:textId="166E6E8B" w:rsidR="00743E46" w:rsidRDefault="00092566" w:rsidP="00092566">
      <w:pPr>
        <w:autoSpaceDE w:val="0"/>
        <w:autoSpaceDN w:val="0"/>
        <w:adjustRightInd w:val="0"/>
        <w:spacing w:after="0" w:line="240" w:lineRule="auto"/>
        <w:rPr>
          <w:rFonts w:cstheme="minorHAnsi"/>
          <w:b/>
          <w:bCs/>
        </w:rPr>
      </w:pPr>
      <w:r w:rsidRPr="005232D6">
        <w:rPr>
          <w:rFonts w:cstheme="minorHAnsi"/>
          <w:b/>
          <w:bCs/>
        </w:rPr>
        <w:t>2b</w:t>
      </w:r>
      <w:r w:rsidR="009C7513">
        <w:rPr>
          <w:rFonts w:cstheme="minorHAnsi"/>
          <w:b/>
          <w:bCs/>
        </w:rPr>
        <w:t>3</w:t>
      </w:r>
      <w:r w:rsidRPr="005232D6">
        <w:rPr>
          <w:rFonts w:cstheme="minorHAnsi"/>
          <w:b/>
          <w:bCs/>
        </w:rPr>
        <w:t xml:space="preserve">.1. </w:t>
      </w:r>
      <w:proofErr w:type="gramStart"/>
      <w:r w:rsidR="00743E46" w:rsidRPr="005232D6">
        <w:rPr>
          <w:rFonts w:cstheme="minorHAnsi"/>
          <w:b/>
          <w:bCs/>
        </w:rPr>
        <w:t>What</w:t>
      </w:r>
      <w:proofErr w:type="gramEnd"/>
      <w:r w:rsidR="00743E46" w:rsidRPr="005232D6">
        <w:rPr>
          <w:rFonts w:cstheme="minorHAnsi"/>
          <w:b/>
          <w:bCs/>
        </w:rPr>
        <w:t xml:space="preserve"> method of controlling for differences in case mix is used?</w:t>
      </w:r>
    </w:p>
    <w:p w14:paraId="0CABCFED" w14:textId="77777777" w:rsidR="00033038" w:rsidRPr="005232D6" w:rsidRDefault="00EA61A3" w:rsidP="00092566">
      <w:pPr>
        <w:autoSpaceDE w:val="0"/>
        <w:autoSpaceDN w:val="0"/>
        <w:adjustRightInd w:val="0"/>
        <w:spacing w:after="0" w:line="240" w:lineRule="auto"/>
        <w:rPr>
          <w:rFonts w:cstheme="minorHAnsi"/>
          <w:b/>
          <w:bCs/>
        </w:rPr>
      </w:pPr>
      <w:sdt>
        <w:sdtPr>
          <w:rPr>
            <w:rFonts w:cstheme="minorHAnsi"/>
            <w:bCs/>
            <w:color w:val="0000FF"/>
          </w:rPr>
          <w:id w:val="-1450705013"/>
          <w14:checkbox>
            <w14:checked w14:val="0"/>
            <w14:checkedState w14:val="2612" w14:font="MS Gothic"/>
            <w14:uncheckedState w14:val="2610" w14:font="MS Gothic"/>
          </w14:checkbox>
        </w:sdtPr>
        <w:sdtEndPr/>
        <w:sdtContent>
          <w:r w:rsidR="00033038">
            <w:rPr>
              <w:rFonts w:ascii="MS Gothic" w:eastAsia="MS Gothic" w:hAnsi="MS Gothic" w:cstheme="minorHAnsi" w:hint="eastAsia"/>
              <w:bCs/>
              <w:color w:val="0000FF"/>
            </w:rPr>
            <w:t>☐</w:t>
          </w:r>
        </w:sdtContent>
      </w:sdt>
      <w:r w:rsidR="00033038">
        <w:rPr>
          <w:rFonts w:eastAsia="MS Mincho" w:cstheme="minorHAnsi"/>
          <w:b/>
          <w:bCs/>
          <w:color w:val="0000FF"/>
        </w:rPr>
        <w:t xml:space="preserve"> </w:t>
      </w:r>
      <w:r w:rsidR="00033038" w:rsidRPr="005232D6">
        <w:rPr>
          <w:rFonts w:cstheme="minorHAnsi"/>
          <w:b/>
          <w:bCs/>
        </w:rPr>
        <w:t>No risk adjustment or stratification</w:t>
      </w:r>
    </w:p>
    <w:p w14:paraId="0CABCFEE" w14:textId="77777777" w:rsidR="00743E46" w:rsidRPr="005232D6" w:rsidRDefault="00EA61A3" w:rsidP="00092566">
      <w:pPr>
        <w:autoSpaceDE w:val="0"/>
        <w:autoSpaceDN w:val="0"/>
        <w:adjustRightInd w:val="0"/>
        <w:spacing w:after="0" w:line="240" w:lineRule="auto"/>
        <w:rPr>
          <w:rFonts w:cstheme="minorHAnsi"/>
          <w:b/>
          <w:bCs/>
        </w:rPr>
      </w:pPr>
      <w:sdt>
        <w:sdtPr>
          <w:rPr>
            <w:rFonts w:cstheme="minorHAnsi"/>
            <w:bCs/>
            <w:color w:val="0000FF"/>
          </w:rPr>
          <w:id w:val="-91216253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743E46" w:rsidRPr="005232D6">
        <w:rPr>
          <w:rFonts w:cstheme="minorHAnsi"/>
          <w:b/>
          <w:bCs/>
        </w:rPr>
        <w:t xml:space="preserve">Statistical risk model </w:t>
      </w:r>
      <w:r w:rsidR="00743E46" w:rsidRPr="00050A3E">
        <w:rPr>
          <w:rFonts w:cstheme="minorHAnsi"/>
          <w:b/>
          <w:bCs/>
        </w:rPr>
        <w:t xml:space="preserve">with </w:t>
      </w:r>
      <w:sdt>
        <w:sdtPr>
          <w:rPr>
            <w:rStyle w:val="Style4"/>
            <w:u w:val="none"/>
          </w:rPr>
          <w:id w:val="309760327"/>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factors</w:t>
          </w:r>
        </w:sdtContent>
      </w:sdt>
      <w:r w:rsidR="00E562C0" w:rsidRPr="006F22A5">
        <w:rPr>
          <w:rStyle w:val="Style4"/>
          <w:u w:val="none"/>
        </w:rPr>
        <w:t xml:space="preserve"> </w:t>
      </w:r>
      <w:r w:rsidR="00743E46" w:rsidRPr="005232D6">
        <w:rPr>
          <w:rFonts w:cstheme="minorHAnsi"/>
          <w:b/>
          <w:bCs/>
        </w:rPr>
        <w:t>risk factors</w:t>
      </w:r>
    </w:p>
    <w:p w14:paraId="0CABCFEF" w14:textId="77777777" w:rsidR="00743E46" w:rsidRPr="005232D6" w:rsidRDefault="00EA61A3" w:rsidP="00092566">
      <w:pPr>
        <w:autoSpaceDE w:val="0"/>
        <w:autoSpaceDN w:val="0"/>
        <w:adjustRightInd w:val="0"/>
        <w:spacing w:after="0" w:line="240" w:lineRule="auto"/>
        <w:rPr>
          <w:rFonts w:cstheme="minorHAnsi"/>
          <w:b/>
          <w:bCs/>
        </w:rPr>
      </w:pPr>
      <w:sdt>
        <w:sdtPr>
          <w:rPr>
            <w:rFonts w:cstheme="minorHAnsi"/>
            <w:bCs/>
            <w:color w:val="0000FF"/>
          </w:rPr>
          <w:id w:val="-18318233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Stratification </w:t>
      </w:r>
      <w:r w:rsidR="00743E46" w:rsidRPr="00050A3E">
        <w:rPr>
          <w:rFonts w:cstheme="minorHAnsi"/>
          <w:b/>
          <w:bCs/>
        </w:rPr>
        <w:t xml:space="preserve">by </w:t>
      </w:r>
      <w:sdt>
        <w:sdtPr>
          <w:rPr>
            <w:rStyle w:val="Style4"/>
            <w:u w:val="none"/>
          </w:rPr>
          <w:id w:val="-52006544"/>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categories</w:t>
          </w:r>
        </w:sdtContent>
      </w:sdt>
      <w:r w:rsidR="00E562C0" w:rsidRPr="00050A3E">
        <w:rPr>
          <w:rStyle w:val="Style4"/>
          <w:u w:val="none"/>
        </w:rPr>
        <w:t xml:space="preserve"> </w:t>
      </w:r>
      <w:r w:rsidR="00C33F2E" w:rsidRPr="00050A3E">
        <w:rPr>
          <w:rFonts w:cstheme="minorHAnsi"/>
          <w:b/>
          <w:bCs/>
        </w:rPr>
        <w:t>r</w:t>
      </w:r>
      <w:r w:rsidR="00C33F2E">
        <w:rPr>
          <w:rFonts w:cstheme="minorHAnsi"/>
          <w:b/>
          <w:bCs/>
        </w:rPr>
        <w:t xml:space="preserve">isk </w:t>
      </w:r>
      <w:r w:rsidR="00743E46" w:rsidRPr="005232D6">
        <w:rPr>
          <w:rFonts w:cstheme="minorHAnsi"/>
          <w:b/>
          <w:bCs/>
        </w:rPr>
        <w:t>categories</w:t>
      </w:r>
    </w:p>
    <w:p w14:paraId="0CABCFF0" w14:textId="77777777" w:rsidR="00743E46" w:rsidRPr="005232D6" w:rsidRDefault="00EA61A3" w:rsidP="00092566">
      <w:pPr>
        <w:autoSpaceDE w:val="0"/>
        <w:autoSpaceDN w:val="0"/>
        <w:adjustRightInd w:val="0"/>
        <w:spacing w:after="0" w:line="240" w:lineRule="auto"/>
        <w:rPr>
          <w:rFonts w:cstheme="minorHAnsi"/>
          <w:b/>
          <w:bCs/>
        </w:rPr>
      </w:pPr>
      <w:sdt>
        <w:sdtPr>
          <w:rPr>
            <w:rFonts w:cstheme="minorHAnsi"/>
            <w:bCs/>
            <w:color w:val="0000FF"/>
          </w:rPr>
          <w:id w:val="207693099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Other, </w:t>
      </w:r>
      <w:sdt>
        <w:sdtPr>
          <w:rPr>
            <w:rStyle w:val="Style1"/>
          </w:rPr>
          <w:id w:val="-1471512333"/>
          <w:showingPlcHdr/>
          <w:text/>
        </w:sdtPr>
        <w:sdtEndPr>
          <w:rPr>
            <w:rStyle w:val="DefaultParagraphFont"/>
            <w:rFonts w:cstheme="minorHAnsi"/>
            <w:b/>
            <w:bCs/>
            <w:color w:val="auto"/>
          </w:rPr>
        </w:sdtEndPr>
        <w:sdtContent>
          <w:r w:rsidR="00E562C0">
            <w:rPr>
              <w:rStyle w:val="PlaceholderText"/>
            </w:rPr>
            <w:t>Click here to enter description</w:t>
          </w:r>
        </w:sdtContent>
      </w:sdt>
    </w:p>
    <w:p w14:paraId="542534CD" w14:textId="77777777" w:rsidR="003046C4" w:rsidRDefault="003046C4" w:rsidP="00092566">
      <w:pPr>
        <w:autoSpaceDE w:val="0"/>
        <w:autoSpaceDN w:val="0"/>
        <w:adjustRightInd w:val="0"/>
        <w:spacing w:after="0" w:line="240" w:lineRule="auto"/>
        <w:rPr>
          <w:rFonts w:cstheme="minorHAnsi"/>
          <w:bCs/>
        </w:rPr>
      </w:pPr>
    </w:p>
    <w:p w14:paraId="0CABCFF1" w14:textId="5E55C667" w:rsidR="00743E46" w:rsidRDefault="006962D0" w:rsidP="00092566">
      <w:pPr>
        <w:autoSpaceDE w:val="0"/>
        <w:autoSpaceDN w:val="0"/>
        <w:adjustRightInd w:val="0"/>
        <w:spacing w:after="0" w:line="240" w:lineRule="auto"/>
        <w:rPr>
          <w:rFonts w:cstheme="minorHAnsi"/>
          <w:bCs/>
        </w:rPr>
      </w:pPr>
      <w:r w:rsidRPr="006962D0">
        <w:rPr>
          <w:rFonts w:cstheme="minorHAnsi"/>
          <w:bCs/>
        </w:rPr>
        <w:t>Not applicable</w:t>
      </w:r>
    </w:p>
    <w:p w14:paraId="1BA957A1" w14:textId="77777777" w:rsidR="006962D0" w:rsidRDefault="006962D0" w:rsidP="00092566">
      <w:pPr>
        <w:autoSpaceDE w:val="0"/>
        <w:autoSpaceDN w:val="0"/>
        <w:adjustRightInd w:val="0"/>
        <w:spacing w:after="0" w:line="240" w:lineRule="auto"/>
        <w:rPr>
          <w:rFonts w:cstheme="minorHAnsi"/>
          <w:b/>
          <w:bCs/>
        </w:rPr>
      </w:pPr>
    </w:p>
    <w:p w14:paraId="0CABCFF2" w14:textId="7B192693" w:rsidR="00092566" w:rsidRDefault="000B7D57" w:rsidP="003046C4">
      <w:pPr>
        <w:autoSpaceDE w:val="0"/>
        <w:autoSpaceDN w:val="0"/>
        <w:adjustRightInd w:val="0"/>
        <w:spacing w:after="0" w:line="240" w:lineRule="auto"/>
        <w:rPr>
          <w:rFonts w:cstheme="minorHAnsi"/>
          <w:bCs/>
        </w:rPr>
      </w:pPr>
      <w:r w:rsidRPr="00450C58">
        <w:rPr>
          <w:rFonts w:cstheme="minorHAnsi"/>
          <w:b/>
          <w:bCs/>
        </w:rPr>
        <w:lastRenderedPageBreak/>
        <w:t>2b</w:t>
      </w:r>
      <w:r w:rsidR="009C7513">
        <w:rPr>
          <w:rFonts w:cstheme="minorHAnsi"/>
          <w:b/>
          <w:bCs/>
        </w:rPr>
        <w:t>3</w:t>
      </w:r>
      <w:r w:rsidRPr="00450C58">
        <w:rPr>
          <w:rFonts w:cstheme="minorHAnsi"/>
          <w:b/>
          <w:bCs/>
        </w:rPr>
        <w:t xml:space="preserve">.1.1 </w:t>
      </w:r>
      <w:r w:rsidR="00F34FAB" w:rsidRPr="00450C58">
        <w:rPr>
          <w:rFonts w:ascii="Calibri" w:eastAsia="MS Mincho" w:hAnsi="Calibri" w:cs="Calibri"/>
          <w:b/>
          <w:bCs/>
        </w:rPr>
        <w:t xml:space="preserve">If using a statistical risk model, provide detailed risk model specifications, including the risk model method, risk factors, coefficients, equations, codes with descriptors, and definitions. </w:t>
      </w:r>
    </w:p>
    <w:p w14:paraId="44DF7BFF" w14:textId="77777777" w:rsidR="003046C4" w:rsidRDefault="003046C4" w:rsidP="003046C4">
      <w:pPr>
        <w:spacing w:after="0" w:line="240" w:lineRule="auto"/>
        <w:rPr>
          <w:rFonts w:cstheme="minorHAnsi"/>
          <w:bCs/>
        </w:rPr>
      </w:pPr>
    </w:p>
    <w:p w14:paraId="0A1E352E" w14:textId="3B057CB0" w:rsidR="00AF2D68" w:rsidRDefault="006962D0" w:rsidP="003046C4">
      <w:pPr>
        <w:spacing w:after="0" w:line="240" w:lineRule="auto"/>
        <w:rPr>
          <w:rFonts w:cs="Calibri"/>
          <w:b/>
          <w:bCs/>
        </w:rPr>
      </w:pPr>
      <w:r w:rsidRPr="006962D0">
        <w:rPr>
          <w:rFonts w:cstheme="minorHAnsi"/>
          <w:bCs/>
        </w:rPr>
        <w:t>Not applicable</w:t>
      </w:r>
    </w:p>
    <w:p w14:paraId="240E03D6" w14:textId="77777777" w:rsidR="003046C4" w:rsidRDefault="009C7513" w:rsidP="003046C4">
      <w:pPr>
        <w:spacing w:after="0" w:line="240" w:lineRule="auto"/>
        <w:rPr>
          <w:rFonts w:cstheme="minorHAnsi"/>
          <w:bCs/>
        </w:rPr>
      </w:pPr>
      <w:r>
        <w:rPr>
          <w:rFonts w:cs="Calibri"/>
          <w:b/>
          <w:bCs/>
        </w:rPr>
        <w:t>2b3</w:t>
      </w:r>
      <w:r w:rsidR="009D3882">
        <w:rPr>
          <w:rFonts w:cs="Calibri"/>
          <w:b/>
          <w:bCs/>
        </w:rPr>
        <w:t xml:space="preserve">.2. </w:t>
      </w:r>
      <w:proofErr w:type="gramStart"/>
      <w:r w:rsidR="009D3882">
        <w:rPr>
          <w:rFonts w:cs="Calibri"/>
          <w:b/>
          <w:bCs/>
        </w:rPr>
        <w:t>If</w:t>
      </w:r>
      <w:proofErr w:type="gramEnd"/>
      <w:r w:rsidR="009D3882">
        <w:rPr>
          <w:rFonts w:cs="Calibri"/>
          <w:b/>
          <w:bCs/>
        </w:rPr>
        <w:t xml:space="preserve"> an outcome or resource use component measure is </w:t>
      </w:r>
      <w:r w:rsidR="009D3882">
        <w:rPr>
          <w:rFonts w:cs="Calibri"/>
          <w:b/>
          <w:bCs/>
          <w:u w:val="single"/>
        </w:rPr>
        <w:t>not risk adjusted or stratified</w:t>
      </w:r>
      <w:r w:rsidR="009D3882">
        <w:rPr>
          <w:rFonts w:cs="Calibri"/>
          <w:b/>
          <w:bCs/>
        </w:rPr>
        <w:t xml:space="preserve">, provide </w:t>
      </w:r>
      <w:r w:rsidR="009D3882">
        <w:rPr>
          <w:rFonts w:cs="Calibri"/>
          <w:b/>
          <w:bCs/>
          <w:u w:val="single"/>
        </w:rPr>
        <w:t>rationale and analyses</w:t>
      </w:r>
      <w:r w:rsidR="009D3882">
        <w:rPr>
          <w:rFonts w:cs="Calibri"/>
          <w:b/>
          <w:bCs/>
        </w:rPr>
        <w:t xml:space="preserve"> to demonstrate that controlling for differences in patient characteristics (case mix) is not needed to achieve fair comparisons across measured entities</w:t>
      </w:r>
      <w:r w:rsidR="009D3882">
        <w:rPr>
          <w:rFonts w:cs="Calibri"/>
          <w:bCs/>
        </w:rPr>
        <w:t xml:space="preserve">. </w:t>
      </w:r>
      <w:r w:rsidR="009D3882">
        <w:rPr>
          <w:rFonts w:cs="Calibri"/>
          <w:bCs/>
        </w:rPr>
        <w:br/>
      </w:r>
    </w:p>
    <w:p w14:paraId="0CABCFF4" w14:textId="48B5DD0B" w:rsidR="009D3882" w:rsidRPr="009D3882" w:rsidRDefault="006962D0" w:rsidP="003046C4">
      <w:pPr>
        <w:spacing w:after="0" w:line="240" w:lineRule="auto"/>
        <w:rPr>
          <w:rFonts w:cstheme="minorHAnsi"/>
          <w:b/>
          <w:bCs/>
          <w:sz w:val="14"/>
        </w:rPr>
      </w:pPr>
      <w:r w:rsidRPr="006962D0">
        <w:rPr>
          <w:rFonts w:cstheme="minorHAnsi"/>
          <w:bCs/>
        </w:rPr>
        <w:t>Not applicable</w:t>
      </w:r>
    </w:p>
    <w:p w14:paraId="3DE6D4D2" w14:textId="77777777" w:rsidR="003046C4" w:rsidRDefault="003046C4" w:rsidP="00AF2D68">
      <w:pPr>
        <w:rPr>
          <w:rFonts w:cstheme="minorHAnsi"/>
          <w:b/>
          <w:bCs/>
        </w:rPr>
      </w:pPr>
    </w:p>
    <w:p w14:paraId="5B7F4B69" w14:textId="77777777" w:rsidR="003046C4" w:rsidRDefault="009C7513" w:rsidP="003046C4">
      <w:pPr>
        <w:spacing w:after="0" w:line="240" w:lineRule="auto"/>
        <w:rPr>
          <w:rFonts w:cstheme="minorHAnsi"/>
          <w:bCs/>
        </w:rPr>
      </w:pPr>
      <w:r>
        <w:rPr>
          <w:rFonts w:cstheme="minorHAnsi"/>
          <w:b/>
          <w:bCs/>
        </w:rPr>
        <w:t>2b3</w:t>
      </w:r>
      <w:r w:rsidR="00092566">
        <w:rPr>
          <w:rFonts w:cstheme="minorHAnsi"/>
          <w:b/>
          <w:bCs/>
        </w:rPr>
        <w:t>.3</w:t>
      </w:r>
      <w:r w:rsidR="00275563">
        <w:rPr>
          <w:rFonts w:cstheme="minorHAnsi"/>
          <w:b/>
          <w:bCs/>
        </w:rPr>
        <w:t>a</w:t>
      </w:r>
      <w:r w:rsidR="00092566">
        <w:rPr>
          <w:rFonts w:cstheme="minorHAnsi"/>
          <w:b/>
          <w:bCs/>
        </w:rPr>
        <w:t xml:space="preserve">. </w:t>
      </w:r>
      <w:r w:rsidR="00927027">
        <w:rPr>
          <w:rFonts w:cstheme="minorHAnsi"/>
          <w:b/>
          <w:bCs/>
        </w:rPr>
        <w:t>Describe</w:t>
      </w:r>
      <w:r w:rsidR="00092566" w:rsidRPr="00A25024">
        <w:rPr>
          <w:rFonts w:cstheme="minorHAnsi"/>
          <w:b/>
          <w:bCs/>
        </w:rPr>
        <w:t xml:space="preserve"> the conceptual/clinical </w:t>
      </w:r>
      <w:r w:rsidR="00092566" w:rsidRPr="00A25024">
        <w:rPr>
          <w:rFonts w:cstheme="minorHAnsi"/>
          <w:b/>
          <w:bCs/>
          <w:u w:val="single"/>
        </w:rPr>
        <w:t>and</w:t>
      </w:r>
      <w:r w:rsidR="00092566" w:rsidRPr="00A25024">
        <w:rPr>
          <w:rFonts w:cstheme="minorHAnsi"/>
          <w:b/>
          <w:bCs/>
        </w:rPr>
        <w:t xml:space="preserve"> statistical methods and criteria used to select </w:t>
      </w:r>
      <w:r w:rsidR="005363F1">
        <w:rPr>
          <w:rFonts w:cstheme="minorHAnsi"/>
          <w:b/>
          <w:bCs/>
        </w:rPr>
        <w:t xml:space="preserve">patient </w:t>
      </w:r>
      <w:r w:rsidR="00092566" w:rsidRPr="00A25024">
        <w:rPr>
          <w:rFonts w:cstheme="minorHAnsi"/>
          <w:b/>
          <w:bCs/>
        </w:rPr>
        <w:t xml:space="preserve">factors </w:t>
      </w:r>
      <w:r w:rsidR="0021054A">
        <w:rPr>
          <w:rFonts w:cstheme="minorHAnsi"/>
          <w:b/>
          <w:bCs/>
        </w:rPr>
        <w:t>(</w:t>
      </w:r>
      <w:r w:rsidR="00E967AD">
        <w:rPr>
          <w:rFonts w:cstheme="minorHAnsi"/>
          <w:b/>
          <w:bCs/>
        </w:rPr>
        <w:t xml:space="preserve">clinical factors or </w:t>
      </w:r>
      <w:r w:rsidR="00AF2D68">
        <w:rPr>
          <w:rFonts w:cstheme="minorHAnsi"/>
          <w:b/>
          <w:bCs/>
        </w:rPr>
        <w:t xml:space="preserve">social risk </w:t>
      </w:r>
      <w:r w:rsidR="0021054A">
        <w:rPr>
          <w:rFonts w:cstheme="minorHAnsi"/>
          <w:b/>
          <w:bCs/>
        </w:rPr>
        <w:t xml:space="preserve">factors) </w:t>
      </w:r>
      <w:r w:rsidR="00092566" w:rsidRPr="00A25024">
        <w:rPr>
          <w:rFonts w:cstheme="minorHAnsi"/>
          <w:b/>
          <w:bCs/>
        </w:rPr>
        <w:t>used in the statistical risk model or for stratification by risk</w:t>
      </w:r>
      <w:r w:rsidR="00927027">
        <w:rPr>
          <w:rFonts w:cstheme="minorHAnsi"/>
          <w:b/>
          <w:bCs/>
        </w:rPr>
        <w:t xml:space="preserve"> </w:t>
      </w:r>
      <w:r w:rsidR="00092566" w:rsidRPr="00A25024">
        <w:rPr>
          <w:rFonts w:cstheme="minorHAnsi"/>
          <w:bCs/>
        </w:rPr>
        <w:t>(</w:t>
      </w:r>
      <w:r w:rsidR="00092566" w:rsidRPr="00A25024">
        <w:rPr>
          <w:rFonts w:cstheme="minorHAnsi"/>
          <w:bCs/>
          <w:i/>
        </w:rPr>
        <w:t xml:space="preserve">e.g., potential factors identified in </w:t>
      </w:r>
      <w:r w:rsidR="005363F1">
        <w:rPr>
          <w:rFonts w:cstheme="minorHAnsi"/>
          <w:bCs/>
          <w:i/>
        </w:rPr>
        <w:t xml:space="preserve">the </w:t>
      </w:r>
      <w:r w:rsidR="00092566" w:rsidRPr="00A25024">
        <w:rPr>
          <w:rFonts w:cstheme="minorHAnsi"/>
          <w:bCs/>
          <w:i/>
        </w:rPr>
        <w:t>literature and/or expert panel; regression analysis; statistical significance of p&lt;0.10; correlation of x or higher</w:t>
      </w:r>
      <w:r w:rsidR="005363F1">
        <w:rPr>
          <w:rFonts w:cstheme="minorHAnsi"/>
          <w:bCs/>
          <w:i/>
        </w:rPr>
        <w:t>; patient factors should be present at the start of care</w:t>
      </w:r>
      <w:r w:rsidR="00092566" w:rsidRPr="00A25024">
        <w:rPr>
          <w:rFonts w:cstheme="minorHAnsi"/>
          <w:bCs/>
        </w:rPr>
        <w:t>)</w:t>
      </w:r>
      <w:r w:rsidR="00AF2D68">
        <w:rPr>
          <w:rFonts w:cstheme="minorHAnsi"/>
          <w:bCs/>
        </w:rPr>
        <w:t xml:space="preserve">  </w:t>
      </w:r>
      <w:r w:rsidR="00AF2D68" w:rsidRPr="00AF2D68">
        <w:rPr>
          <w:rFonts w:cstheme="minorHAnsi"/>
          <w:b/>
          <w:bCs/>
        </w:rPr>
        <w:t>Also discuss any “ordering” of risk factor inclusion</w:t>
      </w:r>
      <w:r w:rsidR="00CE284E">
        <w:rPr>
          <w:rFonts w:cstheme="minorHAnsi"/>
          <w:bCs/>
        </w:rPr>
        <w:t>; for example, a</w:t>
      </w:r>
      <w:r w:rsidR="00AF2D68">
        <w:rPr>
          <w:rFonts w:cstheme="minorHAnsi"/>
          <w:bCs/>
        </w:rPr>
        <w:t>re social risk factors added after all clinical factors?</w:t>
      </w:r>
      <w:r w:rsidR="00092566" w:rsidRPr="00A25024">
        <w:rPr>
          <w:rFonts w:cstheme="minorHAnsi"/>
          <w:bCs/>
        </w:rPr>
        <w:br/>
      </w:r>
    </w:p>
    <w:p w14:paraId="0CABCFF6" w14:textId="3D7CF427" w:rsidR="00001D73" w:rsidRPr="00AF2D68" w:rsidRDefault="006962D0" w:rsidP="003046C4">
      <w:pPr>
        <w:spacing w:after="0" w:line="240" w:lineRule="auto"/>
        <w:rPr>
          <w:rFonts w:cstheme="minorHAnsi"/>
          <w:bCs/>
          <w:sz w:val="4"/>
        </w:rPr>
      </w:pPr>
      <w:r w:rsidRPr="006962D0">
        <w:rPr>
          <w:rFonts w:cstheme="minorHAnsi"/>
          <w:bCs/>
        </w:rPr>
        <w:t>Not applicable</w:t>
      </w:r>
    </w:p>
    <w:p w14:paraId="4A115545" w14:textId="77777777" w:rsidR="003046C4" w:rsidRDefault="003046C4" w:rsidP="00001D73">
      <w:pPr>
        <w:autoSpaceDE w:val="0"/>
        <w:autoSpaceDN w:val="0"/>
        <w:adjustRightInd w:val="0"/>
        <w:spacing w:after="0" w:line="240" w:lineRule="auto"/>
        <w:rPr>
          <w:rFonts w:cstheme="minorHAnsi"/>
          <w:b/>
          <w:bCs/>
        </w:rPr>
      </w:pPr>
    </w:p>
    <w:p w14:paraId="4260792A" w14:textId="019483A8" w:rsidR="00275563" w:rsidRDefault="00275563" w:rsidP="00001D73">
      <w:pPr>
        <w:autoSpaceDE w:val="0"/>
        <w:autoSpaceDN w:val="0"/>
        <w:adjustRightInd w:val="0"/>
        <w:spacing w:after="0" w:line="240" w:lineRule="auto"/>
        <w:rPr>
          <w:rFonts w:cstheme="minorHAnsi"/>
          <w:b/>
          <w:bCs/>
        </w:rPr>
      </w:pPr>
      <w:r>
        <w:rPr>
          <w:rFonts w:cstheme="minorHAnsi"/>
          <w:b/>
          <w:bCs/>
        </w:rPr>
        <w:t xml:space="preserve">2b3.3b. </w:t>
      </w:r>
      <w:proofErr w:type="gramStart"/>
      <w:r>
        <w:rPr>
          <w:rFonts w:cstheme="minorHAnsi"/>
          <w:b/>
          <w:bCs/>
        </w:rPr>
        <w:t>How</w:t>
      </w:r>
      <w:proofErr w:type="gramEnd"/>
      <w:r>
        <w:rPr>
          <w:rFonts w:cstheme="minorHAnsi"/>
          <w:b/>
          <w:bCs/>
        </w:rPr>
        <w:t xml:space="preserve"> was the conceptual model </w:t>
      </w:r>
      <w:r w:rsidR="00CE284E">
        <w:rPr>
          <w:rFonts w:cstheme="minorHAnsi"/>
          <w:b/>
          <w:bCs/>
        </w:rPr>
        <w:t xml:space="preserve">of how social risk impacts this outcome </w:t>
      </w:r>
      <w:r>
        <w:rPr>
          <w:rFonts w:cstheme="minorHAnsi"/>
          <w:b/>
          <w:bCs/>
        </w:rPr>
        <w:t>developed?  Please check all that apply:</w:t>
      </w:r>
    </w:p>
    <w:p w14:paraId="2B47DA83" w14:textId="30659D6E" w:rsidR="00275563" w:rsidRPr="005232D6" w:rsidRDefault="00EA61A3"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319728797"/>
          <w14:checkbox>
            <w14:checked w14:val="0"/>
            <w14:checkedState w14:val="2612" w14:font="MS Gothic"/>
            <w14:uncheckedState w14:val="2610" w14:font="MS Gothic"/>
          </w14:checkbox>
        </w:sdtPr>
        <w:sdtEndPr/>
        <w:sdtContent>
          <w:r w:rsidR="00275563">
            <w:rPr>
              <w:rFonts w:ascii="MS Gothic" w:eastAsia="MS Gothic" w:hAnsi="MS Gothic" w:cstheme="minorHAnsi" w:hint="eastAsia"/>
              <w:bCs/>
              <w:color w:val="0000FF"/>
            </w:rPr>
            <w:t>☐</w:t>
          </w:r>
        </w:sdtContent>
      </w:sdt>
      <w:r w:rsidR="00275563">
        <w:rPr>
          <w:rFonts w:eastAsia="MS Mincho" w:cstheme="minorHAnsi"/>
          <w:b/>
          <w:bCs/>
          <w:color w:val="0000FF"/>
        </w:rPr>
        <w:t xml:space="preserve"> </w:t>
      </w:r>
      <w:r w:rsidR="00CE284E">
        <w:rPr>
          <w:rFonts w:cstheme="minorHAnsi"/>
          <w:b/>
          <w:bCs/>
        </w:rPr>
        <w:t>Published l</w:t>
      </w:r>
      <w:r w:rsidR="00275563">
        <w:rPr>
          <w:rFonts w:cstheme="minorHAnsi"/>
          <w:b/>
          <w:bCs/>
        </w:rPr>
        <w:t>iterature</w:t>
      </w:r>
    </w:p>
    <w:p w14:paraId="7E969A3E" w14:textId="6BA683BB" w:rsidR="00275563" w:rsidRPr="005232D6" w:rsidRDefault="00EA61A3"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1418363777"/>
          <w14:checkbox>
            <w14:checked w14:val="0"/>
            <w14:checkedState w14:val="2612" w14:font="MS Gothic"/>
            <w14:uncheckedState w14:val="2610" w14:font="MS Gothic"/>
          </w14:checkbox>
        </w:sdtPr>
        <w:sdtEndPr/>
        <w:sdtContent>
          <w:r w:rsidR="00275563">
            <w:rPr>
              <w:rFonts w:ascii="MS Gothic" w:eastAsia="MS Gothic" w:hAnsi="MS Gothic" w:cstheme="minorHAnsi" w:hint="eastAsia"/>
              <w:bCs/>
              <w:color w:val="0000FF"/>
            </w:rPr>
            <w:t>☐</w:t>
          </w:r>
        </w:sdtContent>
      </w:sdt>
      <w:r w:rsidR="00275563">
        <w:rPr>
          <w:rFonts w:cstheme="minorHAnsi"/>
          <w:bCs/>
          <w:color w:val="0000FF"/>
        </w:rPr>
        <w:t xml:space="preserve"> </w:t>
      </w:r>
      <w:r w:rsidR="00CE284E">
        <w:rPr>
          <w:rFonts w:cstheme="minorHAnsi"/>
          <w:b/>
          <w:bCs/>
        </w:rPr>
        <w:t>Internal d</w:t>
      </w:r>
      <w:r w:rsidR="00275563">
        <w:rPr>
          <w:rFonts w:cstheme="minorHAnsi"/>
          <w:b/>
          <w:bCs/>
        </w:rPr>
        <w:t>ata</w:t>
      </w:r>
      <w:r w:rsidR="00CE284E">
        <w:rPr>
          <w:rFonts w:cstheme="minorHAnsi"/>
          <w:b/>
          <w:bCs/>
        </w:rPr>
        <w:t xml:space="preserve"> analysis</w:t>
      </w:r>
    </w:p>
    <w:p w14:paraId="72A847BD" w14:textId="1489D6C2" w:rsidR="00275563" w:rsidRPr="005232D6" w:rsidRDefault="00EA61A3"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776755179"/>
          <w14:checkbox>
            <w14:checked w14:val="0"/>
            <w14:checkedState w14:val="2612" w14:font="MS Gothic"/>
            <w14:uncheckedState w14:val="2610" w14:font="MS Gothic"/>
          </w14:checkbox>
        </w:sdtPr>
        <w:sdtEndPr/>
        <w:sdtContent>
          <w:r w:rsidR="00275563" w:rsidRPr="006574D2">
            <w:rPr>
              <w:rFonts w:ascii="MS Gothic" w:eastAsia="MS Gothic" w:cstheme="minorHAnsi" w:hint="eastAsia"/>
              <w:bCs/>
              <w:color w:val="0000FF"/>
            </w:rPr>
            <w:t>☐</w:t>
          </w:r>
        </w:sdtContent>
      </w:sdt>
      <w:r w:rsidR="00275563">
        <w:rPr>
          <w:rFonts w:eastAsia="MS Mincho" w:cstheme="minorHAnsi"/>
          <w:b/>
          <w:bCs/>
          <w:color w:val="0000FF"/>
        </w:rPr>
        <w:t xml:space="preserve"> </w:t>
      </w:r>
      <w:r w:rsidR="00275563">
        <w:rPr>
          <w:rFonts w:cstheme="minorHAnsi"/>
          <w:b/>
          <w:bCs/>
        </w:rPr>
        <w:t>Other (please describe)</w:t>
      </w:r>
    </w:p>
    <w:p w14:paraId="16012551" w14:textId="77777777" w:rsidR="003046C4" w:rsidRDefault="003046C4" w:rsidP="00001D73">
      <w:pPr>
        <w:autoSpaceDE w:val="0"/>
        <w:autoSpaceDN w:val="0"/>
        <w:adjustRightInd w:val="0"/>
        <w:spacing w:after="0" w:line="240" w:lineRule="auto"/>
        <w:rPr>
          <w:rFonts w:cstheme="minorHAnsi"/>
          <w:bCs/>
        </w:rPr>
      </w:pPr>
    </w:p>
    <w:p w14:paraId="7C5644B4" w14:textId="77FE9DFB" w:rsidR="00275563" w:rsidRDefault="006962D0" w:rsidP="00001D73">
      <w:pPr>
        <w:autoSpaceDE w:val="0"/>
        <w:autoSpaceDN w:val="0"/>
        <w:adjustRightInd w:val="0"/>
        <w:spacing w:after="0" w:line="240" w:lineRule="auto"/>
        <w:rPr>
          <w:rFonts w:cstheme="minorHAnsi"/>
          <w:bCs/>
        </w:rPr>
      </w:pPr>
      <w:r w:rsidRPr="006962D0">
        <w:rPr>
          <w:rFonts w:cstheme="minorHAnsi"/>
          <w:bCs/>
        </w:rPr>
        <w:t>Not applicable</w:t>
      </w:r>
    </w:p>
    <w:p w14:paraId="7DFFA795" w14:textId="77777777" w:rsidR="006962D0" w:rsidRDefault="006962D0" w:rsidP="00001D73">
      <w:pPr>
        <w:autoSpaceDE w:val="0"/>
        <w:autoSpaceDN w:val="0"/>
        <w:adjustRightInd w:val="0"/>
        <w:spacing w:after="0" w:line="240" w:lineRule="auto"/>
        <w:rPr>
          <w:rFonts w:cstheme="minorHAnsi"/>
          <w:b/>
          <w:bCs/>
        </w:rPr>
      </w:pPr>
    </w:p>
    <w:p w14:paraId="45014175" w14:textId="77777777" w:rsidR="003046C4" w:rsidRDefault="009C7513" w:rsidP="00001D73">
      <w:pPr>
        <w:autoSpaceDE w:val="0"/>
        <w:autoSpaceDN w:val="0"/>
        <w:adjustRightInd w:val="0"/>
        <w:spacing w:after="0" w:line="240" w:lineRule="auto"/>
        <w:rPr>
          <w:rFonts w:cstheme="minorHAnsi"/>
          <w:bCs/>
        </w:rPr>
      </w:pPr>
      <w:r>
        <w:rPr>
          <w:rFonts w:cstheme="minorHAnsi"/>
          <w:b/>
          <w:bCs/>
        </w:rPr>
        <w:t>2b3</w:t>
      </w:r>
      <w:r w:rsidR="00092566">
        <w:rPr>
          <w:rFonts w:cstheme="minorHAnsi"/>
          <w:b/>
          <w:bCs/>
        </w:rPr>
        <w:t>.4</w:t>
      </w:r>
      <w:r w:rsidR="00193F21">
        <w:rPr>
          <w:rFonts w:cstheme="minorHAnsi"/>
          <w:b/>
          <w:bCs/>
        </w:rPr>
        <w:t>a</w:t>
      </w:r>
      <w:r w:rsidR="00092566">
        <w:rPr>
          <w:rFonts w:cstheme="minorHAnsi"/>
          <w:b/>
          <w:bCs/>
        </w:rPr>
        <w:t xml:space="preserve">. </w:t>
      </w:r>
      <w:proofErr w:type="gramStart"/>
      <w:r w:rsidR="00092566" w:rsidRPr="00A25024">
        <w:rPr>
          <w:rFonts w:cstheme="minorHAnsi"/>
          <w:b/>
          <w:bCs/>
        </w:rPr>
        <w:t>What</w:t>
      </w:r>
      <w:proofErr w:type="gramEnd"/>
      <w:r w:rsidR="00092566" w:rsidRPr="00A25024">
        <w:rPr>
          <w:rFonts w:cstheme="minorHAnsi"/>
          <w:b/>
          <w:bCs/>
        </w:rPr>
        <w:t xml:space="preserve"> were the statistical results of the analyses used to select risk factors?</w:t>
      </w:r>
      <w:r w:rsidR="00001D73">
        <w:rPr>
          <w:rFonts w:cstheme="minorHAnsi"/>
          <w:b/>
          <w:bCs/>
        </w:rPr>
        <w:br/>
      </w:r>
    </w:p>
    <w:p w14:paraId="0CABCFF7" w14:textId="5C3905B6" w:rsidR="00092566" w:rsidRDefault="006962D0" w:rsidP="00001D73">
      <w:pPr>
        <w:autoSpaceDE w:val="0"/>
        <w:autoSpaceDN w:val="0"/>
        <w:adjustRightInd w:val="0"/>
        <w:spacing w:after="0" w:line="240" w:lineRule="auto"/>
        <w:rPr>
          <w:rFonts w:cstheme="minorHAnsi"/>
          <w:bCs/>
        </w:rPr>
      </w:pPr>
      <w:r w:rsidRPr="006962D0">
        <w:rPr>
          <w:rFonts w:cstheme="minorHAnsi"/>
          <w:bCs/>
        </w:rPr>
        <w:t>Not applicable</w:t>
      </w:r>
    </w:p>
    <w:p w14:paraId="78ABC5CC" w14:textId="77777777" w:rsidR="006962D0" w:rsidRDefault="006962D0" w:rsidP="00001D73">
      <w:pPr>
        <w:autoSpaceDE w:val="0"/>
        <w:autoSpaceDN w:val="0"/>
        <w:adjustRightInd w:val="0"/>
        <w:spacing w:after="0" w:line="240" w:lineRule="auto"/>
        <w:rPr>
          <w:rFonts w:cstheme="minorHAnsi"/>
          <w:b/>
          <w:bCs/>
        </w:rPr>
      </w:pPr>
    </w:p>
    <w:p w14:paraId="0CABCFF8" w14:textId="350A0D85" w:rsidR="00001D73" w:rsidRDefault="009C7513" w:rsidP="00001D73">
      <w:pPr>
        <w:autoSpaceDE w:val="0"/>
        <w:autoSpaceDN w:val="0"/>
        <w:adjustRightInd w:val="0"/>
        <w:spacing w:after="0" w:line="240" w:lineRule="auto"/>
        <w:rPr>
          <w:rFonts w:cstheme="minorHAnsi"/>
          <w:b/>
          <w:bCs/>
        </w:rPr>
      </w:pPr>
      <w:r>
        <w:rPr>
          <w:rFonts w:cstheme="minorHAnsi"/>
          <w:b/>
          <w:bCs/>
        </w:rPr>
        <w:t>2b3</w:t>
      </w:r>
      <w:r w:rsidR="00C1695E">
        <w:rPr>
          <w:rFonts w:cstheme="minorHAnsi"/>
          <w:b/>
          <w:bCs/>
        </w:rPr>
        <w:t xml:space="preserve">.4b. Describe the analyses and interpretation resulting in the decision to select </w:t>
      </w:r>
      <w:r w:rsidR="00AF2D68">
        <w:rPr>
          <w:rFonts w:cstheme="minorHAnsi"/>
          <w:b/>
          <w:bCs/>
        </w:rPr>
        <w:t>social risk</w:t>
      </w:r>
      <w:r w:rsidR="00C1695E">
        <w:rPr>
          <w:rFonts w:cstheme="minorHAnsi"/>
          <w:b/>
          <w:bCs/>
        </w:rPr>
        <w:t xml:space="preserve"> factors </w:t>
      </w:r>
      <w:r w:rsidR="00C1695E" w:rsidRPr="00AF2D68">
        <w:rPr>
          <w:rFonts w:cstheme="minorHAnsi"/>
          <w:bCs/>
          <w:i/>
        </w:rPr>
        <w:t>(e.g. prevalence of the factor across measured entities, empirical association with the outcome, contribution of unique variation in the outcome, assessment of between-unit effects and within-unit effects</w:t>
      </w:r>
      <w:r w:rsidR="00CE284E">
        <w:rPr>
          <w:rFonts w:cstheme="minorHAnsi"/>
          <w:bCs/>
          <w:i/>
        </w:rPr>
        <w:t xml:space="preserve">.)  </w:t>
      </w:r>
      <w:r w:rsidR="00CE284E" w:rsidRPr="00CE284E">
        <w:rPr>
          <w:rFonts w:cstheme="minorHAnsi"/>
          <w:b/>
          <w:bCs/>
        </w:rPr>
        <w:t>Also describe the</w:t>
      </w:r>
      <w:r w:rsidR="00AF2D68" w:rsidRPr="00CE284E">
        <w:rPr>
          <w:rFonts w:cstheme="minorHAnsi"/>
          <w:b/>
          <w:bCs/>
        </w:rPr>
        <w:t xml:space="preserve"> impact of adjusting for social risk (or not) on providers</w:t>
      </w:r>
      <w:r w:rsidR="00CE284E" w:rsidRPr="00CE284E">
        <w:rPr>
          <w:rFonts w:cstheme="minorHAnsi"/>
          <w:b/>
          <w:bCs/>
        </w:rPr>
        <w:t xml:space="preserve"> at high or low extremes of risk.</w:t>
      </w:r>
    </w:p>
    <w:p w14:paraId="70D02089" w14:textId="77777777" w:rsidR="006962D0" w:rsidRPr="00CE284E" w:rsidRDefault="006962D0" w:rsidP="00001D73">
      <w:pPr>
        <w:autoSpaceDE w:val="0"/>
        <w:autoSpaceDN w:val="0"/>
        <w:adjustRightInd w:val="0"/>
        <w:spacing w:after="0" w:line="240" w:lineRule="auto"/>
        <w:rPr>
          <w:rFonts w:cstheme="minorHAnsi"/>
          <w:b/>
          <w:bCs/>
        </w:rPr>
      </w:pPr>
    </w:p>
    <w:p w14:paraId="0CABCFFA" w14:textId="5F1D568F" w:rsidR="00092566" w:rsidRPr="00A25024" w:rsidRDefault="009C7513" w:rsidP="00092566">
      <w:pPr>
        <w:autoSpaceDE w:val="0"/>
        <w:autoSpaceDN w:val="0"/>
        <w:adjustRightInd w:val="0"/>
        <w:spacing w:after="0" w:line="240" w:lineRule="auto"/>
        <w:rPr>
          <w:rFonts w:cstheme="minorHAnsi"/>
          <w:bCs/>
        </w:rPr>
      </w:pPr>
      <w:r>
        <w:rPr>
          <w:rFonts w:cstheme="minorHAnsi"/>
          <w:b/>
          <w:bCs/>
        </w:rPr>
        <w:t>2b3</w:t>
      </w:r>
      <w:r w:rsidR="00E1508F">
        <w:rPr>
          <w:rFonts w:cstheme="minorHAnsi"/>
          <w:b/>
          <w:bCs/>
        </w:rPr>
        <w:t>.</w:t>
      </w:r>
      <w:r w:rsidR="00092566">
        <w:rPr>
          <w:rFonts w:cstheme="minorHAnsi"/>
          <w:b/>
          <w:bCs/>
        </w:rPr>
        <w:t xml:space="preserve">5. </w:t>
      </w:r>
      <w:r w:rsidR="008871A9">
        <w:rPr>
          <w:rFonts w:cstheme="minorHAnsi"/>
          <w:b/>
          <w:bCs/>
        </w:rPr>
        <w:t>Describe the method of</w:t>
      </w:r>
      <w:r w:rsidR="00092566" w:rsidRPr="00A25024">
        <w:rPr>
          <w:rFonts w:cstheme="minorHAnsi"/>
          <w:b/>
          <w:bCs/>
        </w:rPr>
        <w:t xml:space="preserve"> </w:t>
      </w:r>
      <w:r w:rsidR="008871A9">
        <w:rPr>
          <w:rFonts w:cstheme="minorHAnsi"/>
          <w:b/>
          <w:bCs/>
        </w:rPr>
        <w:t xml:space="preserve">testing/analysis used </w:t>
      </w:r>
      <w:r w:rsidR="00092566" w:rsidRPr="00A25024">
        <w:rPr>
          <w:rFonts w:cstheme="minorHAnsi"/>
          <w:b/>
          <w:bCs/>
        </w:rPr>
        <w:t xml:space="preserve">to develop and validate the adequacy of the statistical model </w:t>
      </w:r>
      <w:r w:rsidR="00092566" w:rsidRPr="006C3A4F">
        <w:rPr>
          <w:rFonts w:cstheme="minorHAnsi"/>
          <w:b/>
          <w:bCs/>
          <w:u w:val="single"/>
        </w:rPr>
        <w:t>or</w:t>
      </w:r>
      <w:r w:rsidR="00092566" w:rsidRPr="00A25024">
        <w:rPr>
          <w:rFonts w:cstheme="minorHAnsi"/>
          <w:b/>
          <w:bCs/>
        </w:rPr>
        <w:t xml:space="preserve"> stratification approach</w:t>
      </w:r>
      <w:r w:rsidR="00092566"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92566" w:rsidRPr="00A25024">
        <w:rPr>
          <w:rFonts w:cstheme="minorHAnsi"/>
          <w:bCs/>
        </w:rPr>
        <w:t>)</w:t>
      </w:r>
      <w:r w:rsidR="00092566" w:rsidRPr="00A25024">
        <w:rPr>
          <w:rFonts w:cstheme="minorHAnsi"/>
          <w:bCs/>
        </w:rPr>
        <w:br/>
      </w:r>
    </w:p>
    <w:p w14:paraId="0CABCFFB" w14:textId="78FCA6D3" w:rsidR="00E1508F" w:rsidRDefault="00001D73" w:rsidP="00092566">
      <w:pPr>
        <w:autoSpaceDE w:val="0"/>
        <w:autoSpaceDN w:val="0"/>
        <w:adjustRightInd w:val="0"/>
        <w:spacing w:after="0" w:line="240" w:lineRule="auto"/>
        <w:rPr>
          <w:rStyle w:val="Hyperlink"/>
          <w:rFonts w:cstheme="minorHAnsi"/>
          <w:b/>
          <w:bCs/>
          <w:i/>
        </w:rPr>
      </w:pPr>
      <w:r w:rsidRPr="00001D73">
        <w:rPr>
          <w:rFonts w:cstheme="minorHAnsi"/>
          <w:bCs/>
          <w:i/>
        </w:rPr>
        <w:t>Provide</w:t>
      </w:r>
      <w:r w:rsidR="00092566" w:rsidRPr="00001D73">
        <w:rPr>
          <w:rFonts w:cstheme="minorHAnsi"/>
          <w:bCs/>
          <w:i/>
        </w:rPr>
        <w:t xml:space="preserve"> the statistical results from testing the approach to controlling for differences in patient characteristics (case mix)</w:t>
      </w:r>
      <w:r w:rsidRPr="00001D73">
        <w:rPr>
          <w:rFonts w:cstheme="minorHAnsi"/>
          <w:bCs/>
          <w:i/>
        </w:rPr>
        <w:t xml:space="preserve"> below</w:t>
      </w:r>
      <w:r>
        <w:rPr>
          <w:rFonts w:cstheme="minorHAnsi"/>
          <w:bCs/>
        </w:rPr>
        <w:t>.</w:t>
      </w:r>
      <w:r w:rsidR="00092566" w:rsidRPr="00A25024">
        <w:rPr>
          <w:rFonts w:cstheme="minorHAnsi"/>
          <w:bCs/>
        </w:rPr>
        <w:br/>
      </w:r>
      <w:r w:rsidR="001F7A20" w:rsidRPr="00743E46">
        <w:rPr>
          <w:rFonts w:cstheme="minorHAnsi"/>
          <w:b/>
          <w:bCs/>
          <w:i/>
          <w:highlight w:val="green"/>
        </w:rPr>
        <w:t>If</w:t>
      </w:r>
      <w:r w:rsidR="00743E46" w:rsidRPr="00743E46">
        <w:rPr>
          <w:rFonts w:cstheme="minorHAnsi"/>
          <w:b/>
          <w:bCs/>
          <w:i/>
          <w:highlight w:val="green"/>
        </w:rPr>
        <w:t xml:space="preserve"> stratified, skip to </w:t>
      </w:r>
      <w:hyperlink w:anchor="question2b49" w:history="1">
        <w:r w:rsidR="009C7513">
          <w:rPr>
            <w:rStyle w:val="Hyperlink"/>
            <w:rFonts w:cstheme="minorHAnsi"/>
            <w:b/>
            <w:bCs/>
            <w:i/>
            <w:highlight w:val="green"/>
          </w:rPr>
          <w:t>2b3.9</w:t>
        </w:r>
      </w:hyperlink>
    </w:p>
    <w:p w14:paraId="129CF9A7" w14:textId="77777777" w:rsidR="003046C4" w:rsidRDefault="003046C4" w:rsidP="00092566">
      <w:pPr>
        <w:autoSpaceDE w:val="0"/>
        <w:autoSpaceDN w:val="0"/>
        <w:adjustRightInd w:val="0"/>
        <w:spacing w:after="0" w:line="240" w:lineRule="auto"/>
        <w:rPr>
          <w:rFonts w:cstheme="minorHAnsi"/>
          <w:bCs/>
        </w:rPr>
      </w:pPr>
    </w:p>
    <w:p w14:paraId="7B7D2AAA" w14:textId="0BDAC88D" w:rsidR="006962D0" w:rsidRDefault="006962D0" w:rsidP="00092566">
      <w:pPr>
        <w:autoSpaceDE w:val="0"/>
        <w:autoSpaceDN w:val="0"/>
        <w:adjustRightInd w:val="0"/>
        <w:spacing w:after="0" w:line="240" w:lineRule="auto"/>
        <w:rPr>
          <w:rFonts w:cstheme="minorHAnsi"/>
          <w:b/>
          <w:bCs/>
        </w:rPr>
      </w:pPr>
      <w:r w:rsidRPr="006962D0">
        <w:rPr>
          <w:rFonts w:cstheme="minorHAnsi"/>
          <w:bCs/>
        </w:rPr>
        <w:t>Not applicable</w:t>
      </w:r>
    </w:p>
    <w:p w14:paraId="0CABCFFC" w14:textId="77777777" w:rsidR="00743E46" w:rsidRDefault="00743E46" w:rsidP="00092566">
      <w:pPr>
        <w:autoSpaceDE w:val="0"/>
        <w:autoSpaceDN w:val="0"/>
        <w:adjustRightInd w:val="0"/>
        <w:spacing w:after="0" w:line="240" w:lineRule="auto"/>
        <w:rPr>
          <w:rFonts w:cstheme="minorHAnsi"/>
          <w:b/>
          <w:bCs/>
        </w:rPr>
      </w:pPr>
    </w:p>
    <w:p w14:paraId="2B2229AD" w14:textId="77777777" w:rsidR="003046C4" w:rsidRDefault="00743E46" w:rsidP="00092566">
      <w:pPr>
        <w:autoSpaceDE w:val="0"/>
        <w:autoSpaceDN w:val="0"/>
        <w:adjustRightInd w:val="0"/>
        <w:spacing w:after="0" w:line="240" w:lineRule="auto"/>
        <w:rPr>
          <w:rFonts w:cstheme="minorHAnsi"/>
          <w:bCs/>
        </w:rPr>
      </w:pPr>
      <w:r>
        <w:rPr>
          <w:rFonts w:cstheme="minorHAnsi"/>
          <w:b/>
          <w:bCs/>
        </w:rPr>
        <w:lastRenderedPageBreak/>
        <w:t>2b</w:t>
      </w:r>
      <w:r w:rsidR="009C7513">
        <w:rPr>
          <w:rFonts w:cstheme="minorHAnsi"/>
          <w:b/>
          <w:bCs/>
        </w:rPr>
        <w:t>3</w:t>
      </w:r>
      <w:r>
        <w:rPr>
          <w:rFonts w:cstheme="minorHAnsi"/>
          <w:b/>
          <w:bCs/>
        </w:rPr>
        <w:t xml:space="preserve">.6. </w:t>
      </w:r>
      <w:r w:rsidR="00001D73" w:rsidRPr="00001D73">
        <w:rPr>
          <w:rFonts w:cstheme="minorHAnsi"/>
          <w:b/>
          <w:bCs/>
        </w:rPr>
        <w:t xml:space="preserve">Statistical </w:t>
      </w:r>
      <w:r w:rsidR="00092566" w:rsidRPr="00001D73">
        <w:rPr>
          <w:rFonts w:cstheme="minorHAnsi"/>
          <w:b/>
          <w:bCs/>
        </w:rPr>
        <w:t>Risk Model Discrimination Statistics</w:t>
      </w:r>
      <w:r w:rsidR="003605B4">
        <w:rPr>
          <w:rFonts w:cstheme="minorHAnsi"/>
          <w:bCs/>
        </w:rPr>
        <w:t xml:space="preserve"> (</w:t>
      </w:r>
      <w:r w:rsidR="003605B4" w:rsidRPr="003605B4">
        <w:rPr>
          <w:rFonts w:cstheme="minorHAnsi"/>
          <w:bCs/>
          <w:i/>
        </w:rPr>
        <w:t>e.g., c-statistic, R-squared</w:t>
      </w:r>
      <w:r w:rsidR="003605B4">
        <w:rPr>
          <w:rFonts w:cstheme="minorHAnsi"/>
          <w:bCs/>
        </w:rPr>
        <w:t>)</w:t>
      </w:r>
      <w:r>
        <w:rPr>
          <w:rFonts w:cstheme="minorHAnsi"/>
          <w:b/>
          <w:bCs/>
        </w:rPr>
        <w:t>:</w:t>
      </w:r>
      <w:r w:rsidR="00092566" w:rsidRPr="00001D73">
        <w:rPr>
          <w:rFonts w:cstheme="minorHAnsi"/>
          <w:b/>
          <w:bCs/>
        </w:rPr>
        <w:t xml:space="preserve">  </w:t>
      </w:r>
      <w:r w:rsidR="00092566" w:rsidRPr="00001D73">
        <w:rPr>
          <w:rFonts w:cstheme="minorHAnsi"/>
          <w:b/>
        </w:rPr>
        <w:br/>
      </w:r>
    </w:p>
    <w:p w14:paraId="0CABCFFD" w14:textId="58A5998E" w:rsidR="00001D73" w:rsidRDefault="006962D0" w:rsidP="00092566">
      <w:pPr>
        <w:autoSpaceDE w:val="0"/>
        <w:autoSpaceDN w:val="0"/>
        <w:adjustRightInd w:val="0"/>
        <w:spacing w:after="0" w:line="240" w:lineRule="auto"/>
        <w:rPr>
          <w:rFonts w:cstheme="minorHAnsi"/>
          <w:bCs/>
        </w:rPr>
      </w:pPr>
      <w:r w:rsidRPr="006962D0">
        <w:rPr>
          <w:rFonts w:cstheme="minorHAnsi"/>
          <w:bCs/>
        </w:rPr>
        <w:t>Not applicable</w:t>
      </w:r>
    </w:p>
    <w:p w14:paraId="0A191C87" w14:textId="77777777" w:rsidR="006962D0" w:rsidRPr="00001D73" w:rsidRDefault="006962D0" w:rsidP="00092566">
      <w:pPr>
        <w:autoSpaceDE w:val="0"/>
        <w:autoSpaceDN w:val="0"/>
        <w:adjustRightInd w:val="0"/>
        <w:spacing w:after="0" w:line="240" w:lineRule="auto"/>
        <w:rPr>
          <w:rFonts w:cstheme="minorHAnsi"/>
          <w:b/>
          <w:bCs/>
        </w:rPr>
      </w:pPr>
    </w:p>
    <w:p w14:paraId="6400AFE8" w14:textId="77777777" w:rsidR="003046C4" w:rsidRDefault="009C7513" w:rsidP="00092566">
      <w:pPr>
        <w:autoSpaceDE w:val="0"/>
        <w:autoSpaceDN w:val="0"/>
        <w:adjustRightInd w:val="0"/>
        <w:spacing w:after="0" w:line="240" w:lineRule="auto"/>
        <w:rPr>
          <w:rFonts w:cstheme="minorHAnsi"/>
          <w:bCs/>
        </w:rPr>
      </w:pPr>
      <w:r>
        <w:rPr>
          <w:rFonts w:cstheme="minorHAnsi"/>
          <w:b/>
          <w:bCs/>
        </w:rPr>
        <w:t>2b3</w:t>
      </w:r>
      <w:r w:rsidR="00743E46">
        <w:rPr>
          <w:rFonts w:cstheme="minorHAnsi"/>
          <w:b/>
          <w:bCs/>
        </w:rPr>
        <w:t>.7</w:t>
      </w:r>
      <w:r w:rsidR="00001D73">
        <w:rPr>
          <w:rFonts w:cstheme="minorHAnsi"/>
          <w:b/>
          <w:bCs/>
        </w:rPr>
        <w:t xml:space="preserve">. </w:t>
      </w:r>
      <w:r w:rsidR="00743E46">
        <w:rPr>
          <w:rFonts w:cstheme="minorHAnsi"/>
          <w:b/>
          <w:bCs/>
        </w:rPr>
        <w:t xml:space="preserve">Statistical </w:t>
      </w:r>
      <w:r w:rsidR="00092566" w:rsidRPr="00A25024">
        <w:rPr>
          <w:rFonts w:cstheme="minorHAnsi"/>
          <w:b/>
          <w:bCs/>
        </w:rPr>
        <w:t>Risk Model Calibration Statistics</w:t>
      </w:r>
      <w:r w:rsidR="003605B4">
        <w:rPr>
          <w:rFonts w:cstheme="minorHAnsi"/>
          <w:b/>
          <w:bCs/>
        </w:rPr>
        <w:t xml:space="preserve"> </w:t>
      </w:r>
      <w:r w:rsidR="003605B4" w:rsidRPr="003605B4">
        <w:rPr>
          <w:rFonts w:cstheme="minorHAnsi"/>
          <w:bCs/>
        </w:rPr>
        <w:t>(</w:t>
      </w:r>
      <w:r w:rsidR="003605B4" w:rsidRPr="003605B4">
        <w:rPr>
          <w:rFonts w:cstheme="minorHAnsi"/>
          <w:bCs/>
          <w:i/>
        </w:rPr>
        <w:t>e.g., Hosmer-</w:t>
      </w:r>
      <w:proofErr w:type="spellStart"/>
      <w:r w:rsidR="003605B4" w:rsidRPr="003605B4">
        <w:rPr>
          <w:rFonts w:cstheme="minorHAnsi"/>
          <w:bCs/>
          <w:i/>
        </w:rPr>
        <w:t>Lemeshow</w:t>
      </w:r>
      <w:proofErr w:type="spellEnd"/>
      <w:r w:rsidR="003605B4" w:rsidRPr="003605B4">
        <w:rPr>
          <w:rFonts w:cstheme="minorHAnsi"/>
          <w:bCs/>
          <w:i/>
        </w:rPr>
        <w:t xml:space="preserve"> statistic</w:t>
      </w:r>
      <w:r w:rsidR="003605B4" w:rsidRPr="003605B4">
        <w:rPr>
          <w:rFonts w:cstheme="minorHAnsi"/>
          <w:bCs/>
        </w:rPr>
        <w:t>)</w:t>
      </w:r>
      <w:r w:rsidR="00092566" w:rsidRPr="00A25024">
        <w:rPr>
          <w:rFonts w:cstheme="minorHAnsi"/>
          <w:bCs/>
        </w:rPr>
        <w:t xml:space="preserve">:  </w:t>
      </w:r>
      <w:r w:rsidR="00092566" w:rsidRPr="00A25024">
        <w:rPr>
          <w:rFonts w:cstheme="minorHAnsi"/>
          <w:bCs/>
        </w:rPr>
        <w:br/>
      </w:r>
    </w:p>
    <w:p w14:paraId="0CABCFFE" w14:textId="09693086" w:rsidR="00001D73" w:rsidRDefault="006962D0" w:rsidP="00092566">
      <w:pPr>
        <w:autoSpaceDE w:val="0"/>
        <w:autoSpaceDN w:val="0"/>
        <w:adjustRightInd w:val="0"/>
        <w:spacing w:after="0" w:line="240" w:lineRule="auto"/>
        <w:rPr>
          <w:rFonts w:cstheme="minorHAnsi"/>
          <w:b/>
          <w:bCs/>
        </w:rPr>
      </w:pPr>
      <w:r w:rsidRPr="006962D0">
        <w:rPr>
          <w:rFonts w:cstheme="minorHAnsi"/>
          <w:bCs/>
        </w:rPr>
        <w:t>Not applicable</w:t>
      </w:r>
    </w:p>
    <w:p w14:paraId="237744F8" w14:textId="77777777" w:rsidR="003046C4" w:rsidRDefault="003046C4" w:rsidP="00092566">
      <w:pPr>
        <w:autoSpaceDE w:val="0"/>
        <w:autoSpaceDN w:val="0"/>
        <w:adjustRightInd w:val="0"/>
        <w:spacing w:after="0" w:line="240" w:lineRule="auto"/>
        <w:rPr>
          <w:rFonts w:cstheme="minorHAnsi"/>
          <w:b/>
          <w:bCs/>
        </w:rPr>
      </w:pPr>
    </w:p>
    <w:p w14:paraId="319DB217" w14:textId="77777777" w:rsidR="003046C4" w:rsidRDefault="009C7513" w:rsidP="00092566">
      <w:pPr>
        <w:autoSpaceDE w:val="0"/>
        <w:autoSpaceDN w:val="0"/>
        <w:adjustRightInd w:val="0"/>
        <w:spacing w:after="0" w:line="240" w:lineRule="auto"/>
        <w:rPr>
          <w:rFonts w:cstheme="minorHAnsi"/>
          <w:bCs/>
        </w:rPr>
      </w:pPr>
      <w:r>
        <w:rPr>
          <w:rFonts w:cstheme="minorHAnsi"/>
          <w:b/>
          <w:bCs/>
        </w:rPr>
        <w:t>2b3</w:t>
      </w:r>
      <w:r w:rsidR="00743E46">
        <w:rPr>
          <w:rFonts w:cstheme="minorHAnsi"/>
          <w:b/>
          <w:bCs/>
        </w:rPr>
        <w:t>.8</w:t>
      </w:r>
      <w:r w:rsidR="00001D73">
        <w:rPr>
          <w:rFonts w:cstheme="minorHAnsi"/>
          <w:b/>
          <w:bCs/>
        </w:rPr>
        <w:t xml:space="preserve">. </w:t>
      </w:r>
      <w:r w:rsidR="00743E46">
        <w:rPr>
          <w:rFonts w:cstheme="minorHAnsi"/>
          <w:b/>
          <w:bCs/>
        </w:rPr>
        <w:t xml:space="preserve">Statistical </w:t>
      </w:r>
      <w:r w:rsidR="00092566" w:rsidRPr="00A25024">
        <w:rPr>
          <w:rFonts w:cstheme="minorHAnsi"/>
          <w:b/>
          <w:bCs/>
        </w:rPr>
        <w:t>Risk Model Calibration – Risk decile plots or calibration curves</w:t>
      </w:r>
      <w:r w:rsidR="00092566" w:rsidRPr="00A25024">
        <w:rPr>
          <w:rFonts w:cstheme="minorHAnsi"/>
          <w:bCs/>
        </w:rPr>
        <w:t>:</w:t>
      </w:r>
      <w:r w:rsidR="00092566" w:rsidRPr="00A25024">
        <w:rPr>
          <w:rFonts w:cstheme="minorHAnsi"/>
          <w:bCs/>
        </w:rPr>
        <w:br/>
      </w:r>
    </w:p>
    <w:p w14:paraId="0CABCFFF" w14:textId="09C5E796" w:rsidR="00743E46" w:rsidRDefault="006962D0" w:rsidP="00092566">
      <w:pPr>
        <w:autoSpaceDE w:val="0"/>
        <w:autoSpaceDN w:val="0"/>
        <w:adjustRightInd w:val="0"/>
        <w:spacing w:after="0" w:line="240" w:lineRule="auto"/>
        <w:rPr>
          <w:rFonts w:cstheme="minorHAnsi"/>
          <w:b/>
        </w:rPr>
      </w:pPr>
      <w:r w:rsidRPr="006962D0">
        <w:rPr>
          <w:rFonts w:cstheme="minorHAnsi"/>
          <w:bCs/>
        </w:rPr>
        <w:t>Not applicable</w:t>
      </w:r>
    </w:p>
    <w:p w14:paraId="362162BB" w14:textId="77777777" w:rsidR="006962D0" w:rsidRDefault="006962D0" w:rsidP="00092566">
      <w:pPr>
        <w:autoSpaceDE w:val="0"/>
        <w:autoSpaceDN w:val="0"/>
        <w:adjustRightInd w:val="0"/>
        <w:spacing w:after="0" w:line="240" w:lineRule="auto"/>
        <w:rPr>
          <w:rFonts w:cstheme="minorHAnsi"/>
          <w:b/>
        </w:rPr>
      </w:pPr>
    </w:p>
    <w:p w14:paraId="3F9C3191" w14:textId="77777777" w:rsidR="00D33CA4" w:rsidRDefault="00D33CA4" w:rsidP="00092566">
      <w:pPr>
        <w:autoSpaceDE w:val="0"/>
        <w:autoSpaceDN w:val="0"/>
        <w:adjustRightInd w:val="0"/>
        <w:spacing w:after="0" w:line="240" w:lineRule="auto"/>
        <w:rPr>
          <w:rFonts w:cstheme="minorHAnsi"/>
          <w:b/>
        </w:rPr>
      </w:pPr>
      <w:bookmarkStart w:id="13" w:name="question2b49"/>
      <w:bookmarkEnd w:id="13"/>
    </w:p>
    <w:p w14:paraId="0CABD000" w14:textId="2277C090" w:rsidR="00092566" w:rsidRPr="00A25024" w:rsidRDefault="009C7513" w:rsidP="00092566">
      <w:pPr>
        <w:autoSpaceDE w:val="0"/>
        <w:autoSpaceDN w:val="0"/>
        <w:adjustRightInd w:val="0"/>
        <w:spacing w:after="0" w:line="240" w:lineRule="auto"/>
        <w:rPr>
          <w:rFonts w:cstheme="minorHAnsi"/>
          <w:bCs/>
        </w:rPr>
      </w:pPr>
      <w:r>
        <w:rPr>
          <w:rFonts w:cstheme="minorHAnsi"/>
          <w:b/>
        </w:rPr>
        <w:t>2b3</w:t>
      </w:r>
      <w:r w:rsidR="00743E46">
        <w:rPr>
          <w:rFonts w:cstheme="minorHAnsi"/>
          <w:b/>
        </w:rPr>
        <w:t>.9</w:t>
      </w:r>
      <w:r w:rsidR="00001D73">
        <w:rPr>
          <w:rFonts w:cstheme="minorHAnsi"/>
          <w:b/>
        </w:rPr>
        <w:t xml:space="preserve">. Results of </w:t>
      </w:r>
      <w:r w:rsidR="00092566" w:rsidRPr="00A25024">
        <w:rPr>
          <w:rFonts w:cstheme="minorHAnsi"/>
          <w:b/>
        </w:rPr>
        <w:t>Risk Stratification Analysis</w:t>
      </w:r>
      <w:r w:rsidR="00092566" w:rsidRPr="00A25024">
        <w:rPr>
          <w:rFonts w:cstheme="minorHAnsi"/>
        </w:rPr>
        <w:t xml:space="preserve">: </w:t>
      </w:r>
      <w:r w:rsidR="00092566" w:rsidRPr="00A25024">
        <w:rPr>
          <w:rFonts w:cstheme="minorHAnsi"/>
          <w:bCs/>
        </w:rPr>
        <w:t xml:space="preserve"> </w:t>
      </w:r>
    </w:p>
    <w:p w14:paraId="2E564B86" w14:textId="77777777" w:rsidR="00D33CA4" w:rsidRDefault="00D33CA4" w:rsidP="006962D0">
      <w:pPr>
        <w:pStyle w:val="ListParagraph"/>
        <w:ind w:left="0"/>
        <w:rPr>
          <w:rFonts w:cstheme="minorHAnsi"/>
          <w:bCs/>
        </w:rPr>
      </w:pPr>
    </w:p>
    <w:p w14:paraId="0CABD001" w14:textId="49B9AE83" w:rsidR="00092566" w:rsidRPr="00A25024" w:rsidRDefault="006962D0" w:rsidP="006962D0">
      <w:pPr>
        <w:pStyle w:val="ListParagraph"/>
        <w:ind w:left="0"/>
        <w:rPr>
          <w:rFonts w:cstheme="minorHAnsi"/>
          <w:bCs/>
        </w:rPr>
      </w:pPr>
      <w:r w:rsidRPr="006962D0">
        <w:rPr>
          <w:rFonts w:cstheme="minorHAnsi"/>
          <w:bCs/>
        </w:rPr>
        <w:t>Not applicable</w:t>
      </w:r>
    </w:p>
    <w:p w14:paraId="66265201" w14:textId="77777777" w:rsidR="00D33CA4" w:rsidRDefault="009C7513" w:rsidP="00092566">
      <w:pPr>
        <w:autoSpaceDE w:val="0"/>
        <w:autoSpaceDN w:val="0"/>
        <w:adjustRightInd w:val="0"/>
        <w:spacing w:after="0" w:line="240" w:lineRule="auto"/>
        <w:rPr>
          <w:rFonts w:cstheme="minorHAnsi"/>
          <w:bCs/>
        </w:rPr>
      </w:pPr>
      <w:r>
        <w:rPr>
          <w:rFonts w:cstheme="minorHAnsi"/>
          <w:b/>
          <w:bCs/>
        </w:rPr>
        <w:t>2b3</w:t>
      </w:r>
      <w:r w:rsidR="00743E46">
        <w:rPr>
          <w:rFonts w:cstheme="minorHAnsi"/>
          <w:b/>
          <w:bCs/>
        </w:rPr>
        <w:t>.10</w:t>
      </w:r>
      <w:r w:rsidR="00001D73">
        <w:rPr>
          <w:rFonts w:cstheme="minorHAnsi"/>
          <w:b/>
          <w:bCs/>
        </w:rPr>
        <w:t xml:space="preserve">. </w:t>
      </w:r>
      <w:proofErr w:type="gramStart"/>
      <w:r w:rsidR="00092566" w:rsidRPr="00A25024">
        <w:rPr>
          <w:rFonts w:cstheme="minorHAnsi"/>
          <w:b/>
          <w:bCs/>
        </w:rPr>
        <w:t>What</w:t>
      </w:r>
      <w:proofErr w:type="gramEnd"/>
      <w:r w:rsidR="00092566" w:rsidRPr="00A25024">
        <w:rPr>
          <w:rFonts w:cstheme="minorHAnsi"/>
          <w:b/>
          <w:bCs/>
        </w:rPr>
        <w:t xml:space="preserve"> is your interpretation of the results in terms of demonstrating adequacy of controlling for differences in patient characteristics (case mix)?</w:t>
      </w:r>
      <w:r w:rsidR="00092566" w:rsidRPr="00A25024">
        <w:rPr>
          <w:rFonts w:cstheme="minorHAnsi"/>
          <w:bCs/>
        </w:rPr>
        <w:t xml:space="preserve"> (i</w:t>
      </w:r>
      <w:r w:rsidR="00092566" w:rsidRPr="00A25024">
        <w:rPr>
          <w:rFonts w:cstheme="minorHAnsi"/>
          <w:bCs/>
          <w:i/>
        </w:rPr>
        <w:t xml:space="preserve">.e., what do the results mean and what are the norms for the test </w:t>
      </w:r>
      <w:proofErr w:type="gramStart"/>
      <w:r w:rsidR="00092566" w:rsidRPr="00A25024">
        <w:rPr>
          <w:rFonts w:cstheme="minorHAnsi"/>
          <w:bCs/>
          <w:i/>
        </w:rPr>
        <w:t>conducted</w:t>
      </w:r>
      <w:proofErr w:type="gramEnd"/>
      <w:r w:rsidR="00092566" w:rsidRPr="00A25024">
        <w:rPr>
          <w:rFonts w:cstheme="minorHAnsi"/>
          <w:bCs/>
        </w:rPr>
        <w:t>)</w:t>
      </w:r>
      <w:r w:rsidR="00092566" w:rsidRPr="00A25024">
        <w:rPr>
          <w:rFonts w:cstheme="minorHAnsi"/>
          <w:bCs/>
        </w:rPr>
        <w:br/>
      </w:r>
    </w:p>
    <w:p w14:paraId="0CABD002" w14:textId="6724D165" w:rsidR="00092566" w:rsidRPr="00A25024" w:rsidRDefault="006962D0" w:rsidP="00092566">
      <w:pPr>
        <w:autoSpaceDE w:val="0"/>
        <w:autoSpaceDN w:val="0"/>
        <w:adjustRightInd w:val="0"/>
        <w:spacing w:after="0" w:line="240" w:lineRule="auto"/>
        <w:rPr>
          <w:rFonts w:cstheme="minorHAnsi"/>
          <w:bCs/>
        </w:rPr>
      </w:pPr>
      <w:r w:rsidRPr="006962D0">
        <w:rPr>
          <w:rFonts w:cstheme="minorHAnsi"/>
          <w:bCs/>
        </w:rPr>
        <w:t>Not applicable</w:t>
      </w:r>
    </w:p>
    <w:p w14:paraId="0CABD003" w14:textId="77777777" w:rsidR="00092566" w:rsidRPr="00A25024" w:rsidRDefault="00092566" w:rsidP="00092566">
      <w:pPr>
        <w:spacing w:after="0" w:line="240" w:lineRule="auto"/>
        <w:rPr>
          <w:rFonts w:cstheme="minorHAnsi"/>
        </w:rPr>
      </w:pPr>
    </w:p>
    <w:p w14:paraId="0CABD004" w14:textId="74D8FEB4" w:rsidR="00021170" w:rsidRPr="009B1A15" w:rsidRDefault="009C7513" w:rsidP="009B1A15">
      <w:pPr>
        <w:spacing w:after="0" w:line="240" w:lineRule="auto"/>
        <w:rPr>
          <w:rFonts w:cstheme="minorHAnsi"/>
        </w:rPr>
      </w:pPr>
      <w:r>
        <w:rPr>
          <w:rFonts w:cstheme="minorHAnsi"/>
          <w:b/>
          <w:highlight w:val="green"/>
        </w:rPr>
        <w:t>2b3</w:t>
      </w:r>
      <w:r w:rsidR="009B1A15" w:rsidRPr="009B1A15">
        <w:rPr>
          <w:rFonts w:cstheme="minorHAnsi"/>
          <w:b/>
          <w:highlight w:val="green"/>
        </w:rPr>
        <w:t>.11.</w:t>
      </w:r>
      <w:r w:rsidR="009B1A15">
        <w:rPr>
          <w:rFonts w:cstheme="minorHAnsi"/>
          <w:highlight w:val="green"/>
        </w:rPr>
        <w:t xml:space="preserve"> </w:t>
      </w:r>
      <w:r w:rsidR="00092566" w:rsidRPr="009B1A15">
        <w:rPr>
          <w:rFonts w:cstheme="minorHAnsi"/>
          <w:b/>
          <w:highlight w:val="green"/>
        </w:rPr>
        <w:t>Optional</w:t>
      </w:r>
      <w:r w:rsidR="009B1A15" w:rsidRPr="009B1A15">
        <w:rPr>
          <w:rFonts w:cstheme="minorHAnsi"/>
          <w:b/>
          <w:highlight w:val="green"/>
        </w:rPr>
        <w:t xml:space="preserve"> Additional </w:t>
      </w:r>
      <w:r w:rsidR="009B1A15" w:rsidRPr="004756E1">
        <w:rPr>
          <w:rFonts w:cstheme="minorHAnsi"/>
          <w:b/>
          <w:highlight w:val="green"/>
        </w:rPr>
        <w:t>Testing</w:t>
      </w:r>
      <w:r w:rsidR="004756E1" w:rsidRPr="004756E1">
        <w:rPr>
          <w:rFonts w:cstheme="minorHAnsi"/>
          <w:b/>
          <w:highlight w:val="green"/>
        </w:rPr>
        <w:t xml:space="preserve"> for Risk Adjustment</w:t>
      </w:r>
      <w:r w:rsidR="00092566" w:rsidRPr="00A25024">
        <w:rPr>
          <w:rFonts w:cstheme="minorHAnsi"/>
          <w:b/>
        </w:rPr>
        <w:t xml:space="preserve"> </w:t>
      </w:r>
      <w:r w:rsidR="00092566" w:rsidRPr="00A25024">
        <w:rPr>
          <w:rFonts w:cstheme="minorHAnsi"/>
        </w:rPr>
        <w:t>(</w:t>
      </w:r>
      <w:r w:rsidR="00092566" w:rsidRPr="00A25024">
        <w:rPr>
          <w:rFonts w:cstheme="minorHAnsi"/>
          <w:i/>
          <w:u w:val="single"/>
        </w:rPr>
        <w:t>not required</w:t>
      </w:r>
      <w:r w:rsidR="00092566" w:rsidRPr="00A25024">
        <w:rPr>
          <w:rFonts w:cstheme="minorHAnsi"/>
          <w:i/>
        </w:rPr>
        <w:t>, but would provide additional support of adequacy</w:t>
      </w:r>
      <w:r w:rsidR="00092566">
        <w:rPr>
          <w:rFonts w:cstheme="minorHAnsi"/>
          <w:i/>
        </w:rPr>
        <w:t xml:space="preserve"> of risk model</w:t>
      </w:r>
      <w:r w:rsidR="009B1A15">
        <w:rPr>
          <w:rFonts w:cstheme="minorHAnsi"/>
          <w:i/>
        </w:rPr>
        <w:t>, e.g., testing of risk model in another data se</w:t>
      </w:r>
      <w:r w:rsidR="002408E4">
        <w:rPr>
          <w:rFonts w:cstheme="minorHAnsi"/>
          <w:i/>
        </w:rPr>
        <w:t>t</w:t>
      </w:r>
      <w:r w:rsidR="009B1A15">
        <w:rPr>
          <w:rFonts w:cstheme="minorHAnsi"/>
          <w:i/>
        </w:rPr>
        <w:t>; sensitivity analysis for missing data</w:t>
      </w:r>
      <w:r w:rsidR="002408E4">
        <w:rPr>
          <w:rFonts w:cstheme="minorHAnsi"/>
          <w:i/>
        </w:rPr>
        <w:t>;</w:t>
      </w:r>
      <w:r w:rsidR="009B1A15">
        <w:rPr>
          <w:rFonts w:cstheme="minorHAnsi"/>
          <w:i/>
        </w:rPr>
        <w:t xml:space="preserve"> other methods</w:t>
      </w:r>
      <w:r w:rsidR="008F7E67">
        <w:rPr>
          <w:rFonts w:cstheme="minorHAnsi"/>
          <w:i/>
        </w:rPr>
        <w:t xml:space="preserve"> that were assessed</w:t>
      </w:r>
      <w:r w:rsidR="009B1A15">
        <w:rPr>
          <w:rFonts w:cstheme="minorHAnsi"/>
        </w:rPr>
        <w:t>)</w:t>
      </w:r>
    </w:p>
    <w:p w14:paraId="0A81F227" w14:textId="77777777" w:rsidR="00D33CA4" w:rsidRDefault="00D33CA4" w:rsidP="00D61410">
      <w:pPr>
        <w:autoSpaceDE w:val="0"/>
        <w:autoSpaceDN w:val="0"/>
        <w:adjustRightInd w:val="0"/>
        <w:spacing w:after="0" w:line="240" w:lineRule="auto"/>
        <w:rPr>
          <w:rFonts w:cstheme="minorHAnsi"/>
          <w:bCs/>
        </w:rPr>
      </w:pPr>
    </w:p>
    <w:p w14:paraId="0CABD005" w14:textId="108E701B" w:rsidR="003755CB" w:rsidRDefault="006962D0" w:rsidP="00D61410">
      <w:pPr>
        <w:autoSpaceDE w:val="0"/>
        <w:autoSpaceDN w:val="0"/>
        <w:adjustRightInd w:val="0"/>
        <w:spacing w:after="0" w:line="240" w:lineRule="auto"/>
        <w:rPr>
          <w:rFonts w:cstheme="minorHAnsi"/>
          <w:b/>
          <w:bCs/>
        </w:rPr>
      </w:pPr>
      <w:r w:rsidRPr="006962D0">
        <w:rPr>
          <w:rFonts w:cstheme="minorHAnsi"/>
          <w:bCs/>
        </w:rPr>
        <w:t>Not applicable</w:t>
      </w:r>
    </w:p>
    <w:p w14:paraId="0CABD006" w14:textId="77777777" w:rsidR="00D61410" w:rsidRPr="00A25024" w:rsidRDefault="00D61410" w:rsidP="00D61410">
      <w:pPr>
        <w:autoSpaceDE w:val="0"/>
        <w:autoSpaceDN w:val="0"/>
        <w:adjustRightInd w:val="0"/>
        <w:spacing w:after="0" w:line="240" w:lineRule="auto"/>
        <w:rPr>
          <w:rFonts w:cstheme="minorHAnsi"/>
          <w:bCs/>
        </w:rPr>
      </w:pPr>
      <w:r>
        <w:rPr>
          <w:rFonts w:cstheme="minorHAnsi"/>
          <w:bCs/>
        </w:rPr>
        <w:t>_______________________</w:t>
      </w:r>
    </w:p>
    <w:p w14:paraId="0CABD007" w14:textId="2123B75E" w:rsidR="00D61410" w:rsidRPr="00A25024" w:rsidRDefault="009C7513" w:rsidP="00D61410">
      <w:pPr>
        <w:autoSpaceDE w:val="0"/>
        <w:autoSpaceDN w:val="0"/>
        <w:adjustRightInd w:val="0"/>
        <w:spacing w:after="0" w:line="240" w:lineRule="auto"/>
        <w:rPr>
          <w:rFonts w:cstheme="minorHAnsi"/>
          <w:b/>
          <w:bCs/>
        </w:rPr>
      </w:pPr>
      <w:bookmarkStart w:id="14" w:name="section2b5"/>
      <w:bookmarkEnd w:id="14"/>
      <w:r>
        <w:rPr>
          <w:rFonts w:cstheme="minorHAnsi"/>
          <w:b/>
          <w:bCs/>
        </w:rPr>
        <w:t>2b4</w:t>
      </w:r>
      <w:r w:rsidR="00D61410" w:rsidRPr="00A25024">
        <w:rPr>
          <w:rFonts w:cstheme="minorHAnsi"/>
          <w:b/>
          <w:bCs/>
        </w:rPr>
        <w:t>. IDENTIFICATION OF STATISTICALLY SIGNIFICANT &amp; MEANINGFUL DIFFERENCES IN PERFORMANCE</w:t>
      </w:r>
    </w:p>
    <w:p w14:paraId="10A77D00" w14:textId="77777777" w:rsidR="006962D0" w:rsidRDefault="009C7513" w:rsidP="006962D0">
      <w:pPr>
        <w:spacing w:after="0" w:line="240" w:lineRule="auto"/>
        <w:rPr>
          <w:rFonts w:cs="Arial"/>
        </w:rPr>
      </w:pPr>
      <w:r>
        <w:rPr>
          <w:rFonts w:cstheme="minorHAnsi"/>
          <w:b/>
          <w:bCs/>
        </w:rPr>
        <w:t>2b4</w:t>
      </w:r>
      <w:r w:rsidR="00D61410">
        <w:rPr>
          <w:rFonts w:cstheme="minorHAnsi"/>
          <w:b/>
          <w:bCs/>
        </w:rPr>
        <w:t>.1. Describe the method for</w:t>
      </w:r>
      <w:r w:rsidR="00D61410" w:rsidRPr="00A25024">
        <w:rPr>
          <w:rFonts w:cstheme="minorHAnsi"/>
          <w:b/>
          <w:bCs/>
        </w:rPr>
        <w:t xml:space="preserve"> det</w:t>
      </w:r>
      <w:r w:rsidR="00D61410">
        <w:rPr>
          <w:rFonts w:cstheme="minorHAnsi"/>
          <w:b/>
          <w:bCs/>
        </w:rPr>
        <w:t>ermining</w:t>
      </w:r>
      <w:r w:rsidR="00D61410" w:rsidRPr="00A25024">
        <w:rPr>
          <w:rFonts w:cstheme="minorHAnsi"/>
          <w:b/>
          <w:bCs/>
        </w:rPr>
        <w:t xml:space="preserve"> if statistically significant and clinically/practically meaningful differences in performance measure scores among the measured entities </w:t>
      </w:r>
      <w:r w:rsidR="00D61410">
        <w:rPr>
          <w:rFonts w:cstheme="minorHAnsi"/>
          <w:b/>
          <w:bCs/>
        </w:rPr>
        <w:t>can</w:t>
      </w:r>
      <w:r w:rsidR="00D61410" w:rsidRPr="00A25024">
        <w:rPr>
          <w:rFonts w:cstheme="minorHAnsi"/>
          <w:b/>
          <w:bCs/>
        </w:rPr>
        <w:t xml:space="preserve"> be identified</w:t>
      </w:r>
      <w:r w:rsidR="00D61410" w:rsidRPr="00A25024">
        <w:rPr>
          <w:rFonts w:cstheme="minorHAnsi"/>
          <w:bCs/>
        </w:rPr>
        <w:t xml:space="preserve"> (</w:t>
      </w:r>
      <w:r w:rsidR="00D61410" w:rsidRPr="00A25024">
        <w:rPr>
          <w:rFonts w:cstheme="minorHAnsi"/>
          <w:bCs/>
          <w:i/>
        </w:rPr>
        <w:t>describe the steps―do not just name a method</w:t>
      </w:r>
      <w:r w:rsidR="00D61410">
        <w:rPr>
          <w:rFonts w:cstheme="minorHAnsi"/>
          <w:bCs/>
          <w:i/>
        </w:rPr>
        <w:t>; what statistical analysis was used? Do not just repeat the information provided related to performance gap in 1b</w:t>
      </w:r>
      <w:r w:rsidR="00D61410" w:rsidRPr="00A25024">
        <w:rPr>
          <w:rFonts w:cstheme="minorHAnsi"/>
          <w:bCs/>
          <w:i/>
        </w:rPr>
        <w:t xml:space="preserve">) </w:t>
      </w:r>
      <w:r w:rsidR="00D61410" w:rsidRPr="00A25024">
        <w:rPr>
          <w:rFonts w:cstheme="minorHAnsi"/>
          <w:bCs/>
        </w:rPr>
        <w:br/>
      </w:r>
    </w:p>
    <w:p w14:paraId="2F97A4B0" w14:textId="04731E0E" w:rsidR="00EA53AF" w:rsidRPr="006962D0" w:rsidRDefault="00EA53AF" w:rsidP="006962D0">
      <w:pPr>
        <w:spacing w:after="0" w:line="240" w:lineRule="auto"/>
        <w:rPr>
          <w:rFonts w:cs="Arial"/>
          <w:b/>
          <w:bCs/>
        </w:rPr>
      </w:pPr>
      <w:r w:rsidRPr="006962D0">
        <w:rPr>
          <w:rFonts w:cs="Arial"/>
        </w:rPr>
        <w:t>The method used to analyze meaningful differences in performance at The Joint Commission is Target Analysis. The object of target analysis is to compare a health care organization’s data against a comparative norm for the purpose of evaluating performance improvement opportunities. When an organization’s performance level is statistically significantly different from a comparative norm, it is considered a statistical deviation. A statistical deviation may be desirable or undesirable depending on the “direction of improvement” of the measure.</w:t>
      </w:r>
    </w:p>
    <w:p w14:paraId="36336935" w14:textId="77777777" w:rsidR="00D33CA4" w:rsidRDefault="00D33CA4" w:rsidP="006962D0">
      <w:pPr>
        <w:spacing w:after="0" w:line="240" w:lineRule="auto"/>
        <w:rPr>
          <w:rFonts w:cs="Arial"/>
        </w:rPr>
      </w:pPr>
    </w:p>
    <w:p w14:paraId="0CABD009" w14:textId="6CE49716" w:rsidR="00D61410" w:rsidRDefault="00EA53AF" w:rsidP="006962D0">
      <w:pPr>
        <w:spacing w:after="0" w:line="240" w:lineRule="auto"/>
        <w:rPr>
          <w:rFonts w:ascii="Arial Narrow" w:hAnsi="Arial Narrow" w:cs="Arial"/>
          <w:color w:val="0000FF"/>
        </w:rPr>
      </w:pPr>
      <w:r w:rsidRPr="006962D0">
        <w:rPr>
          <w:rFonts w:cs="Arial"/>
        </w:rPr>
        <w:t xml:space="preserve">There are two components to the target analysis methodology used at The Joint Commission. Given the national average for a performance measure, a target range is constructed. Using generalized linear mixed models methodology (also known as hierarchical models), a predicted estimate of an HCO’s performance, with a corresponding 95% confidence interval, is generated. This confidence interval is compared to the target range, to determine the HCO’s rating. The estimate of the organization’s true </w:t>
      </w:r>
      <w:r w:rsidRPr="006962D0">
        <w:rPr>
          <w:rFonts w:cs="Arial"/>
        </w:rPr>
        <w:lastRenderedPageBreak/>
        <w:t>performance is based on both the data from that organization and on data from the entire set of reporting organizations.</w:t>
      </w:r>
      <w:r>
        <w:rPr>
          <w:rFonts w:ascii="Arial Narrow" w:hAnsi="Arial Narrow" w:cs="Arial"/>
          <w:color w:val="0000FF"/>
        </w:rPr>
        <w:t xml:space="preserve"> </w:t>
      </w:r>
    </w:p>
    <w:p w14:paraId="03A753F1" w14:textId="77777777" w:rsidR="006962D0" w:rsidRPr="00EA53AF" w:rsidRDefault="006962D0" w:rsidP="006962D0">
      <w:pPr>
        <w:spacing w:after="0" w:line="240" w:lineRule="auto"/>
        <w:rPr>
          <w:rFonts w:ascii="Arial Narrow" w:hAnsi="Arial Narrow" w:cs="Arial"/>
          <w:color w:val="0000FF"/>
        </w:rPr>
      </w:pPr>
    </w:p>
    <w:p w14:paraId="6D57E214" w14:textId="77777777" w:rsidR="00D33CA4" w:rsidRDefault="009C7513" w:rsidP="006962D0">
      <w:pPr>
        <w:spacing w:after="0" w:line="240" w:lineRule="auto"/>
        <w:rPr>
          <w:rFonts w:cs="Arial"/>
          <w:color w:val="FF0000"/>
        </w:rPr>
      </w:pPr>
      <w:r>
        <w:rPr>
          <w:rFonts w:cstheme="minorHAnsi"/>
          <w:b/>
          <w:bCs/>
        </w:rPr>
        <w:t>2b4</w:t>
      </w:r>
      <w:r w:rsidR="00D61410">
        <w:rPr>
          <w:rFonts w:cstheme="minorHAnsi"/>
          <w:b/>
          <w:bCs/>
        </w:rPr>
        <w:t xml:space="preserve">.2. </w:t>
      </w:r>
      <w:proofErr w:type="gramStart"/>
      <w:r w:rsidR="00D61410" w:rsidRPr="00A25024">
        <w:rPr>
          <w:rFonts w:cstheme="minorHAnsi"/>
          <w:b/>
          <w:bCs/>
        </w:rPr>
        <w:t>What</w:t>
      </w:r>
      <w:proofErr w:type="gramEnd"/>
      <w:r w:rsidR="00D61410" w:rsidRPr="00A25024">
        <w:rPr>
          <w:rFonts w:cstheme="minorHAnsi"/>
          <w:b/>
          <w:bCs/>
        </w:rPr>
        <w:t xml:space="preserve"> were the statistical results from testing the ability to identify </w:t>
      </w:r>
      <w:r w:rsidR="001E69DC">
        <w:rPr>
          <w:rFonts w:cstheme="minorHAnsi"/>
          <w:b/>
          <w:bCs/>
        </w:rPr>
        <w:t xml:space="preserve">statistically significant and/or clinically/practically meaningful </w:t>
      </w:r>
      <w:r w:rsidR="00D61410" w:rsidRPr="00A25024">
        <w:rPr>
          <w:rFonts w:cstheme="minorHAnsi"/>
          <w:b/>
          <w:bCs/>
        </w:rPr>
        <w:t>differences in performance measure scores across measured entities?</w:t>
      </w:r>
      <w:r w:rsidR="00D61410" w:rsidRPr="00A25024">
        <w:rPr>
          <w:rFonts w:cstheme="minorHAnsi"/>
          <w:bCs/>
        </w:rPr>
        <w:t xml:space="preserve"> (</w:t>
      </w:r>
      <w:r w:rsidR="00D61410">
        <w:rPr>
          <w:rFonts w:cstheme="minorHAnsi"/>
          <w:bCs/>
        </w:rPr>
        <w:t xml:space="preserve">e.g., </w:t>
      </w:r>
      <w:r w:rsidR="00D61410" w:rsidRPr="00A25024">
        <w:rPr>
          <w:rFonts w:cstheme="minorHAnsi"/>
          <w:bCs/>
          <w:i/>
        </w:rPr>
        <w:t xml:space="preserve">number and percentage </w:t>
      </w:r>
      <w:r w:rsidR="001E69DC">
        <w:rPr>
          <w:rFonts w:cstheme="minorHAnsi"/>
          <w:bCs/>
          <w:i/>
        </w:rPr>
        <w:t xml:space="preserve">of entities with scores </w:t>
      </w:r>
      <w:r w:rsidR="00D61410">
        <w:rPr>
          <w:rFonts w:cstheme="minorHAnsi"/>
          <w:bCs/>
          <w:i/>
        </w:rPr>
        <w:t xml:space="preserve">that were </w:t>
      </w:r>
      <w:r w:rsidR="00D61410" w:rsidRPr="00A25024">
        <w:rPr>
          <w:rFonts w:cstheme="minorHAnsi"/>
          <w:bCs/>
          <w:i/>
        </w:rPr>
        <w:t xml:space="preserve">statistically </w:t>
      </w:r>
      <w:r w:rsidR="00D61410">
        <w:rPr>
          <w:rFonts w:cstheme="minorHAnsi"/>
          <w:bCs/>
          <w:i/>
        </w:rPr>
        <w:t xml:space="preserve">significantly </w:t>
      </w:r>
      <w:r w:rsidR="00D61410" w:rsidRPr="00A25024">
        <w:rPr>
          <w:rFonts w:cstheme="minorHAnsi"/>
          <w:bCs/>
          <w:i/>
        </w:rPr>
        <w:t xml:space="preserve">different from mean </w:t>
      </w:r>
      <w:r w:rsidR="001E69DC">
        <w:rPr>
          <w:rFonts w:cstheme="minorHAnsi"/>
          <w:bCs/>
          <w:i/>
        </w:rPr>
        <w:t>or some benchmark, different from expected; how was meaningful difference defined</w:t>
      </w:r>
      <w:r w:rsidR="00D61410" w:rsidRPr="00A25024">
        <w:rPr>
          <w:rFonts w:cstheme="minorHAnsi"/>
          <w:bCs/>
        </w:rPr>
        <w:t>)</w:t>
      </w:r>
      <w:r w:rsidR="00D61410" w:rsidRPr="00A25024">
        <w:rPr>
          <w:rFonts w:cstheme="minorHAnsi"/>
          <w:bCs/>
        </w:rPr>
        <w:br/>
      </w:r>
    </w:p>
    <w:p w14:paraId="56899725" w14:textId="5F891293" w:rsidR="00EA53AF" w:rsidRPr="006962D0" w:rsidRDefault="00EA53AF" w:rsidP="006962D0">
      <w:pPr>
        <w:spacing w:after="0" w:line="240" w:lineRule="auto"/>
        <w:rPr>
          <w:rFonts w:cs="Arial"/>
          <w:color w:val="FF0000"/>
        </w:rPr>
      </w:pPr>
      <w:r w:rsidRPr="006962D0">
        <w:rPr>
          <w:rFonts w:cs="Arial"/>
          <w:color w:val="FF0000"/>
        </w:rPr>
        <w:t>HBIPS-3 Distribution of Measure Results</w:t>
      </w:r>
    </w:p>
    <w:p w14:paraId="5DC7DEFD" w14:textId="77777777" w:rsidR="00EA53AF" w:rsidRPr="006962D0" w:rsidRDefault="00EA53AF" w:rsidP="006962D0">
      <w:pPr>
        <w:spacing w:after="0" w:line="240" w:lineRule="auto"/>
        <w:rPr>
          <w:rFonts w:cs="Arial"/>
          <w:color w:val="FF0000"/>
        </w:rPr>
      </w:pPr>
    </w:p>
    <w:p w14:paraId="57C26B19" w14:textId="77777777" w:rsidR="00EA53AF" w:rsidRPr="006962D0" w:rsidRDefault="00EA53AF" w:rsidP="006962D0">
      <w:pPr>
        <w:spacing w:after="0" w:line="240" w:lineRule="auto"/>
        <w:rPr>
          <w:rFonts w:cs="Arial"/>
          <w:color w:val="FF0000"/>
        </w:rPr>
      </w:pPr>
      <w:r w:rsidRPr="006962D0">
        <w:rPr>
          <w:rFonts w:cs="Arial"/>
          <w:color w:val="FF0000"/>
        </w:rPr>
        <w:t>2018 2nd Quarter Data:</w:t>
      </w:r>
    </w:p>
    <w:p w14:paraId="58937A18" w14:textId="77777777" w:rsidR="00EA53AF" w:rsidRPr="006962D0" w:rsidRDefault="00EA53AF" w:rsidP="006962D0">
      <w:pPr>
        <w:spacing w:after="0" w:line="240" w:lineRule="auto"/>
        <w:rPr>
          <w:rFonts w:cs="Arial"/>
          <w:color w:val="FF0000"/>
        </w:rPr>
      </w:pPr>
      <w:r w:rsidRPr="006962D0">
        <w:rPr>
          <w:rFonts w:cs="Arial"/>
          <w:color w:val="FF0000"/>
        </w:rPr>
        <w:t>Scores on this measure: N=714, Mean 0.3357%, SD 2.3694</w:t>
      </w:r>
    </w:p>
    <w:p w14:paraId="2CBFC6A8" w14:textId="77777777" w:rsidR="00EA53AF" w:rsidRPr="006962D0" w:rsidRDefault="00EA53AF" w:rsidP="006962D0">
      <w:pPr>
        <w:spacing w:after="0" w:line="240" w:lineRule="auto"/>
        <w:rPr>
          <w:rFonts w:cs="Arial"/>
          <w:color w:val="FF0000"/>
        </w:rPr>
      </w:pPr>
      <w:r w:rsidRPr="006962D0">
        <w:rPr>
          <w:rFonts w:cs="Arial"/>
          <w:color w:val="FF0000"/>
        </w:rPr>
        <w:t>10th Percentile= 0%</w:t>
      </w:r>
    </w:p>
    <w:p w14:paraId="5434F000" w14:textId="77777777" w:rsidR="00EA53AF" w:rsidRPr="006962D0" w:rsidRDefault="00EA53AF" w:rsidP="006962D0">
      <w:pPr>
        <w:spacing w:after="0" w:line="240" w:lineRule="auto"/>
        <w:rPr>
          <w:rFonts w:cs="Arial"/>
          <w:color w:val="FF0000"/>
        </w:rPr>
      </w:pPr>
      <w:r w:rsidRPr="006962D0">
        <w:rPr>
          <w:rFonts w:cs="Arial"/>
          <w:color w:val="FF0000"/>
        </w:rPr>
        <w:t>25th Percentile= 0%</w:t>
      </w:r>
    </w:p>
    <w:p w14:paraId="0DE80918" w14:textId="77777777" w:rsidR="00EA53AF" w:rsidRPr="006962D0" w:rsidRDefault="00EA53AF" w:rsidP="006962D0">
      <w:pPr>
        <w:spacing w:after="0" w:line="240" w:lineRule="auto"/>
        <w:rPr>
          <w:rFonts w:cs="Arial"/>
          <w:color w:val="FF0000"/>
        </w:rPr>
      </w:pPr>
      <w:r w:rsidRPr="006962D0">
        <w:rPr>
          <w:rFonts w:cs="Arial"/>
          <w:color w:val="FF0000"/>
        </w:rPr>
        <w:t>50th Percentile= 0.020%</w:t>
      </w:r>
    </w:p>
    <w:p w14:paraId="19B19013" w14:textId="77777777" w:rsidR="00EA53AF" w:rsidRPr="006962D0" w:rsidRDefault="00EA53AF" w:rsidP="006962D0">
      <w:pPr>
        <w:spacing w:after="0" w:line="240" w:lineRule="auto"/>
        <w:rPr>
          <w:rFonts w:cs="Arial"/>
          <w:color w:val="FF0000"/>
        </w:rPr>
      </w:pPr>
      <w:r w:rsidRPr="006962D0">
        <w:rPr>
          <w:rFonts w:cs="Arial"/>
          <w:color w:val="FF0000"/>
        </w:rPr>
        <w:t>75th Percentile= 0.146%</w:t>
      </w:r>
    </w:p>
    <w:p w14:paraId="4BF0DEC6" w14:textId="77777777" w:rsidR="00EA53AF" w:rsidRPr="006962D0" w:rsidRDefault="00EA53AF" w:rsidP="006962D0">
      <w:pPr>
        <w:spacing w:after="0" w:line="240" w:lineRule="auto"/>
        <w:rPr>
          <w:rFonts w:cs="Arial"/>
          <w:color w:val="FF0000"/>
        </w:rPr>
      </w:pPr>
      <w:r w:rsidRPr="006962D0">
        <w:rPr>
          <w:rFonts w:cs="Arial"/>
          <w:color w:val="FF0000"/>
        </w:rPr>
        <w:t>90th Percentile= 0.543%</w:t>
      </w:r>
    </w:p>
    <w:p w14:paraId="729F42C5" w14:textId="77777777" w:rsidR="00EA53AF" w:rsidRPr="006962D0" w:rsidRDefault="00EA53AF" w:rsidP="006962D0">
      <w:pPr>
        <w:spacing w:after="0" w:line="240" w:lineRule="auto"/>
        <w:rPr>
          <w:rFonts w:cs="Arial"/>
          <w:color w:val="FF0000"/>
        </w:rPr>
      </w:pPr>
    </w:p>
    <w:p w14:paraId="62D16E89" w14:textId="77777777" w:rsidR="00EA53AF" w:rsidRPr="006962D0" w:rsidRDefault="00EA53AF" w:rsidP="006962D0">
      <w:pPr>
        <w:spacing w:after="0" w:line="240" w:lineRule="auto"/>
        <w:rPr>
          <w:rFonts w:cs="Arial"/>
          <w:color w:val="FF0000"/>
        </w:rPr>
      </w:pPr>
      <w:r w:rsidRPr="006962D0">
        <w:rPr>
          <w:rFonts w:cs="Arial"/>
          <w:color w:val="FF0000"/>
        </w:rPr>
        <w:t>574 (80.4%) Favorable – results statistically significantly higher than the national rate</w:t>
      </w:r>
    </w:p>
    <w:p w14:paraId="178A5810" w14:textId="667CC549" w:rsidR="00EA53AF" w:rsidRPr="006962D0" w:rsidRDefault="00EA53AF" w:rsidP="006962D0">
      <w:pPr>
        <w:spacing w:after="0" w:line="240" w:lineRule="auto"/>
        <w:rPr>
          <w:rFonts w:cs="Arial"/>
          <w:color w:val="FF0000"/>
        </w:rPr>
      </w:pPr>
      <w:r w:rsidRPr="006962D0">
        <w:rPr>
          <w:rFonts w:cs="Arial"/>
          <w:color w:val="FF0000"/>
        </w:rPr>
        <w:t>64 (8.9%) Neutr</w:t>
      </w:r>
      <w:r w:rsidR="001D24A0" w:rsidRPr="006962D0">
        <w:rPr>
          <w:rFonts w:cs="Arial"/>
          <w:color w:val="FF0000"/>
        </w:rPr>
        <w:t xml:space="preserve">al – results not significantly </w:t>
      </w:r>
      <w:r w:rsidR="006962D0" w:rsidRPr="006962D0">
        <w:rPr>
          <w:rFonts w:cs="Arial"/>
          <w:color w:val="FF0000"/>
        </w:rPr>
        <w:t>different from</w:t>
      </w:r>
      <w:r w:rsidRPr="006962D0">
        <w:rPr>
          <w:rFonts w:cs="Arial"/>
          <w:color w:val="FF0000"/>
        </w:rPr>
        <w:t xml:space="preserve"> target range </w:t>
      </w:r>
    </w:p>
    <w:p w14:paraId="0CABD00A" w14:textId="31610C92" w:rsidR="00D61410" w:rsidRPr="006962D0" w:rsidRDefault="00EA53AF" w:rsidP="006962D0">
      <w:pPr>
        <w:autoSpaceDE w:val="0"/>
        <w:autoSpaceDN w:val="0"/>
        <w:adjustRightInd w:val="0"/>
        <w:spacing w:after="0" w:line="240" w:lineRule="auto"/>
        <w:rPr>
          <w:rFonts w:cstheme="minorHAnsi"/>
          <w:bCs/>
          <w:color w:val="FF0000"/>
        </w:rPr>
      </w:pPr>
      <w:r w:rsidRPr="006962D0">
        <w:rPr>
          <w:rFonts w:cs="Arial"/>
          <w:color w:val="FF0000"/>
        </w:rPr>
        <w:t>76 (10.6%) Unfavorable - results statistically significantly lower than the national rate</w:t>
      </w:r>
    </w:p>
    <w:p w14:paraId="0CABD00B" w14:textId="77777777" w:rsidR="00D61410" w:rsidRPr="00927027" w:rsidRDefault="00D61410" w:rsidP="00EA53AF">
      <w:pPr>
        <w:autoSpaceDE w:val="0"/>
        <w:autoSpaceDN w:val="0"/>
        <w:adjustRightInd w:val="0"/>
        <w:spacing w:after="0" w:line="240" w:lineRule="auto"/>
        <w:rPr>
          <w:rFonts w:cstheme="minorHAnsi"/>
          <w:bCs/>
        </w:rPr>
      </w:pPr>
    </w:p>
    <w:p w14:paraId="289A6E3E" w14:textId="37ED2E61" w:rsidR="00D33CA4" w:rsidRDefault="009C7513" w:rsidP="00D61410">
      <w:pPr>
        <w:autoSpaceDE w:val="0"/>
        <w:autoSpaceDN w:val="0"/>
        <w:adjustRightInd w:val="0"/>
        <w:spacing w:after="0" w:line="240" w:lineRule="auto"/>
        <w:rPr>
          <w:rFonts w:cstheme="minorHAnsi"/>
          <w:bCs/>
        </w:rPr>
      </w:pPr>
      <w:r w:rsidRPr="00D33CA4">
        <w:rPr>
          <w:rFonts w:cstheme="minorHAnsi"/>
          <w:b/>
          <w:bCs/>
        </w:rPr>
        <w:t>2b4</w:t>
      </w:r>
      <w:r w:rsidR="00D61410" w:rsidRPr="00D33CA4">
        <w:rPr>
          <w:rFonts w:cstheme="minorHAnsi"/>
          <w:b/>
          <w:bCs/>
        </w:rPr>
        <w:t>.3</w:t>
      </w:r>
      <w:r w:rsidR="00D61410">
        <w:rPr>
          <w:rFonts w:cstheme="minorHAnsi"/>
          <w:b/>
          <w:bCs/>
        </w:rPr>
        <w:t xml:space="preserve">. </w:t>
      </w:r>
      <w:proofErr w:type="gramStart"/>
      <w:r w:rsidR="00D61410" w:rsidRPr="00A25024">
        <w:rPr>
          <w:rFonts w:cstheme="minorHAnsi"/>
          <w:b/>
          <w:bCs/>
        </w:rPr>
        <w:t>What</w:t>
      </w:r>
      <w:proofErr w:type="gramEnd"/>
      <w:r w:rsidR="00D61410" w:rsidRPr="00A25024">
        <w:rPr>
          <w:rFonts w:cstheme="minorHAnsi"/>
          <w:b/>
          <w:bCs/>
        </w:rPr>
        <w:t xml:space="preserve"> is your interpretation of the results in terms of demonstrating the ability to identify statistically significant and</w:t>
      </w:r>
      <w:r w:rsidR="005038D5">
        <w:rPr>
          <w:rFonts w:cstheme="minorHAnsi"/>
          <w:b/>
          <w:bCs/>
        </w:rPr>
        <w:t>/or</w:t>
      </w:r>
      <w:r w:rsidR="00D61410" w:rsidRPr="00A25024">
        <w:rPr>
          <w:rFonts w:cstheme="minorHAnsi"/>
          <w:b/>
          <w:bCs/>
        </w:rPr>
        <w:t xml:space="preserve"> clinically/practically meaningful differences in performance across measured entities?</w:t>
      </w:r>
      <w:r w:rsidR="00D61410" w:rsidRPr="00A25024">
        <w:rPr>
          <w:rFonts w:cstheme="minorHAnsi"/>
          <w:bCs/>
        </w:rPr>
        <w:t xml:space="preserve"> (i</w:t>
      </w:r>
      <w:r w:rsidR="00D61410" w:rsidRPr="00A25024">
        <w:rPr>
          <w:rFonts w:cstheme="minorHAnsi"/>
          <w:bCs/>
          <w:i/>
        </w:rPr>
        <w:t>.e., what d</w:t>
      </w:r>
      <w:r w:rsidR="004C2443">
        <w:rPr>
          <w:rFonts w:cstheme="minorHAnsi"/>
          <w:bCs/>
          <w:i/>
        </w:rPr>
        <w:t>o the results mean in terms of statistical and meaningful differences?</w:t>
      </w:r>
      <w:r w:rsidR="00D61410" w:rsidRPr="00A25024">
        <w:rPr>
          <w:rFonts w:cstheme="minorHAnsi"/>
          <w:bCs/>
        </w:rPr>
        <w:t>)</w:t>
      </w:r>
      <w:r w:rsidR="00D61410" w:rsidRPr="00A25024">
        <w:rPr>
          <w:rFonts w:cstheme="minorHAnsi"/>
          <w:bCs/>
        </w:rPr>
        <w:br/>
      </w:r>
    </w:p>
    <w:p w14:paraId="755DDC58" w14:textId="3FFD81DC" w:rsidR="00891872" w:rsidRDefault="00891872" w:rsidP="00891872">
      <w:pPr>
        <w:autoSpaceDE w:val="0"/>
        <w:autoSpaceDN w:val="0"/>
        <w:adjustRightInd w:val="0"/>
        <w:spacing w:after="0" w:line="240" w:lineRule="auto"/>
        <w:rPr>
          <w:color w:val="FF0000"/>
        </w:rPr>
      </w:pPr>
      <w:r w:rsidRPr="00D81127">
        <w:rPr>
          <w:color w:val="FF0000"/>
        </w:rPr>
        <w:t xml:space="preserve">Employing a longitudinal Poisson regression model of hours of </w:t>
      </w:r>
      <w:r w:rsidR="00D1055E">
        <w:rPr>
          <w:color w:val="FF0000"/>
        </w:rPr>
        <w:t>seclusion</w:t>
      </w:r>
      <w:r w:rsidRPr="00D81127">
        <w:rPr>
          <w:color w:val="FF0000"/>
        </w:rPr>
        <w:t xml:space="preserve"> with total patient hours as the offset term and the hospital as a random effect yields a significant improvement of rates over time (p&lt;0.0001).</w:t>
      </w:r>
      <w:r>
        <w:rPr>
          <w:color w:val="FF0000"/>
        </w:rPr>
        <w:t xml:space="preserve">  A</w:t>
      </w:r>
      <w:r>
        <w:rPr>
          <w:rFonts w:cstheme="minorHAnsi"/>
          <w:bCs/>
          <w:color w:val="FF0000"/>
        </w:rPr>
        <w:t>lthough there were improvements over time, measure results continue to demonstrate a gap in care.  This measure is important to continue improvement in decreasing the rates of patient seclusion.</w:t>
      </w:r>
    </w:p>
    <w:p w14:paraId="782244B2" w14:textId="4BB5AA68" w:rsidR="00891872" w:rsidRDefault="00891872" w:rsidP="00D61410">
      <w:pPr>
        <w:autoSpaceDE w:val="0"/>
        <w:autoSpaceDN w:val="0"/>
        <w:adjustRightInd w:val="0"/>
        <w:spacing w:after="0" w:line="240" w:lineRule="auto"/>
        <w:rPr>
          <w:rFonts w:cstheme="minorHAnsi"/>
          <w:bCs/>
        </w:rPr>
      </w:pPr>
    </w:p>
    <w:p w14:paraId="55B26583" w14:textId="77777777" w:rsidR="00891872" w:rsidRDefault="00891872" w:rsidP="00D61410">
      <w:pPr>
        <w:autoSpaceDE w:val="0"/>
        <w:autoSpaceDN w:val="0"/>
        <w:adjustRightInd w:val="0"/>
        <w:spacing w:after="0" w:line="240" w:lineRule="auto"/>
        <w:rPr>
          <w:rFonts w:cstheme="minorHAnsi"/>
          <w:bCs/>
        </w:rPr>
      </w:pPr>
    </w:p>
    <w:p w14:paraId="0CABD00C" w14:textId="4783F606" w:rsidR="00D61410" w:rsidRPr="00A25024" w:rsidRDefault="001D24A0" w:rsidP="00D61410">
      <w:pPr>
        <w:autoSpaceDE w:val="0"/>
        <w:autoSpaceDN w:val="0"/>
        <w:adjustRightInd w:val="0"/>
        <w:spacing w:after="0" w:line="240" w:lineRule="auto"/>
        <w:rPr>
          <w:rFonts w:cstheme="minorHAnsi"/>
          <w:bCs/>
        </w:rPr>
      </w:pPr>
      <w:r w:rsidRPr="006962D0">
        <w:rPr>
          <w:rFonts w:cstheme="minorHAnsi"/>
          <w:bCs/>
        </w:rPr>
        <w:t>A</w:t>
      </w:r>
      <w:r w:rsidR="00EA53AF" w:rsidRPr="006962D0">
        <w:rPr>
          <w:rFonts w:cstheme="minorHAnsi"/>
          <w:bCs/>
        </w:rPr>
        <w:t xml:space="preserve"> practically meaningful number of hospitals were identified with substandard performance for this measure, with performance significantly above the national average. </w:t>
      </w:r>
      <w:r w:rsidR="00EA53AF">
        <w:rPr>
          <w:rFonts w:cstheme="minorHAnsi"/>
          <w:bCs/>
          <w:color w:val="4F81BD" w:themeColor="accent1"/>
        </w:rPr>
        <w:t xml:space="preserve"> </w:t>
      </w:r>
    </w:p>
    <w:p w14:paraId="0CABD00D" w14:textId="77777777" w:rsidR="0086464B" w:rsidRDefault="0086464B" w:rsidP="0086464B">
      <w:pPr>
        <w:spacing w:after="0" w:line="240" w:lineRule="auto"/>
        <w:rPr>
          <w:rFonts w:cstheme="minorHAnsi"/>
          <w:b/>
          <w:bCs/>
        </w:rPr>
      </w:pPr>
      <w:r>
        <w:rPr>
          <w:rFonts w:cstheme="minorHAnsi"/>
          <w:b/>
          <w:bCs/>
        </w:rPr>
        <w:t>_______________________________________</w:t>
      </w:r>
    </w:p>
    <w:p w14:paraId="0CABD00E" w14:textId="1C19894E" w:rsidR="004B1BA0"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009C7513">
        <w:rPr>
          <w:rFonts w:cstheme="minorHAnsi"/>
          <w:b/>
          <w:bCs/>
        </w:rPr>
        <w:t>5</w:t>
      </w:r>
      <w:r w:rsidRPr="00A25024">
        <w:rPr>
          <w:rFonts w:cstheme="minorHAnsi"/>
          <w:b/>
          <w:bCs/>
        </w:rPr>
        <w:t xml:space="preserve">. COMPARABILITY OF PERFORMANCE SCORES </w:t>
      </w:r>
      <w:r w:rsidR="004C498F">
        <w:rPr>
          <w:rFonts w:cstheme="minorHAnsi"/>
          <w:b/>
          <w:bCs/>
        </w:rPr>
        <w:t>WHEN</w:t>
      </w:r>
      <w:r w:rsidR="002B2116" w:rsidRPr="00A25024">
        <w:rPr>
          <w:rFonts w:cstheme="minorHAnsi"/>
          <w:b/>
          <w:bCs/>
        </w:rPr>
        <w:t xml:space="preserve"> MORE THAN ONE SET OF SPECIFICATIONS </w:t>
      </w:r>
    </w:p>
    <w:p w14:paraId="5BA95CC8" w14:textId="77777777" w:rsidR="006962D0" w:rsidRDefault="00567D12" w:rsidP="001D24A0">
      <w:pPr>
        <w:autoSpaceDE w:val="0"/>
        <w:autoSpaceDN w:val="0"/>
        <w:adjustRightInd w:val="0"/>
        <w:spacing w:after="0" w:line="240" w:lineRule="auto"/>
        <w:rPr>
          <w:rFonts w:cstheme="minorHAnsi"/>
          <w:b/>
          <w:bCs/>
          <w:i/>
        </w:rPr>
      </w:pPr>
      <w:r w:rsidRPr="0086464B">
        <w:rPr>
          <w:rFonts w:cstheme="minorHAnsi"/>
          <w:b/>
          <w:bCs/>
          <w:i/>
          <w:highlight w:val="green"/>
        </w:rPr>
        <w:t xml:space="preserve">If only one set of specifications, this section can be </w:t>
      </w:r>
      <w:r w:rsidR="00BE592D">
        <w:rPr>
          <w:rFonts w:cstheme="minorHAnsi"/>
          <w:b/>
          <w:bCs/>
          <w:i/>
          <w:highlight w:val="green"/>
        </w:rPr>
        <w:t>skipped</w:t>
      </w:r>
      <w:r w:rsidR="00BE592D">
        <w:rPr>
          <w:rFonts w:cstheme="minorHAnsi"/>
          <w:b/>
          <w:bCs/>
          <w:i/>
        </w:rPr>
        <w:t>.</w:t>
      </w:r>
      <w:r w:rsidR="001D24A0">
        <w:rPr>
          <w:rFonts w:cstheme="minorHAnsi"/>
          <w:b/>
          <w:bCs/>
          <w:i/>
        </w:rPr>
        <w:t xml:space="preserve"> </w:t>
      </w:r>
    </w:p>
    <w:p w14:paraId="54C76AEA" w14:textId="77777777" w:rsidR="00D33CA4" w:rsidRDefault="00D33CA4" w:rsidP="006962D0">
      <w:pPr>
        <w:autoSpaceDE w:val="0"/>
        <w:autoSpaceDN w:val="0"/>
        <w:adjustRightInd w:val="0"/>
        <w:spacing w:after="0" w:line="240" w:lineRule="auto"/>
        <w:rPr>
          <w:rFonts w:cstheme="minorHAnsi"/>
          <w:bCs/>
        </w:rPr>
      </w:pPr>
    </w:p>
    <w:p w14:paraId="0CABD00F" w14:textId="1134610F" w:rsidR="00567D12" w:rsidRPr="0086464B" w:rsidRDefault="006962D0" w:rsidP="006962D0">
      <w:pPr>
        <w:autoSpaceDE w:val="0"/>
        <w:autoSpaceDN w:val="0"/>
        <w:adjustRightInd w:val="0"/>
        <w:spacing w:after="0" w:line="240" w:lineRule="auto"/>
        <w:rPr>
          <w:rFonts w:cstheme="minorHAnsi"/>
          <w:b/>
          <w:bCs/>
        </w:rPr>
      </w:pPr>
      <w:r w:rsidRPr="006962D0">
        <w:rPr>
          <w:rFonts w:cstheme="minorHAnsi"/>
          <w:bCs/>
        </w:rPr>
        <w:t>Not applicable</w:t>
      </w:r>
    </w:p>
    <w:p w14:paraId="0CABD010" w14:textId="77777777" w:rsidR="00567D12" w:rsidRPr="00A25024" w:rsidRDefault="00567D12" w:rsidP="00DB3627">
      <w:pPr>
        <w:autoSpaceDE w:val="0"/>
        <w:autoSpaceDN w:val="0"/>
        <w:adjustRightInd w:val="0"/>
        <w:spacing w:after="0" w:line="240" w:lineRule="auto"/>
        <w:rPr>
          <w:rFonts w:cstheme="minorHAnsi"/>
          <w:b/>
          <w:bCs/>
        </w:rPr>
      </w:pPr>
    </w:p>
    <w:p w14:paraId="0CABD011" w14:textId="52777D4F" w:rsidR="00052A6F" w:rsidRDefault="002B2116" w:rsidP="00DB3627">
      <w:pPr>
        <w:autoSpaceDE w:val="0"/>
        <w:autoSpaceDN w:val="0"/>
        <w:adjustRightInd w:val="0"/>
        <w:spacing w:after="0" w:line="240" w:lineRule="auto"/>
        <w:rPr>
          <w:rFonts w:cstheme="minorHAnsi"/>
          <w:bCs/>
          <w:i/>
        </w:rPr>
      </w:pPr>
      <w:r w:rsidRPr="00A25024">
        <w:rPr>
          <w:rFonts w:cstheme="minorHAnsi"/>
          <w:b/>
          <w:bCs/>
          <w:u w:val="single"/>
        </w:rPr>
        <w:t>Note</w:t>
      </w:r>
      <w:r w:rsidRPr="00A25024">
        <w:rPr>
          <w:rFonts w:cstheme="minorHAnsi"/>
          <w:bCs/>
          <w:i/>
        </w:rPr>
        <w:t xml:space="preserve">: </w:t>
      </w:r>
      <w:r w:rsidR="00F1412B">
        <w:rPr>
          <w:rFonts w:ascii="Calibri-Italic" w:eastAsiaTheme="minorHAnsi" w:hAnsi="Calibri-Italic" w:cs="Calibri-Italic"/>
          <w:i/>
          <w:iCs/>
        </w:rPr>
        <w:t xml:space="preserve">This item is directed to measures that are risk-adjusted (with or without </w:t>
      </w:r>
      <w:r w:rsidR="00AF2D68">
        <w:rPr>
          <w:rFonts w:ascii="Calibri-Italic" w:eastAsiaTheme="minorHAnsi" w:hAnsi="Calibri-Italic" w:cs="Calibri-Italic"/>
          <w:i/>
          <w:iCs/>
        </w:rPr>
        <w:t>social risk</w:t>
      </w:r>
      <w:r w:rsidR="00F1412B">
        <w:rPr>
          <w:rFonts w:ascii="Calibri-Italic" w:eastAsiaTheme="minorHAnsi" w:hAnsi="Calibri-Italic" w:cs="Calibri-Italic"/>
          <w:i/>
          <w:iCs/>
        </w:rPr>
        <w:t xml:space="preserve"> factors) </w:t>
      </w:r>
      <w:r w:rsidR="00F1412B" w:rsidRPr="00084055">
        <w:rPr>
          <w:rFonts w:ascii="Calibri-Italic" w:eastAsiaTheme="minorHAnsi" w:hAnsi="Calibri-Italic" w:cs="Calibri-Italic"/>
          <w:b/>
          <w:i/>
          <w:iCs/>
        </w:rPr>
        <w:t>OR</w:t>
      </w:r>
      <w:r w:rsidR="00F1412B">
        <w:rPr>
          <w:rFonts w:ascii="Calibri-Italic" w:eastAsiaTheme="minorHAnsi" w:hAnsi="Calibri-Italic" w:cs="Calibri-Italic"/>
          <w:i/>
          <w:iCs/>
        </w:rPr>
        <w:t xml:space="preserve"> to measures with more than one set of specifications/instructions (e.g., one set of specifications for how to identify and compute the measure from medical record abstraction and a different set of specifications for claims or </w:t>
      </w:r>
      <w:proofErr w:type="spellStart"/>
      <w:r w:rsidR="00F1412B">
        <w:rPr>
          <w:rFonts w:ascii="Calibri-Italic" w:eastAsiaTheme="minorHAnsi" w:hAnsi="Calibri-Italic" w:cs="Calibri-Italic"/>
          <w:i/>
          <w:iCs/>
        </w:rPr>
        <w:t>eMeasures</w:t>
      </w:r>
      <w:proofErr w:type="spellEnd"/>
      <w:r w:rsidR="00F1412B">
        <w:rPr>
          <w:rFonts w:ascii="Calibri-Italic" w:eastAsiaTheme="minorHAnsi" w:hAnsi="Calibri-Italic" w:cs="Calibri-Italic"/>
          <w:i/>
          <w:iCs/>
        </w:rPr>
        <w:t xml:space="preserve">). It does not apply to measures that use more than one source of data in one set of specifications/instructions (e.g., claims data to identify the denominator and medical record abstraction for the numerator). </w:t>
      </w:r>
      <w:r w:rsidR="00F1412B" w:rsidRPr="005133A2">
        <w:rPr>
          <w:rFonts w:ascii="Calibri-BoldItalic" w:eastAsiaTheme="minorHAnsi" w:hAnsi="Calibri-BoldItalic" w:cs="Calibri-BoldItalic"/>
          <w:b/>
          <w:bCs/>
          <w:i/>
          <w:iCs/>
        </w:rPr>
        <w:t>Co</w:t>
      </w:r>
      <w:r w:rsidR="00F1412B">
        <w:rPr>
          <w:rFonts w:ascii="Calibri-BoldItalic" w:eastAsiaTheme="minorHAnsi" w:hAnsi="Calibri-BoldItalic" w:cs="Calibri-BoldItalic"/>
          <w:b/>
          <w:bCs/>
          <w:i/>
          <w:iCs/>
        </w:rPr>
        <w:t xml:space="preserve">mparability is not required when comparing performance scores </w:t>
      </w:r>
      <w:r w:rsidR="00F1412B" w:rsidRPr="005133A2">
        <w:rPr>
          <w:rFonts w:ascii="Calibri-BoldItalic" w:eastAsiaTheme="minorHAnsi" w:hAnsi="Calibri-BoldItalic" w:cs="Calibri-BoldItalic"/>
          <w:b/>
          <w:bCs/>
          <w:i/>
          <w:iCs/>
        </w:rPr>
        <w:lastRenderedPageBreak/>
        <w:t xml:space="preserve">with and without </w:t>
      </w:r>
      <w:r w:rsidR="00AF2D68">
        <w:rPr>
          <w:rFonts w:ascii="Calibri-BoldItalic" w:eastAsiaTheme="minorHAnsi" w:hAnsi="Calibri-BoldItalic" w:cs="Calibri-BoldItalic"/>
          <w:b/>
          <w:bCs/>
          <w:i/>
          <w:iCs/>
        </w:rPr>
        <w:t>social risk</w:t>
      </w:r>
      <w:r w:rsidR="00F1412B" w:rsidRPr="005133A2">
        <w:rPr>
          <w:rFonts w:ascii="Calibri-BoldItalic" w:eastAsiaTheme="minorHAnsi" w:hAnsi="Calibri-BoldItalic" w:cs="Calibri-BoldItalic"/>
          <w:b/>
          <w:bCs/>
          <w:i/>
          <w:iCs/>
        </w:rPr>
        <w:t xml:space="preserve"> factors in the risk adjustment model</w:t>
      </w:r>
      <w:r w:rsidR="00F1412B">
        <w:rPr>
          <w:rFonts w:ascii="Calibri-BoldItalic" w:eastAsiaTheme="minorHAnsi" w:hAnsi="Calibri-BoldItalic" w:cs="Calibri-BoldItalic"/>
          <w:b/>
          <w:bCs/>
          <w:i/>
          <w:iCs/>
        </w:rPr>
        <w:t>.  However, if comparability is not demonstrated</w:t>
      </w:r>
      <w:r w:rsidR="00F1412B" w:rsidRPr="005133A2">
        <w:rPr>
          <w:rFonts w:ascii="Calibri-BoldItalic" w:eastAsiaTheme="minorHAnsi" w:hAnsi="Calibri-BoldItalic" w:cs="Calibri-BoldItalic"/>
          <w:b/>
          <w:bCs/>
          <w:i/>
          <w:iCs/>
        </w:rPr>
        <w:t xml:space="preserve"> for measures with more than one set of specifications/instructions</w:t>
      </w:r>
      <w:r w:rsidR="00F1412B">
        <w:rPr>
          <w:rFonts w:ascii="Calibri-BoldItalic" w:eastAsiaTheme="minorHAnsi" w:hAnsi="Calibri-BoldItalic" w:cs="Calibri-BoldItalic"/>
          <w:b/>
          <w:bCs/>
          <w:i/>
          <w:iCs/>
        </w:rPr>
        <w:t>, the different specifications (e.g., for medical records vs. claims) should be submitted as separate measures.</w:t>
      </w:r>
    </w:p>
    <w:p w14:paraId="0CABD012" w14:textId="77777777" w:rsidR="000F06B5" w:rsidRPr="00A25024" w:rsidRDefault="000F06B5" w:rsidP="00DB3627">
      <w:pPr>
        <w:autoSpaceDE w:val="0"/>
        <w:autoSpaceDN w:val="0"/>
        <w:adjustRightInd w:val="0"/>
        <w:spacing w:after="0" w:line="240" w:lineRule="auto"/>
        <w:rPr>
          <w:rFonts w:cstheme="minorHAnsi"/>
          <w:bCs/>
        </w:rPr>
      </w:pPr>
    </w:p>
    <w:p w14:paraId="015D8906" w14:textId="77777777" w:rsidR="00D33CA4" w:rsidRDefault="009C7513" w:rsidP="00DB3627">
      <w:pPr>
        <w:autoSpaceDE w:val="0"/>
        <w:autoSpaceDN w:val="0"/>
        <w:adjustRightInd w:val="0"/>
        <w:spacing w:after="0" w:line="240" w:lineRule="auto"/>
        <w:rPr>
          <w:rFonts w:cstheme="minorHAnsi"/>
          <w:bCs/>
        </w:rPr>
      </w:pPr>
      <w:r>
        <w:rPr>
          <w:rFonts w:cstheme="minorHAnsi"/>
          <w:b/>
          <w:bCs/>
        </w:rPr>
        <w:t>2b5</w:t>
      </w:r>
      <w:r w:rsidR="00E1508F">
        <w:rPr>
          <w:rFonts w:cstheme="minorHAnsi"/>
          <w:b/>
          <w:bCs/>
        </w:rPr>
        <w:t xml:space="preserve">.1. </w:t>
      </w:r>
      <w:r w:rsidR="008871A9">
        <w:rPr>
          <w:rFonts w:cstheme="minorHAnsi"/>
          <w:b/>
          <w:bCs/>
        </w:rPr>
        <w:t xml:space="preserve">Describe the method of </w:t>
      </w:r>
      <w:r w:rsidR="000F06B5" w:rsidRPr="00A25024">
        <w:rPr>
          <w:rFonts w:cstheme="minorHAnsi"/>
          <w:b/>
          <w:bCs/>
        </w:rPr>
        <w:t>testing conducted</w:t>
      </w:r>
      <w:r w:rsidR="008871A9">
        <w:rPr>
          <w:rFonts w:cstheme="minorHAnsi"/>
          <w:b/>
          <w:bCs/>
        </w:rPr>
        <w:t xml:space="preserve"> to </w:t>
      </w:r>
      <w:r w:rsidR="00F1412B">
        <w:rPr>
          <w:rFonts w:cstheme="minorHAnsi"/>
          <w:b/>
          <w:bCs/>
        </w:rPr>
        <w:t>compare</w:t>
      </w:r>
      <w:r w:rsidR="004B6CEE" w:rsidRPr="00A25024">
        <w:rPr>
          <w:rFonts w:cstheme="minorHAnsi"/>
          <w:b/>
          <w:bCs/>
        </w:rPr>
        <w:t xml:space="preserve"> performance scores </w:t>
      </w:r>
      <w:r w:rsidR="00A35F8F" w:rsidRPr="00A25024">
        <w:rPr>
          <w:rFonts w:cstheme="minorHAnsi"/>
          <w:b/>
          <w:bCs/>
        </w:rPr>
        <w:t xml:space="preserve">for the same entities </w:t>
      </w:r>
      <w:r w:rsidR="00287649" w:rsidRPr="00A25024">
        <w:rPr>
          <w:rFonts w:cstheme="minorHAnsi"/>
          <w:b/>
          <w:bCs/>
        </w:rPr>
        <w:t xml:space="preserve">across the different </w:t>
      </w:r>
      <w:r w:rsidR="00864CA8">
        <w:rPr>
          <w:rFonts w:cstheme="minorHAnsi"/>
          <w:b/>
          <w:bCs/>
        </w:rPr>
        <w:t>data</w:t>
      </w:r>
      <w:r w:rsidR="0028114D">
        <w:rPr>
          <w:rFonts w:cstheme="minorHAnsi"/>
          <w:b/>
          <w:bCs/>
        </w:rPr>
        <w:t xml:space="preserve"> </w:t>
      </w:r>
      <w:r w:rsidR="00864CA8">
        <w:rPr>
          <w:rFonts w:cstheme="minorHAnsi"/>
          <w:b/>
          <w:bCs/>
        </w:rPr>
        <w:t>sources/</w:t>
      </w:r>
      <w:r w:rsidR="00287649" w:rsidRPr="00A25024">
        <w:rPr>
          <w:rFonts w:cstheme="minorHAnsi"/>
          <w:b/>
          <w:bCs/>
        </w:rPr>
        <w:t>specifications</w:t>
      </w:r>
      <w:r w:rsidR="000F06B5"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F06B5" w:rsidRPr="00A25024">
        <w:rPr>
          <w:rFonts w:cstheme="minorHAnsi"/>
          <w:bCs/>
        </w:rPr>
        <w:t>)</w:t>
      </w:r>
      <w:r w:rsidR="000F06B5" w:rsidRPr="00A25024">
        <w:rPr>
          <w:rFonts w:cstheme="minorHAnsi"/>
          <w:bCs/>
        </w:rPr>
        <w:br/>
        <w:t xml:space="preserve"> </w:t>
      </w:r>
    </w:p>
    <w:p w14:paraId="0CABD013" w14:textId="7C5E61E0" w:rsidR="000F06B5" w:rsidRPr="009D3882" w:rsidRDefault="00306E82" w:rsidP="00DB3627">
      <w:pPr>
        <w:autoSpaceDE w:val="0"/>
        <w:autoSpaceDN w:val="0"/>
        <w:adjustRightInd w:val="0"/>
        <w:spacing w:after="0" w:line="240" w:lineRule="auto"/>
        <w:rPr>
          <w:rFonts w:cstheme="minorHAnsi"/>
          <w:bCs/>
          <w:sz w:val="14"/>
        </w:rPr>
      </w:pPr>
      <w:r w:rsidRPr="006962D0">
        <w:rPr>
          <w:rFonts w:cstheme="minorHAnsi"/>
          <w:bCs/>
        </w:rPr>
        <w:t>Not applicable</w:t>
      </w:r>
    </w:p>
    <w:p w14:paraId="0CABD014" w14:textId="77777777" w:rsidR="000F06B5" w:rsidRPr="00A25024" w:rsidRDefault="000F06B5" w:rsidP="00DB3627">
      <w:pPr>
        <w:pStyle w:val="ListParagraph"/>
        <w:autoSpaceDE w:val="0"/>
        <w:autoSpaceDN w:val="0"/>
        <w:adjustRightInd w:val="0"/>
        <w:spacing w:after="0" w:line="240" w:lineRule="auto"/>
        <w:ind w:left="0"/>
        <w:rPr>
          <w:rFonts w:cstheme="minorHAnsi"/>
          <w:bCs/>
        </w:rPr>
      </w:pPr>
    </w:p>
    <w:p w14:paraId="4BDDBF25" w14:textId="77777777" w:rsidR="00D33CA4" w:rsidRDefault="009C7513" w:rsidP="00E1508F">
      <w:pPr>
        <w:autoSpaceDE w:val="0"/>
        <w:autoSpaceDN w:val="0"/>
        <w:adjustRightInd w:val="0"/>
        <w:spacing w:after="0" w:line="240" w:lineRule="auto"/>
        <w:rPr>
          <w:rFonts w:cstheme="minorHAnsi"/>
          <w:bCs/>
        </w:rPr>
      </w:pPr>
      <w:r>
        <w:rPr>
          <w:rFonts w:cstheme="minorHAnsi"/>
          <w:b/>
          <w:bCs/>
        </w:rPr>
        <w:t>2b5</w:t>
      </w:r>
      <w:r w:rsidR="00E1508F">
        <w:rPr>
          <w:rFonts w:cstheme="minorHAnsi"/>
          <w:b/>
          <w:bCs/>
        </w:rPr>
        <w:t xml:space="preserve">.2. </w:t>
      </w:r>
      <w:proofErr w:type="gramStart"/>
      <w:r w:rsidR="000F06B5" w:rsidRPr="00A25024">
        <w:rPr>
          <w:rFonts w:cstheme="minorHAnsi"/>
          <w:b/>
          <w:bCs/>
        </w:rPr>
        <w:t>What</w:t>
      </w:r>
      <w:proofErr w:type="gramEnd"/>
      <w:r w:rsidR="000F06B5" w:rsidRPr="00A25024">
        <w:rPr>
          <w:rFonts w:cstheme="minorHAnsi"/>
          <w:b/>
          <w:bCs/>
        </w:rPr>
        <w:t xml:space="preserve"> were the statistical results </w:t>
      </w:r>
      <w:r w:rsidR="00A35F8F" w:rsidRPr="00A25024">
        <w:rPr>
          <w:rFonts w:cstheme="minorHAnsi"/>
          <w:b/>
          <w:bCs/>
        </w:rPr>
        <w:t>from testing</w:t>
      </w:r>
      <w:r w:rsidR="000F06B5" w:rsidRPr="00A25024">
        <w:rPr>
          <w:rFonts w:cstheme="minorHAnsi"/>
          <w:b/>
          <w:bCs/>
        </w:rPr>
        <w:t xml:space="preserve"> comparability of performance scores for the same entities when using different </w:t>
      </w:r>
      <w:r w:rsidR="00864CA8">
        <w:rPr>
          <w:rFonts w:cstheme="minorHAnsi"/>
          <w:b/>
          <w:bCs/>
        </w:rPr>
        <w:t>data sources/</w:t>
      </w:r>
      <w:r w:rsidR="000F06B5" w:rsidRPr="00A25024">
        <w:rPr>
          <w:rFonts w:cstheme="minorHAnsi"/>
          <w:b/>
          <w:bCs/>
        </w:rPr>
        <w:t>specifications?</w:t>
      </w:r>
      <w:r w:rsidR="000F06B5" w:rsidRPr="00A25024">
        <w:rPr>
          <w:rFonts w:cstheme="minorHAnsi"/>
          <w:bCs/>
        </w:rPr>
        <w:t xml:space="preserve"> </w:t>
      </w:r>
      <w:r w:rsidR="00287649" w:rsidRPr="00A25024">
        <w:rPr>
          <w:rFonts w:cstheme="minorHAnsi"/>
          <w:bCs/>
        </w:rPr>
        <w:t>(</w:t>
      </w:r>
      <w:r w:rsidR="00287649" w:rsidRPr="00A25024">
        <w:rPr>
          <w:rFonts w:cstheme="minorHAnsi"/>
          <w:bCs/>
          <w:i/>
        </w:rPr>
        <w:t>e.g., correlation</w:t>
      </w:r>
      <w:r w:rsidR="006C3A4F">
        <w:rPr>
          <w:rFonts w:cstheme="minorHAnsi"/>
          <w:bCs/>
          <w:i/>
        </w:rPr>
        <w:t>, rank order</w:t>
      </w:r>
      <w:r w:rsidR="00287649" w:rsidRPr="00A25024">
        <w:rPr>
          <w:rFonts w:cstheme="minorHAnsi"/>
          <w:bCs/>
        </w:rPr>
        <w:t>)</w:t>
      </w:r>
      <w:r w:rsidR="000F06B5" w:rsidRPr="00A25024">
        <w:rPr>
          <w:rFonts w:cstheme="minorHAnsi"/>
          <w:bCs/>
        </w:rPr>
        <w:br/>
      </w:r>
    </w:p>
    <w:p w14:paraId="0CABD015" w14:textId="14FABBB2" w:rsidR="00A35F8F" w:rsidRDefault="00306E82" w:rsidP="00E1508F">
      <w:pPr>
        <w:autoSpaceDE w:val="0"/>
        <w:autoSpaceDN w:val="0"/>
        <w:adjustRightInd w:val="0"/>
        <w:spacing w:after="0" w:line="240" w:lineRule="auto"/>
        <w:rPr>
          <w:rFonts w:cstheme="minorHAnsi"/>
          <w:bCs/>
        </w:rPr>
      </w:pPr>
      <w:r w:rsidRPr="006962D0">
        <w:rPr>
          <w:rFonts w:cstheme="minorHAnsi"/>
          <w:bCs/>
        </w:rPr>
        <w:t>Not applicable</w:t>
      </w:r>
    </w:p>
    <w:p w14:paraId="0CABD016" w14:textId="77777777" w:rsidR="00E1508F" w:rsidRPr="00E1508F" w:rsidRDefault="00E1508F" w:rsidP="00E1508F">
      <w:pPr>
        <w:autoSpaceDE w:val="0"/>
        <w:autoSpaceDN w:val="0"/>
        <w:adjustRightInd w:val="0"/>
        <w:spacing w:after="0" w:line="240" w:lineRule="auto"/>
        <w:rPr>
          <w:rFonts w:cstheme="minorHAnsi"/>
          <w:bCs/>
        </w:rPr>
      </w:pPr>
    </w:p>
    <w:p w14:paraId="71FF598D" w14:textId="77777777" w:rsidR="00D33CA4" w:rsidRDefault="009C7513" w:rsidP="00DB3627">
      <w:pPr>
        <w:autoSpaceDE w:val="0"/>
        <w:autoSpaceDN w:val="0"/>
        <w:adjustRightInd w:val="0"/>
        <w:spacing w:after="0" w:line="240" w:lineRule="auto"/>
        <w:rPr>
          <w:rFonts w:cstheme="minorHAnsi"/>
          <w:bCs/>
        </w:rPr>
      </w:pPr>
      <w:r>
        <w:rPr>
          <w:rFonts w:cstheme="minorHAnsi"/>
          <w:b/>
          <w:bCs/>
        </w:rPr>
        <w:t>2b5</w:t>
      </w:r>
      <w:r w:rsidR="00E1508F">
        <w:rPr>
          <w:rFonts w:cstheme="minorHAnsi"/>
          <w:b/>
          <w:bCs/>
        </w:rPr>
        <w:t xml:space="preserve">.3. </w:t>
      </w:r>
      <w:proofErr w:type="gramStart"/>
      <w:r w:rsidR="002B0C3A" w:rsidRPr="00A25024">
        <w:rPr>
          <w:rFonts w:cstheme="minorHAnsi"/>
          <w:b/>
          <w:bCs/>
        </w:rPr>
        <w:t>What</w:t>
      </w:r>
      <w:proofErr w:type="gramEnd"/>
      <w:r w:rsidR="002B0C3A" w:rsidRPr="00A25024">
        <w:rPr>
          <w:rFonts w:cstheme="minorHAnsi"/>
          <w:b/>
          <w:bCs/>
        </w:rPr>
        <w:t xml:space="preserve"> is your interpretation of the results </w:t>
      </w:r>
      <w:r w:rsidR="00A35F8F" w:rsidRPr="00A25024">
        <w:rPr>
          <w:rFonts w:cstheme="minorHAnsi"/>
          <w:b/>
          <w:bCs/>
        </w:rPr>
        <w:t xml:space="preserve">in terms of </w:t>
      </w:r>
      <w:r w:rsidR="00F1412B">
        <w:rPr>
          <w:rFonts w:cstheme="minorHAnsi"/>
          <w:b/>
          <w:bCs/>
        </w:rPr>
        <w:t>the differences in</w:t>
      </w:r>
      <w:r w:rsidR="002B0C3A" w:rsidRPr="00A25024">
        <w:rPr>
          <w:rFonts w:cstheme="minorHAnsi"/>
          <w:b/>
          <w:bCs/>
        </w:rPr>
        <w:t xml:space="preserve"> performance measure scores </w:t>
      </w:r>
      <w:r w:rsidR="00287649" w:rsidRPr="00A25024">
        <w:rPr>
          <w:rFonts w:cstheme="minorHAnsi"/>
          <w:b/>
          <w:bCs/>
        </w:rPr>
        <w:t xml:space="preserve">for the same entities across the different </w:t>
      </w:r>
      <w:r w:rsidR="00864CA8">
        <w:rPr>
          <w:rFonts w:cstheme="minorHAnsi"/>
          <w:b/>
          <w:bCs/>
        </w:rPr>
        <w:t>data sources/</w:t>
      </w:r>
      <w:r w:rsidR="00287649" w:rsidRPr="00A25024">
        <w:rPr>
          <w:rFonts w:cstheme="minorHAnsi"/>
          <w:b/>
          <w:bCs/>
        </w:rPr>
        <w:t>specifications</w:t>
      </w:r>
      <w:r w:rsidR="002B0C3A" w:rsidRPr="00A25024">
        <w:rPr>
          <w:rFonts w:cstheme="minorHAnsi"/>
          <w:b/>
          <w:bCs/>
        </w:rPr>
        <w:t>?</w:t>
      </w:r>
      <w:r w:rsidR="00A35F8F" w:rsidRPr="00A25024">
        <w:rPr>
          <w:rFonts w:cstheme="minorHAnsi"/>
          <w:bCs/>
        </w:rPr>
        <w:t xml:space="preserve"> </w:t>
      </w:r>
      <w:r w:rsidR="002B0C3A" w:rsidRPr="00A25024">
        <w:rPr>
          <w:rFonts w:cstheme="minorHAnsi"/>
          <w:bCs/>
        </w:rPr>
        <w:t>(i</w:t>
      </w:r>
      <w:r w:rsidR="002B0C3A" w:rsidRPr="00A25024">
        <w:rPr>
          <w:rFonts w:cstheme="minorHAnsi"/>
          <w:bCs/>
          <w:i/>
        </w:rPr>
        <w:t xml:space="preserve">.e., what do the results mean and what are the norms for the test </w:t>
      </w:r>
      <w:proofErr w:type="gramStart"/>
      <w:r w:rsidR="002B0C3A" w:rsidRPr="00A25024">
        <w:rPr>
          <w:rFonts w:cstheme="minorHAnsi"/>
          <w:bCs/>
          <w:i/>
        </w:rPr>
        <w:t>conducted</w:t>
      </w:r>
      <w:proofErr w:type="gramEnd"/>
      <w:r w:rsidR="002B0C3A" w:rsidRPr="00A25024">
        <w:rPr>
          <w:rFonts w:cstheme="minorHAnsi"/>
          <w:bCs/>
        </w:rPr>
        <w:t>)</w:t>
      </w:r>
      <w:r w:rsidR="00A35F8F" w:rsidRPr="00DB3627">
        <w:rPr>
          <w:rFonts w:cstheme="minorHAnsi"/>
          <w:bCs/>
        </w:rPr>
        <w:br/>
      </w:r>
    </w:p>
    <w:p w14:paraId="0CABD017" w14:textId="6C1B77C5" w:rsidR="0079180E" w:rsidRDefault="00306E82" w:rsidP="00DB3627">
      <w:pPr>
        <w:autoSpaceDE w:val="0"/>
        <w:autoSpaceDN w:val="0"/>
        <w:adjustRightInd w:val="0"/>
        <w:spacing w:after="0" w:line="240" w:lineRule="auto"/>
        <w:rPr>
          <w:rFonts w:cstheme="minorHAnsi"/>
          <w:bCs/>
        </w:rPr>
      </w:pPr>
      <w:r w:rsidRPr="006962D0">
        <w:rPr>
          <w:rFonts w:cstheme="minorHAnsi"/>
          <w:bCs/>
        </w:rPr>
        <w:t>Not applicable</w:t>
      </w:r>
    </w:p>
    <w:p w14:paraId="0CABD018" w14:textId="77777777" w:rsidR="008F7E67" w:rsidRDefault="008F7E67" w:rsidP="008F7E67">
      <w:pPr>
        <w:spacing w:after="0" w:line="240" w:lineRule="auto"/>
        <w:rPr>
          <w:rFonts w:cstheme="minorHAnsi"/>
          <w:b/>
          <w:bCs/>
        </w:rPr>
      </w:pPr>
      <w:r>
        <w:rPr>
          <w:rFonts w:cstheme="minorHAnsi"/>
          <w:b/>
          <w:bCs/>
        </w:rPr>
        <w:t>_______________________________________</w:t>
      </w:r>
    </w:p>
    <w:p w14:paraId="65B65153" w14:textId="77777777" w:rsidR="001D24A0" w:rsidRDefault="008F7E67" w:rsidP="001D24A0">
      <w:pPr>
        <w:autoSpaceDE w:val="0"/>
        <w:autoSpaceDN w:val="0"/>
        <w:adjustRightInd w:val="0"/>
        <w:spacing w:after="0" w:line="240" w:lineRule="auto"/>
        <w:rPr>
          <w:rFonts w:cstheme="minorHAnsi"/>
          <w:b/>
          <w:bCs/>
        </w:rPr>
      </w:pPr>
      <w:r w:rsidRPr="00A25024">
        <w:rPr>
          <w:rFonts w:cstheme="minorHAnsi"/>
          <w:b/>
          <w:bCs/>
        </w:rPr>
        <w:t>2b</w:t>
      </w:r>
      <w:r w:rsidR="009C7513">
        <w:rPr>
          <w:rFonts w:cstheme="minorHAnsi"/>
          <w:b/>
          <w:bCs/>
        </w:rPr>
        <w:t>6</w:t>
      </w:r>
      <w:r w:rsidRPr="00A25024">
        <w:rPr>
          <w:rFonts w:cstheme="minorHAnsi"/>
          <w:b/>
          <w:bCs/>
        </w:rPr>
        <w:t xml:space="preserve">. </w:t>
      </w:r>
      <w:r>
        <w:rPr>
          <w:rFonts w:cstheme="minorHAnsi"/>
          <w:b/>
          <w:bCs/>
        </w:rPr>
        <w:t>MISSING DATA ANALYSIS</w:t>
      </w:r>
      <w:r w:rsidR="008B604D">
        <w:rPr>
          <w:rFonts w:cstheme="minorHAnsi"/>
          <w:b/>
          <w:bCs/>
        </w:rPr>
        <w:t xml:space="preserve"> AND MINIMIZING BIAS </w:t>
      </w:r>
      <w:r w:rsidR="001D24A0">
        <w:rPr>
          <w:rFonts w:cstheme="minorHAnsi"/>
          <w:b/>
          <w:bCs/>
        </w:rPr>
        <w:t xml:space="preserve"> </w:t>
      </w:r>
    </w:p>
    <w:p w14:paraId="74CEC303" w14:textId="77777777" w:rsidR="00D33CA4" w:rsidRDefault="00D33CA4" w:rsidP="001D24A0">
      <w:pPr>
        <w:autoSpaceDE w:val="0"/>
        <w:autoSpaceDN w:val="0"/>
        <w:adjustRightInd w:val="0"/>
        <w:spacing w:after="0" w:line="240" w:lineRule="auto"/>
        <w:rPr>
          <w:rFonts w:cstheme="minorHAnsi"/>
          <w:bCs/>
        </w:rPr>
      </w:pPr>
    </w:p>
    <w:p w14:paraId="4111DF75" w14:textId="6B32091A" w:rsidR="001D24A0" w:rsidRPr="00ED3810" w:rsidRDefault="00306E82" w:rsidP="001D24A0">
      <w:pPr>
        <w:autoSpaceDE w:val="0"/>
        <w:autoSpaceDN w:val="0"/>
        <w:adjustRightInd w:val="0"/>
        <w:spacing w:after="0" w:line="240" w:lineRule="auto"/>
        <w:rPr>
          <w:rFonts w:cstheme="minorHAnsi"/>
          <w:b/>
          <w:bCs/>
          <w:color w:val="4F81BD" w:themeColor="accent1"/>
        </w:rPr>
      </w:pPr>
      <w:r w:rsidRPr="006962D0">
        <w:rPr>
          <w:rFonts w:cstheme="minorHAnsi"/>
          <w:bCs/>
        </w:rPr>
        <w:t>Not applicable</w:t>
      </w:r>
      <w:r>
        <w:rPr>
          <w:rFonts w:cstheme="minorHAnsi"/>
          <w:bCs/>
        </w:rPr>
        <w:t xml:space="preserve">.  </w:t>
      </w:r>
      <w:r w:rsidRPr="0008314A">
        <w:rPr>
          <w:rFonts w:cstheme="minorHAnsi"/>
          <w:bCs/>
        </w:rPr>
        <w:t>The measure has been collected since 2008 and hospitals transmitting data with missing data on any of the critical data elements are not accepted.</w:t>
      </w:r>
    </w:p>
    <w:p w14:paraId="0CABD01A" w14:textId="77777777" w:rsidR="008F7E67" w:rsidRDefault="008F7E67" w:rsidP="008F7E67">
      <w:pPr>
        <w:autoSpaceDE w:val="0"/>
        <w:autoSpaceDN w:val="0"/>
        <w:adjustRightInd w:val="0"/>
        <w:spacing w:after="0" w:line="240" w:lineRule="auto"/>
        <w:rPr>
          <w:rFonts w:cstheme="minorHAnsi"/>
          <w:bCs/>
        </w:rPr>
      </w:pPr>
    </w:p>
    <w:p w14:paraId="3B1C536F" w14:textId="77777777" w:rsidR="00D33CA4" w:rsidRDefault="009C7513" w:rsidP="008F7E67">
      <w:pPr>
        <w:autoSpaceDE w:val="0"/>
        <w:autoSpaceDN w:val="0"/>
        <w:adjustRightInd w:val="0"/>
        <w:spacing w:after="0" w:line="240" w:lineRule="auto"/>
        <w:rPr>
          <w:rFonts w:cstheme="minorHAnsi"/>
          <w:bCs/>
        </w:rPr>
      </w:pPr>
      <w:r>
        <w:rPr>
          <w:rFonts w:cstheme="minorHAnsi"/>
          <w:b/>
          <w:bCs/>
        </w:rPr>
        <w:t>2b6</w:t>
      </w:r>
      <w:r w:rsidR="008F7E67">
        <w:rPr>
          <w:rFonts w:cstheme="minorHAnsi"/>
          <w:b/>
          <w:bCs/>
        </w:rPr>
        <w:t xml:space="preserve">.1. Describe the method of </w:t>
      </w:r>
      <w:r w:rsidR="008F7E67" w:rsidRPr="00A25024">
        <w:rPr>
          <w:rFonts w:cstheme="minorHAnsi"/>
          <w:b/>
          <w:bCs/>
        </w:rPr>
        <w:t>testing conducted</w:t>
      </w:r>
      <w:r w:rsidR="008F7E67">
        <w:rPr>
          <w:rFonts w:cstheme="minorHAnsi"/>
          <w:b/>
          <w:bCs/>
        </w:rPr>
        <w:t xml:space="preserve"> to</w:t>
      </w:r>
      <w:r w:rsidR="008F7E67" w:rsidRPr="008B604D">
        <w:rPr>
          <w:rFonts w:cstheme="minorHAnsi"/>
          <w:b/>
          <w:bCs/>
        </w:rPr>
        <w:t xml:space="preserve"> </w:t>
      </w:r>
      <w:r w:rsidR="00771B2A" w:rsidRPr="008B604D">
        <w:rPr>
          <w:rFonts w:ascii="Calibri" w:eastAsia="Calibri" w:hAnsi="Calibri" w:cs="Calibri"/>
          <w:b/>
        </w:rPr>
        <w:t>identify the extent and distribution of missing data (or nonresponse) and demonstrate that performance results are not biased</w:t>
      </w:r>
      <w:r w:rsidR="00771B2A" w:rsidRPr="006A028C">
        <w:rPr>
          <w:rFonts w:ascii="Calibri" w:eastAsia="Calibri" w:hAnsi="Calibri" w:cs="Calibri"/>
        </w:rPr>
        <w:t xml:space="preserve"> due to systematic missing data (or differences between responders and </w:t>
      </w:r>
      <w:proofErr w:type="spellStart"/>
      <w:r w:rsidR="00771B2A" w:rsidRPr="006A028C">
        <w:rPr>
          <w:rFonts w:ascii="Calibri" w:eastAsia="Calibri" w:hAnsi="Calibri" w:cs="Calibri"/>
        </w:rPr>
        <w:t>nonresponders</w:t>
      </w:r>
      <w:proofErr w:type="spellEnd"/>
      <w:r w:rsidR="00771B2A" w:rsidRPr="006A028C">
        <w:rPr>
          <w:rFonts w:ascii="Calibri" w:eastAsia="Calibri" w:hAnsi="Calibri" w:cs="Calibri"/>
        </w:rPr>
        <w:t>) and how the specified handling of missing data minimizes bias</w:t>
      </w:r>
      <w:r w:rsidR="00771B2A" w:rsidRPr="00A25024">
        <w:rPr>
          <w:rFonts w:cstheme="minorHAnsi"/>
          <w:bCs/>
        </w:rPr>
        <w:t xml:space="preserve"> </w:t>
      </w:r>
      <w:r w:rsidR="008F7E67" w:rsidRPr="00A25024">
        <w:rPr>
          <w:rFonts w:cstheme="minorHAnsi"/>
          <w:bCs/>
        </w:rPr>
        <w:t>(</w:t>
      </w:r>
      <w:r w:rsidR="008F7E67" w:rsidRPr="00A25024">
        <w:rPr>
          <w:rFonts w:cstheme="minorHAnsi"/>
          <w:bCs/>
          <w:i/>
        </w:rPr>
        <w:t>describe the steps―do not just name a method</w:t>
      </w:r>
      <w:r w:rsidR="008F7E67">
        <w:rPr>
          <w:rFonts w:cstheme="minorHAnsi"/>
          <w:bCs/>
          <w:i/>
        </w:rPr>
        <w:t>; what statistical analysis was used</w:t>
      </w:r>
      <w:r w:rsidR="008F7E67" w:rsidRPr="00A25024">
        <w:rPr>
          <w:rFonts w:cstheme="minorHAnsi"/>
          <w:bCs/>
        </w:rPr>
        <w:t>)</w:t>
      </w:r>
      <w:r w:rsidR="008F7E67" w:rsidRPr="00A25024">
        <w:rPr>
          <w:rFonts w:cstheme="minorHAnsi"/>
          <w:bCs/>
        </w:rPr>
        <w:br/>
      </w:r>
    </w:p>
    <w:p w14:paraId="0CABD01B" w14:textId="48B9A137" w:rsidR="008F7E67" w:rsidRPr="00A25024" w:rsidRDefault="00306E82" w:rsidP="008F7E67">
      <w:pPr>
        <w:autoSpaceDE w:val="0"/>
        <w:autoSpaceDN w:val="0"/>
        <w:adjustRightInd w:val="0"/>
        <w:spacing w:after="0" w:line="240" w:lineRule="auto"/>
        <w:rPr>
          <w:rFonts w:cstheme="minorHAnsi"/>
          <w:bCs/>
        </w:rPr>
      </w:pPr>
      <w:r>
        <w:rPr>
          <w:rFonts w:cstheme="minorHAnsi"/>
          <w:bCs/>
        </w:rPr>
        <w:t xml:space="preserve">Not applicable. </w:t>
      </w:r>
      <w:r w:rsidR="008F7E67" w:rsidRPr="00A25024">
        <w:rPr>
          <w:rFonts w:cstheme="minorHAnsi"/>
          <w:bCs/>
        </w:rPr>
        <w:t xml:space="preserve"> </w:t>
      </w:r>
    </w:p>
    <w:p w14:paraId="0CABD01C" w14:textId="77777777" w:rsidR="008F7E67" w:rsidRPr="009D3882" w:rsidRDefault="008F7E67" w:rsidP="008F7E67">
      <w:pPr>
        <w:pStyle w:val="ListParagraph"/>
        <w:autoSpaceDE w:val="0"/>
        <w:autoSpaceDN w:val="0"/>
        <w:adjustRightInd w:val="0"/>
        <w:spacing w:after="0" w:line="240" w:lineRule="auto"/>
        <w:ind w:left="0"/>
        <w:rPr>
          <w:rFonts w:cstheme="minorHAnsi"/>
          <w:bCs/>
          <w:sz w:val="18"/>
        </w:rPr>
      </w:pPr>
    </w:p>
    <w:p w14:paraId="146A974C" w14:textId="77777777" w:rsidR="00D33CA4" w:rsidRDefault="009C7513" w:rsidP="008F7E67">
      <w:pPr>
        <w:autoSpaceDE w:val="0"/>
        <w:autoSpaceDN w:val="0"/>
        <w:adjustRightInd w:val="0"/>
        <w:spacing w:after="0" w:line="240" w:lineRule="auto"/>
        <w:rPr>
          <w:rFonts w:cstheme="minorHAnsi"/>
          <w:bCs/>
        </w:rPr>
      </w:pPr>
      <w:r>
        <w:rPr>
          <w:rFonts w:cstheme="minorHAnsi"/>
          <w:b/>
          <w:bCs/>
        </w:rPr>
        <w:t>2b6</w:t>
      </w:r>
      <w:r w:rsidR="008F7E67">
        <w:rPr>
          <w:rFonts w:cstheme="minorHAnsi"/>
          <w:b/>
          <w:bCs/>
        </w:rPr>
        <w:t xml:space="preserve">.2. </w:t>
      </w:r>
      <w:proofErr w:type="gramStart"/>
      <w:r w:rsidR="00145D4F" w:rsidRPr="00FC5DE1">
        <w:rPr>
          <w:rFonts w:cstheme="minorHAnsi"/>
          <w:b/>
          <w:bCs/>
        </w:rPr>
        <w:t>What</w:t>
      </w:r>
      <w:proofErr w:type="gramEnd"/>
      <w:r w:rsidR="00145D4F" w:rsidRPr="00FC5DE1">
        <w:rPr>
          <w:rFonts w:cstheme="minorHAnsi"/>
          <w:b/>
          <w:bCs/>
        </w:rPr>
        <w:t xml:space="preserve"> is the overall frequency of missing data</w:t>
      </w:r>
      <w:r w:rsidR="005560E7">
        <w:rPr>
          <w:rFonts w:cstheme="minorHAnsi"/>
          <w:b/>
          <w:bCs/>
        </w:rPr>
        <w:t>,</w:t>
      </w:r>
      <w:r w:rsidR="00145D4F" w:rsidRPr="00FC5DE1">
        <w:rPr>
          <w:rFonts w:cstheme="minorHAnsi"/>
          <w:b/>
          <w:bCs/>
        </w:rPr>
        <w:t xml:space="preserve"> the distribution of missing data across providers</w:t>
      </w:r>
      <w:r w:rsidR="005560E7">
        <w:rPr>
          <w:rFonts w:cstheme="minorHAnsi"/>
          <w:b/>
          <w:bCs/>
        </w:rPr>
        <w:t>,</w:t>
      </w:r>
      <w:r w:rsidR="00145D4F" w:rsidRPr="00A25024">
        <w:rPr>
          <w:rFonts w:cstheme="minorHAnsi"/>
          <w:b/>
          <w:bCs/>
        </w:rPr>
        <w:t xml:space="preserve"> </w:t>
      </w:r>
      <w:r w:rsidR="00145D4F">
        <w:rPr>
          <w:rFonts w:cstheme="minorHAnsi"/>
          <w:b/>
          <w:bCs/>
        </w:rPr>
        <w:t>and the</w:t>
      </w:r>
      <w:r w:rsidR="008F7E67" w:rsidRPr="00A25024">
        <w:rPr>
          <w:rFonts w:cstheme="minorHAnsi"/>
          <w:b/>
          <w:bCs/>
        </w:rPr>
        <w:t xml:space="preserve"> results from testing </w:t>
      </w:r>
      <w:r w:rsidR="00771B2A">
        <w:rPr>
          <w:rFonts w:cstheme="minorHAnsi"/>
          <w:b/>
          <w:bCs/>
        </w:rPr>
        <w:t>related to missing data</w:t>
      </w:r>
      <w:r w:rsidR="008F7E67" w:rsidRPr="00A25024">
        <w:rPr>
          <w:rFonts w:cstheme="minorHAnsi"/>
          <w:b/>
          <w:bCs/>
        </w:rPr>
        <w:t>?</w:t>
      </w:r>
      <w:r w:rsidR="008F7E67" w:rsidRPr="00A25024">
        <w:rPr>
          <w:rFonts w:cstheme="minorHAnsi"/>
          <w:bCs/>
        </w:rPr>
        <w:t xml:space="preserve"> (</w:t>
      </w:r>
      <w:r w:rsidR="008F7E67" w:rsidRPr="00A25024">
        <w:rPr>
          <w:rFonts w:cstheme="minorHAnsi"/>
          <w:bCs/>
          <w:i/>
        </w:rPr>
        <w:t>e.g.,</w:t>
      </w:r>
      <w:r w:rsidR="008B604D" w:rsidRPr="008B604D">
        <w:rPr>
          <w:rFonts w:cstheme="minorHAnsi"/>
          <w:b/>
          <w:bCs/>
        </w:rPr>
        <w:t xml:space="preserve"> </w:t>
      </w:r>
      <w:r w:rsidR="00145D4F" w:rsidRPr="00FC5DE1">
        <w:rPr>
          <w:rFonts w:cstheme="minorHAnsi"/>
          <w:bCs/>
          <w:i/>
        </w:rPr>
        <w:t xml:space="preserve">results of sensitivity analysis of </w:t>
      </w:r>
      <w:r w:rsidR="005560E7">
        <w:rPr>
          <w:rFonts w:cstheme="minorHAnsi"/>
          <w:bCs/>
          <w:i/>
        </w:rPr>
        <w:t xml:space="preserve">the </w:t>
      </w:r>
      <w:r w:rsidR="00145D4F" w:rsidRPr="00FC5DE1">
        <w:rPr>
          <w:rFonts w:cstheme="minorHAnsi"/>
          <w:bCs/>
          <w:i/>
        </w:rPr>
        <w:t>effect of various rules for missing data</w:t>
      </w:r>
      <w:r w:rsidR="00145D4F">
        <w:rPr>
          <w:rFonts w:cstheme="minorHAnsi"/>
          <w:bCs/>
          <w:i/>
        </w:rPr>
        <w:t>/nonresponse</w:t>
      </w:r>
      <w:r w:rsidR="00145D4F" w:rsidRPr="00FC5DE1">
        <w:rPr>
          <w:rFonts w:cstheme="minorHAnsi"/>
          <w:bCs/>
          <w:i/>
        </w:rPr>
        <w:t xml:space="preserve">; </w:t>
      </w:r>
      <w:r w:rsidR="00145D4F" w:rsidRPr="00FC5DE1">
        <w:rPr>
          <w:rFonts w:cstheme="minorHAnsi"/>
          <w:bCs/>
          <w:i/>
          <w:u w:val="single"/>
        </w:rPr>
        <w:t xml:space="preserve">if no empirical </w:t>
      </w:r>
      <w:r w:rsidR="00145D4F">
        <w:rPr>
          <w:rFonts w:cstheme="minorHAnsi"/>
          <w:bCs/>
          <w:i/>
          <w:u w:val="single"/>
        </w:rPr>
        <w:t xml:space="preserve">sensitivity </w:t>
      </w:r>
      <w:r w:rsidR="00145D4F" w:rsidRPr="00FC5DE1">
        <w:rPr>
          <w:rFonts w:cstheme="minorHAnsi"/>
          <w:bCs/>
          <w:i/>
          <w:u w:val="single"/>
        </w:rPr>
        <w:t>analysis</w:t>
      </w:r>
      <w:r w:rsidR="00145D4F" w:rsidRPr="00FC5DE1">
        <w:rPr>
          <w:rFonts w:cstheme="minorHAnsi"/>
          <w:bCs/>
          <w:i/>
        </w:rPr>
        <w:t>, identify the approaches for handling missing data that were considered and pros and cons of each</w:t>
      </w:r>
      <w:r w:rsidR="008F7E67" w:rsidRPr="00A25024">
        <w:rPr>
          <w:rFonts w:cstheme="minorHAnsi"/>
          <w:bCs/>
        </w:rPr>
        <w:t>)</w:t>
      </w:r>
      <w:r w:rsidR="008F7E67" w:rsidRPr="00A25024">
        <w:rPr>
          <w:rFonts w:cstheme="minorHAnsi"/>
          <w:bCs/>
        </w:rPr>
        <w:br/>
      </w:r>
    </w:p>
    <w:p w14:paraId="0CABD01D" w14:textId="583AE9B1" w:rsidR="008F7E67" w:rsidRDefault="00306E82" w:rsidP="008F7E67">
      <w:pPr>
        <w:autoSpaceDE w:val="0"/>
        <w:autoSpaceDN w:val="0"/>
        <w:adjustRightInd w:val="0"/>
        <w:spacing w:after="0" w:line="240" w:lineRule="auto"/>
        <w:rPr>
          <w:rFonts w:cstheme="minorHAnsi"/>
          <w:bCs/>
        </w:rPr>
      </w:pPr>
      <w:r w:rsidRPr="0008314A">
        <w:rPr>
          <w:rFonts w:cstheme="minorHAnsi"/>
          <w:bCs/>
        </w:rPr>
        <w:t>N</w:t>
      </w:r>
      <w:r>
        <w:rPr>
          <w:rFonts w:cstheme="minorHAnsi"/>
          <w:bCs/>
        </w:rPr>
        <w:t>ot applicable.</w:t>
      </w:r>
      <w:r w:rsidRPr="0008314A">
        <w:rPr>
          <w:rFonts w:cstheme="minorHAnsi"/>
          <w:bCs/>
        </w:rPr>
        <w:t xml:space="preserve">  </w:t>
      </w:r>
    </w:p>
    <w:p w14:paraId="0CABD01E" w14:textId="77777777" w:rsidR="008F7E67" w:rsidRPr="00E1508F" w:rsidRDefault="008F7E67" w:rsidP="008F7E67">
      <w:pPr>
        <w:autoSpaceDE w:val="0"/>
        <w:autoSpaceDN w:val="0"/>
        <w:adjustRightInd w:val="0"/>
        <w:spacing w:after="0" w:line="240" w:lineRule="auto"/>
        <w:rPr>
          <w:rFonts w:cstheme="minorHAnsi"/>
          <w:bCs/>
        </w:rPr>
      </w:pPr>
    </w:p>
    <w:p w14:paraId="0CABD01F" w14:textId="1851BD9F" w:rsidR="008B604D" w:rsidRDefault="009C7513">
      <w:pPr>
        <w:autoSpaceDE w:val="0"/>
        <w:autoSpaceDN w:val="0"/>
        <w:adjustRightInd w:val="0"/>
        <w:spacing w:after="0" w:line="240" w:lineRule="auto"/>
        <w:rPr>
          <w:rFonts w:cstheme="minorHAnsi"/>
          <w:bCs/>
        </w:rPr>
      </w:pPr>
      <w:r>
        <w:rPr>
          <w:rFonts w:cstheme="minorHAnsi"/>
          <w:b/>
          <w:bCs/>
        </w:rPr>
        <w:t>2b6</w:t>
      </w:r>
      <w:r w:rsidR="008F7E67">
        <w:rPr>
          <w:rFonts w:cstheme="minorHAnsi"/>
          <w:b/>
          <w:bCs/>
        </w:rPr>
        <w:t xml:space="preserve">.3. </w:t>
      </w:r>
      <w:proofErr w:type="gramStart"/>
      <w:r w:rsidR="008F7E67" w:rsidRPr="00A25024">
        <w:rPr>
          <w:rFonts w:cstheme="minorHAnsi"/>
          <w:b/>
          <w:bCs/>
        </w:rPr>
        <w:t>What</w:t>
      </w:r>
      <w:proofErr w:type="gramEnd"/>
      <w:r w:rsidR="008F7E67" w:rsidRPr="00A25024">
        <w:rPr>
          <w:rFonts w:cstheme="minorHAnsi"/>
          <w:b/>
          <w:bCs/>
        </w:rPr>
        <w:t xml:space="preserve"> is your interpretation of the results in terms of demonstrating</w:t>
      </w:r>
      <w:r w:rsidR="00771B2A">
        <w:rPr>
          <w:rFonts w:cstheme="minorHAnsi"/>
          <w:b/>
          <w:bCs/>
        </w:rPr>
        <w:t xml:space="preserve"> that </w:t>
      </w:r>
      <w:r w:rsidR="00771B2A" w:rsidRPr="00A831B4">
        <w:rPr>
          <w:rFonts w:ascii="Calibri" w:eastAsia="Calibri" w:hAnsi="Calibri" w:cs="Calibri"/>
          <w:b/>
        </w:rPr>
        <w:t>performance results are not biased</w:t>
      </w:r>
      <w:r w:rsidR="00771B2A" w:rsidRPr="006A028C">
        <w:rPr>
          <w:rFonts w:ascii="Calibri" w:eastAsia="Calibri" w:hAnsi="Calibri" w:cs="Calibri"/>
        </w:rPr>
        <w:t xml:space="preserve"> due to systematic missing data (or differences between responders and </w:t>
      </w:r>
      <w:proofErr w:type="spellStart"/>
      <w:r w:rsidR="00771B2A" w:rsidRPr="006A028C">
        <w:rPr>
          <w:rFonts w:ascii="Calibri" w:eastAsia="Calibri" w:hAnsi="Calibri" w:cs="Calibri"/>
        </w:rPr>
        <w:t>nonresponders</w:t>
      </w:r>
      <w:proofErr w:type="spellEnd"/>
      <w:r w:rsidR="00771B2A" w:rsidRPr="006A028C">
        <w:rPr>
          <w:rFonts w:ascii="Calibri" w:eastAsia="Calibri" w:hAnsi="Calibri" w:cs="Calibri"/>
        </w:rPr>
        <w:t>) and how the specified handling of missing data minimizes bias</w:t>
      </w:r>
      <w:r w:rsidR="008F7E67" w:rsidRPr="00A25024">
        <w:rPr>
          <w:rFonts w:cstheme="minorHAnsi"/>
          <w:b/>
          <w:bCs/>
        </w:rPr>
        <w:t>?</w:t>
      </w:r>
      <w:r w:rsidR="008F7E67" w:rsidRPr="00A25024">
        <w:rPr>
          <w:rFonts w:cstheme="minorHAnsi"/>
          <w:bCs/>
        </w:rPr>
        <w:t xml:space="preserve"> (i</w:t>
      </w:r>
      <w:r w:rsidR="008F7E67" w:rsidRPr="00A25024">
        <w:rPr>
          <w:rFonts w:cstheme="minorHAnsi"/>
          <w:bCs/>
          <w:i/>
        </w:rPr>
        <w:t xml:space="preserve">.e., what do the results mean </w:t>
      </w:r>
      <w:r w:rsidR="00145D4F" w:rsidRPr="00FC5DE1">
        <w:rPr>
          <w:rFonts w:cstheme="minorHAnsi"/>
          <w:bCs/>
          <w:i/>
        </w:rPr>
        <w:t>in terms of supporting the selected approach for missing data</w:t>
      </w:r>
      <w:r w:rsidR="00145D4F" w:rsidRPr="00A25024">
        <w:rPr>
          <w:rFonts w:cstheme="minorHAnsi"/>
          <w:bCs/>
          <w:i/>
        </w:rPr>
        <w:t xml:space="preserve"> </w:t>
      </w:r>
      <w:r w:rsidR="008F7E67" w:rsidRPr="00A25024">
        <w:rPr>
          <w:rFonts w:cstheme="minorHAnsi"/>
          <w:bCs/>
          <w:i/>
        </w:rPr>
        <w:t>and what are the norms for the test conducted</w:t>
      </w:r>
      <w:r w:rsidR="00145D4F">
        <w:rPr>
          <w:rFonts w:cstheme="minorHAnsi"/>
          <w:bCs/>
          <w:i/>
        </w:rPr>
        <w:t>;</w:t>
      </w:r>
      <w:r w:rsidR="00145D4F" w:rsidRPr="00FC5DE1">
        <w:rPr>
          <w:rFonts w:cstheme="minorHAnsi"/>
          <w:bCs/>
          <w:i/>
        </w:rPr>
        <w:t xml:space="preserve"> </w:t>
      </w:r>
      <w:r w:rsidR="00145D4F" w:rsidRPr="00FC5DE1">
        <w:rPr>
          <w:rFonts w:cstheme="minorHAnsi"/>
          <w:bCs/>
          <w:i/>
          <w:u w:val="single"/>
        </w:rPr>
        <w:t>if no empirical analysis</w:t>
      </w:r>
      <w:r w:rsidR="00145D4F" w:rsidRPr="00FC5DE1">
        <w:rPr>
          <w:rFonts w:cstheme="minorHAnsi"/>
          <w:bCs/>
          <w:i/>
        </w:rPr>
        <w:t>, provide rationale for the selected approach for missing data</w:t>
      </w:r>
      <w:r w:rsidR="008F7E67" w:rsidRPr="00A25024">
        <w:rPr>
          <w:rFonts w:cstheme="minorHAnsi"/>
          <w:bCs/>
        </w:rPr>
        <w:t>)</w:t>
      </w:r>
    </w:p>
    <w:p w14:paraId="67241625" w14:textId="77777777" w:rsidR="00D33CA4" w:rsidRDefault="00D33CA4">
      <w:pPr>
        <w:autoSpaceDE w:val="0"/>
        <w:autoSpaceDN w:val="0"/>
        <w:adjustRightInd w:val="0"/>
        <w:spacing w:after="0" w:line="240" w:lineRule="auto"/>
        <w:rPr>
          <w:rFonts w:cstheme="minorHAnsi"/>
          <w:bCs/>
        </w:rPr>
      </w:pPr>
    </w:p>
    <w:p w14:paraId="0CABD020" w14:textId="40F0799C" w:rsidR="00BA053B" w:rsidRPr="005560E7" w:rsidRDefault="00306E82">
      <w:pPr>
        <w:autoSpaceDE w:val="0"/>
        <w:autoSpaceDN w:val="0"/>
        <w:adjustRightInd w:val="0"/>
        <w:spacing w:after="0" w:line="240" w:lineRule="auto"/>
        <w:rPr>
          <w:rFonts w:cstheme="minorHAnsi"/>
          <w:bCs/>
        </w:rPr>
      </w:pPr>
      <w:r w:rsidRPr="0008314A">
        <w:rPr>
          <w:rFonts w:cstheme="minorHAnsi"/>
          <w:bCs/>
        </w:rPr>
        <w:t>N</w:t>
      </w:r>
      <w:r>
        <w:rPr>
          <w:rFonts w:cstheme="minorHAnsi"/>
          <w:bCs/>
        </w:rPr>
        <w:t>ot applicable.</w:t>
      </w:r>
      <w:r w:rsidRPr="0008314A">
        <w:rPr>
          <w:rFonts w:cstheme="minorHAnsi"/>
          <w:bCs/>
        </w:rPr>
        <w:t xml:space="preserve">  </w:t>
      </w:r>
    </w:p>
    <w:sectPr w:rsidR="00BA053B" w:rsidRPr="005560E7" w:rsidSect="008505D1">
      <w:headerReference w:type="default" r:id="rId13"/>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2A4949" w14:textId="77777777" w:rsidR="00EA61A3" w:rsidRDefault="00EA61A3" w:rsidP="005C73CA">
      <w:pPr>
        <w:spacing w:after="0" w:line="240" w:lineRule="auto"/>
      </w:pPr>
      <w:r>
        <w:separator/>
      </w:r>
    </w:p>
  </w:endnote>
  <w:endnote w:type="continuationSeparator" w:id="0">
    <w:p w14:paraId="0C88E87B" w14:textId="77777777" w:rsidR="00EA61A3" w:rsidRDefault="00EA61A3" w:rsidP="005C7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charset w:val="00"/>
    <w:family w:val="auto"/>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ABD026" w14:textId="7C0BE216" w:rsidR="00A64EBF" w:rsidRDefault="000C0FF8">
    <w:pPr>
      <w:pStyle w:val="Footer"/>
    </w:pPr>
    <w:r>
      <w:t xml:space="preserve">Version </w:t>
    </w:r>
    <w:r w:rsidR="00450C58">
      <w:t>7</w:t>
    </w:r>
    <w:r>
      <w:t>.</w:t>
    </w:r>
    <w:r w:rsidR="00D369E9">
      <w:t>1</w:t>
    </w:r>
    <w:r>
      <w:t xml:space="preserve"> </w:t>
    </w:r>
    <w:r w:rsidR="00C775CE">
      <w:t>9/6</w:t>
    </w:r>
    <w:r>
      <w:t>/</w:t>
    </w:r>
    <w:r w:rsidR="00537C1B">
      <w:t>20</w:t>
    </w:r>
    <w:r w:rsidR="00F1412B">
      <w:t>1</w:t>
    </w:r>
    <w:r w:rsidR="00D369E9">
      <w:t>7</w:t>
    </w:r>
    <w:r w:rsidR="00193F21">
      <w:ptab w:relativeTo="margin" w:alignment="right" w:leader="none"/>
    </w:r>
    <w:r w:rsidR="00193F21">
      <w:fldChar w:fldCharType="begin"/>
    </w:r>
    <w:r w:rsidR="00193F21">
      <w:instrText xml:space="preserve"> PAGE   \* MERGEFORMAT </w:instrText>
    </w:r>
    <w:r w:rsidR="00193F21">
      <w:fldChar w:fldCharType="separate"/>
    </w:r>
    <w:r w:rsidR="005A6399">
      <w:rPr>
        <w:noProof/>
      </w:rPr>
      <w:t>12</w:t>
    </w:r>
    <w:r w:rsidR="00193F21">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76CD32" w14:textId="77777777" w:rsidR="00EA61A3" w:rsidRDefault="00EA61A3" w:rsidP="005C73CA">
      <w:pPr>
        <w:spacing w:after="0" w:line="240" w:lineRule="auto"/>
      </w:pPr>
      <w:r>
        <w:separator/>
      </w:r>
    </w:p>
  </w:footnote>
  <w:footnote w:type="continuationSeparator" w:id="0">
    <w:p w14:paraId="26D2C600" w14:textId="77777777" w:rsidR="00EA61A3" w:rsidRDefault="00EA61A3" w:rsidP="005C73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ABD025" w14:textId="77777777" w:rsidR="00A64EBF" w:rsidRPr="00105D8B" w:rsidRDefault="00A64EBF" w:rsidP="00105D8B">
    <w:pPr>
      <w:pStyle w:val="Header"/>
      <w:jc w:val="center"/>
      <w:rPr>
        <w:color w:val="808080" w:themeColor="background1" w:themeShade="8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0A05B94"/>
    <w:multiLevelType w:val="hybridMultilevel"/>
    <w:tmpl w:val="2DA6A0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86E3810"/>
    <w:multiLevelType w:val="hybridMultilevel"/>
    <w:tmpl w:val="1CB81D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11D74C5"/>
    <w:multiLevelType w:val="hybridMultilevel"/>
    <w:tmpl w:val="CA0A5D1E"/>
    <w:lvl w:ilvl="0" w:tplc="5DEEE66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88C0E3D"/>
    <w:multiLevelType w:val="hybridMultilevel"/>
    <w:tmpl w:val="EC04D28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B4A4977"/>
    <w:multiLevelType w:val="hybridMultilevel"/>
    <w:tmpl w:val="3970D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BC81A02"/>
    <w:multiLevelType w:val="hybridMultilevel"/>
    <w:tmpl w:val="F50A395A"/>
    <w:lvl w:ilvl="0" w:tplc="04090001">
      <w:start w:val="1"/>
      <w:numFmt w:val="bullet"/>
      <w:lvlText w:val=""/>
      <w:lvlJc w:val="left"/>
      <w:pPr>
        <w:ind w:left="720" w:hanging="360"/>
      </w:pPr>
      <w:rPr>
        <w:rFonts w:ascii="Symbol" w:hAnsi="Symbo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12"/>
  </w:num>
  <w:num w:numId="3">
    <w:abstractNumId w:val="3"/>
  </w:num>
  <w:num w:numId="4">
    <w:abstractNumId w:val="6"/>
  </w:num>
  <w:num w:numId="5">
    <w:abstractNumId w:val="2"/>
  </w:num>
  <w:num w:numId="6">
    <w:abstractNumId w:val="1"/>
  </w:num>
  <w:num w:numId="7">
    <w:abstractNumId w:val="4"/>
  </w:num>
  <w:num w:numId="8">
    <w:abstractNumId w:val="25"/>
  </w:num>
  <w:num w:numId="9">
    <w:abstractNumId w:val="11"/>
  </w:num>
  <w:num w:numId="10">
    <w:abstractNumId w:val="30"/>
  </w:num>
  <w:num w:numId="11">
    <w:abstractNumId w:val="13"/>
  </w:num>
  <w:num w:numId="12">
    <w:abstractNumId w:val="28"/>
  </w:num>
  <w:num w:numId="13">
    <w:abstractNumId w:val="23"/>
  </w:num>
  <w:num w:numId="14">
    <w:abstractNumId w:val="23"/>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22"/>
  </w:num>
  <w:num w:numId="16">
    <w:abstractNumId w:val="8"/>
  </w:num>
  <w:num w:numId="17">
    <w:abstractNumId w:val="29"/>
  </w:num>
  <w:num w:numId="18">
    <w:abstractNumId w:val="27"/>
  </w:num>
  <w:num w:numId="19">
    <w:abstractNumId w:val="26"/>
  </w:num>
  <w:num w:numId="20">
    <w:abstractNumId w:val="19"/>
  </w:num>
  <w:num w:numId="21">
    <w:abstractNumId w:val="24"/>
  </w:num>
  <w:num w:numId="22">
    <w:abstractNumId w:val="17"/>
  </w:num>
  <w:num w:numId="23">
    <w:abstractNumId w:val="7"/>
  </w:num>
  <w:num w:numId="24">
    <w:abstractNumId w:val="16"/>
  </w:num>
  <w:num w:numId="25">
    <w:abstractNumId w:val="14"/>
  </w:num>
  <w:num w:numId="26">
    <w:abstractNumId w:val="31"/>
  </w:num>
  <w:num w:numId="27">
    <w:abstractNumId w:val="0"/>
  </w:num>
  <w:num w:numId="28">
    <w:abstractNumId w:val="10"/>
  </w:num>
  <w:num w:numId="29">
    <w:abstractNumId w:val="21"/>
  </w:num>
  <w:num w:numId="30">
    <w:abstractNumId w:val="20"/>
  </w:num>
  <w:num w:numId="31">
    <w:abstractNumId w:val="15"/>
  </w:num>
  <w:num w:numId="32">
    <w:abstractNumId w:val="9"/>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403A"/>
    <w:rsid w:val="00001D73"/>
    <w:rsid w:val="00003469"/>
    <w:rsid w:val="0001094F"/>
    <w:rsid w:val="00021170"/>
    <w:rsid w:val="0002128B"/>
    <w:rsid w:val="00024DFD"/>
    <w:rsid w:val="00027AB8"/>
    <w:rsid w:val="000309DD"/>
    <w:rsid w:val="00031414"/>
    <w:rsid w:val="00033038"/>
    <w:rsid w:val="00033D63"/>
    <w:rsid w:val="0003436F"/>
    <w:rsid w:val="000374C0"/>
    <w:rsid w:val="000414E8"/>
    <w:rsid w:val="0004593A"/>
    <w:rsid w:val="00050A3E"/>
    <w:rsid w:val="00052A6F"/>
    <w:rsid w:val="00053F02"/>
    <w:rsid w:val="0005612B"/>
    <w:rsid w:val="000574AB"/>
    <w:rsid w:val="0006147A"/>
    <w:rsid w:val="0006234F"/>
    <w:rsid w:val="000775F8"/>
    <w:rsid w:val="00080CF7"/>
    <w:rsid w:val="000851B2"/>
    <w:rsid w:val="00092566"/>
    <w:rsid w:val="000968F8"/>
    <w:rsid w:val="00097012"/>
    <w:rsid w:val="000B032A"/>
    <w:rsid w:val="000B2DF7"/>
    <w:rsid w:val="000B3880"/>
    <w:rsid w:val="000B7D57"/>
    <w:rsid w:val="000C036D"/>
    <w:rsid w:val="000C0FF8"/>
    <w:rsid w:val="000D257C"/>
    <w:rsid w:val="000D2722"/>
    <w:rsid w:val="000D44B6"/>
    <w:rsid w:val="000D7948"/>
    <w:rsid w:val="000D7C84"/>
    <w:rsid w:val="000E4E13"/>
    <w:rsid w:val="000E78F6"/>
    <w:rsid w:val="000F034A"/>
    <w:rsid w:val="000F06B5"/>
    <w:rsid w:val="000F1B7A"/>
    <w:rsid w:val="000F39E9"/>
    <w:rsid w:val="00104B45"/>
    <w:rsid w:val="00105D8B"/>
    <w:rsid w:val="0011342F"/>
    <w:rsid w:val="001202E9"/>
    <w:rsid w:val="0012454F"/>
    <w:rsid w:val="00125273"/>
    <w:rsid w:val="0012575E"/>
    <w:rsid w:val="00127C06"/>
    <w:rsid w:val="001409F0"/>
    <w:rsid w:val="00145149"/>
    <w:rsid w:val="00145D4F"/>
    <w:rsid w:val="0014773C"/>
    <w:rsid w:val="0017696D"/>
    <w:rsid w:val="00184258"/>
    <w:rsid w:val="001848FC"/>
    <w:rsid w:val="00193F21"/>
    <w:rsid w:val="001969C5"/>
    <w:rsid w:val="001A6CDD"/>
    <w:rsid w:val="001C12EE"/>
    <w:rsid w:val="001C7B02"/>
    <w:rsid w:val="001D24A0"/>
    <w:rsid w:val="001D58C8"/>
    <w:rsid w:val="001E4DD4"/>
    <w:rsid w:val="001E69DC"/>
    <w:rsid w:val="001F169D"/>
    <w:rsid w:val="001F1DA1"/>
    <w:rsid w:val="001F6F93"/>
    <w:rsid w:val="001F7A20"/>
    <w:rsid w:val="0021054A"/>
    <w:rsid w:val="0021195A"/>
    <w:rsid w:val="00213383"/>
    <w:rsid w:val="00220250"/>
    <w:rsid w:val="00222444"/>
    <w:rsid w:val="0022691B"/>
    <w:rsid w:val="00232163"/>
    <w:rsid w:val="002376F8"/>
    <w:rsid w:val="002408E4"/>
    <w:rsid w:val="00241591"/>
    <w:rsid w:val="00250B4F"/>
    <w:rsid w:val="0025762F"/>
    <w:rsid w:val="00263BDF"/>
    <w:rsid w:val="00275563"/>
    <w:rsid w:val="00277402"/>
    <w:rsid w:val="0028114D"/>
    <w:rsid w:val="00287649"/>
    <w:rsid w:val="00287E84"/>
    <w:rsid w:val="00291D57"/>
    <w:rsid w:val="0029286C"/>
    <w:rsid w:val="0029300E"/>
    <w:rsid w:val="002B0C3A"/>
    <w:rsid w:val="002B2116"/>
    <w:rsid w:val="002B2D9B"/>
    <w:rsid w:val="002B5016"/>
    <w:rsid w:val="002B72E0"/>
    <w:rsid w:val="002B742C"/>
    <w:rsid w:val="002B7F4D"/>
    <w:rsid w:val="002C285C"/>
    <w:rsid w:val="002C7BE4"/>
    <w:rsid w:val="002D417D"/>
    <w:rsid w:val="002D5E5D"/>
    <w:rsid w:val="002E77B6"/>
    <w:rsid w:val="002E78A0"/>
    <w:rsid w:val="002F2687"/>
    <w:rsid w:val="002F48E1"/>
    <w:rsid w:val="002F4F3B"/>
    <w:rsid w:val="003046C4"/>
    <w:rsid w:val="00304C86"/>
    <w:rsid w:val="003059EB"/>
    <w:rsid w:val="00306E82"/>
    <w:rsid w:val="003116AC"/>
    <w:rsid w:val="00315567"/>
    <w:rsid w:val="00330144"/>
    <w:rsid w:val="00334329"/>
    <w:rsid w:val="00345CBA"/>
    <w:rsid w:val="00346245"/>
    <w:rsid w:val="00356267"/>
    <w:rsid w:val="00356BAD"/>
    <w:rsid w:val="003605B4"/>
    <w:rsid w:val="003627AC"/>
    <w:rsid w:val="00366914"/>
    <w:rsid w:val="00372FE3"/>
    <w:rsid w:val="003755CB"/>
    <w:rsid w:val="00376EC8"/>
    <w:rsid w:val="00383F85"/>
    <w:rsid w:val="00387BA1"/>
    <w:rsid w:val="00396AD4"/>
    <w:rsid w:val="003A306C"/>
    <w:rsid w:val="003A7DE7"/>
    <w:rsid w:val="003B1006"/>
    <w:rsid w:val="003C5F11"/>
    <w:rsid w:val="003D294B"/>
    <w:rsid w:val="003D6401"/>
    <w:rsid w:val="003E1863"/>
    <w:rsid w:val="0041606D"/>
    <w:rsid w:val="00416962"/>
    <w:rsid w:val="004206A8"/>
    <w:rsid w:val="004348CC"/>
    <w:rsid w:val="00450C58"/>
    <w:rsid w:val="004658FF"/>
    <w:rsid w:val="00474ED7"/>
    <w:rsid w:val="004756E1"/>
    <w:rsid w:val="0048008A"/>
    <w:rsid w:val="00482E4D"/>
    <w:rsid w:val="00483E94"/>
    <w:rsid w:val="00484120"/>
    <w:rsid w:val="004853A0"/>
    <w:rsid w:val="00496B5F"/>
    <w:rsid w:val="004A2E10"/>
    <w:rsid w:val="004B17FF"/>
    <w:rsid w:val="004B1BA0"/>
    <w:rsid w:val="004B6CEE"/>
    <w:rsid w:val="004C2443"/>
    <w:rsid w:val="004C498F"/>
    <w:rsid w:val="004C5D29"/>
    <w:rsid w:val="004C681A"/>
    <w:rsid w:val="004D4D8A"/>
    <w:rsid w:val="004F68EE"/>
    <w:rsid w:val="005038D5"/>
    <w:rsid w:val="00511BA4"/>
    <w:rsid w:val="005149E7"/>
    <w:rsid w:val="005232D6"/>
    <w:rsid w:val="005333CC"/>
    <w:rsid w:val="005363F1"/>
    <w:rsid w:val="00537C1B"/>
    <w:rsid w:val="0055007C"/>
    <w:rsid w:val="00554922"/>
    <w:rsid w:val="00555282"/>
    <w:rsid w:val="005560E7"/>
    <w:rsid w:val="005612CC"/>
    <w:rsid w:val="00563029"/>
    <w:rsid w:val="00564CFA"/>
    <w:rsid w:val="00567D12"/>
    <w:rsid w:val="00576062"/>
    <w:rsid w:val="0059559F"/>
    <w:rsid w:val="005A49FF"/>
    <w:rsid w:val="005A6399"/>
    <w:rsid w:val="005A7634"/>
    <w:rsid w:val="005B6F04"/>
    <w:rsid w:val="005C0447"/>
    <w:rsid w:val="005C739F"/>
    <w:rsid w:val="005C73CA"/>
    <w:rsid w:val="005D4768"/>
    <w:rsid w:val="005E2CAB"/>
    <w:rsid w:val="005E429E"/>
    <w:rsid w:val="00601ED4"/>
    <w:rsid w:val="006030BC"/>
    <w:rsid w:val="00612866"/>
    <w:rsid w:val="00616EB5"/>
    <w:rsid w:val="006269D4"/>
    <w:rsid w:val="006327D8"/>
    <w:rsid w:val="0064070A"/>
    <w:rsid w:val="00643A01"/>
    <w:rsid w:val="00651D44"/>
    <w:rsid w:val="006574D2"/>
    <w:rsid w:val="00663563"/>
    <w:rsid w:val="00665F4A"/>
    <w:rsid w:val="006676D4"/>
    <w:rsid w:val="006713F9"/>
    <w:rsid w:val="00675535"/>
    <w:rsid w:val="00681359"/>
    <w:rsid w:val="0069157C"/>
    <w:rsid w:val="00696262"/>
    <w:rsid w:val="006962D0"/>
    <w:rsid w:val="006C3A4F"/>
    <w:rsid w:val="006C4845"/>
    <w:rsid w:val="006D6BC1"/>
    <w:rsid w:val="006E2BFC"/>
    <w:rsid w:val="006E5C57"/>
    <w:rsid w:val="006F22A5"/>
    <w:rsid w:val="00702C73"/>
    <w:rsid w:val="00713394"/>
    <w:rsid w:val="00724677"/>
    <w:rsid w:val="00725AC2"/>
    <w:rsid w:val="00732880"/>
    <w:rsid w:val="007416B9"/>
    <w:rsid w:val="007422FD"/>
    <w:rsid w:val="00743E46"/>
    <w:rsid w:val="00747C45"/>
    <w:rsid w:val="00756FDB"/>
    <w:rsid w:val="007629B6"/>
    <w:rsid w:val="007665BF"/>
    <w:rsid w:val="00771B2A"/>
    <w:rsid w:val="007757CE"/>
    <w:rsid w:val="00775800"/>
    <w:rsid w:val="0079180E"/>
    <w:rsid w:val="007950CC"/>
    <w:rsid w:val="0079538B"/>
    <w:rsid w:val="007961B8"/>
    <w:rsid w:val="00797624"/>
    <w:rsid w:val="007A4828"/>
    <w:rsid w:val="007A74C8"/>
    <w:rsid w:val="007B093D"/>
    <w:rsid w:val="007B2069"/>
    <w:rsid w:val="007C04A1"/>
    <w:rsid w:val="007C21FA"/>
    <w:rsid w:val="007D13B1"/>
    <w:rsid w:val="007D4351"/>
    <w:rsid w:val="007D7019"/>
    <w:rsid w:val="007E18DB"/>
    <w:rsid w:val="007E6F1C"/>
    <w:rsid w:val="00804C69"/>
    <w:rsid w:val="0080711D"/>
    <w:rsid w:val="008155CD"/>
    <w:rsid w:val="008238D4"/>
    <w:rsid w:val="00833325"/>
    <w:rsid w:val="00840A41"/>
    <w:rsid w:val="00840E49"/>
    <w:rsid w:val="00842F3C"/>
    <w:rsid w:val="008505D1"/>
    <w:rsid w:val="00855158"/>
    <w:rsid w:val="00857EE8"/>
    <w:rsid w:val="0086464B"/>
    <w:rsid w:val="008647FC"/>
    <w:rsid w:val="00864CA8"/>
    <w:rsid w:val="00865E2D"/>
    <w:rsid w:val="00870E6C"/>
    <w:rsid w:val="00875846"/>
    <w:rsid w:val="00884486"/>
    <w:rsid w:val="008871A9"/>
    <w:rsid w:val="008916BA"/>
    <w:rsid w:val="00891872"/>
    <w:rsid w:val="00892176"/>
    <w:rsid w:val="008A1DB7"/>
    <w:rsid w:val="008A403A"/>
    <w:rsid w:val="008A4C13"/>
    <w:rsid w:val="008B604D"/>
    <w:rsid w:val="008C2D0B"/>
    <w:rsid w:val="008C54A9"/>
    <w:rsid w:val="008E67C3"/>
    <w:rsid w:val="008F589F"/>
    <w:rsid w:val="008F76A9"/>
    <w:rsid w:val="008F7E67"/>
    <w:rsid w:val="00900DBF"/>
    <w:rsid w:val="009048B9"/>
    <w:rsid w:val="00904E91"/>
    <w:rsid w:val="0091420A"/>
    <w:rsid w:val="00915886"/>
    <w:rsid w:val="009214DC"/>
    <w:rsid w:val="00927027"/>
    <w:rsid w:val="009344BA"/>
    <w:rsid w:val="00946E61"/>
    <w:rsid w:val="00947F78"/>
    <w:rsid w:val="00953234"/>
    <w:rsid w:val="00961EAF"/>
    <w:rsid w:val="0096278F"/>
    <w:rsid w:val="009726E1"/>
    <w:rsid w:val="00972A04"/>
    <w:rsid w:val="00977591"/>
    <w:rsid w:val="00980E75"/>
    <w:rsid w:val="00994BE0"/>
    <w:rsid w:val="009A25B1"/>
    <w:rsid w:val="009A4608"/>
    <w:rsid w:val="009A6A57"/>
    <w:rsid w:val="009A70BF"/>
    <w:rsid w:val="009B1A15"/>
    <w:rsid w:val="009B4DDD"/>
    <w:rsid w:val="009B66C5"/>
    <w:rsid w:val="009C0852"/>
    <w:rsid w:val="009C13CA"/>
    <w:rsid w:val="009C32C6"/>
    <w:rsid w:val="009C665F"/>
    <w:rsid w:val="009C7513"/>
    <w:rsid w:val="009D3882"/>
    <w:rsid w:val="009D78A0"/>
    <w:rsid w:val="009D7E38"/>
    <w:rsid w:val="009E095B"/>
    <w:rsid w:val="009E1846"/>
    <w:rsid w:val="009E78FF"/>
    <w:rsid w:val="00A01494"/>
    <w:rsid w:val="00A22FA9"/>
    <w:rsid w:val="00A25024"/>
    <w:rsid w:val="00A35F8F"/>
    <w:rsid w:val="00A41377"/>
    <w:rsid w:val="00A4263D"/>
    <w:rsid w:val="00A44D8D"/>
    <w:rsid w:val="00A509B8"/>
    <w:rsid w:val="00A52AB9"/>
    <w:rsid w:val="00A6210B"/>
    <w:rsid w:val="00A64EBF"/>
    <w:rsid w:val="00A71200"/>
    <w:rsid w:val="00A7323A"/>
    <w:rsid w:val="00A831B4"/>
    <w:rsid w:val="00A91598"/>
    <w:rsid w:val="00A9748C"/>
    <w:rsid w:val="00A97798"/>
    <w:rsid w:val="00AA4CED"/>
    <w:rsid w:val="00AA5213"/>
    <w:rsid w:val="00AA65A6"/>
    <w:rsid w:val="00AC1D8E"/>
    <w:rsid w:val="00AC48FA"/>
    <w:rsid w:val="00AD0240"/>
    <w:rsid w:val="00AD4137"/>
    <w:rsid w:val="00AF2D68"/>
    <w:rsid w:val="00B037BA"/>
    <w:rsid w:val="00B20139"/>
    <w:rsid w:val="00B218DA"/>
    <w:rsid w:val="00B342FA"/>
    <w:rsid w:val="00B42EAE"/>
    <w:rsid w:val="00B53E8B"/>
    <w:rsid w:val="00B774D2"/>
    <w:rsid w:val="00B8015A"/>
    <w:rsid w:val="00B82A57"/>
    <w:rsid w:val="00BA053B"/>
    <w:rsid w:val="00BB35AE"/>
    <w:rsid w:val="00BC03A1"/>
    <w:rsid w:val="00BC0D25"/>
    <w:rsid w:val="00BC7D3E"/>
    <w:rsid w:val="00BD2505"/>
    <w:rsid w:val="00BE592D"/>
    <w:rsid w:val="00BF52B0"/>
    <w:rsid w:val="00BF5697"/>
    <w:rsid w:val="00C14CCC"/>
    <w:rsid w:val="00C1695E"/>
    <w:rsid w:val="00C22C1C"/>
    <w:rsid w:val="00C33F2E"/>
    <w:rsid w:val="00C34936"/>
    <w:rsid w:val="00C34C14"/>
    <w:rsid w:val="00C355B9"/>
    <w:rsid w:val="00C37EF1"/>
    <w:rsid w:val="00C401C4"/>
    <w:rsid w:val="00C41680"/>
    <w:rsid w:val="00C60A25"/>
    <w:rsid w:val="00C765C5"/>
    <w:rsid w:val="00C775CE"/>
    <w:rsid w:val="00C82479"/>
    <w:rsid w:val="00C867F0"/>
    <w:rsid w:val="00CA06D8"/>
    <w:rsid w:val="00CA345A"/>
    <w:rsid w:val="00CB49FF"/>
    <w:rsid w:val="00CC02CF"/>
    <w:rsid w:val="00CC086A"/>
    <w:rsid w:val="00CD00E3"/>
    <w:rsid w:val="00CD0E24"/>
    <w:rsid w:val="00CD0F66"/>
    <w:rsid w:val="00CD364B"/>
    <w:rsid w:val="00CE23B8"/>
    <w:rsid w:val="00CE284E"/>
    <w:rsid w:val="00CE50D7"/>
    <w:rsid w:val="00CF4CBE"/>
    <w:rsid w:val="00D00344"/>
    <w:rsid w:val="00D1055E"/>
    <w:rsid w:val="00D1754D"/>
    <w:rsid w:val="00D2223F"/>
    <w:rsid w:val="00D25C0C"/>
    <w:rsid w:val="00D274A4"/>
    <w:rsid w:val="00D277AF"/>
    <w:rsid w:val="00D30678"/>
    <w:rsid w:val="00D31163"/>
    <w:rsid w:val="00D320B1"/>
    <w:rsid w:val="00D33AFD"/>
    <w:rsid w:val="00D33CA4"/>
    <w:rsid w:val="00D36489"/>
    <w:rsid w:val="00D369E9"/>
    <w:rsid w:val="00D42195"/>
    <w:rsid w:val="00D50704"/>
    <w:rsid w:val="00D5760A"/>
    <w:rsid w:val="00D61410"/>
    <w:rsid w:val="00D81127"/>
    <w:rsid w:val="00D8181D"/>
    <w:rsid w:val="00D968D8"/>
    <w:rsid w:val="00D96DB9"/>
    <w:rsid w:val="00DA563D"/>
    <w:rsid w:val="00DA7277"/>
    <w:rsid w:val="00DB3627"/>
    <w:rsid w:val="00DB4724"/>
    <w:rsid w:val="00DB6944"/>
    <w:rsid w:val="00DC4746"/>
    <w:rsid w:val="00DE7149"/>
    <w:rsid w:val="00E0314C"/>
    <w:rsid w:val="00E1508F"/>
    <w:rsid w:val="00E261DF"/>
    <w:rsid w:val="00E27240"/>
    <w:rsid w:val="00E27EDD"/>
    <w:rsid w:val="00E30584"/>
    <w:rsid w:val="00E310B9"/>
    <w:rsid w:val="00E36314"/>
    <w:rsid w:val="00E36E94"/>
    <w:rsid w:val="00E37E1B"/>
    <w:rsid w:val="00E562C0"/>
    <w:rsid w:val="00E57FAF"/>
    <w:rsid w:val="00E672D6"/>
    <w:rsid w:val="00E76024"/>
    <w:rsid w:val="00E856A2"/>
    <w:rsid w:val="00E967AD"/>
    <w:rsid w:val="00E96884"/>
    <w:rsid w:val="00EA53AF"/>
    <w:rsid w:val="00EA5435"/>
    <w:rsid w:val="00EA5F47"/>
    <w:rsid w:val="00EA61A3"/>
    <w:rsid w:val="00EB455E"/>
    <w:rsid w:val="00EB7DFA"/>
    <w:rsid w:val="00EC79DE"/>
    <w:rsid w:val="00ED4ACE"/>
    <w:rsid w:val="00EE4D35"/>
    <w:rsid w:val="00EF2DA7"/>
    <w:rsid w:val="00F1412B"/>
    <w:rsid w:val="00F15BFA"/>
    <w:rsid w:val="00F171E0"/>
    <w:rsid w:val="00F34FAB"/>
    <w:rsid w:val="00F435AA"/>
    <w:rsid w:val="00F5738A"/>
    <w:rsid w:val="00F612D4"/>
    <w:rsid w:val="00F7389E"/>
    <w:rsid w:val="00F77F1D"/>
    <w:rsid w:val="00F87CCB"/>
    <w:rsid w:val="00F92D03"/>
    <w:rsid w:val="00F94725"/>
    <w:rsid w:val="00FA48C7"/>
    <w:rsid w:val="00FB51FB"/>
    <w:rsid w:val="00FB73C1"/>
    <w:rsid w:val="00FF4A85"/>
    <w:rsid w:val="00FF6E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CABCF53"/>
  <w15:docId w15:val="{B7AF832F-E472-43D5-9597-9AE514BB5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15"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4">
    <w:name w:val="heading 4"/>
    <w:basedOn w:val="Normal"/>
    <w:next w:val="Normal"/>
    <w:link w:val="Heading4Char"/>
    <w:uiPriority w:val="15"/>
    <w:qFormat/>
    <w:rsid w:val="007D13B1"/>
    <w:pPr>
      <w:keepNext/>
      <w:keepLines/>
      <w:spacing w:before="120" w:after="60" w:line="280" w:lineRule="exact"/>
      <w:outlineLvl w:val="3"/>
    </w:pPr>
    <w:rPr>
      <w:rFonts w:eastAsiaTheme="majorEastAsia" w:cstheme="majorBidi"/>
      <w:bCs/>
      <w:i/>
      <w:iCs/>
      <w:color w:val="4F81BD"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character" w:customStyle="1" w:styleId="ListParagraphChar">
    <w:name w:val="List Paragraph Char"/>
    <w:basedOn w:val="DefaultParagraphFont"/>
    <w:link w:val="ListParagraph"/>
    <w:uiPriority w:val="34"/>
    <w:locked/>
    <w:rsid w:val="00663563"/>
  </w:style>
  <w:style w:type="character" w:customStyle="1" w:styleId="Heading4Char">
    <w:name w:val="Heading 4 Char"/>
    <w:basedOn w:val="DefaultParagraphFont"/>
    <w:link w:val="Heading4"/>
    <w:uiPriority w:val="15"/>
    <w:rsid w:val="007D13B1"/>
    <w:rPr>
      <w:rFonts w:eastAsiaTheme="majorEastAsia" w:cstheme="majorBidi"/>
      <w:bCs/>
      <w:i/>
      <w:iCs/>
      <w:color w:val="4F81BD" w:themeColor="accent1"/>
      <w:sz w:val="24"/>
    </w:rPr>
  </w:style>
  <w:style w:type="character" w:styleId="Strong">
    <w:name w:val="Strong"/>
    <w:basedOn w:val="DefaultParagraphFont"/>
    <w:uiPriority w:val="22"/>
    <w:qFormat/>
    <w:rsid w:val="00345CBA"/>
    <w:rPr>
      <w:b/>
      <w:bCs/>
    </w:rPr>
  </w:style>
  <w:style w:type="paragraph" w:styleId="NormalWeb">
    <w:name w:val="Normal (Web)"/>
    <w:basedOn w:val="Normal"/>
    <w:uiPriority w:val="99"/>
    <w:unhideWhenUsed/>
    <w:rsid w:val="00345CBA"/>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F15BFA"/>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 w:id="1809739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qualityforum.org/Measuring_Performance/Submitting_Standards.aspx"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437537" w:rsidP="00437537">
          <w:pPr>
            <w:pStyle w:val="00949831315D4E1BAFC508BD77E32A4013"/>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437537" w:rsidP="00437537">
          <w:pPr>
            <w:pStyle w:val="D0A5AE3409394D21BA5FA5F27780E30213"/>
          </w:pPr>
          <w:r w:rsidRPr="00A25024">
            <w:rPr>
              <w:rStyle w:val="PlaceholderText"/>
              <w:rFonts w:cstheme="minorHAnsi"/>
              <w:color w:val="A6A6A6" w:themeColor="background1" w:themeShade="A6"/>
            </w:rPr>
            <w:t>Click here to enter a date</w:t>
          </w:r>
        </w:p>
      </w:docPartBody>
    </w:docPart>
    <w:docPart>
      <w:docPartPr>
        <w:name w:val="D06AB11FD608490E9B47857CE12EB3BD"/>
        <w:category>
          <w:name w:val="General"/>
          <w:gallery w:val="placeholder"/>
        </w:category>
        <w:types>
          <w:type w:val="bbPlcHdr"/>
        </w:types>
        <w:behaviors>
          <w:behavior w:val="content"/>
        </w:behaviors>
        <w:guid w:val="{432A81CD-5A4F-4CD9-8394-9902E7C12BA6}"/>
      </w:docPartPr>
      <w:docPartBody>
        <w:p w:rsidR="00C362A2" w:rsidRDefault="00437537" w:rsidP="00437537">
          <w:pPr>
            <w:pStyle w:val="D06AB11FD608490E9B47857CE12EB3BD2"/>
          </w:pPr>
          <w:r w:rsidRPr="00870134">
            <w:rPr>
              <w:rStyle w:val="PlaceholderText"/>
            </w:rPr>
            <w:t xml:space="preserve">Click here to enter </w:t>
          </w:r>
          <w:r>
            <w:rPr>
              <w:rStyle w:val="PlaceholderText"/>
            </w:rPr>
            <w:t>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charset w:val="00"/>
    <w:family w:val="auto"/>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121"/>
    <w:rsid w:val="00021F89"/>
    <w:rsid w:val="0002715D"/>
    <w:rsid w:val="000372A5"/>
    <w:rsid w:val="00127222"/>
    <w:rsid w:val="001736D7"/>
    <w:rsid w:val="00190AF4"/>
    <w:rsid w:val="00223FA3"/>
    <w:rsid w:val="002255D0"/>
    <w:rsid w:val="002A288F"/>
    <w:rsid w:val="002C65A7"/>
    <w:rsid w:val="002F052A"/>
    <w:rsid w:val="00322296"/>
    <w:rsid w:val="00350176"/>
    <w:rsid w:val="003840F0"/>
    <w:rsid w:val="00437537"/>
    <w:rsid w:val="004A16A4"/>
    <w:rsid w:val="004D785E"/>
    <w:rsid w:val="00501630"/>
    <w:rsid w:val="00513FC9"/>
    <w:rsid w:val="0053654E"/>
    <w:rsid w:val="0058104F"/>
    <w:rsid w:val="00610196"/>
    <w:rsid w:val="00632A7E"/>
    <w:rsid w:val="00632AB6"/>
    <w:rsid w:val="00730B33"/>
    <w:rsid w:val="00772B2A"/>
    <w:rsid w:val="007C672A"/>
    <w:rsid w:val="007D4368"/>
    <w:rsid w:val="007E583E"/>
    <w:rsid w:val="00822666"/>
    <w:rsid w:val="00823ECC"/>
    <w:rsid w:val="00826796"/>
    <w:rsid w:val="00866C97"/>
    <w:rsid w:val="009017AE"/>
    <w:rsid w:val="009C542D"/>
    <w:rsid w:val="009F08C9"/>
    <w:rsid w:val="00A01A18"/>
    <w:rsid w:val="00A95183"/>
    <w:rsid w:val="00AB4AF7"/>
    <w:rsid w:val="00AD7C4F"/>
    <w:rsid w:val="00B445F5"/>
    <w:rsid w:val="00BD40CB"/>
    <w:rsid w:val="00C362A2"/>
    <w:rsid w:val="00C90121"/>
    <w:rsid w:val="00C96E73"/>
    <w:rsid w:val="00CA1FE8"/>
    <w:rsid w:val="00CA344F"/>
    <w:rsid w:val="00CD47FF"/>
    <w:rsid w:val="00D1676E"/>
    <w:rsid w:val="00DC0246"/>
    <w:rsid w:val="00E6518A"/>
    <w:rsid w:val="00F540AB"/>
    <w:rsid w:val="00F851AA"/>
    <w:rsid w:val="00F915BA"/>
    <w:rsid w:val="00FF1A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5453A84"/>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7537"/>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8CC1047693B9C4E82C98949384232E3" ma:contentTypeVersion="0" ma:contentTypeDescription="Create a new document." ma:contentTypeScope="" ma:versionID="f1f971ac7d559ead76220319017d3656">
  <xsd:schema xmlns:xsd="http://www.w3.org/2001/XMLSchema" xmlns:xs="http://www.w3.org/2001/XMLSchema" xmlns:p="http://schemas.microsoft.com/office/2006/metadata/properties" xmlns:ns2="836b82f1-340d-495e-85b5-201c5296619a" targetNamespace="http://schemas.microsoft.com/office/2006/metadata/properties" ma:root="true" ma:fieldsID="3be9963e7f408cfe264e4739eaeea019" ns2:_="">
    <xsd:import namespace="836b82f1-340d-495e-85b5-201c5296619a"/>
    <xsd:element name="properties">
      <xsd:complexType>
        <xsd:sequence>
          <xsd:element name="documentManagement">
            <xsd:complexType>
              <xsd:all>
                <xsd:element ref="ns2:Content_x0020_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6b82f1-340d-495e-85b5-201c5296619a" elementFormDefault="qualified">
    <xsd:import namespace="http://schemas.microsoft.com/office/2006/documentManagement/types"/>
    <xsd:import namespace="http://schemas.microsoft.com/office/infopath/2007/PartnerControls"/>
    <xsd:element name="Content_x0020_Type" ma:index="2" nillable="true" ma:displayName="Document Type" ma:format="Dropdown" ma:internalName="Content_x0020_Type">
      <xsd:simpleType>
        <xsd:restriction base="dms:Choice">
          <xsd:enumeration value="Policies &amp; Procedures"/>
          <xsd:enumeration value="Maintenance Forms"/>
          <xsd:enumeration value="Measure Developer Webinars"/>
          <xsd:enumeration value="Maintenance Tracking Documents"/>
          <xsd:enumeration value="CSAC Materials"/>
          <xsd:enumeration value="Reference Materials"/>
          <xsd:enumeration value="Measure Developer Workshop"/>
          <xsd:enumeration value="Measure Developer Schedules"/>
          <xsd:enumeration value="Measure Developer Advisory Panel"/>
          <xsd:enumeration value="Restructuring Maintenance"/>
          <xsd:enumeration value="Project Management"/>
          <xsd:enumeration value="Archiv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ontent_x0020_Type xmlns="836b82f1-340d-495e-85b5-201c5296619a">Maintenance Forms</Content_x0020_Type>
  </documentManagement>
</p:properties>
</file>

<file path=customXml/item3.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634863537806517836</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DDBF82-C235-4B73-B433-00D9E31C53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6b82f1-340d-495e-85b5-201c529661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700C901-3C40-4C03-AF30-8401D54B3554}">
  <ds:schemaRefs>
    <ds:schemaRef ds:uri="http://schemas.microsoft.com/office/2006/metadata/properties"/>
    <ds:schemaRef ds:uri="http://schemas.microsoft.com/office/infopath/2007/PartnerControls"/>
    <ds:schemaRef ds:uri="836b82f1-340d-495e-85b5-201c5296619a"/>
  </ds:schemaRefs>
</ds:datastoreItem>
</file>

<file path=customXml/itemProps3.xml><?xml version="1.0" encoding="utf-8"?>
<ds:datastoreItem xmlns:ds="http://schemas.openxmlformats.org/officeDocument/2006/customXml" ds:itemID="{64AE20E4-C362-4902-9700-D38E1DCF855F}">
  <ds:schemaRefs>
    <ds:schemaRef ds:uri="http://schemas.microsoft.com/sharepoint/events"/>
  </ds:schemaRefs>
</ds:datastoreItem>
</file>

<file path=customXml/itemProps4.xml><?xml version="1.0" encoding="utf-8"?>
<ds:datastoreItem xmlns:ds="http://schemas.openxmlformats.org/officeDocument/2006/customXml" ds:itemID="{B5FE21F1-ADB5-45E2-BF99-019C9208199A}">
  <ds:schemaRefs>
    <ds:schemaRef ds:uri="http://schemas.microsoft.com/sharepoint/v3/contenttype/forms"/>
  </ds:schemaRefs>
</ds:datastoreItem>
</file>

<file path=customXml/itemProps5.xml><?xml version="1.0" encoding="utf-8"?>
<ds:datastoreItem xmlns:ds="http://schemas.openxmlformats.org/officeDocument/2006/customXml" ds:itemID="{952B031C-807D-4048-9ED3-696F091478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5275</Words>
  <Characters>30070</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Testing Attachment</vt:lpstr>
    </vt:vector>
  </TitlesOfParts>
  <Company>National Quality Forum</Company>
  <LinksUpToDate>false</LinksUpToDate>
  <CharactersWithSpaces>35275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Testing Attachment</dc:title>
  <dc:creator>Reva Winkler</dc:creator>
  <cp:lastModifiedBy>Ryan, Elvira</cp:lastModifiedBy>
  <cp:revision>4</cp:revision>
  <cp:lastPrinted>2018-11-16T15:49:00Z</cp:lastPrinted>
  <dcterms:created xsi:type="dcterms:W3CDTF">2019-03-29T18:28:00Z</dcterms:created>
  <dcterms:modified xsi:type="dcterms:W3CDTF">2019-04-16T19:01:00Z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0x010100B8CC1047693B9C4E82C98949384232E3</vt:lpwstr>
  </property>
</Properties>
</file>