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9B0F1"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2AE9B0F2" w14:textId="77777777" w:rsidR="00797624" w:rsidRDefault="00797624" w:rsidP="00105D8B">
      <w:pPr>
        <w:contextualSpacing/>
        <w:rPr>
          <w:rFonts w:cstheme="minorHAnsi"/>
          <w:b/>
          <w:noProof/>
        </w:rPr>
      </w:pPr>
    </w:p>
    <w:p w14:paraId="2AE9B0F3" w14:textId="3E7CB496"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DB14C1">
            <w:rPr>
              <w:rStyle w:val="Style1"/>
            </w:rPr>
            <w:t>0027</w:t>
          </w:r>
        </w:sdtContent>
      </w:sdt>
    </w:p>
    <w:p w14:paraId="2AE9B0F4" w14:textId="1E17614E"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DB14C1">
            <w:rPr>
              <w:rStyle w:val="Style1"/>
              <w:rFonts w:cstheme="minorHAnsi"/>
            </w:rPr>
            <w:t>Medical Assistance with Smoking and Tobacco Use Cessation</w:t>
          </w:r>
        </w:sdtContent>
      </w:sdt>
    </w:p>
    <w:p w14:paraId="2AE9B0F5" w14:textId="0CDDE036"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6-12-02T00:00:00Z">
            <w:dateFormat w:val="M/d/yyyy"/>
            <w:lid w:val="en-US"/>
            <w:storeMappedDataAs w:val="dateTime"/>
            <w:calendar w:val="gregorian"/>
          </w:date>
        </w:sdtPr>
        <w:sdtEndPr>
          <w:rPr>
            <w:rStyle w:val="DefaultParagraphFont"/>
            <w:noProof/>
            <w:color w:val="auto"/>
            <w:u w:val="none"/>
          </w:rPr>
        </w:sdtEndPr>
        <w:sdtContent>
          <w:r w:rsidR="00EE6D0F">
            <w:rPr>
              <w:rStyle w:val="Style2"/>
              <w:rFonts w:cstheme="minorHAnsi"/>
            </w:rPr>
            <w:t>12/2/2016</w:t>
          </w:r>
        </w:sdtContent>
      </w:sdt>
    </w:p>
    <w:p w14:paraId="2AE9B0F6"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2AE9B0F9" w14:textId="77777777" w:rsidTr="000B7D57">
        <w:trPr>
          <w:jc w:val="center"/>
        </w:trPr>
        <w:tc>
          <w:tcPr>
            <w:tcW w:w="2513" w:type="pct"/>
          </w:tcPr>
          <w:p w14:paraId="2AE9B0F7" w14:textId="77777777" w:rsidR="000B7D57" w:rsidRPr="00450C58" w:rsidRDefault="00CD7139"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Content>
                <w:r w:rsidR="000B7D57" w:rsidRPr="00450C58">
                  <w:rPr>
                    <w:rFonts w:ascii="MS Gothic" w:eastAsia="MS Gothic" w:cstheme="minorHAnsi" w:hint="eastAsia"/>
                    <w:bCs/>
                    <w:color w:val="0000FF"/>
                  </w:rPr>
                  <w:t>☐</w:t>
                </w:r>
              </w:sdtContent>
            </w:sdt>
            <w:r w:rsidR="000B7D57" w:rsidRPr="00450C58">
              <w:rPr>
                <w:rFonts w:cstheme="minorHAnsi"/>
                <w:bCs/>
              </w:rPr>
              <w:t xml:space="preserve"> Outcome (</w:t>
            </w:r>
            <w:r w:rsidR="000B7D57" w:rsidRPr="00450C58">
              <w:rPr>
                <w:rFonts w:cstheme="minorHAnsi"/>
                <w:bCs/>
                <w:i/>
              </w:rPr>
              <w:t>including PRO-PM</w:t>
            </w:r>
            <w:r w:rsidR="000B7D57" w:rsidRPr="00450C58">
              <w:rPr>
                <w:rFonts w:cstheme="minorHAnsi"/>
                <w:bCs/>
              </w:rPr>
              <w:t>)</w:t>
            </w:r>
          </w:p>
        </w:tc>
        <w:tc>
          <w:tcPr>
            <w:tcW w:w="2487" w:type="pct"/>
          </w:tcPr>
          <w:p w14:paraId="2AE9B0F8" w14:textId="77777777" w:rsidR="000B7D57" w:rsidRPr="00450C58" w:rsidRDefault="00CD7139"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Content>
                <w:r w:rsidR="000B7D57" w:rsidRPr="00450C58">
                  <w:rPr>
                    <w:rFonts w:ascii="MS Gothic" w:eastAsia="MS Gothic" w:hAnsi="MS Gothic" w:cstheme="minorHAnsi" w:hint="eastAsia"/>
                    <w:bCs/>
                  </w:rPr>
                  <w:t>☐</w:t>
                </w:r>
              </w:sdtContent>
            </w:sdt>
            <w:r w:rsidR="000B7D57" w:rsidRPr="00450C58">
              <w:rPr>
                <w:rFonts w:cstheme="minorHAnsi"/>
                <w:bCs/>
              </w:rPr>
              <w:t xml:space="preserve"> Composite – </w:t>
            </w:r>
            <w:r w:rsidR="000B7D57" w:rsidRPr="00450C58">
              <w:rPr>
                <w:rFonts w:cstheme="minorHAnsi"/>
                <w:b/>
                <w:bCs/>
                <w:i/>
              </w:rPr>
              <w:t>STOP – use composite testing form</w:t>
            </w:r>
          </w:p>
        </w:tc>
      </w:tr>
      <w:tr w:rsidR="000B7D57" w:rsidRPr="00450C58" w14:paraId="2AE9B0FC" w14:textId="77777777" w:rsidTr="000B7D57">
        <w:trPr>
          <w:jc w:val="center"/>
        </w:trPr>
        <w:tc>
          <w:tcPr>
            <w:tcW w:w="2513" w:type="pct"/>
          </w:tcPr>
          <w:p w14:paraId="2AE9B0FA" w14:textId="77777777" w:rsidR="000B7D57" w:rsidRPr="00450C58" w:rsidRDefault="00CD7139"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Content>
                <w:r w:rsidR="000B7D57" w:rsidRPr="00450C58">
                  <w:rPr>
                    <w:rFonts w:cstheme="minorHAnsi" w:hint="eastAsia"/>
                    <w:bCs/>
                    <w:color w:val="0000FF"/>
                  </w:rPr>
                  <w:t>☐</w:t>
                </w:r>
              </w:sdtContent>
            </w:sdt>
            <w:r w:rsidR="000B7D57" w:rsidRPr="00450C58">
              <w:rPr>
                <w:rFonts w:cstheme="minorHAnsi"/>
                <w:bCs/>
                <w:color w:val="0000FF"/>
              </w:rPr>
              <w:t xml:space="preserve"> </w:t>
            </w:r>
            <w:r w:rsidR="000B7D57" w:rsidRPr="00450C58">
              <w:rPr>
                <w:rFonts w:cstheme="minorHAnsi"/>
                <w:bCs/>
              </w:rPr>
              <w:t>Intermediate Clinical Outcome</w:t>
            </w:r>
          </w:p>
        </w:tc>
        <w:tc>
          <w:tcPr>
            <w:tcW w:w="2487" w:type="pct"/>
          </w:tcPr>
          <w:p w14:paraId="2AE9B0FB" w14:textId="77777777" w:rsidR="000B7D57" w:rsidRPr="00450C58" w:rsidRDefault="00CD7139"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Content>
                <w:r w:rsidR="000B7D57" w:rsidRPr="00450C58">
                  <w:rPr>
                    <w:rFonts w:ascii="MS Gothic" w:eastAsia="MS Gothic" w:hAnsi="MS Gothic" w:cstheme="minorHAnsi" w:hint="eastAsia"/>
                    <w:bCs/>
                  </w:rPr>
                  <w:t>☐</w:t>
                </w:r>
              </w:sdtContent>
            </w:sdt>
            <w:r w:rsidR="000B7D57" w:rsidRPr="00450C58">
              <w:rPr>
                <w:rFonts w:cstheme="minorHAnsi"/>
                <w:bCs/>
              </w:rPr>
              <w:t xml:space="preserve"> Cost/resource</w:t>
            </w:r>
          </w:p>
        </w:tc>
      </w:tr>
      <w:tr w:rsidR="000B7D57" w:rsidRPr="00450C58" w14:paraId="2AE9B0FF" w14:textId="77777777" w:rsidTr="000B7D57">
        <w:trPr>
          <w:jc w:val="center"/>
        </w:trPr>
        <w:tc>
          <w:tcPr>
            <w:tcW w:w="2513" w:type="pct"/>
          </w:tcPr>
          <w:p w14:paraId="2AE9B0FD" w14:textId="65AF0174" w:rsidR="000B7D57" w:rsidRPr="00450C58" w:rsidRDefault="00CD7139"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Content>
                <w:r w:rsidR="00DB14C1">
                  <w:rPr>
                    <w:rFonts w:ascii="MS Gothic" w:eastAsia="MS Gothic" w:hAnsi="MS Gothic" w:cstheme="minorHAnsi" w:hint="eastAsia"/>
                    <w:bCs/>
                    <w:color w:val="0000FF"/>
                  </w:rPr>
                  <w:t>☒</w:t>
                </w:r>
              </w:sdtContent>
            </w:sdt>
            <w:r w:rsidR="000B7D57" w:rsidRPr="00450C58">
              <w:rPr>
                <w:rFonts w:cstheme="minorHAnsi"/>
                <w:bCs/>
              </w:rPr>
              <w:t xml:space="preserve"> </w:t>
            </w:r>
            <w:r w:rsidR="000B7D57" w:rsidRPr="00450C58">
              <w:rPr>
                <w:rFonts w:eastAsia="MS Gothic" w:cstheme="minorHAnsi"/>
                <w:bCs/>
              </w:rPr>
              <w:t>Process</w:t>
            </w:r>
          </w:p>
        </w:tc>
        <w:tc>
          <w:tcPr>
            <w:tcW w:w="2487" w:type="pct"/>
          </w:tcPr>
          <w:p w14:paraId="2AE9B0FE" w14:textId="77777777" w:rsidR="000B7D57" w:rsidRPr="00450C58" w:rsidRDefault="00CD7139"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Content>
                <w:r w:rsidR="000B7D57" w:rsidRPr="00450C58">
                  <w:rPr>
                    <w:rFonts w:ascii="MS Gothic" w:eastAsia="MS Gothic" w:hAnsi="MS Gothic" w:cstheme="minorHAnsi" w:hint="eastAsia"/>
                    <w:bCs/>
                  </w:rPr>
                  <w:t>☐</w:t>
                </w:r>
              </w:sdtContent>
            </w:sdt>
            <w:r w:rsidR="000B7D57" w:rsidRPr="00450C58">
              <w:rPr>
                <w:rFonts w:cstheme="minorHAnsi"/>
                <w:bCs/>
              </w:rPr>
              <w:t xml:space="preserve"> Efficiency</w:t>
            </w:r>
          </w:p>
        </w:tc>
      </w:tr>
      <w:tr w:rsidR="000B7D57" w:rsidRPr="00B82A57" w14:paraId="2AE9B102" w14:textId="77777777" w:rsidTr="000B7D57">
        <w:trPr>
          <w:jc w:val="center"/>
        </w:trPr>
        <w:tc>
          <w:tcPr>
            <w:tcW w:w="2513" w:type="pct"/>
          </w:tcPr>
          <w:p w14:paraId="2AE9B100" w14:textId="77777777" w:rsidR="000B7D57" w:rsidRPr="00B82A57" w:rsidRDefault="00CD7139"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0B7D57" w:rsidRPr="00450C58">
                  <w:rPr>
                    <w:rFonts w:ascii="MS Gothic" w:eastAsia="MS Gothic" w:cstheme="minorHAnsi" w:hint="eastAsia"/>
                    <w:bCs/>
                    <w:color w:val="0000FF"/>
                  </w:rPr>
                  <w:t>☐</w:t>
                </w:r>
              </w:sdtContent>
            </w:sdt>
            <w:r w:rsidR="000B7D57" w:rsidRPr="00450C58">
              <w:rPr>
                <w:rFonts w:cstheme="minorHAnsi"/>
                <w:bCs/>
              </w:rPr>
              <w:t xml:space="preserve"> </w:t>
            </w:r>
            <w:r w:rsidR="000B7D57" w:rsidRPr="00450C58">
              <w:rPr>
                <w:rFonts w:eastAsia="MS Gothic" w:cstheme="minorHAnsi"/>
                <w:bCs/>
              </w:rPr>
              <w:t>Structure</w:t>
            </w:r>
          </w:p>
        </w:tc>
        <w:tc>
          <w:tcPr>
            <w:tcW w:w="2487" w:type="pct"/>
          </w:tcPr>
          <w:p w14:paraId="2AE9B101" w14:textId="77777777" w:rsidR="000B7D57" w:rsidRDefault="000B7D57" w:rsidP="00CD364B">
            <w:pPr>
              <w:autoSpaceDE w:val="0"/>
              <w:autoSpaceDN w:val="0"/>
              <w:adjustRightInd w:val="0"/>
              <w:rPr>
                <w:rFonts w:cstheme="minorHAnsi"/>
                <w:bCs/>
                <w:color w:val="0000FF"/>
              </w:rPr>
            </w:pPr>
          </w:p>
        </w:tc>
      </w:tr>
    </w:tbl>
    <w:p w14:paraId="2AE9B103"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2AE9B10E" w14:textId="77777777" w:rsidTr="00145149">
        <w:trPr>
          <w:jc w:val="center"/>
        </w:trPr>
        <w:tc>
          <w:tcPr>
            <w:tcW w:w="9576" w:type="dxa"/>
          </w:tcPr>
          <w:p w14:paraId="2AE9B104" w14:textId="77777777" w:rsidR="00B53E8B" w:rsidRPr="00B53E8B" w:rsidRDefault="00B53E8B" w:rsidP="00B53E8B">
            <w:pPr>
              <w:rPr>
                <w:rFonts w:cstheme="minorHAnsi"/>
                <w:b/>
                <w:noProof/>
              </w:rPr>
            </w:pPr>
            <w:r w:rsidRPr="00B53E8B">
              <w:rPr>
                <w:rFonts w:cstheme="minorHAnsi"/>
                <w:b/>
                <w:noProof/>
              </w:rPr>
              <w:t>Instructions</w:t>
            </w:r>
          </w:p>
          <w:p w14:paraId="2AE9B105"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2AE9B106"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2AE9B107"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2AE9B108"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2AE9B109"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2AE9B10A"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2AE9B10B"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2AE9B10C"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2AE9B10D" w14:textId="77777777" w:rsidR="00A64EBF" w:rsidRDefault="00A64EBF" w:rsidP="00904E91">
            <w:pPr>
              <w:pStyle w:val="ListParagraph"/>
              <w:numPr>
                <w:ilvl w:val="0"/>
                <w:numId w:val="6"/>
              </w:numPr>
              <w:rPr>
                <w:rFonts w:cstheme="minorHAnsi"/>
                <w:noProof/>
              </w:rPr>
            </w:pPr>
            <w:r>
              <w:t>For information on the most updated guidance on how to address sociodemographic variables and testing in this form refer to the release notes for version 6.6 of the Measure Testing Attachment.</w:t>
            </w:r>
          </w:p>
        </w:tc>
      </w:tr>
    </w:tbl>
    <w:p w14:paraId="2AE9B10F"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2AE9B12E" w14:textId="77777777" w:rsidTr="00145149">
        <w:trPr>
          <w:jc w:val="center"/>
        </w:trPr>
        <w:tc>
          <w:tcPr>
            <w:tcW w:w="9576" w:type="dxa"/>
          </w:tcPr>
          <w:p w14:paraId="2AE9B110"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2AE9B111" w14:textId="77777777" w:rsidR="00B53E8B" w:rsidRPr="00A831B4" w:rsidRDefault="00B53E8B" w:rsidP="00702C73">
            <w:pPr>
              <w:rPr>
                <w:rFonts w:cstheme="minorHAnsi"/>
                <w:b/>
                <w:bCs/>
                <w:sz w:val="20"/>
                <w:szCs w:val="20"/>
              </w:rPr>
            </w:pPr>
          </w:p>
          <w:p w14:paraId="2AE9B112"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2AE9B113" w14:textId="77777777" w:rsidR="00145149" w:rsidRPr="000F034A" w:rsidRDefault="00145149" w:rsidP="00145149">
            <w:pPr>
              <w:autoSpaceDE w:val="0"/>
              <w:autoSpaceDN w:val="0"/>
              <w:adjustRightInd w:val="0"/>
              <w:rPr>
                <w:rFonts w:cstheme="minorHAnsi"/>
                <w:b/>
                <w:iCs/>
              </w:rPr>
            </w:pPr>
          </w:p>
          <w:p w14:paraId="2AE9B114"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2AE9B115" w14:textId="77777777" w:rsidR="00145149" w:rsidRPr="000F034A" w:rsidRDefault="00145149" w:rsidP="00145149">
            <w:pPr>
              <w:rPr>
                <w:rFonts w:cstheme="minorHAnsi"/>
              </w:rPr>
            </w:pPr>
            <w:bookmarkStart w:id="0" w:name="_Toc256067249"/>
          </w:p>
          <w:p w14:paraId="2AE9B116"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2AE9B117" w14:textId="77777777" w:rsidR="00145149" w:rsidRPr="000F034A" w:rsidRDefault="00145149" w:rsidP="00145149">
            <w:pPr>
              <w:rPr>
                <w:rFonts w:cstheme="minorHAnsi"/>
                <w:b/>
              </w:rPr>
            </w:pPr>
            <w:r w:rsidRPr="000F034A">
              <w:rPr>
                <w:rFonts w:cstheme="minorHAnsi"/>
                <w:b/>
              </w:rPr>
              <w:lastRenderedPageBreak/>
              <w:t xml:space="preserve">AND </w:t>
            </w:r>
          </w:p>
          <w:p w14:paraId="2AE9B118"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2AE9B119" w14:textId="77777777" w:rsidR="00145149" w:rsidRPr="000F034A" w:rsidRDefault="00145149" w:rsidP="00145149">
            <w:pPr>
              <w:rPr>
                <w:rFonts w:cstheme="minorHAnsi"/>
                <w:b/>
                <w:bCs/>
              </w:rPr>
            </w:pPr>
          </w:p>
          <w:p w14:paraId="2AE9B11A"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2AE9B11B"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sociodemographic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2AE9B11C" w14:textId="77777777" w:rsidR="00145149" w:rsidRPr="000F034A" w:rsidRDefault="00145149" w:rsidP="00145149">
            <w:pPr>
              <w:rPr>
                <w:rFonts w:cstheme="minorHAnsi"/>
                <w:b/>
              </w:rPr>
            </w:pPr>
            <w:r w:rsidRPr="000F034A">
              <w:rPr>
                <w:rFonts w:cstheme="minorHAnsi"/>
                <w:b/>
              </w:rPr>
              <w:t>OR</w:t>
            </w:r>
          </w:p>
          <w:p w14:paraId="2AE9B11D"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2AE9B11E" w14:textId="77777777" w:rsidR="00145149" w:rsidRPr="000F034A" w:rsidRDefault="00145149" w:rsidP="00145149">
            <w:pPr>
              <w:rPr>
                <w:rFonts w:cstheme="minorHAnsi"/>
                <w:b/>
                <w:bCs/>
              </w:rPr>
            </w:pPr>
          </w:p>
          <w:bookmarkEnd w:id="1"/>
          <w:p w14:paraId="2AE9B11F"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2AE9B120" w14:textId="77777777" w:rsidR="00145149" w:rsidRPr="000F034A" w:rsidRDefault="00145149" w:rsidP="00145149">
            <w:pPr>
              <w:rPr>
                <w:rFonts w:cstheme="minorHAnsi"/>
              </w:rPr>
            </w:pPr>
            <w:r w:rsidRPr="000F034A">
              <w:rPr>
                <w:rFonts w:cstheme="minorHAnsi"/>
                <w:b/>
              </w:rPr>
              <w:t>OR</w:t>
            </w:r>
          </w:p>
          <w:p w14:paraId="2AE9B121"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2AE9B122" w14:textId="77777777" w:rsidR="00145149" w:rsidRPr="000F034A" w:rsidRDefault="00145149" w:rsidP="00145149">
            <w:pPr>
              <w:rPr>
                <w:rFonts w:cstheme="minorHAnsi"/>
                <w:b/>
                <w:bCs/>
              </w:rPr>
            </w:pPr>
          </w:p>
          <w:p w14:paraId="2AE9B123"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2AE9B124" w14:textId="77777777" w:rsidR="00E30584" w:rsidRPr="000F034A" w:rsidRDefault="00E30584" w:rsidP="00145149">
            <w:pPr>
              <w:rPr>
                <w:rFonts w:cstheme="minorHAnsi"/>
              </w:rPr>
            </w:pPr>
          </w:p>
          <w:p w14:paraId="2AE9B125"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14:paraId="2AE9B126" w14:textId="77777777" w:rsidR="00145149" w:rsidRPr="00A831B4" w:rsidRDefault="00145149" w:rsidP="00145149">
            <w:pPr>
              <w:rPr>
                <w:rFonts w:cstheme="minorHAnsi"/>
                <w:b/>
                <w:bCs/>
                <w:sz w:val="20"/>
                <w:szCs w:val="20"/>
              </w:rPr>
            </w:pPr>
          </w:p>
          <w:p w14:paraId="2AE9B127"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2AE9B128"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2AE9B129"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2AE9B12A"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2AE9B12B"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2AE9B12C" w14:textId="77777777"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p>
          <w:p w14:paraId="2AE9B12D"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2AE9B12F" w14:textId="77777777" w:rsidR="00BC0D25" w:rsidRDefault="00BC0D25" w:rsidP="00702C73">
      <w:pPr>
        <w:spacing w:after="0" w:line="240" w:lineRule="auto"/>
        <w:rPr>
          <w:rFonts w:cstheme="minorHAnsi"/>
          <w:noProof/>
        </w:rPr>
      </w:pPr>
    </w:p>
    <w:p w14:paraId="2AE9B130" w14:textId="77777777" w:rsidR="00702C73" w:rsidRPr="00702C73" w:rsidRDefault="00702C73" w:rsidP="00702C73">
      <w:pPr>
        <w:spacing w:after="0" w:line="240" w:lineRule="auto"/>
        <w:rPr>
          <w:rFonts w:cstheme="minorHAnsi"/>
          <w:noProof/>
        </w:rPr>
      </w:pPr>
    </w:p>
    <w:p w14:paraId="2AE9B131"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2AE9B132"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AE9B133" w14:textId="77777777" w:rsidR="000574AB" w:rsidRPr="00A25024" w:rsidRDefault="000574AB" w:rsidP="008A403A">
      <w:pPr>
        <w:spacing w:after="0" w:line="240" w:lineRule="auto"/>
        <w:rPr>
          <w:rFonts w:cstheme="minorHAnsi"/>
          <w:noProof/>
        </w:rPr>
      </w:pPr>
    </w:p>
    <w:p w14:paraId="2AE9B134"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2AE9B138" w14:textId="77777777" w:rsidTr="0014773C">
        <w:trPr>
          <w:jc w:val="center"/>
        </w:trPr>
        <w:tc>
          <w:tcPr>
            <w:tcW w:w="5208" w:type="dxa"/>
            <w:shd w:val="clear" w:color="auto" w:fill="D9D9D9" w:themeFill="background1" w:themeFillShade="D9"/>
          </w:tcPr>
          <w:p w14:paraId="2AE9B135"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AE9B136"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AE9B137"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2AE9B13B" w14:textId="77777777" w:rsidTr="0014773C">
        <w:trPr>
          <w:jc w:val="center"/>
        </w:trPr>
        <w:tc>
          <w:tcPr>
            <w:tcW w:w="5208" w:type="dxa"/>
          </w:tcPr>
          <w:p w14:paraId="2AE9B139" w14:textId="77777777" w:rsidR="00A01494" w:rsidRPr="00A01494" w:rsidRDefault="00CD7139"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AE9B13A" w14:textId="77777777" w:rsidR="00A01494" w:rsidRPr="00A01494" w:rsidRDefault="00CD7139"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AE9B13E" w14:textId="77777777" w:rsidTr="0014773C">
        <w:trPr>
          <w:jc w:val="center"/>
        </w:trPr>
        <w:tc>
          <w:tcPr>
            <w:tcW w:w="5208" w:type="dxa"/>
          </w:tcPr>
          <w:p w14:paraId="2AE9B13C" w14:textId="77777777" w:rsidR="00A01494" w:rsidRPr="00A01494" w:rsidRDefault="00CD7139"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2AE9B13D" w14:textId="77777777" w:rsidR="00A01494" w:rsidRPr="00A01494" w:rsidRDefault="00CD7139"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2AE9B141" w14:textId="77777777" w:rsidTr="0014773C">
        <w:trPr>
          <w:jc w:val="center"/>
        </w:trPr>
        <w:tc>
          <w:tcPr>
            <w:tcW w:w="5208" w:type="dxa"/>
          </w:tcPr>
          <w:p w14:paraId="2AE9B13F" w14:textId="77777777" w:rsidR="00A01494" w:rsidRPr="00A01494" w:rsidRDefault="00CD7139"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2AE9B140" w14:textId="77777777" w:rsidR="00A01494" w:rsidRPr="00A01494" w:rsidRDefault="00CD7139"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AE9B144" w14:textId="77777777" w:rsidTr="0014773C">
        <w:trPr>
          <w:jc w:val="center"/>
        </w:trPr>
        <w:tc>
          <w:tcPr>
            <w:tcW w:w="5208" w:type="dxa"/>
          </w:tcPr>
          <w:p w14:paraId="2AE9B142" w14:textId="77777777" w:rsidR="00A01494" w:rsidRPr="00A01494" w:rsidRDefault="00CD7139"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2AE9B143" w14:textId="77777777" w:rsidR="00A01494" w:rsidRPr="00A01494" w:rsidRDefault="00CD7139"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2AE9B147" w14:textId="77777777" w:rsidTr="0014773C">
        <w:trPr>
          <w:jc w:val="center"/>
        </w:trPr>
        <w:tc>
          <w:tcPr>
            <w:tcW w:w="5208" w:type="dxa"/>
          </w:tcPr>
          <w:p w14:paraId="2AE9B145" w14:textId="77777777" w:rsidR="00A01494" w:rsidRPr="00A01494" w:rsidRDefault="00CD7139"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2AE9B146" w14:textId="77777777" w:rsidR="00A01494" w:rsidRPr="00A01494" w:rsidRDefault="00CD7139"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2AE9B14A" w14:textId="77777777" w:rsidTr="0014773C">
        <w:trPr>
          <w:jc w:val="center"/>
        </w:trPr>
        <w:tc>
          <w:tcPr>
            <w:tcW w:w="5208" w:type="dxa"/>
          </w:tcPr>
          <w:p w14:paraId="2AE9B148" w14:textId="67DB145A" w:rsidR="00A01494" w:rsidRPr="00A01494" w:rsidRDefault="00CD7139" w:rsidP="00DB14C1">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Content>
                <w:r w:rsidR="00DB14C1">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DB14C1">
                  <w:rPr>
                    <w:rStyle w:val="Style1"/>
                  </w:rPr>
                  <w:t>Patient-Reported Survey</w:t>
                </w:r>
              </w:sdtContent>
            </w:sdt>
          </w:p>
        </w:tc>
        <w:tc>
          <w:tcPr>
            <w:tcW w:w="4847" w:type="dxa"/>
          </w:tcPr>
          <w:p w14:paraId="2AE9B149" w14:textId="30F8CEB6" w:rsidR="00A01494" w:rsidRPr="00A01494" w:rsidRDefault="00CD7139" w:rsidP="00DB14C1">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Content>
                <w:r w:rsidR="00DB14C1">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text/>
              </w:sdtPr>
              <w:sdtEndPr>
                <w:rPr>
                  <w:rStyle w:val="DefaultParagraphFont"/>
                  <w:rFonts w:cstheme="minorHAnsi"/>
                  <w:bCs/>
                  <w:color w:val="auto"/>
                </w:rPr>
              </w:sdtEndPr>
              <w:sdtContent>
                <w:r w:rsidR="00DB14C1">
                  <w:rPr>
                    <w:rStyle w:val="Style1"/>
                  </w:rPr>
                  <w:t>Patient-Reported Survey</w:t>
                </w:r>
              </w:sdtContent>
            </w:sdt>
          </w:p>
        </w:tc>
      </w:tr>
    </w:tbl>
    <w:p w14:paraId="2AE9B14B"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2AE9B14C" w14:textId="3C5121C9"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F89FD34" w14:textId="67417B75" w:rsidR="00453FE2" w:rsidRPr="00453FE2" w:rsidRDefault="00453FE2" w:rsidP="00DB3627">
      <w:pPr>
        <w:autoSpaceDE w:val="0"/>
        <w:autoSpaceDN w:val="0"/>
        <w:adjustRightInd w:val="0"/>
        <w:spacing w:after="0" w:line="240" w:lineRule="auto"/>
        <w:rPr>
          <w:rFonts w:cstheme="minorHAnsi"/>
          <w:bCs/>
          <w:color w:val="1F497D" w:themeColor="text2"/>
        </w:rPr>
      </w:pPr>
      <w:r w:rsidRPr="00453FE2">
        <w:rPr>
          <w:rFonts w:cstheme="minorHAnsi"/>
          <w:bCs/>
          <w:color w:val="1F497D" w:themeColor="text2"/>
        </w:rPr>
        <w:t>N/A</w:t>
      </w:r>
    </w:p>
    <w:p w14:paraId="2AE9B14D" w14:textId="77777777" w:rsidR="009E1846" w:rsidRDefault="009E1846" w:rsidP="00DB3627">
      <w:pPr>
        <w:autoSpaceDE w:val="0"/>
        <w:autoSpaceDN w:val="0"/>
        <w:adjustRightInd w:val="0"/>
        <w:spacing w:after="0" w:line="240" w:lineRule="auto"/>
        <w:rPr>
          <w:rFonts w:cstheme="minorHAnsi"/>
          <w:b/>
        </w:rPr>
      </w:pPr>
    </w:p>
    <w:p w14:paraId="2AE9B14E" w14:textId="6F325538" w:rsidR="0004593A" w:rsidRPr="00A25024" w:rsidRDefault="002B5016" w:rsidP="00DB3627">
      <w:pPr>
        <w:autoSpaceDE w:val="0"/>
        <w:autoSpaceDN w:val="0"/>
        <w:adjustRightInd w:val="0"/>
        <w:spacing w:after="0" w:line="240" w:lineRule="auto"/>
        <w:rPr>
          <w:rFonts w:cstheme="minorHAnsi"/>
          <w:bCs/>
        </w:rPr>
      </w:pPr>
      <w:r w:rsidRPr="00306F0F">
        <w:rPr>
          <w:rFonts w:cstheme="minorHAnsi"/>
          <w:b/>
        </w:rPr>
        <w:t>1</w:t>
      </w:r>
      <w:r w:rsidR="00927027" w:rsidRPr="00306F0F">
        <w:rPr>
          <w:rFonts w:cstheme="minorHAnsi"/>
          <w:b/>
        </w:rPr>
        <w:t>.</w:t>
      </w:r>
      <w:r w:rsidR="00DB3627" w:rsidRPr="00306F0F">
        <w:rPr>
          <w:rFonts w:cstheme="minorHAnsi"/>
          <w:b/>
        </w:rPr>
        <w:t xml:space="preserve">3. </w:t>
      </w:r>
      <w:r w:rsidR="000574AB" w:rsidRPr="00306F0F">
        <w:rPr>
          <w:rFonts w:cstheme="minorHAnsi"/>
          <w:b/>
        </w:rPr>
        <w:t xml:space="preserve">What </w:t>
      </w:r>
      <w:r w:rsidR="000968F8" w:rsidRPr="00306F0F">
        <w:rPr>
          <w:rFonts w:cstheme="minorHAnsi"/>
          <w:b/>
        </w:rPr>
        <w:t xml:space="preserve">are the </w:t>
      </w:r>
      <w:r w:rsidR="000574AB" w:rsidRPr="00306F0F">
        <w:rPr>
          <w:rFonts w:cstheme="minorHAnsi"/>
          <w:b/>
        </w:rPr>
        <w:t xml:space="preserve">dates of </w:t>
      </w:r>
      <w:r w:rsidR="000968F8" w:rsidRPr="00306F0F">
        <w:rPr>
          <w:rFonts w:cstheme="minorHAnsi"/>
          <w:b/>
        </w:rPr>
        <w:t xml:space="preserve">the </w:t>
      </w:r>
      <w:r w:rsidR="000574AB" w:rsidRPr="00306F0F">
        <w:rPr>
          <w:rFonts w:cstheme="minorHAnsi"/>
          <w:b/>
        </w:rPr>
        <w:t xml:space="preserve">data </w:t>
      </w:r>
      <w:r w:rsidR="000968F8" w:rsidRPr="00306F0F">
        <w:rPr>
          <w:rFonts w:cstheme="minorHAnsi"/>
          <w:b/>
        </w:rPr>
        <w:t>used in testing</w:t>
      </w:r>
      <w:r w:rsidR="000968F8" w:rsidRPr="00306F0F">
        <w:rPr>
          <w:rFonts w:cstheme="minorHAnsi"/>
        </w:rPr>
        <w:t>?</w:t>
      </w:r>
      <w:r w:rsidR="00080CF7" w:rsidRPr="00306F0F">
        <w:rPr>
          <w:rFonts w:cstheme="minorHAnsi"/>
        </w:rPr>
        <w:t xml:space="preserve"> </w:t>
      </w:r>
      <w:r w:rsidR="000574AB" w:rsidRPr="00306F0F">
        <w:rPr>
          <w:rFonts w:cstheme="minorHAnsi"/>
        </w:rPr>
        <w:t xml:space="preserve"> </w:t>
      </w:r>
      <w:sdt>
        <w:sdtPr>
          <w:rPr>
            <w:rStyle w:val="Style1"/>
          </w:rPr>
          <w:id w:val="950514773"/>
          <w:text/>
        </w:sdtPr>
        <w:sdtEndPr>
          <w:rPr>
            <w:rStyle w:val="DefaultParagraphFont"/>
            <w:rFonts w:cstheme="minorHAnsi"/>
            <w:color w:val="auto"/>
          </w:rPr>
        </w:sdtEndPr>
        <w:sdtContent>
          <w:r w:rsidR="00E54E18" w:rsidRPr="00306F0F">
            <w:rPr>
              <w:rStyle w:val="Style1"/>
            </w:rPr>
            <w:t>Initial testing of measure score reliability was performed using HEDIS performance measurement 2010 data. For the 2016 update, we assessed measure score reliability using data from all health plans that submitted HEDIS data to NCQA for this measure and had a valid rate in 2015/2016, which used d</w:t>
          </w:r>
          <w:r w:rsidR="00E2458F" w:rsidRPr="00306F0F">
            <w:rPr>
              <w:rStyle w:val="Style1"/>
            </w:rPr>
            <w:t>ata submitted to NCQA in 2016. NCQA conducted cognitive testing of the questions in 2008.</w:t>
          </w:r>
        </w:sdtContent>
      </w:sdt>
    </w:p>
    <w:p w14:paraId="2AE9B14F" w14:textId="77777777" w:rsidR="000574AB" w:rsidRDefault="000574AB" w:rsidP="00DB3627">
      <w:pPr>
        <w:autoSpaceDE w:val="0"/>
        <w:autoSpaceDN w:val="0"/>
        <w:adjustRightInd w:val="0"/>
        <w:spacing w:after="0" w:line="240" w:lineRule="auto"/>
        <w:rPr>
          <w:rFonts w:cstheme="minorHAnsi"/>
          <w:bCs/>
        </w:rPr>
      </w:pPr>
    </w:p>
    <w:p w14:paraId="2AE9B150"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2AE9B154" w14:textId="77777777" w:rsidTr="000414E8">
        <w:trPr>
          <w:jc w:val="center"/>
        </w:trPr>
        <w:tc>
          <w:tcPr>
            <w:tcW w:w="5027" w:type="dxa"/>
            <w:shd w:val="clear" w:color="auto" w:fill="D9D9D9" w:themeFill="background1" w:themeFillShade="D9"/>
          </w:tcPr>
          <w:p w14:paraId="2AE9B151"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2AE9B152"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2AE9B153"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2AE9B157" w14:textId="77777777" w:rsidTr="000414E8">
        <w:trPr>
          <w:jc w:val="center"/>
        </w:trPr>
        <w:tc>
          <w:tcPr>
            <w:tcW w:w="5027" w:type="dxa"/>
          </w:tcPr>
          <w:p w14:paraId="2AE9B155" w14:textId="77777777" w:rsidR="000414E8" w:rsidRPr="00A01494" w:rsidRDefault="00CD7139"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2AE9B156" w14:textId="77777777" w:rsidR="000414E8" w:rsidRPr="00A01494" w:rsidRDefault="00CD7139"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2AE9B15A" w14:textId="77777777" w:rsidTr="000414E8">
        <w:trPr>
          <w:jc w:val="center"/>
        </w:trPr>
        <w:tc>
          <w:tcPr>
            <w:tcW w:w="5027" w:type="dxa"/>
          </w:tcPr>
          <w:p w14:paraId="2AE9B158" w14:textId="77777777" w:rsidR="000414E8" w:rsidRPr="00A01494" w:rsidRDefault="00CD7139"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2AE9B159" w14:textId="77777777" w:rsidR="000414E8" w:rsidRPr="00A01494" w:rsidRDefault="00CD7139"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2AE9B15D" w14:textId="77777777" w:rsidTr="000414E8">
        <w:trPr>
          <w:jc w:val="center"/>
        </w:trPr>
        <w:tc>
          <w:tcPr>
            <w:tcW w:w="5027" w:type="dxa"/>
          </w:tcPr>
          <w:p w14:paraId="2AE9B15B" w14:textId="77777777" w:rsidR="000414E8" w:rsidRPr="00A01494" w:rsidRDefault="00CD7139"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2AE9B15C" w14:textId="77777777" w:rsidR="000414E8" w:rsidRPr="00A01494" w:rsidRDefault="00CD7139"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2AE9B160" w14:textId="77777777" w:rsidTr="000414E8">
        <w:trPr>
          <w:jc w:val="center"/>
        </w:trPr>
        <w:tc>
          <w:tcPr>
            <w:tcW w:w="5027" w:type="dxa"/>
          </w:tcPr>
          <w:p w14:paraId="2AE9B15E" w14:textId="4814F3CE" w:rsidR="000414E8" w:rsidRPr="00A01494" w:rsidRDefault="00CD7139"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Content>
                <w:r w:rsidR="00453FE2">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2AE9B15F" w14:textId="0083D2EF" w:rsidR="000414E8" w:rsidRPr="00A01494" w:rsidRDefault="00CD7139"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Content>
                <w:r w:rsidR="00453FE2">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2AE9B163" w14:textId="77777777" w:rsidTr="000414E8">
        <w:trPr>
          <w:jc w:val="center"/>
        </w:trPr>
        <w:tc>
          <w:tcPr>
            <w:tcW w:w="5027" w:type="dxa"/>
          </w:tcPr>
          <w:p w14:paraId="2AE9B161" w14:textId="77777777" w:rsidR="000414E8" w:rsidRPr="00A01494" w:rsidRDefault="00CD7139"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2AE9B162" w14:textId="77777777" w:rsidR="000414E8" w:rsidRPr="00A01494" w:rsidRDefault="00CD7139"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2AE9B164" w14:textId="77777777" w:rsidR="000414E8" w:rsidRPr="00A25024" w:rsidRDefault="000414E8" w:rsidP="00DB3627">
      <w:pPr>
        <w:autoSpaceDE w:val="0"/>
        <w:autoSpaceDN w:val="0"/>
        <w:adjustRightInd w:val="0"/>
        <w:spacing w:after="0" w:line="240" w:lineRule="auto"/>
        <w:rPr>
          <w:rFonts w:cstheme="minorHAnsi"/>
          <w:bCs/>
        </w:rPr>
      </w:pPr>
    </w:p>
    <w:p w14:paraId="2AE9B165"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A0A16C8" w14:textId="77777777" w:rsidR="00453FE2" w:rsidRDefault="00453FE2" w:rsidP="00DB3627">
      <w:pPr>
        <w:autoSpaceDE w:val="0"/>
        <w:autoSpaceDN w:val="0"/>
        <w:adjustRightInd w:val="0"/>
        <w:spacing w:after="0" w:line="240" w:lineRule="auto"/>
        <w:rPr>
          <w:rFonts w:cstheme="minorHAnsi"/>
          <w:bCs/>
          <w:color w:val="1F497D" w:themeColor="text2"/>
        </w:rPr>
      </w:pPr>
    </w:p>
    <w:p w14:paraId="3E3938F7" w14:textId="05F180C9" w:rsidR="00C41830" w:rsidRDefault="00C41830" w:rsidP="00C41830">
      <w:pPr>
        <w:autoSpaceDE w:val="0"/>
        <w:autoSpaceDN w:val="0"/>
        <w:adjustRightInd w:val="0"/>
        <w:spacing w:after="0" w:line="240" w:lineRule="auto"/>
        <w:rPr>
          <w:rFonts w:cstheme="minorHAnsi"/>
          <w:bCs/>
          <w:color w:val="FF0000"/>
        </w:rPr>
      </w:pPr>
      <w:r>
        <w:rPr>
          <w:rFonts w:cstheme="minorHAnsi"/>
          <w:bCs/>
          <w:color w:val="FF0000"/>
          <w:u w:val="single"/>
        </w:rPr>
        <w:t>2016 u</w:t>
      </w:r>
      <w:r w:rsidRPr="00E8391A">
        <w:rPr>
          <w:rFonts w:cstheme="minorHAnsi"/>
          <w:bCs/>
          <w:color w:val="FF0000"/>
          <w:u w:val="single"/>
        </w:rPr>
        <w:t>pdate:</w:t>
      </w:r>
      <w:r>
        <w:rPr>
          <w:rFonts w:cstheme="minorHAnsi"/>
          <w:bCs/>
          <w:color w:val="FF0000"/>
          <w:u w:val="single"/>
        </w:rPr>
        <w:t xml:space="preserve"> measure score reliability and construct validity testing:</w:t>
      </w:r>
      <w:r w:rsidRPr="00E8391A">
        <w:rPr>
          <w:rFonts w:cstheme="minorHAnsi"/>
          <w:bCs/>
          <w:color w:val="FF0000"/>
        </w:rPr>
        <w:t xml:space="preserve"> Measure score reliability was calculated </w:t>
      </w:r>
      <w:r w:rsidR="00246494">
        <w:rPr>
          <w:rFonts w:cstheme="minorHAnsi"/>
          <w:bCs/>
          <w:color w:val="FF0000"/>
        </w:rPr>
        <w:t xml:space="preserve">for the </w:t>
      </w:r>
      <w:r w:rsidR="00C973DE">
        <w:rPr>
          <w:rFonts w:cstheme="minorHAnsi"/>
          <w:bCs/>
          <w:color w:val="FF0000"/>
        </w:rPr>
        <w:t xml:space="preserve">three </w:t>
      </w:r>
      <w:r w:rsidR="00246494">
        <w:rPr>
          <w:rFonts w:cstheme="minorHAnsi"/>
          <w:bCs/>
          <w:color w:val="FF0000"/>
        </w:rPr>
        <w:t>rate</w:t>
      </w:r>
      <w:r w:rsidR="00C973DE">
        <w:rPr>
          <w:rFonts w:cstheme="minorHAnsi"/>
          <w:bCs/>
          <w:color w:val="FF0000"/>
        </w:rPr>
        <w:t>s</w:t>
      </w:r>
      <w:r w:rsidR="00246494">
        <w:rPr>
          <w:rFonts w:cstheme="minorHAnsi"/>
          <w:bCs/>
          <w:color w:val="FF0000"/>
        </w:rPr>
        <w:t xml:space="preserve"> </w:t>
      </w:r>
      <w:r w:rsidRPr="00E8391A">
        <w:rPr>
          <w:rFonts w:cstheme="minorHAnsi"/>
          <w:bCs/>
          <w:color w:val="FF0000"/>
        </w:rPr>
        <w:t xml:space="preserve">from </w:t>
      </w:r>
      <w:r w:rsidR="00246494">
        <w:rPr>
          <w:rFonts w:cstheme="minorHAnsi"/>
          <w:bCs/>
          <w:color w:val="FF0000"/>
        </w:rPr>
        <w:t xml:space="preserve">the 59 commercial health plans, 159 Medicaid health plans, and 238 Medicare health plans </w:t>
      </w:r>
      <w:r w:rsidRPr="00E8391A">
        <w:rPr>
          <w:rFonts w:cstheme="minorHAnsi"/>
          <w:bCs/>
          <w:color w:val="FF0000"/>
        </w:rPr>
        <w:t xml:space="preserve">that submitted data on this measure to HEDIS in </w:t>
      </w:r>
      <w:r w:rsidR="00246494">
        <w:rPr>
          <w:rFonts w:cstheme="minorHAnsi"/>
          <w:bCs/>
          <w:color w:val="FF0000"/>
        </w:rPr>
        <w:t>2016</w:t>
      </w:r>
      <w:r w:rsidR="00C973DE">
        <w:rPr>
          <w:rFonts w:cstheme="minorHAnsi"/>
          <w:bCs/>
          <w:color w:val="FF0000"/>
        </w:rPr>
        <w:t xml:space="preserve"> (</w:t>
      </w:r>
      <w:r w:rsidR="00246494">
        <w:rPr>
          <w:rFonts w:cstheme="minorHAnsi"/>
          <w:bCs/>
          <w:color w:val="FF0000"/>
        </w:rPr>
        <w:t xml:space="preserve">58 commercial plans </w:t>
      </w:r>
      <w:r w:rsidR="00C973DE">
        <w:rPr>
          <w:rFonts w:cstheme="minorHAnsi"/>
          <w:bCs/>
          <w:color w:val="FF0000"/>
        </w:rPr>
        <w:t xml:space="preserve">submitted valid rates </w:t>
      </w:r>
      <w:r w:rsidR="00246494">
        <w:rPr>
          <w:rFonts w:cstheme="minorHAnsi"/>
          <w:bCs/>
          <w:color w:val="FF0000"/>
        </w:rPr>
        <w:t xml:space="preserve">for the </w:t>
      </w:r>
      <w:r w:rsidR="00C973DE">
        <w:rPr>
          <w:rFonts w:cstheme="minorHAnsi"/>
          <w:bCs/>
          <w:color w:val="FF0000"/>
        </w:rPr>
        <w:t xml:space="preserve">Discussing Cessation </w:t>
      </w:r>
      <w:r w:rsidR="00246494">
        <w:rPr>
          <w:rFonts w:cstheme="minorHAnsi"/>
          <w:bCs/>
          <w:color w:val="FF0000"/>
        </w:rPr>
        <w:t xml:space="preserve">Medications and </w:t>
      </w:r>
      <w:r w:rsidR="00C973DE">
        <w:rPr>
          <w:rFonts w:cstheme="minorHAnsi"/>
          <w:bCs/>
          <w:color w:val="FF0000"/>
        </w:rPr>
        <w:t xml:space="preserve">Discussing Cessation </w:t>
      </w:r>
      <w:r w:rsidR="00246494">
        <w:rPr>
          <w:rFonts w:cstheme="minorHAnsi"/>
          <w:bCs/>
          <w:color w:val="FF0000"/>
        </w:rPr>
        <w:t>Strategies rates</w:t>
      </w:r>
      <w:r w:rsidR="00C973DE">
        <w:rPr>
          <w:rFonts w:cstheme="minorHAnsi"/>
          <w:bCs/>
          <w:color w:val="FF0000"/>
        </w:rPr>
        <w:t>)</w:t>
      </w:r>
      <w:r w:rsidR="00246494">
        <w:rPr>
          <w:rFonts w:cstheme="minorHAnsi"/>
          <w:bCs/>
          <w:color w:val="FF0000"/>
        </w:rPr>
        <w:t xml:space="preserve">. </w:t>
      </w:r>
      <w:r w:rsidR="00C973DE">
        <w:rPr>
          <w:rFonts w:cstheme="minorHAnsi"/>
          <w:bCs/>
          <w:color w:val="FF0000"/>
        </w:rPr>
        <w:t xml:space="preserve">Construct validity was calculated using the same commercial and Medicaid health plans (construct validity could not be calculated for the Medicare plans as they only submit one rate, Advising Smokers to Quit). Commercial and Medicaid plans are included in these analyses only if their denominator contains at least 100 individuals; Medicare plans must have a minimum of 30 individuals in their denominator to be included. </w:t>
      </w:r>
      <w:r w:rsidRPr="00E8391A">
        <w:rPr>
          <w:rFonts w:cstheme="minorHAnsi"/>
          <w:bCs/>
          <w:color w:val="FF0000"/>
        </w:rPr>
        <w:t>The plans were geographically diverse and varied in size.</w:t>
      </w:r>
    </w:p>
    <w:p w14:paraId="5C7A50A4" w14:textId="6339D7D7" w:rsidR="00A609C7" w:rsidRDefault="00A609C7" w:rsidP="00DB3627">
      <w:pPr>
        <w:autoSpaceDE w:val="0"/>
        <w:autoSpaceDN w:val="0"/>
        <w:adjustRightInd w:val="0"/>
        <w:spacing w:after="0" w:line="240" w:lineRule="auto"/>
        <w:rPr>
          <w:rFonts w:cstheme="minorHAnsi"/>
          <w:bCs/>
          <w:color w:val="1F497D" w:themeColor="text2"/>
        </w:rPr>
      </w:pPr>
    </w:p>
    <w:p w14:paraId="770D6F53" w14:textId="7E60F133" w:rsidR="00453FE2" w:rsidRDefault="00A609C7" w:rsidP="00DB3627">
      <w:pPr>
        <w:autoSpaceDE w:val="0"/>
        <w:autoSpaceDN w:val="0"/>
        <w:adjustRightInd w:val="0"/>
        <w:spacing w:after="0" w:line="240" w:lineRule="auto"/>
        <w:rPr>
          <w:rFonts w:cstheme="minorHAnsi"/>
          <w:bCs/>
          <w:color w:val="1F497D" w:themeColor="text2"/>
        </w:rPr>
      </w:pPr>
      <w:r w:rsidRPr="00A609C7">
        <w:rPr>
          <w:rFonts w:cstheme="minorHAnsi"/>
          <w:bCs/>
          <w:color w:val="1F497D" w:themeColor="text2"/>
          <w:u w:val="single"/>
        </w:rPr>
        <w:t>Systematic evaluation of face validity:</w:t>
      </w:r>
      <w:r>
        <w:rPr>
          <w:rFonts w:cstheme="minorHAnsi"/>
          <w:bCs/>
          <w:color w:val="1F497D" w:themeColor="text2"/>
        </w:rPr>
        <w:t xml:space="preserve"> </w:t>
      </w:r>
      <w:r w:rsidR="00453FE2" w:rsidRPr="00453FE2">
        <w:rPr>
          <w:rFonts w:cstheme="minorHAnsi"/>
          <w:bCs/>
          <w:color w:val="1F497D" w:themeColor="text2"/>
        </w:rPr>
        <w:t xml:space="preserve">This measure was tested for face validity with </w:t>
      </w:r>
      <w:r w:rsidR="000178B2">
        <w:rPr>
          <w:rFonts w:cstheme="minorHAnsi"/>
          <w:bCs/>
          <w:color w:val="1F497D" w:themeColor="text2"/>
        </w:rPr>
        <w:t>two</w:t>
      </w:r>
      <w:r w:rsidR="00453FE2" w:rsidRPr="00453FE2">
        <w:rPr>
          <w:rFonts w:cstheme="minorHAnsi"/>
          <w:bCs/>
          <w:color w:val="1F497D" w:themeColor="text2"/>
        </w:rPr>
        <w:t xml:space="preserve"> panels of experts. </w:t>
      </w:r>
      <w:r w:rsidR="000178B2">
        <w:rPr>
          <w:rFonts w:cstheme="minorHAnsi"/>
          <w:bCs/>
          <w:color w:val="1F497D" w:themeColor="text2"/>
        </w:rPr>
        <w:t xml:space="preserve">Measurement Advisory Panels and subject matter workgroups provide the clinical and technical knowledge required to develop the measures. The Smoking Measurement Workgroup included nine experts in smoking and tobacco use and included representation from consumers, health plans, health care providers and policy makers. NCQA’s Committee on Performance Measurement (CPM) oversees the evolution of the HEDIS measurement set and includes representation from purchasers, consumers, health plans, health care providers and policy makers. This panel is made up of 21 members. The CPM is organized and managed by NCQA, and is responsible for advising NCQA staff on the development and maintenance of performance measures. The CPM also meets with the NCQA Board of Directors to recommend measures for inclusion in HEDIS. CPM members reflect the diversity of constituencies that performance measurement serves; some bring other perspectives and additional expertise in quality management and the science of measurement. Additional HEDIS Expert Panels and the Technical Advisory Group provide invaluable assistance by identifying methodological issues and giving feedback on new and existing measures. </w:t>
      </w:r>
      <w:r w:rsidR="00453FE2" w:rsidRPr="00453FE2">
        <w:rPr>
          <w:rFonts w:cstheme="minorHAnsi"/>
          <w:bCs/>
          <w:color w:val="1F497D" w:themeColor="text2"/>
        </w:rPr>
        <w:t xml:space="preserve">See </w:t>
      </w:r>
      <w:r w:rsidR="00453FE2" w:rsidRPr="00265E26">
        <w:rPr>
          <w:rFonts w:cstheme="minorHAnsi"/>
          <w:bCs/>
          <w:i/>
          <w:color w:val="1F497D" w:themeColor="text2"/>
        </w:rPr>
        <w:t>Additional Information: Ad.1. Workgroup/Expert Panel Involved in Measure Development</w:t>
      </w:r>
      <w:r w:rsidR="00453FE2" w:rsidRPr="00453FE2">
        <w:rPr>
          <w:rFonts w:cstheme="minorHAnsi"/>
          <w:bCs/>
          <w:color w:val="1F497D" w:themeColor="text2"/>
        </w:rPr>
        <w:t xml:space="preserve"> for names and affiliation</w:t>
      </w:r>
      <w:r w:rsidR="000178B2">
        <w:rPr>
          <w:rFonts w:cstheme="minorHAnsi"/>
          <w:bCs/>
          <w:color w:val="1F497D" w:themeColor="text2"/>
        </w:rPr>
        <w:t>s</w:t>
      </w:r>
      <w:r w:rsidR="00453FE2" w:rsidRPr="00453FE2">
        <w:rPr>
          <w:rFonts w:cstheme="minorHAnsi"/>
          <w:bCs/>
          <w:color w:val="1F497D" w:themeColor="text2"/>
        </w:rPr>
        <w:t xml:space="preserve"> of expert panel</w:t>
      </w:r>
      <w:r w:rsidR="000178B2">
        <w:rPr>
          <w:rFonts w:cstheme="minorHAnsi"/>
          <w:bCs/>
          <w:color w:val="1F497D" w:themeColor="text2"/>
        </w:rPr>
        <w:t xml:space="preserve"> members</w:t>
      </w:r>
      <w:r w:rsidR="00453FE2" w:rsidRPr="00453FE2">
        <w:rPr>
          <w:rFonts w:cstheme="minorHAnsi"/>
          <w:bCs/>
          <w:color w:val="1F497D" w:themeColor="text2"/>
        </w:rPr>
        <w:t xml:space="preserve">. </w:t>
      </w:r>
    </w:p>
    <w:p w14:paraId="4706D9D4" w14:textId="3CE0A774" w:rsidR="000E2190" w:rsidRPr="000E2190" w:rsidRDefault="000E2190" w:rsidP="000E2190">
      <w:pPr>
        <w:autoSpaceDE w:val="0"/>
        <w:autoSpaceDN w:val="0"/>
        <w:adjustRightInd w:val="0"/>
        <w:spacing w:after="0" w:line="240" w:lineRule="auto"/>
        <w:rPr>
          <w:rFonts w:cstheme="minorHAnsi"/>
          <w:bCs/>
          <w:color w:val="1F497D" w:themeColor="text2"/>
          <w:highlight w:val="yellow"/>
        </w:rPr>
      </w:pPr>
    </w:p>
    <w:p w14:paraId="6CDF6E28" w14:textId="77777777" w:rsidR="000E2190" w:rsidRPr="00B87CEB" w:rsidRDefault="000E2190" w:rsidP="000E2190">
      <w:pPr>
        <w:autoSpaceDE w:val="0"/>
        <w:autoSpaceDN w:val="0"/>
        <w:adjustRightInd w:val="0"/>
        <w:spacing w:after="0" w:line="240" w:lineRule="auto"/>
        <w:rPr>
          <w:rFonts w:cstheme="minorHAnsi"/>
          <w:bCs/>
          <w:color w:val="1F497D" w:themeColor="text2"/>
          <w:u w:val="single"/>
        </w:rPr>
      </w:pPr>
      <w:r w:rsidRPr="00B87CEB">
        <w:rPr>
          <w:rFonts w:cstheme="minorHAnsi"/>
          <w:bCs/>
          <w:color w:val="1F497D" w:themeColor="text2"/>
          <w:u w:val="single"/>
        </w:rPr>
        <w:t>Initial testing of the CAHPS survey instrument:</w:t>
      </w:r>
    </w:p>
    <w:p w14:paraId="5291F40F" w14:textId="1D846B7C" w:rsidR="000E2190" w:rsidRPr="00B87CEB" w:rsidRDefault="00B87CEB" w:rsidP="000E2190">
      <w:pPr>
        <w:autoSpaceDE w:val="0"/>
        <w:autoSpaceDN w:val="0"/>
        <w:adjustRightInd w:val="0"/>
        <w:spacing w:after="0" w:line="240" w:lineRule="auto"/>
        <w:rPr>
          <w:rFonts w:cstheme="minorHAnsi"/>
          <w:bCs/>
          <w:color w:val="1F497D" w:themeColor="text2"/>
        </w:rPr>
      </w:pPr>
      <w:r w:rsidRPr="00B87CEB">
        <w:rPr>
          <w:rFonts w:cstheme="minorHAnsi"/>
          <w:bCs/>
          <w:color w:val="1F497D" w:themeColor="text2"/>
        </w:rPr>
        <w:t>T</w:t>
      </w:r>
      <w:r w:rsidR="000E2190" w:rsidRPr="00B87CEB">
        <w:rPr>
          <w:rFonts w:cstheme="minorHAnsi"/>
          <w:bCs/>
          <w:color w:val="1F497D" w:themeColor="text2"/>
        </w:rPr>
        <w:t>here are two different and complementary approaches to assessing the reliability and validity of a questionnaire:</w:t>
      </w:r>
    </w:p>
    <w:p w14:paraId="444CC348" w14:textId="77777777" w:rsidR="000E2190" w:rsidRPr="00B87CEB" w:rsidRDefault="000E2190" w:rsidP="000E2190">
      <w:pPr>
        <w:autoSpaceDE w:val="0"/>
        <w:autoSpaceDN w:val="0"/>
        <w:adjustRightInd w:val="0"/>
        <w:spacing w:after="0" w:line="240" w:lineRule="auto"/>
        <w:rPr>
          <w:rFonts w:cstheme="minorHAnsi"/>
          <w:bCs/>
          <w:color w:val="1F497D" w:themeColor="text2"/>
        </w:rPr>
      </w:pPr>
      <w:r w:rsidRPr="00B87CEB">
        <w:rPr>
          <w:rFonts w:cstheme="minorHAnsi"/>
          <w:bCs/>
          <w:color w:val="1F497D" w:themeColor="text2"/>
        </w:rPr>
        <w:t>1. Cognitive testing, which bases its assessments on feedback from interviews with people who are asked to react to the survey questions.</w:t>
      </w:r>
    </w:p>
    <w:p w14:paraId="4FEC8735" w14:textId="209A73DE" w:rsidR="000E2190" w:rsidRDefault="000E2190" w:rsidP="000E2190">
      <w:pPr>
        <w:autoSpaceDE w:val="0"/>
        <w:autoSpaceDN w:val="0"/>
        <w:adjustRightInd w:val="0"/>
        <w:spacing w:after="0" w:line="240" w:lineRule="auto"/>
        <w:rPr>
          <w:rFonts w:cstheme="minorHAnsi"/>
          <w:bCs/>
          <w:color w:val="1F497D" w:themeColor="text2"/>
        </w:rPr>
      </w:pPr>
      <w:r w:rsidRPr="00B87CEB">
        <w:rPr>
          <w:rFonts w:cstheme="minorHAnsi"/>
          <w:bCs/>
          <w:color w:val="1F497D" w:themeColor="text2"/>
        </w:rPr>
        <w:t>2. Psychometric testing, which consists of analyses of data collected using the questionnaire.</w:t>
      </w:r>
    </w:p>
    <w:p w14:paraId="3FB4383A" w14:textId="19D2CA5C" w:rsidR="00453FE2" w:rsidRPr="00A25024" w:rsidRDefault="00453FE2" w:rsidP="00DB3627">
      <w:pPr>
        <w:autoSpaceDE w:val="0"/>
        <w:autoSpaceDN w:val="0"/>
        <w:adjustRightInd w:val="0"/>
        <w:spacing w:after="0" w:line="240" w:lineRule="auto"/>
        <w:rPr>
          <w:rFonts w:cstheme="minorHAnsi"/>
          <w:bCs/>
        </w:rPr>
      </w:pPr>
    </w:p>
    <w:p w14:paraId="2179A28C" w14:textId="77777777" w:rsidR="00A609C7"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2E15B07" w14:textId="77777777" w:rsidR="00A609C7" w:rsidRDefault="00A609C7" w:rsidP="00DB3627">
      <w:pPr>
        <w:autoSpaceDE w:val="0"/>
        <w:autoSpaceDN w:val="0"/>
        <w:adjustRightInd w:val="0"/>
        <w:spacing w:after="0" w:line="240" w:lineRule="auto"/>
        <w:rPr>
          <w:rFonts w:cstheme="minorHAnsi"/>
          <w:bCs/>
        </w:rPr>
      </w:pPr>
    </w:p>
    <w:p w14:paraId="4456B0AE" w14:textId="4050F761" w:rsidR="00C41830" w:rsidRDefault="00C41830" w:rsidP="00C41830">
      <w:pPr>
        <w:autoSpaceDE w:val="0"/>
        <w:autoSpaceDN w:val="0"/>
        <w:adjustRightInd w:val="0"/>
        <w:spacing w:after="0" w:line="240" w:lineRule="auto"/>
        <w:rPr>
          <w:rFonts w:cstheme="minorHAnsi"/>
          <w:bCs/>
          <w:color w:val="FF0000"/>
        </w:rPr>
      </w:pPr>
      <w:r>
        <w:rPr>
          <w:rFonts w:cstheme="minorHAnsi"/>
          <w:bCs/>
          <w:color w:val="FF0000"/>
          <w:u w:val="single"/>
        </w:rPr>
        <w:t>2016 u</w:t>
      </w:r>
      <w:r w:rsidRPr="00E8391A">
        <w:rPr>
          <w:rFonts w:cstheme="minorHAnsi"/>
          <w:bCs/>
          <w:color w:val="FF0000"/>
          <w:u w:val="single"/>
        </w:rPr>
        <w:t>pdate:</w:t>
      </w:r>
      <w:r>
        <w:rPr>
          <w:rFonts w:cstheme="minorHAnsi"/>
          <w:bCs/>
          <w:color w:val="FF0000"/>
          <w:u w:val="single"/>
        </w:rPr>
        <w:t xml:space="preserve"> measure score reliability and construct validity testing:</w:t>
      </w:r>
      <w:r w:rsidRPr="00E8391A">
        <w:rPr>
          <w:rFonts w:cstheme="minorHAnsi"/>
          <w:bCs/>
          <w:color w:val="FF0000"/>
        </w:rPr>
        <w:t xml:space="preserve"> </w:t>
      </w:r>
      <w:r w:rsidR="00AD6FD0" w:rsidRPr="00AD6FD0">
        <w:rPr>
          <w:rFonts w:cstheme="minorHAnsi"/>
          <w:bCs/>
          <w:color w:val="FF0000"/>
        </w:rPr>
        <w:t xml:space="preserve">In 2016, HEDIS measures covered 114.2 million commercial health plan beneficiaries, 47.0 million Medicaid beneficiaries, and 17.6 million Medicare beneficiaries. </w:t>
      </w:r>
      <w:r w:rsidRPr="00E8391A">
        <w:rPr>
          <w:rFonts w:cstheme="minorHAnsi"/>
          <w:bCs/>
          <w:color w:val="FF0000"/>
        </w:rPr>
        <w:t>Data are summarized at the health plan level and stratified by product line (i.e. commercial, Medicare, Medicaid). Below is a description of the sample. It includes number of health plans included in HEDIS data collection and the median eligible population for the measure across health plans.</w:t>
      </w:r>
    </w:p>
    <w:p w14:paraId="4CC4D64E" w14:textId="77777777" w:rsidR="00C41830" w:rsidRPr="00C41830" w:rsidRDefault="00C41830" w:rsidP="00C41830">
      <w:pPr>
        <w:autoSpaceDE w:val="0"/>
        <w:autoSpaceDN w:val="0"/>
        <w:adjustRightInd w:val="0"/>
        <w:spacing w:after="0" w:line="240" w:lineRule="auto"/>
        <w:rPr>
          <w:rFonts w:cstheme="minorHAnsi"/>
          <w:bCs/>
          <w:color w:val="FF0000"/>
        </w:rPr>
      </w:pPr>
    </w:p>
    <w:p w14:paraId="479A829B" w14:textId="66DC0C43" w:rsidR="00C41830" w:rsidRPr="00E8391A" w:rsidRDefault="00E54E18" w:rsidP="00C41830">
      <w:pPr>
        <w:autoSpaceDE w:val="0"/>
        <w:autoSpaceDN w:val="0"/>
        <w:adjustRightInd w:val="0"/>
        <w:spacing w:after="0" w:line="240" w:lineRule="auto"/>
        <w:rPr>
          <w:rFonts w:cstheme="minorHAnsi"/>
          <w:bCs/>
          <w:color w:val="FF0000"/>
        </w:rPr>
      </w:pPr>
      <w:r>
        <w:rPr>
          <w:rFonts w:cstheme="minorHAnsi"/>
          <w:bCs/>
          <w:color w:val="FF0000"/>
        </w:rPr>
        <w:lastRenderedPageBreak/>
        <w:t>Table 1</w:t>
      </w:r>
      <w:r w:rsidR="00C973DE">
        <w:rPr>
          <w:rFonts w:cstheme="minorHAnsi"/>
          <w:bCs/>
          <w:color w:val="FF0000"/>
        </w:rPr>
        <w:t xml:space="preserve">. Denominator sizes for reliability and construct validity testing </w:t>
      </w:r>
    </w:p>
    <w:tbl>
      <w:tblPr>
        <w:tblStyle w:val="TableGrid"/>
        <w:tblW w:w="0" w:type="auto"/>
        <w:tblLook w:val="04A0" w:firstRow="1" w:lastRow="0" w:firstColumn="1" w:lastColumn="0" w:noHBand="0" w:noVBand="1"/>
      </w:tblPr>
      <w:tblGrid>
        <w:gridCol w:w="1615"/>
        <w:gridCol w:w="2993"/>
        <w:gridCol w:w="2372"/>
        <w:gridCol w:w="2370"/>
      </w:tblGrid>
      <w:tr w:rsidR="0019701C" w:rsidRPr="00E8391A" w14:paraId="1E4A8765" w14:textId="77777777" w:rsidTr="00C973DE">
        <w:tc>
          <w:tcPr>
            <w:tcW w:w="1615" w:type="dxa"/>
          </w:tcPr>
          <w:p w14:paraId="0D914A1B" w14:textId="77777777" w:rsidR="0019701C" w:rsidRPr="00E8391A" w:rsidRDefault="0019701C" w:rsidP="00A12DF9">
            <w:pPr>
              <w:autoSpaceDE w:val="0"/>
              <w:autoSpaceDN w:val="0"/>
              <w:adjustRightInd w:val="0"/>
              <w:rPr>
                <w:rFonts w:cstheme="minorHAnsi"/>
                <w:bCs/>
                <w:color w:val="FF0000"/>
              </w:rPr>
            </w:pPr>
            <w:r w:rsidRPr="00E8391A">
              <w:rPr>
                <w:rFonts w:cstheme="minorHAnsi"/>
                <w:bCs/>
                <w:color w:val="FF0000"/>
              </w:rPr>
              <w:t xml:space="preserve">Product type </w:t>
            </w:r>
          </w:p>
        </w:tc>
        <w:tc>
          <w:tcPr>
            <w:tcW w:w="2993" w:type="dxa"/>
          </w:tcPr>
          <w:p w14:paraId="29BF55C7" w14:textId="61632A0B" w:rsidR="0019701C" w:rsidRPr="00E8391A" w:rsidRDefault="0019701C" w:rsidP="00A12DF9">
            <w:pPr>
              <w:autoSpaceDE w:val="0"/>
              <w:autoSpaceDN w:val="0"/>
              <w:adjustRightInd w:val="0"/>
              <w:rPr>
                <w:rFonts w:cstheme="minorHAnsi"/>
                <w:bCs/>
                <w:color w:val="FF0000"/>
              </w:rPr>
            </w:pPr>
            <w:r>
              <w:rPr>
                <w:rFonts w:cstheme="minorHAnsi"/>
                <w:bCs/>
                <w:color w:val="FF0000"/>
              </w:rPr>
              <w:t>Rate</w:t>
            </w:r>
          </w:p>
        </w:tc>
        <w:tc>
          <w:tcPr>
            <w:tcW w:w="2372" w:type="dxa"/>
          </w:tcPr>
          <w:p w14:paraId="19D4A076" w14:textId="057662F7" w:rsidR="0019701C" w:rsidRPr="00E8391A" w:rsidRDefault="0019701C" w:rsidP="00A12DF9">
            <w:pPr>
              <w:autoSpaceDE w:val="0"/>
              <w:autoSpaceDN w:val="0"/>
              <w:adjustRightInd w:val="0"/>
              <w:rPr>
                <w:rFonts w:cstheme="minorHAnsi"/>
                <w:bCs/>
                <w:color w:val="FF0000"/>
              </w:rPr>
            </w:pPr>
            <w:r w:rsidRPr="00E8391A">
              <w:rPr>
                <w:rFonts w:cstheme="minorHAnsi"/>
                <w:bCs/>
                <w:color w:val="FF0000"/>
              </w:rPr>
              <w:t>Number of plans</w:t>
            </w:r>
          </w:p>
        </w:tc>
        <w:tc>
          <w:tcPr>
            <w:tcW w:w="2370" w:type="dxa"/>
          </w:tcPr>
          <w:p w14:paraId="0D1CA09E" w14:textId="69F99471" w:rsidR="0019701C" w:rsidRPr="00E8391A" w:rsidRDefault="00C973DE" w:rsidP="00A12DF9">
            <w:pPr>
              <w:autoSpaceDE w:val="0"/>
              <w:autoSpaceDN w:val="0"/>
              <w:adjustRightInd w:val="0"/>
              <w:rPr>
                <w:rFonts w:cstheme="minorHAnsi"/>
                <w:bCs/>
                <w:color w:val="FF0000"/>
              </w:rPr>
            </w:pPr>
            <w:r>
              <w:rPr>
                <w:rFonts w:cstheme="minorHAnsi"/>
                <w:bCs/>
                <w:color w:val="FF0000"/>
              </w:rPr>
              <w:t>Median</w:t>
            </w:r>
            <w:r w:rsidR="0019701C">
              <w:rPr>
                <w:rFonts w:cstheme="minorHAnsi"/>
                <w:bCs/>
                <w:color w:val="FF0000"/>
              </w:rPr>
              <w:t xml:space="preserve"> </w:t>
            </w:r>
            <w:r w:rsidR="0019701C" w:rsidRPr="00E8391A">
              <w:rPr>
                <w:rFonts w:cstheme="minorHAnsi"/>
                <w:bCs/>
                <w:color w:val="FF0000"/>
              </w:rPr>
              <w:t>number of eligible patients per plan</w:t>
            </w:r>
          </w:p>
        </w:tc>
      </w:tr>
      <w:tr w:rsidR="00C973DE" w:rsidRPr="00E8391A" w14:paraId="21AAD6AD" w14:textId="77777777" w:rsidTr="00C973DE">
        <w:tc>
          <w:tcPr>
            <w:tcW w:w="1615" w:type="dxa"/>
            <w:vMerge w:val="restart"/>
          </w:tcPr>
          <w:p w14:paraId="2C38F7CC" w14:textId="288F7450" w:rsidR="00C973DE" w:rsidRPr="00E8391A" w:rsidRDefault="00C973DE" w:rsidP="0019701C">
            <w:pPr>
              <w:autoSpaceDE w:val="0"/>
              <w:autoSpaceDN w:val="0"/>
              <w:adjustRightInd w:val="0"/>
              <w:rPr>
                <w:rFonts w:cstheme="minorHAnsi"/>
                <w:bCs/>
                <w:color w:val="FF0000"/>
              </w:rPr>
            </w:pPr>
            <w:r w:rsidRPr="00E8391A">
              <w:rPr>
                <w:rFonts w:cstheme="minorHAnsi"/>
                <w:bCs/>
                <w:color w:val="FF0000"/>
              </w:rPr>
              <w:t xml:space="preserve">Commercial </w:t>
            </w:r>
          </w:p>
        </w:tc>
        <w:tc>
          <w:tcPr>
            <w:tcW w:w="2993" w:type="dxa"/>
          </w:tcPr>
          <w:p w14:paraId="4251ABD1" w14:textId="3493A91A" w:rsidR="00C973DE" w:rsidRPr="00E8391A" w:rsidRDefault="00C973DE" w:rsidP="00A12DF9">
            <w:pPr>
              <w:autoSpaceDE w:val="0"/>
              <w:autoSpaceDN w:val="0"/>
              <w:adjustRightInd w:val="0"/>
              <w:rPr>
                <w:rFonts w:cstheme="minorHAnsi"/>
                <w:bCs/>
                <w:color w:val="FF0000"/>
              </w:rPr>
            </w:pPr>
            <w:r>
              <w:rPr>
                <w:rFonts w:cstheme="minorHAnsi"/>
                <w:bCs/>
                <w:color w:val="FF0000"/>
              </w:rPr>
              <w:t xml:space="preserve">Advising Smokers to Quit </w:t>
            </w:r>
          </w:p>
        </w:tc>
        <w:tc>
          <w:tcPr>
            <w:tcW w:w="2372" w:type="dxa"/>
          </w:tcPr>
          <w:p w14:paraId="2087193D" w14:textId="0C02C23F" w:rsidR="00C973DE" w:rsidRPr="00E8391A" w:rsidRDefault="00C973DE" w:rsidP="00A12DF9">
            <w:pPr>
              <w:autoSpaceDE w:val="0"/>
              <w:autoSpaceDN w:val="0"/>
              <w:adjustRightInd w:val="0"/>
              <w:rPr>
                <w:rFonts w:cstheme="minorHAnsi"/>
                <w:bCs/>
                <w:color w:val="FF0000"/>
              </w:rPr>
            </w:pPr>
            <w:r>
              <w:rPr>
                <w:rFonts w:cstheme="minorHAnsi"/>
                <w:bCs/>
                <w:color w:val="FF0000"/>
              </w:rPr>
              <w:t>59</w:t>
            </w:r>
          </w:p>
        </w:tc>
        <w:tc>
          <w:tcPr>
            <w:tcW w:w="2370" w:type="dxa"/>
          </w:tcPr>
          <w:p w14:paraId="79E0019D" w14:textId="3D0C09A2" w:rsidR="00C973DE" w:rsidRPr="00E8391A" w:rsidRDefault="00C973DE" w:rsidP="00A12DF9">
            <w:pPr>
              <w:autoSpaceDE w:val="0"/>
              <w:autoSpaceDN w:val="0"/>
              <w:adjustRightInd w:val="0"/>
              <w:rPr>
                <w:rFonts w:cstheme="minorHAnsi"/>
                <w:bCs/>
                <w:color w:val="FF0000"/>
              </w:rPr>
            </w:pPr>
            <w:r>
              <w:rPr>
                <w:rFonts w:cstheme="minorHAnsi"/>
                <w:bCs/>
                <w:color w:val="FF0000"/>
              </w:rPr>
              <w:t>132</w:t>
            </w:r>
          </w:p>
        </w:tc>
      </w:tr>
      <w:tr w:rsidR="00C973DE" w:rsidRPr="00E8391A" w14:paraId="5641A57E" w14:textId="77777777" w:rsidTr="00C973DE">
        <w:tc>
          <w:tcPr>
            <w:tcW w:w="1615" w:type="dxa"/>
            <w:vMerge/>
          </w:tcPr>
          <w:p w14:paraId="1989DD0B" w14:textId="77777777" w:rsidR="00C973DE" w:rsidRPr="00E8391A" w:rsidRDefault="00C973DE" w:rsidP="0019701C">
            <w:pPr>
              <w:autoSpaceDE w:val="0"/>
              <w:autoSpaceDN w:val="0"/>
              <w:adjustRightInd w:val="0"/>
              <w:rPr>
                <w:rFonts w:cstheme="minorHAnsi"/>
                <w:bCs/>
                <w:color w:val="FF0000"/>
              </w:rPr>
            </w:pPr>
          </w:p>
        </w:tc>
        <w:tc>
          <w:tcPr>
            <w:tcW w:w="2993" w:type="dxa"/>
          </w:tcPr>
          <w:p w14:paraId="58F1B640" w14:textId="3BACF95C" w:rsidR="00C973DE" w:rsidRDefault="00C973DE" w:rsidP="00A12DF9">
            <w:pPr>
              <w:autoSpaceDE w:val="0"/>
              <w:autoSpaceDN w:val="0"/>
              <w:adjustRightInd w:val="0"/>
              <w:rPr>
                <w:rFonts w:cstheme="minorHAnsi"/>
                <w:bCs/>
                <w:color w:val="FF0000"/>
              </w:rPr>
            </w:pPr>
            <w:r>
              <w:rPr>
                <w:rFonts w:cstheme="minorHAnsi"/>
                <w:bCs/>
                <w:color w:val="FF0000"/>
              </w:rPr>
              <w:t>Discussing Cessation Medications</w:t>
            </w:r>
          </w:p>
        </w:tc>
        <w:tc>
          <w:tcPr>
            <w:tcW w:w="2372" w:type="dxa"/>
          </w:tcPr>
          <w:p w14:paraId="4BE9AB7D" w14:textId="697B1D4E" w:rsidR="00C973DE" w:rsidRPr="00E8391A" w:rsidRDefault="00C973DE" w:rsidP="00A12DF9">
            <w:pPr>
              <w:autoSpaceDE w:val="0"/>
              <w:autoSpaceDN w:val="0"/>
              <w:adjustRightInd w:val="0"/>
              <w:rPr>
                <w:rFonts w:cstheme="minorHAnsi"/>
                <w:bCs/>
                <w:color w:val="FF0000"/>
              </w:rPr>
            </w:pPr>
            <w:r>
              <w:rPr>
                <w:rFonts w:cstheme="minorHAnsi"/>
                <w:bCs/>
                <w:color w:val="FF0000"/>
              </w:rPr>
              <w:t>58</w:t>
            </w:r>
          </w:p>
        </w:tc>
        <w:tc>
          <w:tcPr>
            <w:tcW w:w="2370" w:type="dxa"/>
          </w:tcPr>
          <w:p w14:paraId="5E64A603" w14:textId="630F5204" w:rsidR="00C973DE" w:rsidRPr="00E8391A" w:rsidRDefault="00C973DE" w:rsidP="00A12DF9">
            <w:pPr>
              <w:autoSpaceDE w:val="0"/>
              <w:autoSpaceDN w:val="0"/>
              <w:adjustRightInd w:val="0"/>
              <w:rPr>
                <w:rFonts w:cstheme="minorHAnsi"/>
                <w:bCs/>
                <w:color w:val="FF0000"/>
              </w:rPr>
            </w:pPr>
            <w:r>
              <w:rPr>
                <w:rFonts w:cstheme="minorHAnsi"/>
                <w:bCs/>
                <w:color w:val="FF0000"/>
              </w:rPr>
              <w:t>132</w:t>
            </w:r>
          </w:p>
        </w:tc>
      </w:tr>
      <w:tr w:rsidR="00C973DE" w:rsidRPr="00E8391A" w14:paraId="1D7EC79A" w14:textId="77777777" w:rsidTr="00C973DE">
        <w:tc>
          <w:tcPr>
            <w:tcW w:w="1615" w:type="dxa"/>
            <w:vMerge/>
          </w:tcPr>
          <w:p w14:paraId="29F4A6D0" w14:textId="77777777" w:rsidR="00C973DE" w:rsidRPr="00E8391A" w:rsidRDefault="00C973DE" w:rsidP="0019701C">
            <w:pPr>
              <w:autoSpaceDE w:val="0"/>
              <w:autoSpaceDN w:val="0"/>
              <w:adjustRightInd w:val="0"/>
              <w:rPr>
                <w:rFonts w:cstheme="minorHAnsi"/>
                <w:bCs/>
                <w:color w:val="FF0000"/>
              </w:rPr>
            </w:pPr>
          </w:p>
        </w:tc>
        <w:tc>
          <w:tcPr>
            <w:tcW w:w="2993" w:type="dxa"/>
          </w:tcPr>
          <w:p w14:paraId="29B042C5" w14:textId="6888EFDB" w:rsidR="00C973DE" w:rsidRDefault="00C973DE" w:rsidP="00A12DF9">
            <w:pPr>
              <w:autoSpaceDE w:val="0"/>
              <w:autoSpaceDN w:val="0"/>
              <w:adjustRightInd w:val="0"/>
              <w:rPr>
                <w:rFonts w:cstheme="minorHAnsi"/>
                <w:bCs/>
                <w:color w:val="FF0000"/>
              </w:rPr>
            </w:pPr>
            <w:r>
              <w:rPr>
                <w:rFonts w:cstheme="minorHAnsi"/>
                <w:bCs/>
                <w:color w:val="FF0000"/>
              </w:rPr>
              <w:t xml:space="preserve">Discussing Cessation Strategies </w:t>
            </w:r>
          </w:p>
        </w:tc>
        <w:tc>
          <w:tcPr>
            <w:tcW w:w="2372" w:type="dxa"/>
          </w:tcPr>
          <w:p w14:paraId="69FE44CC" w14:textId="70321E83" w:rsidR="00C973DE" w:rsidRPr="00E8391A" w:rsidRDefault="00C973DE" w:rsidP="00A12DF9">
            <w:pPr>
              <w:autoSpaceDE w:val="0"/>
              <w:autoSpaceDN w:val="0"/>
              <w:adjustRightInd w:val="0"/>
              <w:rPr>
                <w:rFonts w:cstheme="minorHAnsi"/>
                <w:bCs/>
                <w:color w:val="FF0000"/>
              </w:rPr>
            </w:pPr>
            <w:r>
              <w:rPr>
                <w:rFonts w:cstheme="minorHAnsi"/>
                <w:bCs/>
                <w:color w:val="FF0000"/>
              </w:rPr>
              <w:t>58</w:t>
            </w:r>
          </w:p>
        </w:tc>
        <w:tc>
          <w:tcPr>
            <w:tcW w:w="2370" w:type="dxa"/>
          </w:tcPr>
          <w:p w14:paraId="5AA24004" w14:textId="77E00EAE" w:rsidR="00C973DE" w:rsidRPr="00E8391A" w:rsidRDefault="00C973DE" w:rsidP="00A12DF9">
            <w:pPr>
              <w:autoSpaceDE w:val="0"/>
              <w:autoSpaceDN w:val="0"/>
              <w:adjustRightInd w:val="0"/>
              <w:rPr>
                <w:rFonts w:cstheme="minorHAnsi"/>
                <w:bCs/>
                <w:color w:val="FF0000"/>
              </w:rPr>
            </w:pPr>
            <w:r>
              <w:rPr>
                <w:rFonts w:cstheme="minorHAnsi"/>
                <w:bCs/>
                <w:color w:val="FF0000"/>
              </w:rPr>
              <w:t>132</w:t>
            </w:r>
          </w:p>
        </w:tc>
      </w:tr>
      <w:tr w:rsidR="00C973DE" w:rsidRPr="00E8391A" w14:paraId="13AD8A32" w14:textId="77777777" w:rsidTr="00C973DE">
        <w:tc>
          <w:tcPr>
            <w:tcW w:w="1615" w:type="dxa"/>
            <w:vMerge w:val="restart"/>
          </w:tcPr>
          <w:p w14:paraId="31FA8164" w14:textId="6A5F040B" w:rsidR="00C973DE" w:rsidRPr="00E8391A" w:rsidRDefault="00C973DE" w:rsidP="00A12DF9">
            <w:pPr>
              <w:autoSpaceDE w:val="0"/>
              <w:autoSpaceDN w:val="0"/>
              <w:adjustRightInd w:val="0"/>
              <w:rPr>
                <w:rFonts w:cstheme="minorHAnsi"/>
                <w:bCs/>
                <w:color w:val="FF0000"/>
              </w:rPr>
            </w:pPr>
            <w:r>
              <w:rPr>
                <w:rFonts w:cstheme="minorHAnsi"/>
                <w:bCs/>
                <w:color w:val="FF0000"/>
              </w:rPr>
              <w:t xml:space="preserve">Medicaid </w:t>
            </w:r>
          </w:p>
        </w:tc>
        <w:tc>
          <w:tcPr>
            <w:tcW w:w="2993" w:type="dxa"/>
          </w:tcPr>
          <w:p w14:paraId="7CA53F79" w14:textId="34754076" w:rsidR="00C973DE" w:rsidRPr="00E8391A" w:rsidRDefault="00C973DE" w:rsidP="00A12DF9">
            <w:pPr>
              <w:autoSpaceDE w:val="0"/>
              <w:autoSpaceDN w:val="0"/>
              <w:adjustRightInd w:val="0"/>
              <w:rPr>
                <w:rFonts w:cstheme="minorHAnsi"/>
                <w:bCs/>
                <w:color w:val="FF0000"/>
              </w:rPr>
            </w:pPr>
            <w:r>
              <w:rPr>
                <w:rFonts w:cstheme="minorHAnsi"/>
                <w:bCs/>
                <w:color w:val="FF0000"/>
              </w:rPr>
              <w:t>Advising Smokers to Quit</w:t>
            </w:r>
          </w:p>
        </w:tc>
        <w:tc>
          <w:tcPr>
            <w:tcW w:w="2372" w:type="dxa"/>
          </w:tcPr>
          <w:p w14:paraId="7242AB4C" w14:textId="4B8B7333" w:rsidR="00C973DE" w:rsidRPr="00E8391A" w:rsidRDefault="00C973DE" w:rsidP="00A12DF9">
            <w:pPr>
              <w:autoSpaceDE w:val="0"/>
              <w:autoSpaceDN w:val="0"/>
              <w:adjustRightInd w:val="0"/>
              <w:rPr>
                <w:rFonts w:cstheme="minorHAnsi"/>
                <w:bCs/>
                <w:color w:val="FF0000"/>
              </w:rPr>
            </w:pPr>
            <w:r>
              <w:rPr>
                <w:rFonts w:cstheme="minorHAnsi"/>
                <w:bCs/>
                <w:color w:val="FF0000"/>
              </w:rPr>
              <w:t xml:space="preserve">159 </w:t>
            </w:r>
          </w:p>
        </w:tc>
        <w:tc>
          <w:tcPr>
            <w:tcW w:w="2370" w:type="dxa"/>
          </w:tcPr>
          <w:p w14:paraId="02B277E0" w14:textId="23E1B691" w:rsidR="00C973DE" w:rsidRPr="00E8391A" w:rsidRDefault="00C973DE" w:rsidP="00A12DF9">
            <w:pPr>
              <w:autoSpaceDE w:val="0"/>
              <w:autoSpaceDN w:val="0"/>
              <w:adjustRightInd w:val="0"/>
              <w:rPr>
                <w:rFonts w:cstheme="minorHAnsi"/>
                <w:bCs/>
                <w:color w:val="FF0000"/>
              </w:rPr>
            </w:pPr>
            <w:r>
              <w:rPr>
                <w:rFonts w:cstheme="minorHAnsi"/>
                <w:bCs/>
                <w:color w:val="FF0000"/>
              </w:rPr>
              <w:t>257</w:t>
            </w:r>
          </w:p>
        </w:tc>
      </w:tr>
      <w:tr w:rsidR="00C973DE" w:rsidRPr="00E8391A" w14:paraId="7D968E7F" w14:textId="77777777" w:rsidTr="00C973DE">
        <w:tc>
          <w:tcPr>
            <w:tcW w:w="1615" w:type="dxa"/>
            <w:vMerge/>
          </w:tcPr>
          <w:p w14:paraId="4FA4276E" w14:textId="77777777" w:rsidR="00C973DE" w:rsidRDefault="00C973DE" w:rsidP="00A12DF9">
            <w:pPr>
              <w:autoSpaceDE w:val="0"/>
              <w:autoSpaceDN w:val="0"/>
              <w:adjustRightInd w:val="0"/>
              <w:rPr>
                <w:rFonts w:cstheme="minorHAnsi"/>
                <w:bCs/>
                <w:color w:val="FF0000"/>
              </w:rPr>
            </w:pPr>
          </w:p>
        </w:tc>
        <w:tc>
          <w:tcPr>
            <w:tcW w:w="2993" w:type="dxa"/>
          </w:tcPr>
          <w:p w14:paraId="67898358" w14:textId="4C15FC7D" w:rsidR="00C973DE" w:rsidRDefault="00C973DE" w:rsidP="00A12DF9">
            <w:pPr>
              <w:autoSpaceDE w:val="0"/>
              <w:autoSpaceDN w:val="0"/>
              <w:adjustRightInd w:val="0"/>
              <w:rPr>
                <w:rFonts w:cstheme="minorHAnsi"/>
                <w:bCs/>
                <w:color w:val="FF0000"/>
              </w:rPr>
            </w:pPr>
            <w:r>
              <w:rPr>
                <w:rFonts w:cstheme="minorHAnsi"/>
                <w:bCs/>
                <w:color w:val="FF0000"/>
              </w:rPr>
              <w:t>Discussing Cessation Medications</w:t>
            </w:r>
          </w:p>
        </w:tc>
        <w:tc>
          <w:tcPr>
            <w:tcW w:w="2372" w:type="dxa"/>
          </w:tcPr>
          <w:p w14:paraId="2180C5C0" w14:textId="772AA3B1" w:rsidR="00C973DE" w:rsidRDefault="00C973DE" w:rsidP="00A12DF9">
            <w:pPr>
              <w:autoSpaceDE w:val="0"/>
              <w:autoSpaceDN w:val="0"/>
              <w:adjustRightInd w:val="0"/>
              <w:rPr>
                <w:rFonts w:cstheme="minorHAnsi"/>
                <w:bCs/>
                <w:color w:val="FF0000"/>
              </w:rPr>
            </w:pPr>
            <w:r>
              <w:rPr>
                <w:rFonts w:cstheme="minorHAnsi"/>
                <w:bCs/>
                <w:color w:val="FF0000"/>
              </w:rPr>
              <w:t>159</w:t>
            </w:r>
          </w:p>
        </w:tc>
        <w:tc>
          <w:tcPr>
            <w:tcW w:w="2370" w:type="dxa"/>
          </w:tcPr>
          <w:p w14:paraId="642F171D" w14:textId="77CAF255" w:rsidR="00C973DE" w:rsidRPr="00E8391A" w:rsidRDefault="00C973DE" w:rsidP="00A12DF9">
            <w:pPr>
              <w:autoSpaceDE w:val="0"/>
              <w:autoSpaceDN w:val="0"/>
              <w:adjustRightInd w:val="0"/>
              <w:rPr>
                <w:rFonts w:cstheme="minorHAnsi"/>
                <w:bCs/>
                <w:color w:val="FF0000"/>
              </w:rPr>
            </w:pPr>
            <w:r>
              <w:rPr>
                <w:rFonts w:cstheme="minorHAnsi"/>
                <w:bCs/>
                <w:color w:val="FF0000"/>
              </w:rPr>
              <w:t>256</w:t>
            </w:r>
          </w:p>
        </w:tc>
      </w:tr>
      <w:tr w:rsidR="00C973DE" w:rsidRPr="00E8391A" w14:paraId="2440EAE7" w14:textId="77777777" w:rsidTr="00C973DE">
        <w:tc>
          <w:tcPr>
            <w:tcW w:w="1615" w:type="dxa"/>
            <w:vMerge/>
          </w:tcPr>
          <w:p w14:paraId="77B53308" w14:textId="77777777" w:rsidR="00C973DE" w:rsidRDefault="00C973DE" w:rsidP="00A12DF9">
            <w:pPr>
              <w:autoSpaceDE w:val="0"/>
              <w:autoSpaceDN w:val="0"/>
              <w:adjustRightInd w:val="0"/>
              <w:rPr>
                <w:rFonts w:cstheme="minorHAnsi"/>
                <w:bCs/>
                <w:color w:val="FF0000"/>
              </w:rPr>
            </w:pPr>
          </w:p>
        </w:tc>
        <w:tc>
          <w:tcPr>
            <w:tcW w:w="2993" w:type="dxa"/>
          </w:tcPr>
          <w:p w14:paraId="7D73A14E" w14:textId="78ACAC46" w:rsidR="00C973DE" w:rsidRDefault="00C973DE" w:rsidP="00A12DF9">
            <w:pPr>
              <w:autoSpaceDE w:val="0"/>
              <w:autoSpaceDN w:val="0"/>
              <w:adjustRightInd w:val="0"/>
              <w:rPr>
                <w:rFonts w:cstheme="minorHAnsi"/>
                <w:bCs/>
                <w:color w:val="FF0000"/>
              </w:rPr>
            </w:pPr>
            <w:r>
              <w:rPr>
                <w:rFonts w:cstheme="minorHAnsi"/>
                <w:bCs/>
                <w:color w:val="FF0000"/>
              </w:rPr>
              <w:t>Discussing Cessation Strategies</w:t>
            </w:r>
          </w:p>
        </w:tc>
        <w:tc>
          <w:tcPr>
            <w:tcW w:w="2372" w:type="dxa"/>
          </w:tcPr>
          <w:p w14:paraId="580020A6" w14:textId="7183B6A9" w:rsidR="00C973DE" w:rsidRDefault="00C973DE" w:rsidP="00A12DF9">
            <w:pPr>
              <w:autoSpaceDE w:val="0"/>
              <w:autoSpaceDN w:val="0"/>
              <w:adjustRightInd w:val="0"/>
              <w:rPr>
                <w:rFonts w:cstheme="minorHAnsi"/>
                <w:bCs/>
                <w:color w:val="FF0000"/>
              </w:rPr>
            </w:pPr>
            <w:r>
              <w:rPr>
                <w:rFonts w:cstheme="minorHAnsi"/>
                <w:bCs/>
                <w:color w:val="FF0000"/>
              </w:rPr>
              <w:t>159</w:t>
            </w:r>
          </w:p>
        </w:tc>
        <w:tc>
          <w:tcPr>
            <w:tcW w:w="2370" w:type="dxa"/>
          </w:tcPr>
          <w:p w14:paraId="17F16F20" w14:textId="61B7AE86" w:rsidR="00C973DE" w:rsidRPr="00E8391A" w:rsidRDefault="00C973DE" w:rsidP="00A12DF9">
            <w:pPr>
              <w:autoSpaceDE w:val="0"/>
              <w:autoSpaceDN w:val="0"/>
              <w:adjustRightInd w:val="0"/>
              <w:rPr>
                <w:rFonts w:cstheme="minorHAnsi"/>
                <w:bCs/>
                <w:color w:val="FF0000"/>
              </w:rPr>
            </w:pPr>
            <w:r>
              <w:rPr>
                <w:rFonts w:cstheme="minorHAnsi"/>
                <w:bCs/>
                <w:color w:val="FF0000"/>
              </w:rPr>
              <w:t>256</w:t>
            </w:r>
          </w:p>
        </w:tc>
      </w:tr>
      <w:tr w:rsidR="00C973DE" w:rsidRPr="00E8391A" w14:paraId="0F08CC2A" w14:textId="77777777" w:rsidTr="00C973DE">
        <w:tc>
          <w:tcPr>
            <w:tcW w:w="1615" w:type="dxa"/>
          </w:tcPr>
          <w:p w14:paraId="0448DE94" w14:textId="54A650BB" w:rsidR="00C973DE" w:rsidRDefault="00C973DE" w:rsidP="00A12DF9">
            <w:pPr>
              <w:autoSpaceDE w:val="0"/>
              <w:autoSpaceDN w:val="0"/>
              <w:adjustRightInd w:val="0"/>
              <w:rPr>
                <w:rFonts w:cstheme="minorHAnsi"/>
                <w:bCs/>
                <w:color w:val="FF0000"/>
              </w:rPr>
            </w:pPr>
            <w:r>
              <w:rPr>
                <w:rFonts w:cstheme="minorHAnsi"/>
                <w:bCs/>
                <w:color w:val="FF0000"/>
              </w:rPr>
              <w:t>Medicare</w:t>
            </w:r>
          </w:p>
        </w:tc>
        <w:tc>
          <w:tcPr>
            <w:tcW w:w="2993" w:type="dxa"/>
          </w:tcPr>
          <w:p w14:paraId="7A8F97A6" w14:textId="5D4DC25C" w:rsidR="00C973DE" w:rsidRDefault="00C973DE" w:rsidP="00A12DF9">
            <w:pPr>
              <w:autoSpaceDE w:val="0"/>
              <w:autoSpaceDN w:val="0"/>
              <w:adjustRightInd w:val="0"/>
              <w:rPr>
                <w:rFonts w:cstheme="minorHAnsi"/>
                <w:bCs/>
                <w:color w:val="FF0000"/>
              </w:rPr>
            </w:pPr>
            <w:r>
              <w:rPr>
                <w:rFonts w:cstheme="minorHAnsi"/>
                <w:bCs/>
                <w:color w:val="FF0000"/>
              </w:rPr>
              <w:t>Advising Smokers to Quit</w:t>
            </w:r>
          </w:p>
        </w:tc>
        <w:tc>
          <w:tcPr>
            <w:tcW w:w="2372" w:type="dxa"/>
          </w:tcPr>
          <w:p w14:paraId="71B9AADF" w14:textId="75351CF6" w:rsidR="00C973DE" w:rsidRDefault="00C973DE" w:rsidP="00A12DF9">
            <w:pPr>
              <w:autoSpaceDE w:val="0"/>
              <w:autoSpaceDN w:val="0"/>
              <w:adjustRightInd w:val="0"/>
              <w:rPr>
                <w:rFonts w:cstheme="minorHAnsi"/>
                <w:bCs/>
                <w:color w:val="FF0000"/>
              </w:rPr>
            </w:pPr>
            <w:r>
              <w:rPr>
                <w:rFonts w:cstheme="minorHAnsi"/>
                <w:bCs/>
                <w:color w:val="FF0000"/>
              </w:rPr>
              <w:t>238</w:t>
            </w:r>
          </w:p>
        </w:tc>
        <w:tc>
          <w:tcPr>
            <w:tcW w:w="2370" w:type="dxa"/>
          </w:tcPr>
          <w:p w14:paraId="7ADD18AE" w14:textId="3FA5A045" w:rsidR="00C973DE" w:rsidRDefault="00C973DE" w:rsidP="00A12DF9">
            <w:pPr>
              <w:autoSpaceDE w:val="0"/>
              <w:autoSpaceDN w:val="0"/>
              <w:adjustRightInd w:val="0"/>
              <w:rPr>
                <w:rFonts w:cstheme="minorHAnsi"/>
                <w:bCs/>
                <w:color w:val="FF0000"/>
              </w:rPr>
            </w:pPr>
            <w:r>
              <w:rPr>
                <w:rFonts w:cstheme="minorHAnsi"/>
                <w:bCs/>
                <w:color w:val="FF0000"/>
              </w:rPr>
              <w:t>55</w:t>
            </w:r>
          </w:p>
        </w:tc>
      </w:tr>
    </w:tbl>
    <w:p w14:paraId="5AF1102E" w14:textId="0EABAE2E" w:rsidR="00E54E18" w:rsidRDefault="00E54E18" w:rsidP="00C73B8F">
      <w:pPr>
        <w:autoSpaceDE w:val="0"/>
        <w:autoSpaceDN w:val="0"/>
        <w:adjustRightInd w:val="0"/>
        <w:spacing w:after="0" w:line="240" w:lineRule="auto"/>
        <w:rPr>
          <w:rFonts w:cstheme="minorHAnsi"/>
          <w:bCs/>
          <w:color w:val="1F497D" w:themeColor="text2"/>
          <w:u w:val="single"/>
        </w:rPr>
      </w:pPr>
    </w:p>
    <w:p w14:paraId="2AE9B167" w14:textId="7FF9F254" w:rsidR="007422FD" w:rsidRPr="00306F0F" w:rsidRDefault="00E2458F" w:rsidP="00C73B8F">
      <w:pPr>
        <w:autoSpaceDE w:val="0"/>
        <w:autoSpaceDN w:val="0"/>
        <w:adjustRightInd w:val="0"/>
        <w:spacing w:after="0" w:line="240" w:lineRule="auto"/>
        <w:rPr>
          <w:rFonts w:cstheme="minorHAnsi"/>
          <w:bCs/>
          <w:color w:val="FF0000"/>
        </w:rPr>
      </w:pPr>
      <w:r w:rsidRPr="00306F0F">
        <w:rPr>
          <w:rFonts w:cstheme="minorHAnsi"/>
          <w:bCs/>
          <w:color w:val="FF0000"/>
          <w:u w:val="single"/>
        </w:rPr>
        <w:t xml:space="preserve">Patient sample for cognitive testing of </w:t>
      </w:r>
      <w:r w:rsidR="00D9551A" w:rsidRPr="00306F0F">
        <w:rPr>
          <w:rFonts w:cstheme="minorHAnsi"/>
          <w:bCs/>
          <w:color w:val="FF0000"/>
          <w:u w:val="single"/>
        </w:rPr>
        <w:t xml:space="preserve">survey </w:t>
      </w:r>
      <w:r w:rsidRPr="00306F0F">
        <w:rPr>
          <w:rFonts w:cstheme="minorHAnsi"/>
          <w:bCs/>
          <w:color w:val="FF0000"/>
          <w:u w:val="single"/>
        </w:rPr>
        <w:t xml:space="preserve">questions: </w:t>
      </w:r>
      <w:r w:rsidRPr="00306F0F">
        <w:rPr>
          <w:rFonts w:cstheme="minorHAnsi"/>
          <w:bCs/>
          <w:color w:val="FF0000"/>
        </w:rPr>
        <w:t>A total of 18 respondents were interviewed</w:t>
      </w:r>
      <w:r w:rsidR="00EF7420" w:rsidRPr="00306F0F">
        <w:rPr>
          <w:rFonts w:cstheme="minorHAnsi"/>
          <w:bCs/>
          <w:color w:val="FF0000"/>
        </w:rPr>
        <w:t xml:space="preserve"> across two rounds of cognitive testing</w:t>
      </w:r>
      <w:r w:rsidRPr="00306F0F">
        <w:rPr>
          <w:rFonts w:cstheme="minorHAnsi"/>
          <w:bCs/>
          <w:color w:val="FF0000"/>
        </w:rPr>
        <w:t xml:space="preserve">; age ranged from 26 to 69 years of age. Respondents were recruited for variation in race/ethnicity, level of smoking, and type of insurance—commercial, Medicare, and Medicaid. </w:t>
      </w:r>
      <w:r w:rsidR="007422FD" w:rsidRPr="00A609C7">
        <w:rPr>
          <w:rFonts w:cstheme="minorHAnsi"/>
          <w:bCs/>
          <w:color w:val="1F497D" w:themeColor="text2"/>
        </w:rPr>
        <w:br/>
      </w:r>
    </w:p>
    <w:p w14:paraId="2AE9B168" w14:textId="7D739169"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559E5DCF" w14:textId="7ADF05A4" w:rsidR="00616C10" w:rsidRDefault="00616C10" w:rsidP="00E37E1B">
      <w:pPr>
        <w:autoSpaceDE w:val="0"/>
        <w:autoSpaceDN w:val="0"/>
        <w:adjustRightInd w:val="0"/>
        <w:spacing w:after="0" w:line="240" w:lineRule="auto"/>
        <w:rPr>
          <w:rFonts w:cstheme="minorHAnsi"/>
          <w:bCs/>
        </w:rPr>
      </w:pPr>
    </w:p>
    <w:p w14:paraId="45ED4075" w14:textId="3715DB8B" w:rsidR="00E8391A" w:rsidRPr="00E8391A" w:rsidRDefault="00C73B8F" w:rsidP="00E37E1B">
      <w:pPr>
        <w:autoSpaceDE w:val="0"/>
        <w:autoSpaceDN w:val="0"/>
        <w:adjustRightInd w:val="0"/>
        <w:spacing w:after="0" w:line="240" w:lineRule="auto"/>
        <w:rPr>
          <w:rFonts w:cstheme="minorHAnsi"/>
          <w:bCs/>
          <w:color w:val="FF0000"/>
        </w:rPr>
      </w:pPr>
      <w:r>
        <w:rPr>
          <w:rFonts w:cstheme="minorHAnsi"/>
          <w:bCs/>
          <w:color w:val="1F497D" w:themeColor="text2"/>
        </w:rPr>
        <w:t xml:space="preserve">The samples are described above. </w:t>
      </w:r>
    </w:p>
    <w:p w14:paraId="2AE9B169" w14:textId="77777777" w:rsidR="00E37E1B" w:rsidRDefault="00E37E1B" w:rsidP="00E37E1B">
      <w:pPr>
        <w:autoSpaceDE w:val="0"/>
        <w:autoSpaceDN w:val="0"/>
        <w:adjustRightInd w:val="0"/>
        <w:spacing w:after="0" w:line="240" w:lineRule="auto"/>
        <w:rPr>
          <w:rFonts w:cstheme="minorHAnsi"/>
          <w:bCs/>
        </w:rPr>
      </w:pPr>
    </w:p>
    <w:p w14:paraId="2AE9B16A" w14:textId="4E78E1DB" w:rsidR="0021054A" w:rsidRPr="00C73B8F" w:rsidRDefault="0021054A" w:rsidP="00E37E1B">
      <w:pPr>
        <w:autoSpaceDE w:val="0"/>
        <w:autoSpaceDN w:val="0"/>
        <w:adjustRightInd w:val="0"/>
        <w:spacing w:after="0" w:line="240" w:lineRule="auto"/>
        <w:rPr>
          <w:rFonts w:cstheme="minorHAnsi"/>
          <w:b/>
          <w:bCs/>
        </w:rPr>
      </w:pPr>
      <w:r w:rsidRPr="00C73B8F">
        <w:rPr>
          <w:rFonts w:cstheme="minorHAnsi"/>
          <w:b/>
          <w:bCs/>
        </w:rPr>
        <w:t xml:space="preserve">1.8 What were the patient-level sociodemographic (SDS) variables that were available and analyzed in the data or sample used? For example, patient-reported data (e.g., income, education, language), proxy variables when SDS data are not collected from each patient (e.g. census tract), or patient community characteristics (e.g. percent vacant housing, crime rate). </w:t>
      </w:r>
    </w:p>
    <w:p w14:paraId="0E7D75D0" w14:textId="10D651D9" w:rsidR="00E8391A" w:rsidRDefault="00E8391A" w:rsidP="00E37E1B">
      <w:pPr>
        <w:autoSpaceDE w:val="0"/>
        <w:autoSpaceDN w:val="0"/>
        <w:adjustRightInd w:val="0"/>
        <w:spacing w:after="0" w:line="240" w:lineRule="auto"/>
        <w:rPr>
          <w:rFonts w:cstheme="minorHAnsi"/>
          <w:bCs/>
        </w:rPr>
      </w:pPr>
    </w:p>
    <w:p w14:paraId="090EBE43" w14:textId="6DF618FF" w:rsidR="00E8391A" w:rsidRPr="00C73B8F" w:rsidRDefault="00C73B8F" w:rsidP="00E37E1B">
      <w:pPr>
        <w:autoSpaceDE w:val="0"/>
        <w:autoSpaceDN w:val="0"/>
        <w:adjustRightInd w:val="0"/>
        <w:spacing w:after="0" w:line="240" w:lineRule="auto"/>
        <w:rPr>
          <w:rFonts w:cstheme="minorHAnsi"/>
          <w:bCs/>
          <w:color w:val="FF0000"/>
        </w:rPr>
      </w:pPr>
      <w:r w:rsidRPr="00C73B8F">
        <w:rPr>
          <w:rFonts w:cstheme="minorHAnsi"/>
          <w:bCs/>
          <w:color w:val="FF0000"/>
          <w:u w:val="single"/>
        </w:rPr>
        <w:t>2016 update:</w:t>
      </w:r>
      <w:r w:rsidRPr="00C73B8F">
        <w:rPr>
          <w:rFonts w:cstheme="minorHAnsi"/>
          <w:bCs/>
          <w:color w:val="FF0000"/>
        </w:rPr>
        <w:t xml:space="preserve"> </w:t>
      </w:r>
      <w:r w:rsidR="00E8391A" w:rsidRPr="00C73B8F">
        <w:rPr>
          <w:rFonts w:cstheme="minorHAnsi"/>
          <w:bCs/>
          <w:color w:val="FF0000"/>
        </w:rPr>
        <w:t>Measure performance results are stratified by commerci</w:t>
      </w:r>
      <w:r w:rsidRPr="00C73B8F">
        <w:rPr>
          <w:rFonts w:cstheme="minorHAnsi"/>
          <w:bCs/>
          <w:color w:val="FF0000"/>
        </w:rPr>
        <w:t xml:space="preserve">al, </w:t>
      </w:r>
      <w:r w:rsidR="00E8391A" w:rsidRPr="00C73B8F">
        <w:rPr>
          <w:rFonts w:cstheme="minorHAnsi"/>
          <w:bCs/>
          <w:color w:val="FF0000"/>
        </w:rPr>
        <w:t xml:space="preserve">Medicaid </w:t>
      </w:r>
      <w:r w:rsidRPr="00C73B8F">
        <w:rPr>
          <w:rFonts w:cstheme="minorHAnsi"/>
          <w:bCs/>
          <w:color w:val="FF0000"/>
        </w:rPr>
        <w:t xml:space="preserve">and Medicare </w:t>
      </w:r>
      <w:r w:rsidR="00E8391A" w:rsidRPr="00C73B8F">
        <w:rPr>
          <w:rFonts w:cstheme="minorHAnsi"/>
          <w:bCs/>
          <w:color w:val="FF0000"/>
        </w:rPr>
        <w:t>health plans.</w:t>
      </w:r>
    </w:p>
    <w:p w14:paraId="2AE9B16B" w14:textId="52E64785"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2AE9B16C"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2AE9B16D"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2AE9B16E" w14:textId="77777777" w:rsidR="008C54A9" w:rsidRPr="00A25024" w:rsidRDefault="008C54A9" w:rsidP="00DB3627">
      <w:pPr>
        <w:autoSpaceDE w:val="0"/>
        <w:autoSpaceDN w:val="0"/>
        <w:adjustRightInd w:val="0"/>
        <w:spacing w:after="0" w:line="240" w:lineRule="auto"/>
        <w:rPr>
          <w:rFonts w:cstheme="minorHAnsi"/>
          <w:b/>
          <w:bCs/>
        </w:rPr>
      </w:pPr>
    </w:p>
    <w:p w14:paraId="2AE9B16F" w14:textId="685F4B45"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616C10">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2AE9B170" w14:textId="20EF1A86" w:rsidR="008C54A9" w:rsidRDefault="008C54A9" w:rsidP="008C54A9">
      <w:pPr>
        <w:autoSpaceDE w:val="0"/>
        <w:autoSpaceDN w:val="0"/>
        <w:adjustRightInd w:val="0"/>
        <w:spacing w:after="0" w:line="240" w:lineRule="auto"/>
        <w:rPr>
          <w:rFonts w:cstheme="minorHAnsi"/>
          <w:bCs/>
        </w:rPr>
      </w:pPr>
    </w:p>
    <w:p w14:paraId="3C12BE79" w14:textId="11FDBD63" w:rsidR="00616C10" w:rsidRPr="00616C10" w:rsidRDefault="00C326FE" w:rsidP="00616C10">
      <w:pPr>
        <w:autoSpaceDE w:val="0"/>
        <w:autoSpaceDN w:val="0"/>
        <w:adjustRightInd w:val="0"/>
        <w:spacing w:after="0" w:line="240" w:lineRule="auto"/>
        <w:rPr>
          <w:rFonts w:cstheme="minorHAnsi"/>
          <w:bCs/>
          <w:color w:val="1F497D" w:themeColor="text2"/>
        </w:rPr>
      </w:pPr>
      <w:r>
        <w:rPr>
          <w:rFonts w:cstheme="minorHAnsi"/>
          <w:bCs/>
          <w:color w:val="1F497D" w:themeColor="text2"/>
          <w:u w:val="single"/>
        </w:rPr>
        <w:lastRenderedPageBreak/>
        <w:t xml:space="preserve">Method for initial </w:t>
      </w:r>
      <w:r w:rsidRPr="00A609C7">
        <w:rPr>
          <w:rFonts w:cstheme="minorHAnsi"/>
          <w:bCs/>
          <w:color w:val="1F497D" w:themeColor="text2"/>
          <w:u w:val="single"/>
        </w:rPr>
        <w:t>measure score reliability testing</w:t>
      </w:r>
      <w:r>
        <w:rPr>
          <w:rFonts w:cstheme="minorHAnsi"/>
          <w:bCs/>
          <w:color w:val="1F497D" w:themeColor="text2"/>
        </w:rPr>
        <w:t xml:space="preserve">: </w:t>
      </w:r>
      <w:r w:rsidR="00616C10" w:rsidRPr="00616C10">
        <w:rPr>
          <w:rFonts w:cstheme="minorHAnsi"/>
          <w:bCs/>
          <w:color w:val="1F497D" w:themeColor="text2"/>
        </w:rPr>
        <w:t xml:space="preserve">In order to assess measure precision in the context of the observed variability across accountable entities, we utilized the reliability estimate proposed by Adams (2009) in work produced for the National Committee for Quality Assurance (NCQA). </w:t>
      </w:r>
    </w:p>
    <w:p w14:paraId="362204CB" w14:textId="77777777" w:rsidR="00616C10" w:rsidRPr="00616C10" w:rsidRDefault="00616C10" w:rsidP="00616C10">
      <w:pPr>
        <w:autoSpaceDE w:val="0"/>
        <w:autoSpaceDN w:val="0"/>
        <w:adjustRightInd w:val="0"/>
        <w:spacing w:after="0" w:line="240" w:lineRule="auto"/>
        <w:rPr>
          <w:rFonts w:cstheme="minorHAnsi"/>
          <w:bCs/>
          <w:color w:val="1F497D" w:themeColor="text2"/>
        </w:rPr>
      </w:pPr>
    </w:p>
    <w:p w14:paraId="521EBB9B" w14:textId="77777777" w:rsidR="00616C10" w:rsidRPr="00616C10" w:rsidRDefault="00616C10" w:rsidP="00616C10">
      <w:pPr>
        <w:autoSpaceDE w:val="0"/>
        <w:autoSpaceDN w:val="0"/>
        <w:adjustRightInd w:val="0"/>
        <w:spacing w:after="0" w:line="240" w:lineRule="auto"/>
        <w:rPr>
          <w:rFonts w:cstheme="minorHAnsi"/>
          <w:bCs/>
          <w:color w:val="1F497D" w:themeColor="text2"/>
        </w:rPr>
      </w:pPr>
      <w:r w:rsidRPr="00616C10">
        <w:rPr>
          <w:rFonts w:cstheme="minorHAnsi"/>
          <w:bCs/>
          <w:color w:val="1F497D" w:themeColor="text2"/>
        </w:rPr>
        <w:t xml:space="preserve">The following is quoted from the tutorial which focused on provider-level assessment: “Reliability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This approach is also relevant to health plans and other accountable entities.  </w:t>
      </w:r>
    </w:p>
    <w:p w14:paraId="00101DAD" w14:textId="77777777" w:rsidR="00616C10" w:rsidRPr="00616C10" w:rsidRDefault="00616C10" w:rsidP="00616C10">
      <w:pPr>
        <w:autoSpaceDE w:val="0"/>
        <w:autoSpaceDN w:val="0"/>
        <w:adjustRightInd w:val="0"/>
        <w:spacing w:after="0" w:line="240" w:lineRule="auto"/>
        <w:rPr>
          <w:rFonts w:cstheme="minorHAnsi"/>
          <w:bCs/>
          <w:color w:val="1F497D" w:themeColor="text2"/>
        </w:rPr>
      </w:pPr>
    </w:p>
    <w:p w14:paraId="054F2CB3" w14:textId="038B06DD" w:rsidR="00616C10" w:rsidRPr="00616C10" w:rsidRDefault="00616C10" w:rsidP="00616C10">
      <w:pPr>
        <w:autoSpaceDE w:val="0"/>
        <w:autoSpaceDN w:val="0"/>
        <w:adjustRightInd w:val="0"/>
        <w:spacing w:after="0" w:line="240" w:lineRule="auto"/>
        <w:rPr>
          <w:rFonts w:cstheme="minorHAnsi"/>
          <w:bCs/>
          <w:color w:val="1F497D" w:themeColor="text2"/>
        </w:rPr>
      </w:pPr>
      <w:r w:rsidRPr="00616C10">
        <w:rPr>
          <w:rFonts w:cstheme="minorHAnsi"/>
          <w:bCs/>
          <w:color w:val="1F497D" w:themeColor="text2"/>
        </w:rPr>
        <w:t>The beta-binomial approach accounts for the non-normal distribution of performance within an</w:t>
      </w:r>
      <w:r w:rsidR="00C326FE">
        <w:rPr>
          <w:rFonts w:cstheme="minorHAnsi"/>
          <w:bCs/>
          <w:color w:val="1F497D" w:themeColor="text2"/>
        </w:rPr>
        <w:t xml:space="preserve">d across accountable entities. </w:t>
      </w:r>
      <w:r w:rsidRPr="00616C10">
        <w:rPr>
          <w:rFonts w:cstheme="minorHAnsi"/>
          <w:bCs/>
          <w:color w:val="1F497D" w:themeColor="text2"/>
        </w:rPr>
        <w:t>Reliability scores vary from 0.0 to 1.0. A score of zero implies that all variation is attributed to measurement error (noise or the individual accountable entity variance), whereas a reliability of 1.0 implies that all variation is caused by a real difference in performance (across accountable entities). Generally, a minimum reliability score of 0.7 is used to indicate sufficient signal strength to discriminate performance between accountable entities. Adams’ approach uses a Beta-binomial model to estimate reliability; this model provides a better fit when estimating the reliability of simple pass/fail rate measures as is the case with most HEDIS® measures.</w:t>
      </w:r>
    </w:p>
    <w:p w14:paraId="49728101" w14:textId="77777777" w:rsidR="00616C10" w:rsidRPr="00616C10" w:rsidRDefault="00616C10" w:rsidP="00616C10">
      <w:pPr>
        <w:autoSpaceDE w:val="0"/>
        <w:autoSpaceDN w:val="0"/>
        <w:adjustRightInd w:val="0"/>
        <w:spacing w:after="0" w:line="240" w:lineRule="auto"/>
        <w:rPr>
          <w:rFonts w:cstheme="minorHAnsi"/>
          <w:bCs/>
          <w:color w:val="1F497D" w:themeColor="text2"/>
        </w:rPr>
      </w:pPr>
    </w:p>
    <w:p w14:paraId="0FD9585B" w14:textId="69117537" w:rsidR="00616C10" w:rsidRPr="00616C10" w:rsidRDefault="00616C10" w:rsidP="008C54A9">
      <w:pPr>
        <w:autoSpaceDE w:val="0"/>
        <w:autoSpaceDN w:val="0"/>
        <w:adjustRightInd w:val="0"/>
        <w:spacing w:after="0" w:line="240" w:lineRule="auto"/>
        <w:rPr>
          <w:rFonts w:cstheme="minorHAnsi"/>
          <w:bCs/>
          <w:color w:val="1F497D" w:themeColor="text2"/>
        </w:rPr>
      </w:pPr>
      <w:r w:rsidRPr="00616C10">
        <w:rPr>
          <w:rFonts w:cstheme="minorHAnsi"/>
          <w:bCs/>
          <w:color w:val="1F497D" w:themeColor="text2"/>
        </w:rPr>
        <w:t xml:space="preserve">Adams, J. L. The Reliability of Provider Profiling: A Tutorial. Santa Monica, California: RAND Corporation. TR-653-NCQA, 2009 </w:t>
      </w:r>
    </w:p>
    <w:p w14:paraId="7F45EB21" w14:textId="77777777" w:rsidR="00616C10" w:rsidRPr="00A25024" w:rsidRDefault="00616C10" w:rsidP="008C54A9">
      <w:pPr>
        <w:autoSpaceDE w:val="0"/>
        <w:autoSpaceDN w:val="0"/>
        <w:adjustRightInd w:val="0"/>
        <w:spacing w:after="0" w:line="240" w:lineRule="auto"/>
        <w:rPr>
          <w:rFonts w:cstheme="minorHAnsi"/>
          <w:bCs/>
        </w:rPr>
      </w:pPr>
    </w:p>
    <w:p w14:paraId="5A00B43B" w14:textId="77777777" w:rsidR="00616C10"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7688E626" w14:textId="228636C5" w:rsidR="00616C10" w:rsidRDefault="00616C10" w:rsidP="008C54A9">
      <w:pPr>
        <w:autoSpaceDE w:val="0"/>
        <w:autoSpaceDN w:val="0"/>
        <w:adjustRightInd w:val="0"/>
        <w:spacing w:after="0" w:line="240" w:lineRule="auto"/>
        <w:rPr>
          <w:rFonts w:cstheme="minorHAnsi"/>
          <w:bCs/>
        </w:rPr>
      </w:pPr>
    </w:p>
    <w:p w14:paraId="56A06CB0" w14:textId="598295A4" w:rsidR="00C326FE" w:rsidRDefault="00C326FE" w:rsidP="008C54A9">
      <w:pPr>
        <w:autoSpaceDE w:val="0"/>
        <w:autoSpaceDN w:val="0"/>
        <w:adjustRightInd w:val="0"/>
        <w:spacing w:after="0" w:line="240" w:lineRule="auto"/>
        <w:rPr>
          <w:rFonts w:cstheme="minorHAnsi"/>
          <w:bCs/>
          <w:color w:val="FF0000"/>
          <w:u w:val="single"/>
        </w:rPr>
      </w:pPr>
      <w:r>
        <w:rPr>
          <w:rFonts w:cstheme="minorHAnsi"/>
          <w:bCs/>
          <w:color w:val="FF0000"/>
          <w:u w:val="single"/>
        </w:rPr>
        <w:t>2016 u</w:t>
      </w:r>
      <w:r w:rsidRPr="00E8391A">
        <w:rPr>
          <w:rFonts w:cstheme="minorHAnsi"/>
          <w:bCs/>
          <w:color w:val="FF0000"/>
          <w:u w:val="single"/>
        </w:rPr>
        <w:t>pdate:</w:t>
      </w:r>
      <w:r>
        <w:rPr>
          <w:rFonts w:cstheme="minorHAnsi"/>
          <w:bCs/>
          <w:color w:val="FF0000"/>
          <w:u w:val="single"/>
        </w:rPr>
        <w:t xml:space="preserve"> </w:t>
      </w:r>
      <w:r w:rsidR="00BC1790">
        <w:rPr>
          <w:rFonts w:cstheme="minorHAnsi"/>
          <w:bCs/>
          <w:color w:val="FF0000"/>
          <w:u w:val="single"/>
        </w:rPr>
        <w:t xml:space="preserve">results for </w:t>
      </w:r>
      <w:r>
        <w:rPr>
          <w:rFonts w:cstheme="minorHAnsi"/>
          <w:bCs/>
          <w:color w:val="FF0000"/>
          <w:u w:val="single"/>
        </w:rPr>
        <w:t>measure score reliability testing:</w:t>
      </w:r>
    </w:p>
    <w:p w14:paraId="49D04B5D" w14:textId="36D23DDC" w:rsidR="00C326FE" w:rsidRDefault="00C326FE" w:rsidP="008C54A9">
      <w:pPr>
        <w:autoSpaceDE w:val="0"/>
        <w:autoSpaceDN w:val="0"/>
        <w:adjustRightInd w:val="0"/>
        <w:spacing w:after="0" w:line="240" w:lineRule="auto"/>
        <w:rPr>
          <w:rFonts w:cstheme="minorHAnsi"/>
          <w:bCs/>
          <w:color w:val="1F497D" w:themeColor="text2"/>
        </w:rPr>
      </w:pPr>
    </w:p>
    <w:p w14:paraId="3A9BFDAF" w14:textId="063D4374" w:rsidR="00EF56E4" w:rsidRPr="00EF56E4" w:rsidRDefault="00E54E18" w:rsidP="008C54A9">
      <w:pPr>
        <w:autoSpaceDE w:val="0"/>
        <w:autoSpaceDN w:val="0"/>
        <w:adjustRightInd w:val="0"/>
        <w:spacing w:after="0" w:line="240" w:lineRule="auto"/>
        <w:rPr>
          <w:rFonts w:cstheme="minorHAnsi"/>
          <w:bCs/>
          <w:color w:val="FF0000"/>
        </w:rPr>
      </w:pPr>
      <w:r>
        <w:rPr>
          <w:rFonts w:cstheme="minorHAnsi"/>
          <w:bCs/>
          <w:color w:val="FF0000"/>
        </w:rPr>
        <w:t>Table 2</w:t>
      </w:r>
      <w:r w:rsidR="00A12DF9">
        <w:rPr>
          <w:rFonts w:cstheme="minorHAnsi"/>
          <w:bCs/>
          <w:color w:val="FF0000"/>
        </w:rPr>
        <w:t xml:space="preserve">. </w:t>
      </w:r>
      <w:r w:rsidR="00EF56E4" w:rsidRPr="00EF56E4">
        <w:rPr>
          <w:rFonts w:cstheme="minorHAnsi"/>
          <w:bCs/>
          <w:color w:val="FF0000"/>
        </w:rPr>
        <w:t xml:space="preserve">Beta-binomial statistic for each measure rate </w:t>
      </w:r>
    </w:p>
    <w:tbl>
      <w:tblPr>
        <w:tblStyle w:val="TableGrid"/>
        <w:tblW w:w="0" w:type="auto"/>
        <w:tblLook w:val="04A0" w:firstRow="1" w:lastRow="0" w:firstColumn="1" w:lastColumn="0" w:noHBand="0" w:noVBand="1"/>
      </w:tblPr>
      <w:tblGrid>
        <w:gridCol w:w="2337"/>
        <w:gridCol w:w="2337"/>
        <w:gridCol w:w="2338"/>
      </w:tblGrid>
      <w:tr w:rsidR="00AD4921" w:rsidRPr="00EF56E4" w14:paraId="055BD5E6" w14:textId="77777777" w:rsidTr="00EF56E4">
        <w:tc>
          <w:tcPr>
            <w:tcW w:w="2337" w:type="dxa"/>
          </w:tcPr>
          <w:p w14:paraId="1FEE1CB8" w14:textId="77777777" w:rsidR="00AD4921" w:rsidRPr="00EF56E4" w:rsidRDefault="00AD4921" w:rsidP="008C54A9">
            <w:pPr>
              <w:autoSpaceDE w:val="0"/>
              <w:autoSpaceDN w:val="0"/>
              <w:adjustRightInd w:val="0"/>
              <w:rPr>
                <w:rFonts w:cstheme="minorHAnsi"/>
                <w:bCs/>
                <w:color w:val="FF0000"/>
              </w:rPr>
            </w:pPr>
          </w:p>
        </w:tc>
        <w:tc>
          <w:tcPr>
            <w:tcW w:w="2337" w:type="dxa"/>
          </w:tcPr>
          <w:p w14:paraId="0CD09550" w14:textId="28B7015D" w:rsidR="00AD4921" w:rsidRPr="00EF56E4" w:rsidRDefault="00AD4921" w:rsidP="00EF56E4">
            <w:pPr>
              <w:autoSpaceDE w:val="0"/>
              <w:autoSpaceDN w:val="0"/>
              <w:adjustRightInd w:val="0"/>
              <w:jc w:val="center"/>
              <w:rPr>
                <w:rFonts w:cstheme="minorHAnsi"/>
                <w:bCs/>
                <w:color w:val="FF0000"/>
              </w:rPr>
            </w:pPr>
            <w:r w:rsidRPr="00EF56E4">
              <w:rPr>
                <w:rFonts w:cstheme="minorHAnsi"/>
                <w:bCs/>
                <w:color w:val="FF0000"/>
              </w:rPr>
              <w:t>Commercial</w:t>
            </w:r>
          </w:p>
        </w:tc>
        <w:tc>
          <w:tcPr>
            <w:tcW w:w="2338" w:type="dxa"/>
          </w:tcPr>
          <w:p w14:paraId="38FCE911" w14:textId="41F718C1" w:rsidR="00AD4921" w:rsidRPr="00EF56E4" w:rsidRDefault="00AD4921" w:rsidP="00EF56E4">
            <w:pPr>
              <w:autoSpaceDE w:val="0"/>
              <w:autoSpaceDN w:val="0"/>
              <w:adjustRightInd w:val="0"/>
              <w:jc w:val="center"/>
              <w:rPr>
                <w:rFonts w:cstheme="minorHAnsi"/>
                <w:bCs/>
                <w:color w:val="FF0000"/>
              </w:rPr>
            </w:pPr>
            <w:r w:rsidRPr="00EF56E4">
              <w:rPr>
                <w:rFonts w:cstheme="minorHAnsi"/>
                <w:bCs/>
                <w:color w:val="FF0000"/>
              </w:rPr>
              <w:t>Medicaid</w:t>
            </w:r>
          </w:p>
        </w:tc>
      </w:tr>
      <w:tr w:rsidR="00AD4921" w:rsidRPr="00EF56E4" w14:paraId="7B910D94" w14:textId="77777777" w:rsidTr="00EF56E4">
        <w:tc>
          <w:tcPr>
            <w:tcW w:w="2337" w:type="dxa"/>
          </w:tcPr>
          <w:p w14:paraId="2F2982F7" w14:textId="51DEF49C" w:rsidR="00AD4921" w:rsidRPr="00EF56E4" w:rsidRDefault="00AD4921" w:rsidP="008C54A9">
            <w:pPr>
              <w:autoSpaceDE w:val="0"/>
              <w:autoSpaceDN w:val="0"/>
              <w:adjustRightInd w:val="0"/>
              <w:rPr>
                <w:rFonts w:cstheme="minorHAnsi"/>
                <w:bCs/>
                <w:color w:val="FF0000"/>
              </w:rPr>
            </w:pPr>
            <w:r w:rsidRPr="00EF56E4">
              <w:rPr>
                <w:rFonts w:cstheme="minorHAnsi"/>
                <w:bCs/>
                <w:color w:val="FF0000"/>
              </w:rPr>
              <w:t>Advising Smokers to Quit</w:t>
            </w:r>
          </w:p>
        </w:tc>
        <w:tc>
          <w:tcPr>
            <w:tcW w:w="2337" w:type="dxa"/>
          </w:tcPr>
          <w:p w14:paraId="66921039" w14:textId="4B934417" w:rsidR="00AD4921" w:rsidRPr="00EF56E4" w:rsidRDefault="00AD4921" w:rsidP="00EF56E4">
            <w:pPr>
              <w:autoSpaceDE w:val="0"/>
              <w:autoSpaceDN w:val="0"/>
              <w:adjustRightInd w:val="0"/>
              <w:jc w:val="center"/>
              <w:rPr>
                <w:rFonts w:cstheme="minorHAnsi"/>
                <w:bCs/>
                <w:color w:val="FF0000"/>
              </w:rPr>
            </w:pPr>
            <w:r w:rsidRPr="00EF56E4">
              <w:rPr>
                <w:rFonts w:cstheme="minorHAnsi"/>
                <w:bCs/>
                <w:color w:val="FF0000"/>
              </w:rPr>
              <w:t>0.69</w:t>
            </w:r>
          </w:p>
        </w:tc>
        <w:tc>
          <w:tcPr>
            <w:tcW w:w="2338" w:type="dxa"/>
          </w:tcPr>
          <w:p w14:paraId="0C855A63" w14:textId="0F787062" w:rsidR="00AD4921" w:rsidRPr="00EF56E4" w:rsidRDefault="00AD4921" w:rsidP="00EF56E4">
            <w:pPr>
              <w:autoSpaceDE w:val="0"/>
              <w:autoSpaceDN w:val="0"/>
              <w:adjustRightInd w:val="0"/>
              <w:jc w:val="center"/>
              <w:rPr>
                <w:rFonts w:cstheme="minorHAnsi"/>
                <w:bCs/>
                <w:color w:val="FF0000"/>
              </w:rPr>
            </w:pPr>
            <w:r w:rsidRPr="00EF56E4">
              <w:rPr>
                <w:rFonts w:cstheme="minorHAnsi"/>
                <w:bCs/>
                <w:color w:val="FF0000"/>
              </w:rPr>
              <w:t>0.75</w:t>
            </w:r>
          </w:p>
        </w:tc>
      </w:tr>
      <w:tr w:rsidR="00AD4921" w:rsidRPr="00EF56E4" w14:paraId="50948DBD" w14:textId="77777777" w:rsidTr="00EF56E4">
        <w:tc>
          <w:tcPr>
            <w:tcW w:w="2337" w:type="dxa"/>
          </w:tcPr>
          <w:p w14:paraId="06C2D8E3" w14:textId="611E97E2" w:rsidR="00AD4921" w:rsidRPr="00EF56E4" w:rsidRDefault="00AD4921" w:rsidP="008C54A9">
            <w:pPr>
              <w:autoSpaceDE w:val="0"/>
              <w:autoSpaceDN w:val="0"/>
              <w:adjustRightInd w:val="0"/>
              <w:rPr>
                <w:rFonts w:cstheme="minorHAnsi"/>
                <w:bCs/>
                <w:color w:val="FF0000"/>
              </w:rPr>
            </w:pPr>
            <w:r>
              <w:rPr>
                <w:rFonts w:cstheme="minorHAnsi"/>
                <w:bCs/>
                <w:color w:val="FF0000"/>
              </w:rPr>
              <w:t xml:space="preserve">Discussing Cessation </w:t>
            </w:r>
            <w:r w:rsidRPr="00EF56E4">
              <w:rPr>
                <w:rFonts w:cstheme="minorHAnsi"/>
                <w:bCs/>
                <w:color w:val="FF0000"/>
              </w:rPr>
              <w:t>Medications</w:t>
            </w:r>
          </w:p>
        </w:tc>
        <w:tc>
          <w:tcPr>
            <w:tcW w:w="2337" w:type="dxa"/>
          </w:tcPr>
          <w:p w14:paraId="7C072227" w14:textId="375D9E0A" w:rsidR="00AD4921" w:rsidRPr="00EF56E4" w:rsidRDefault="00AD4921" w:rsidP="00EF56E4">
            <w:pPr>
              <w:autoSpaceDE w:val="0"/>
              <w:autoSpaceDN w:val="0"/>
              <w:adjustRightInd w:val="0"/>
              <w:jc w:val="center"/>
              <w:rPr>
                <w:rFonts w:cstheme="minorHAnsi"/>
                <w:bCs/>
                <w:color w:val="FF0000"/>
              </w:rPr>
            </w:pPr>
            <w:r w:rsidRPr="00EF56E4">
              <w:rPr>
                <w:rFonts w:cstheme="minorHAnsi"/>
                <w:bCs/>
                <w:color w:val="FF0000"/>
              </w:rPr>
              <w:t>0.72</w:t>
            </w:r>
          </w:p>
        </w:tc>
        <w:tc>
          <w:tcPr>
            <w:tcW w:w="2338" w:type="dxa"/>
          </w:tcPr>
          <w:p w14:paraId="38B61A05" w14:textId="5159B79F" w:rsidR="00AD4921" w:rsidRPr="00EF56E4" w:rsidRDefault="00AD4921" w:rsidP="00EF56E4">
            <w:pPr>
              <w:autoSpaceDE w:val="0"/>
              <w:autoSpaceDN w:val="0"/>
              <w:adjustRightInd w:val="0"/>
              <w:jc w:val="center"/>
              <w:rPr>
                <w:rFonts w:cstheme="minorHAnsi"/>
                <w:bCs/>
                <w:color w:val="FF0000"/>
              </w:rPr>
            </w:pPr>
            <w:r w:rsidRPr="00EF56E4">
              <w:rPr>
                <w:rFonts w:cstheme="minorHAnsi"/>
                <w:bCs/>
                <w:color w:val="FF0000"/>
              </w:rPr>
              <w:t>0.83</w:t>
            </w:r>
          </w:p>
        </w:tc>
      </w:tr>
      <w:tr w:rsidR="00AD4921" w:rsidRPr="00EF56E4" w14:paraId="712747A4" w14:textId="77777777" w:rsidTr="00EF56E4">
        <w:tc>
          <w:tcPr>
            <w:tcW w:w="2337" w:type="dxa"/>
          </w:tcPr>
          <w:p w14:paraId="524C1AC1" w14:textId="3C1C5861" w:rsidR="00AD4921" w:rsidRPr="00EF56E4" w:rsidRDefault="00AD4921" w:rsidP="008C54A9">
            <w:pPr>
              <w:autoSpaceDE w:val="0"/>
              <w:autoSpaceDN w:val="0"/>
              <w:adjustRightInd w:val="0"/>
              <w:rPr>
                <w:rFonts w:cstheme="minorHAnsi"/>
                <w:bCs/>
                <w:color w:val="FF0000"/>
              </w:rPr>
            </w:pPr>
            <w:r>
              <w:rPr>
                <w:rFonts w:cstheme="minorHAnsi"/>
                <w:bCs/>
                <w:color w:val="FF0000"/>
              </w:rPr>
              <w:t xml:space="preserve">Discussing Cessation </w:t>
            </w:r>
            <w:r w:rsidRPr="00EF56E4">
              <w:rPr>
                <w:rFonts w:cstheme="minorHAnsi"/>
                <w:bCs/>
                <w:color w:val="FF0000"/>
              </w:rPr>
              <w:t>Strategies</w:t>
            </w:r>
          </w:p>
        </w:tc>
        <w:tc>
          <w:tcPr>
            <w:tcW w:w="2337" w:type="dxa"/>
          </w:tcPr>
          <w:p w14:paraId="4CAB3F72" w14:textId="7FE74C8A" w:rsidR="00AD4921" w:rsidRPr="00EF56E4" w:rsidRDefault="00AD4921" w:rsidP="00EF56E4">
            <w:pPr>
              <w:autoSpaceDE w:val="0"/>
              <w:autoSpaceDN w:val="0"/>
              <w:adjustRightInd w:val="0"/>
              <w:jc w:val="center"/>
              <w:rPr>
                <w:rFonts w:cstheme="minorHAnsi"/>
                <w:bCs/>
                <w:color w:val="FF0000"/>
              </w:rPr>
            </w:pPr>
            <w:r w:rsidRPr="00EF56E4">
              <w:rPr>
                <w:rFonts w:cstheme="minorHAnsi"/>
                <w:bCs/>
                <w:color w:val="FF0000"/>
              </w:rPr>
              <w:t>0.77</w:t>
            </w:r>
          </w:p>
        </w:tc>
        <w:tc>
          <w:tcPr>
            <w:tcW w:w="2338" w:type="dxa"/>
          </w:tcPr>
          <w:p w14:paraId="60ADD061" w14:textId="03D1D6ED" w:rsidR="00AD4921" w:rsidRPr="00EF56E4" w:rsidRDefault="00AD4921" w:rsidP="00EF56E4">
            <w:pPr>
              <w:autoSpaceDE w:val="0"/>
              <w:autoSpaceDN w:val="0"/>
              <w:adjustRightInd w:val="0"/>
              <w:jc w:val="center"/>
              <w:rPr>
                <w:rFonts w:cstheme="minorHAnsi"/>
                <w:bCs/>
                <w:color w:val="FF0000"/>
              </w:rPr>
            </w:pPr>
            <w:r w:rsidRPr="00EF56E4">
              <w:rPr>
                <w:rFonts w:cstheme="minorHAnsi"/>
                <w:bCs/>
                <w:color w:val="FF0000"/>
              </w:rPr>
              <w:t>0.77</w:t>
            </w:r>
          </w:p>
        </w:tc>
      </w:tr>
    </w:tbl>
    <w:p w14:paraId="43721667" w14:textId="77777777" w:rsidR="00EF56E4" w:rsidRDefault="00EF56E4" w:rsidP="008C54A9">
      <w:pPr>
        <w:autoSpaceDE w:val="0"/>
        <w:autoSpaceDN w:val="0"/>
        <w:adjustRightInd w:val="0"/>
        <w:spacing w:after="0" w:line="240" w:lineRule="auto"/>
        <w:rPr>
          <w:rFonts w:cstheme="minorHAnsi"/>
          <w:bCs/>
          <w:color w:val="1F497D" w:themeColor="text2"/>
        </w:rPr>
      </w:pPr>
    </w:p>
    <w:p w14:paraId="11EFD566" w14:textId="161B6B4D" w:rsidR="00C326FE" w:rsidRPr="00C326FE" w:rsidRDefault="00C326FE" w:rsidP="008C54A9">
      <w:pPr>
        <w:autoSpaceDE w:val="0"/>
        <w:autoSpaceDN w:val="0"/>
        <w:adjustRightInd w:val="0"/>
        <w:spacing w:after="0" w:line="240" w:lineRule="auto"/>
        <w:rPr>
          <w:rFonts w:cstheme="minorHAnsi"/>
          <w:bCs/>
          <w:u w:val="single"/>
        </w:rPr>
      </w:pPr>
      <w:r w:rsidRPr="00C326FE">
        <w:rPr>
          <w:rFonts w:cstheme="minorHAnsi"/>
          <w:bCs/>
          <w:color w:val="1F497D" w:themeColor="text2"/>
          <w:u w:val="single"/>
        </w:rPr>
        <w:t>Results for initial measure score reliability testing:</w:t>
      </w:r>
    </w:p>
    <w:p w14:paraId="425A25F8" w14:textId="77777777" w:rsidR="00265E26" w:rsidRPr="00265E26" w:rsidRDefault="00265E26" w:rsidP="00265E26">
      <w:pPr>
        <w:autoSpaceDE w:val="0"/>
        <w:autoSpaceDN w:val="0"/>
        <w:adjustRightInd w:val="0"/>
        <w:spacing w:after="0" w:line="240" w:lineRule="auto"/>
        <w:rPr>
          <w:rFonts w:cstheme="minorHAnsi"/>
          <w:bCs/>
          <w:color w:val="1F497D" w:themeColor="text2"/>
        </w:rPr>
      </w:pPr>
      <w:r w:rsidRPr="00265E26">
        <w:rPr>
          <w:rFonts w:cstheme="minorHAnsi"/>
          <w:bCs/>
          <w:color w:val="1F497D" w:themeColor="text2"/>
        </w:rPr>
        <w:t>1. Commercial plans 2010:</w:t>
      </w:r>
    </w:p>
    <w:p w14:paraId="176F6B92" w14:textId="77777777" w:rsidR="00265E26" w:rsidRPr="00265E26" w:rsidRDefault="00265E26" w:rsidP="00265E26">
      <w:pPr>
        <w:autoSpaceDE w:val="0"/>
        <w:autoSpaceDN w:val="0"/>
        <w:adjustRightInd w:val="0"/>
        <w:spacing w:after="0" w:line="240" w:lineRule="auto"/>
        <w:rPr>
          <w:rFonts w:cstheme="minorHAnsi"/>
          <w:bCs/>
          <w:color w:val="1F497D" w:themeColor="text2"/>
        </w:rPr>
      </w:pPr>
      <w:r w:rsidRPr="00265E26">
        <w:rPr>
          <w:rFonts w:cstheme="minorHAnsi"/>
          <w:bCs/>
          <w:color w:val="1F497D" w:themeColor="text2"/>
        </w:rPr>
        <w:t>1.a. Advising Smokers &amp; Tobacco Users to Quit: 0.618960</w:t>
      </w:r>
    </w:p>
    <w:p w14:paraId="287E76AA" w14:textId="77777777" w:rsidR="00265E26" w:rsidRPr="00265E26" w:rsidRDefault="00265E26" w:rsidP="00265E26">
      <w:pPr>
        <w:autoSpaceDE w:val="0"/>
        <w:autoSpaceDN w:val="0"/>
        <w:adjustRightInd w:val="0"/>
        <w:spacing w:after="0" w:line="240" w:lineRule="auto"/>
        <w:rPr>
          <w:rFonts w:cstheme="minorHAnsi"/>
          <w:bCs/>
          <w:color w:val="1F497D" w:themeColor="text2"/>
        </w:rPr>
      </w:pPr>
      <w:r w:rsidRPr="00265E26">
        <w:rPr>
          <w:rFonts w:cstheme="minorHAnsi"/>
          <w:bCs/>
          <w:color w:val="1F497D" w:themeColor="text2"/>
        </w:rPr>
        <w:t>1.b. Discussing Cessation Medications: 0.469075</w:t>
      </w:r>
    </w:p>
    <w:p w14:paraId="169B1B32" w14:textId="77777777" w:rsidR="00265E26" w:rsidRPr="00265E26" w:rsidRDefault="00265E26" w:rsidP="00265E26">
      <w:pPr>
        <w:autoSpaceDE w:val="0"/>
        <w:autoSpaceDN w:val="0"/>
        <w:adjustRightInd w:val="0"/>
        <w:spacing w:after="0" w:line="240" w:lineRule="auto"/>
        <w:rPr>
          <w:rFonts w:cstheme="minorHAnsi"/>
          <w:bCs/>
          <w:color w:val="1F497D" w:themeColor="text2"/>
        </w:rPr>
      </w:pPr>
      <w:r w:rsidRPr="00265E26">
        <w:rPr>
          <w:rFonts w:cstheme="minorHAnsi"/>
          <w:bCs/>
          <w:color w:val="1F497D" w:themeColor="text2"/>
        </w:rPr>
        <w:t>1.c. Discussing Cessation Strategies: 0.700878</w:t>
      </w:r>
    </w:p>
    <w:p w14:paraId="576F12EC" w14:textId="77777777" w:rsidR="00265E26" w:rsidRPr="00265E26" w:rsidRDefault="00265E26" w:rsidP="00265E26">
      <w:pPr>
        <w:autoSpaceDE w:val="0"/>
        <w:autoSpaceDN w:val="0"/>
        <w:adjustRightInd w:val="0"/>
        <w:spacing w:after="0" w:line="240" w:lineRule="auto"/>
        <w:rPr>
          <w:rFonts w:cstheme="minorHAnsi"/>
          <w:bCs/>
          <w:color w:val="1F497D" w:themeColor="text2"/>
        </w:rPr>
      </w:pPr>
    </w:p>
    <w:p w14:paraId="5B35C5B1" w14:textId="77777777" w:rsidR="00265E26" w:rsidRPr="00265E26" w:rsidRDefault="00265E26" w:rsidP="00265E26">
      <w:pPr>
        <w:autoSpaceDE w:val="0"/>
        <w:autoSpaceDN w:val="0"/>
        <w:adjustRightInd w:val="0"/>
        <w:spacing w:after="0" w:line="240" w:lineRule="auto"/>
        <w:rPr>
          <w:rFonts w:cstheme="minorHAnsi"/>
          <w:bCs/>
          <w:color w:val="1F497D" w:themeColor="text2"/>
        </w:rPr>
      </w:pPr>
      <w:r w:rsidRPr="00265E26">
        <w:rPr>
          <w:rFonts w:cstheme="minorHAnsi"/>
          <w:bCs/>
          <w:color w:val="1F497D" w:themeColor="text2"/>
        </w:rPr>
        <w:t>2. Medicaid 2010:</w:t>
      </w:r>
    </w:p>
    <w:p w14:paraId="38EE0EF6" w14:textId="77777777" w:rsidR="00265E26" w:rsidRPr="00265E26" w:rsidRDefault="00265E26" w:rsidP="00265E26">
      <w:pPr>
        <w:autoSpaceDE w:val="0"/>
        <w:autoSpaceDN w:val="0"/>
        <w:adjustRightInd w:val="0"/>
        <w:spacing w:after="0" w:line="240" w:lineRule="auto"/>
        <w:rPr>
          <w:rFonts w:cstheme="minorHAnsi"/>
          <w:bCs/>
          <w:color w:val="1F497D" w:themeColor="text2"/>
        </w:rPr>
      </w:pPr>
      <w:r w:rsidRPr="00265E26">
        <w:rPr>
          <w:rFonts w:cstheme="minorHAnsi"/>
          <w:bCs/>
          <w:color w:val="1F497D" w:themeColor="text2"/>
        </w:rPr>
        <w:t>2.a. Advising Smokers &amp; Tobacco Users to Quit: 0.605218</w:t>
      </w:r>
    </w:p>
    <w:p w14:paraId="1FC0D048" w14:textId="77777777" w:rsidR="00265E26" w:rsidRPr="00265E26" w:rsidRDefault="00265E26" w:rsidP="00265E26">
      <w:pPr>
        <w:autoSpaceDE w:val="0"/>
        <w:autoSpaceDN w:val="0"/>
        <w:adjustRightInd w:val="0"/>
        <w:spacing w:after="0" w:line="240" w:lineRule="auto"/>
        <w:rPr>
          <w:rFonts w:cstheme="minorHAnsi"/>
          <w:bCs/>
          <w:color w:val="1F497D" w:themeColor="text2"/>
        </w:rPr>
      </w:pPr>
      <w:r w:rsidRPr="00265E26">
        <w:rPr>
          <w:rFonts w:cstheme="minorHAnsi"/>
          <w:bCs/>
          <w:color w:val="1F497D" w:themeColor="text2"/>
        </w:rPr>
        <w:lastRenderedPageBreak/>
        <w:t>2.b. Discussing Cessation Medications: 0.851239</w:t>
      </w:r>
    </w:p>
    <w:p w14:paraId="430316A0" w14:textId="77777777" w:rsidR="00265E26" w:rsidRPr="00265E26" w:rsidRDefault="00265E26" w:rsidP="00265E26">
      <w:pPr>
        <w:autoSpaceDE w:val="0"/>
        <w:autoSpaceDN w:val="0"/>
        <w:adjustRightInd w:val="0"/>
        <w:spacing w:after="0" w:line="240" w:lineRule="auto"/>
        <w:rPr>
          <w:rFonts w:cstheme="minorHAnsi"/>
          <w:bCs/>
          <w:color w:val="1F497D" w:themeColor="text2"/>
        </w:rPr>
      </w:pPr>
      <w:r w:rsidRPr="00265E26">
        <w:rPr>
          <w:rFonts w:cstheme="minorHAnsi"/>
          <w:bCs/>
          <w:color w:val="1F497D" w:themeColor="text2"/>
        </w:rPr>
        <w:t>2.c. Discussing Cessation Strategies: 0.790183</w:t>
      </w:r>
    </w:p>
    <w:p w14:paraId="6887C201" w14:textId="77777777" w:rsidR="00265E26" w:rsidRPr="00265E26" w:rsidRDefault="00265E26" w:rsidP="00265E26">
      <w:pPr>
        <w:autoSpaceDE w:val="0"/>
        <w:autoSpaceDN w:val="0"/>
        <w:adjustRightInd w:val="0"/>
        <w:spacing w:after="0" w:line="240" w:lineRule="auto"/>
        <w:rPr>
          <w:rFonts w:cstheme="minorHAnsi"/>
          <w:bCs/>
          <w:color w:val="1F497D" w:themeColor="text2"/>
        </w:rPr>
      </w:pPr>
    </w:p>
    <w:p w14:paraId="3B2A7DF3" w14:textId="77777777" w:rsidR="00265E26" w:rsidRPr="00265E26" w:rsidRDefault="00265E26" w:rsidP="00265E26">
      <w:pPr>
        <w:autoSpaceDE w:val="0"/>
        <w:autoSpaceDN w:val="0"/>
        <w:adjustRightInd w:val="0"/>
        <w:spacing w:after="0" w:line="240" w:lineRule="auto"/>
        <w:rPr>
          <w:rFonts w:cstheme="minorHAnsi"/>
          <w:bCs/>
          <w:color w:val="1F497D" w:themeColor="text2"/>
        </w:rPr>
      </w:pPr>
      <w:r w:rsidRPr="00265E26">
        <w:rPr>
          <w:rFonts w:cstheme="minorHAnsi"/>
          <w:bCs/>
          <w:color w:val="1F497D" w:themeColor="text2"/>
        </w:rPr>
        <w:t>3. Medicare 2010</w:t>
      </w:r>
    </w:p>
    <w:p w14:paraId="033F25C4" w14:textId="77777777" w:rsidR="00E8391A" w:rsidRDefault="00265E26" w:rsidP="00265E26">
      <w:pPr>
        <w:autoSpaceDE w:val="0"/>
        <w:autoSpaceDN w:val="0"/>
        <w:adjustRightInd w:val="0"/>
        <w:spacing w:after="0" w:line="240" w:lineRule="auto"/>
        <w:rPr>
          <w:rFonts w:cstheme="minorHAnsi"/>
          <w:bCs/>
          <w:color w:val="1F497D" w:themeColor="text2"/>
        </w:rPr>
      </w:pPr>
      <w:r w:rsidRPr="00265E26">
        <w:rPr>
          <w:rFonts w:cstheme="minorHAnsi"/>
          <w:bCs/>
          <w:color w:val="1F497D" w:themeColor="text2"/>
        </w:rPr>
        <w:t>3.a. Advising Smokers &amp; Tobacco Users to Quit Only: 0.95</w:t>
      </w:r>
    </w:p>
    <w:p w14:paraId="31CB4717" w14:textId="77777777" w:rsidR="00E8391A" w:rsidRDefault="00E8391A" w:rsidP="00265E26">
      <w:pPr>
        <w:autoSpaceDE w:val="0"/>
        <w:autoSpaceDN w:val="0"/>
        <w:adjustRightInd w:val="0"/>
        <w:spacing w:after="0" w:line="240" w:lineRule="auto"/>
        <w:rPr>
          <w:rFonts w:cstheme="minorHAnsi"/>
          <w:bCs/>
          <w:color w:val="1F497D" w:themeColor="text2"/>
        </w:rPr>
      </w:pPr>
    </w:p>
    <w:p w14:paraId="2AE9B172" w14:textId="63156085"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4624B472" w14:textId="23871058" w:rsidR="00E8391A" w:rsidRPr="00BC1790" w:rsidRDefault="00BC1790" w:rsidP="00DB3627">
      <w:pPr>
        <w:autoSpaceDE w:val="0"/>
        <w:autoSpaceDN w:val="0"/>
        <w:adjustRightInd w:val="0"/>
        <w:spacing w:after="0" w:line="240" w:lineRule="auto"/>
        <w:rPr>
          <w:rFonts w:cstheme="minorHAnsi"/>
          <w:bCs/>
          <w:color w:val="FF0000"/>
          <w:u w:val="single"/>
        </w:rPr>
      </w:pPr>
      <w:r>
        <w:rPr>
          <w:rFonts w:cstheme="minorHAnsi"/>
          <w:bCs/>
          <w:color w:val="FF0000"/>
          <w:u w:val="single"/>
        </w:rPr>
        <w:t>2016 u</w:t>
      </w:r>
      <w:r w:rsidRPr="00E8391A">
        <w:rPr>
          <w:rFonts w:cstheme="minorHAnsi"/>
          <w:bCs/>
          <w:color w:val="FF0000"/>
          <w:u w:val="single"/>
        </w:rPr>
        <w:t>pdate:</w:t>
      </w:r>
      <w:r>
        <w:rPr>
          <w:rFonts w:cstheme="minorHAnsi"/>
          <w:bCs/>
          <w:color w:val="FF0000"/>
          <w:u w:val="single"/>
        </w:rPr>
        <w:t xml:space="preserve"> interpretation of results for measure score reliability testing:</w:t>
      </w:r>
      <w:r>
        <w:rPr>
          <w:rFonts w:cstheme="minorHAnsi"/>
          <w:bCs/>
          <w:color w:val="FF0000"/>
        </w:rPr>
        <w:t xml:space="preserve"> </w:t>
      </w:r>
      <w:r w:rsidR="00E8391A" w:rsidRPr="00E8391A">
        <w:rPr>
          <w:rFonts w:cstheme="minorHAnsi"/>
          <w:bCs/>
          <w:color w:val="FF0000"/>
        </w:rPr>
        <w:t xml:space="preserve">Generally, a reliability score of 0.7 is used to indicate sufficient signal strength to discriminate performance between accountable entities. </w:t>
      </w:r>
      <w:r w:rsidR="000E2190">
        <w:rPr>
          <w:rFonts w:cstheme="minorHAnsi"/>
          <w:bCs/>
          <w:color w:val="FF0000"/>
        </w:rPr>
        <w:t>B</w:t>
      </w:r>
      <w:r w:rsidR="00E8391A" w:rsidRPr="00E8391A">
        <w:rPr>
          <w:rFonts w:cstheme="minorHAnsi"/>
          <w:bCs/>
          <w:color w:val="FF0000"/>
        </w:rPr>
        <w:t xml:space="preserve">eta binomial testing </w:t>
      </w:r>
      <w:r w:rsidR="000E2190">
        <w:rPr>
          <w:rFonts w:cstheme="minorHAnsi"/>
          <w:bCs/>
          <w:color w:val="FF0000"/>
        </w:rPr>
        <w:t xml:space="preserve">for this measure </w:t>
      </w:r>
      <w:r w:rsidR="00E8391A" w:rsidRPr="00E8391A">
        <w:rPr>
          <w:rFonts w:cstheme="minorHAnsi"/>
          <w:bCs/>
          <w:color w:val="FF0000"/>
        </w:rPr>
        <w:t xml:space="preserve">suggests that </w:t>
      </w:r>
      <w:r w:rsidR="000E2190">
        <w:rPr>
          <w:rFonts w:cstheme="minorHAnsi"/>
          <w:bCs/>
          <w:color w:val="FF0000"/>
        </w:rPr>
        <w:t xml:space="preserve">the three </w:t>
      </w:r>
      <w:r w:rsidR="00E8391A" w:rsidRPr="00E8391A">
        <w:rPr>
          <w:rFonts w:cstheme="minorHAnsi"/>
          <w:bCs/>
          <w:color w:val="FF0000"/>
        </w:rPr>
        <w:t xml:space="preserve">indicators within this </w:t>
      </w:r>
      <w:r w:rsidR="000E2190">
        <w:rPr>
          <w:rFonts w:cstheme="minorHAnsi"/>
          <w:bCs/>
          <w:color w:val="FF0000"/>
        </w:rPr>
        <w:t xml:space="preserve">measure have </w:t>
      </w:r>
      <w:r w:rsidR="00CE4CAB">
        <w:rPr>
          <w:rFonts w:cstheme="minorHAnsi"/>
          <w:bCs/>
          <w:color w:val="FF0000"/>
        </w:rPr>
        <w:t xml:space="preserve">demonstrated </w:t>
      </w:r>
      <w:r w:rsidR="000E2190">
        <w:rPr>
          <w:rFonts w:cstheme="minorHAnsi"/>
          <w:bCs/>
          <w:color w:val="FF0000"/>
        </w:rPr>
        <w:t>good reliability</w:t>
      </w:r>
      <w:r w:rsidR="00B1157C">
        <w:rPr>
          <w:rFonts w:cstheme="minorHAnsi"/>
          <w:bCs/>
          <w:color w:val="FF0000"/>
        </w:rPr>
        <w:t xml:space="preserve">. </w:t>
      </w:r>
    </w:p>
    <w:p w14:paraId="2AE9B173" w14:textId="72C8DA3E"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2AE9B174"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2AE9B175"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2AE9B176" w14:textId="68BFBA7C" w:rsidR="00696262" w:rsidRPr="00A25024" w:rsidRDefault="00CD7139"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265E2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2AE9B177" w14:textId="7C1139EA" w:rsidR="000574AB" w:rsidRPr="00A25024" w:rsidRDefault="00CD7139"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265E2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Content>
          <w:r w:rsidR="00265E2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2AE9B178" w14:textId="77777777" w:rsidR="00CA06D8" w:rsidRPr="00A25024" w:rsidRDefault="00CA06D8" w:rsidP="00DB3627">
      <w:pPr>
        <w:autoSpaceDE w:val="0"/>
        <w:autoSpaceDN w:val="0"/>
        <w:adjustRightInd w:val="0"/>
        <w:spacing w:after="0" w:line="240" w:lineRule="auto"/>
        <w:rPr>
          <w:rFonts w:cstheme="minorHAnsi"/>
        </w:rPr>
      </w:pPr>
    </w:p>
    <w:p w14:paraId="2AE9B179" w14:textId="77777777" w:rsidR="00D50704" w:rsidRPr="00A25024" w:rsidRDefault="00D50704" w:rsidP="00DB3627">
      <w:pPr>
        <w:autoSpaceDE w:val="0"/>
        <w:autoSpaceDN w:val="0"/>
        <w:adjustRightInd w:val="0"/>
        <w:spacing w:after="0" w:line="240" w:lineRule="auto"/>
        <w:rPr>
          <w:rFonts w:cstheme="minorHAnsi"/>
          <w:bCs/>
        </w:rPr>
      </w:pPr>
    </w:p>
    <w:p w14:paraId="2AE9B17A" w14:textId="00D0B357" w:rsidR="0083332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33629BF2" w14:textId="18E3F7B7" w:rsidR="00B1157C" w:rsidRDefault="00B1157C" w:rsidP="00B1157C">
      <w:pPr>
        <w:autoSpaceDE w:val="0"/>
        <w:autoSpaceDN w:val="0"/>
        <w:adjustRightInd w:val="0"/>
        <w:spacing w:after="0" w:line="240" w:lineRule="auto"/>
        <w:rPr>
          <w:rFonts w:cstheme="minorHAnsi"/>
          <w:bCs/>
          <w:color w:val="FF0000"/>
        </w:rPr>
      </w:pPr>
      <w:r w:rsidRPr="00B1157C">
        <w:rPr>
          <w:rFonts w:cstheme="minorHAnsi"/>
          <w:bCs/>
          <w:color w:val="FF0000"/>
          <w:u w:val="single"/>
        </w:rPr>
        <w:t>2016 update: method for assessing construct validity:</w:t>
      </w:r>
      <w:r>
        <w:rPr>
          <w:rFonts w:cstheme="minorHAnsi"/>
          <w:bCs/>
          <w:color w:val="FF0000"/>
        </w:rPr>
        <w:t xml:space="preserve"> We tested for construct validity by exploring whether the rates within this measure were correlated with each other, since they assess different aspects of tobacco use cessation. We hypothesized that organizations that perform well on one rate should perform well on the other rates. To test these correlations we used a Pearson correlation test. This </w:t>
      </w:r>
      <w:r w:rsidR="00A12DF9">
        <w:rPr>
          <w:rFonts w:cstheme="minorHAnsi"/>
          <w:bCs/>
          <w:color w:val="FF0000"/>
        </w:rPr>
        <w:t xml:space="preserve">test estimates the strength of the linear association between two continuous variables; the magnitude of correlation ranges from -1 and +1. A value of 1 indicates a perfect linear dependence in which increasing values on one variables is associated with increasing values of the second variable. A value of 0 indicates no linear association. A value of -1 indicates a perfect linear relationship in which increasing values of the first variable is associated with decreasing values of the second variable. </w:t>
      </w:r>
    </w:p>
    <w:p w14:paraId="7CA2F1A8" w14:textId="03FFE765" w:rsidR="00A12DF9" w:rsidRDefault="00A12DF9" w:rsidP="00B1157C">
      <w:pPr>
        <w:autoSpaceDE w:val="0"/>
        <w:autoSpaceDN w:val="0"/>
        <w:adjustRightInd w:val="0"/>
        <w:spacing w:after="0" w:line="240" w:lineRule="auto"/>
        <w:rPr>
          <w:rFonts w:cstheme="minorHAnsi"/>
          <w:bCs/>
          <w:color w:val="FF0000"/>
        </w:rPr>
      </w:pPr>
    </w:p>
    <w:p w14:paraId="0B5CCB23" w14:textId="51BDD1EE" w:rsidR="00A12DF9" w:rsidRDefault="00A12DF9" w:rsidP="00B1157C">
      <w:pPr>
        <w:autoSpaceDE w:val="0"/>
        <w:autoSpaceDN w:val="0"/>
        <w:adjustRightInd w:val="0"/>
        <w:spacing w:after="0" w:line="240" w:lineRule="auto"/>
        <w:rPr>
          <w:rFonts w:cstheme="minorHAnsi"/>
          <w:bCs/>
          <w:color w:val="FF0000"/>
        </w:rPr>
      </w:pPr>
      <w:r>
        <w:rPr>
          <w:rFonts w:cstheme="minorHAnsi"/>
          <w:bCs/>
          <w:color w:val="FF0000"/>
        </w:rPr>
        <w:t xml:space="preserve">For this measure, we specifically hypothesized: </w:t>
      </w:r>
    </w:p>
    <w:p w14:paraId="7A2B7904" w14:textId="5C7B924C" w:rsidR="00A12DF9" w:rsidRDefault="00A12DF9" w:rsidP="00A12DF9">
      <w:pPr>
        <w:pStyle w:val="ListParagraph"/>
        <w:numPr>
          <w:ilvl w:val="0"/>
          <w:numId w:val="32"/>
        </w:numPr>
        <w:autoSpaceDE w:val="0"/>
        <w:autoSpaceDN w:val="0"/>
        <w:adjustRightInd w:val="0"/>
        <w:spacing w:after="0" w:line="240" w:lineRule="auto"/>
        <w:rPr>
          <w:rFonts w:cstheme="minorHAnsi"/>
          <w:bCs/>
          <w:color w:val="FF0000"/>
        </w:rPr>
      </w:pPr>
      <w:r>
        <w:rPr>
          <w:rFonts w:cstheme="minorHAnsi"/>
          <w:bCs/>
          <w:color w:val="FF0000"/>
        </w:rPr>
        <w:t xml:space="preserve">The Advising Smokers to Quit rate will be positively correlated with the </w:t>
      </w:r>
      <w:r w:rsidR="00C973DE">
        <w:rPr>
          <w:rFonts w:cstheme="minorHAnsi"/>
          <w:bCs/>
          <w:color w:val="FF0000"/>
        </w:rPr>
        <w:t xml:space="preserve">Discussing Cessation </w:t>
      </w:r>
      <w:r>
        <w:rPr>
          <w:rFonts w:cstheme="minorHAnsi"/>
          <w:bCs/>
          <w:color w:val="FF0000"/>
        </w:rPr>
        <w:t xml:space="preserve">Medications rate. </w:t>
      </w:r>
    </w:p>
    <w:p w14:paraId="065A44B1" w14:textId="0C836086" w:rsidR="00A12DF9" w:rsidRDefault="00A12DF9" w:rsidP="00A12DF9">
      <w:pPr>
        <w:pStyle w:val="ListParagraph"/>
        <w:numPr>
          <w:ilvl w:val="0"/>
          <w:numId w:val="32"/>
        </w:numPr>
        <w:autoSpaceDE w:val="0"/>
        <w:autoSpaceDN w:val="0"/>
        <w:adjustRightInd w:val="0"/>
        <w:spacing w:after="0" w:line="240" w:lineRule="auto"/>
        <w:rPr>
          <w:rFonts w:cstheme="minorHAnsi"/>
          <w:bCs/>
          <w:color w:val="FF0000"/>
        </w:rPr>
      </w:pPr>
      <w:r>
        <w:rPr>
          <w:rFonts w:cstheme="minorHAnsi"/>
          <w:bCs/>
          <w:color w:val="FF0000"/>
        </w:rPr>
        <w:t xml:space="preserve">The Advising Smokers to Quit rate will be positively correlated with the </w:t>
      </w:r>
      <w:r w:rsidR="00C973DE">
        <w:rPr>
          <w:rFonts w:cstheme="minorHAnsi"/>
          <w:bCs/>
          <w:color w:val="FF0000"/>
        </w:rPr>
        <w:t xml:space="preserve">Discussing Cessation </w:t>
      </w:r>
      <w:r>
        <w:rPr>
          <w:rFonts w:cstheme="minorHAnsi"/>
          <w:bCs/>
          <w:color w:val="FF0000"/>
        </w:rPr>
        <w:t xml:space="preserve">Strategies rate. </w:t>
      </w:r>
    </w:p>
    <w:p w14:paraId="7021733D" w14:textId="43EC0F2C" w:rsidR="00A12DF9" w:rsidRDefault="00A12DF9" w:rsidP="00A12DF9">
      <w:pPr>
        <w:pStyle w:val="ListParagraph"/>
        <w:numPr>
          <w:ilvl w:val="0"/>
          <w:numId w:val="32"/>
        </w:numPr>
        <w:autoSpaceDE w:val="0"/>
        <w:autoSpaceDN w:val="0"/>
        <w:adjustRightInd w:val="0"/>
        <w:spacing w:after="0" w:line="240" w:lineRule="auto"/>
        <w:rPr>
          <w:rFonts w:cstheme="minorHAnsi"/>
          <w:bCs/>
          <w:color w:val="FF0000"/>
        </w:rPr>
      </w:pPr>
      <w:r>
        <w:rPr>
          <w:rFonts w:cstheme="minorHAnsi"/>
          <w:bCs/>
          <w:color w:val="FF0000"/>
        </w:rPr>
        <w:t xml:space="preserve">The </w:t>
      </w:r>
      <w:r w:rsidR="00C973DE">
        <w:rPr>
          <w:rFonts w:cstheme="minorHAnsi"/>
          <w:bCs/>
          <w:color w:val="FF0000"/>
        </w:rPr>
        <w:t xml:space="preserve">Discussing Cessation </w:t>
      </w:r>
      <w:r>
        <w:rPr>
          <w:rFonts w:cstheme="minorHAnsi"/>
          <w:bCs/>
          <w:color w:val="FF0000"/>
        </w:rPr>
        <w:t xml:space="preserve">Medications rate will be positively correlated with the </w:t>
      </w:r>
      <w:r w:rsidR="00C973DE">
        <w:rPr>
          <w:rFonts w:cstheme="minorHAnsi"/>
          <w:bCs/>
          <w:color w:val="FF0000"/>
        </w:rPr>
        <w:t xml:space="preserve">Discussing Cessation </w:t>
      </w:r>
      <w:r>
        <w:rPr>
          <w:rFonts w:cstheme="minorHAnsi"/>
          <w:bCs/>
          <w:color w:val="FF0000"/>
        </w:rPr>
        <w:t>Strategies rate.</w:t>
      </w:r>
    </w:p>
    <w:p w14:paraId="041891BA" w14:textId="1AB40683" w:rsidR="00A12DF9" w:rsidRDefault="00A12DF9" w:rsidP="00A12DF9">
      <w:pPr>
        <w:autoSpaceDE w:val="0"/>
        <w:autoSpaceDN w:val="0"/>
        <w:adjustRightInd w:val="0"/>
        <w:spacing w:after="0" w:line="240" w:lineRule="auto"/>
        <w:rPr>
          <w:rFonts w:cstheme="minorHAnsi"/>
          <w:bCs/>
          <w:color w:val="FF0000"/>
        </w:rPr>
      </w:pPr>
    </w:p>
    <w:p w14:paraId="076A95A7" w14:textId="7AF26647" w:rsidR="00A12DF9" w:rsidRPr="00A12DF9" w:rsidRDefault="00A12DF9" w:rsidP="00A12DF9">
      <w:pPr>
        <w:autoSpaceDE w:val="0"/>
        <w:autoSpaceDN w:val="0"/>
        <w:adjustRightInd w:val="0"/>
        <w:spacing w:after="0" w:line="240" w:lineRule="auto"/>
        <w:rPr>
          <w:rFonts w:cstheme="minorHAnsi"/>
          <w:bCs/>
          <w:color w:val="FF0000"/>
        </w:rPr>
      </w:pPr>
      <w:r>
        <w:rPr>
          <w:rFonts w:cstheme="minorHAnsi"/>
          <w:bCs/>
          <w:color w:val="FF0000"/>
        </w:rPr>
        <w:lastRenderedPageBreak/>
        <w:t xml:space="preserve">To note, Medicare plans are not included in these analyses, because they only report the Advising Smokers to Quit rate. </w:t>
      </w:r>
    </w:p>
    <w:p w14:paraId="4B351663" w14:textId="2657A1DA" w:rsidR="00B1157C" w:rsidRDefault="00B1157C" w:rsidP="000E2190">
      <w:pPr>
        <w:autoSpaceDE w:val="0"/>
        <w:autoSpaceDN w:val="0"/>
        <w:adjustRightInd w:val="0"/>
        <w:spacing w:after="0" w:line="240" w:lineRule="auto"/>
        <w:rPr>
          <w:rFonts w:cstheme="minorHAnsi"/>
          <w:bCs/>
          <w:color w:val="1F497D" w:themeColor="text2"/>
          <w:u w:val="single"/>
        </w:rPr>
      </w:pPr>
    </w:p>
    <w:p w14:paraId="1CDC3233" w14:textId="4D763752" w:rsidR="000E2190" w:rsidRPr="00B1157C" w:rsidRDefault="00B1157C" w:rsidP="000E2190">
      <w:pPr>
        <w:autoSpaceDE w:val="0"/>
        <w:autoSpaceDN w:val="0"/>
        <w:adjustRightInd w:val="0"/>
        <w:spacing w:after="0" w:line="240" w:lineRule="auto"/>
        <w:rPr>
          <w:rFonts w:cstheme="minorHAnsi"/>
          <w:bCs/>
          <w:color w:val="1F497D" w:themeColor="text2"/>
          <w:u w:val="single"/>
        </w:rPr>
      </w:pPr>
      <w:r w:rsidRPr="00B1157C">
        <w:rPr>
          <w:rFonts w:cstheme="minorHAnsi"/>
          <w:bCs/>
          <w:color w:val="1F497D" w:themeColor="text2"/>
          <w:u w:val="single"/>
        </w:rPr>
        <w:t>Method for initial systematic assessment of f</w:t>
      </w:r>
      <w:r w:rsidR="000E2190" w:rsidRPr="00B1157C">
        <w:rPr>
          <w:rFonts w:cstheme="minorHAnsi"/>
          <w:bCs/>
          <w:color w:val="1F497D" w:themeColor="text2"/>
          <w:u w:val="single"/>
        </w:rPr>
        <w:t>ace validity:</w:t>
      </w:r>
    </w:p>
    <w:p w14:paraId="467E7D82"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NCQA identified and refined measure management into a standardized process called the HEDIS measure life cycle. </w:t>
      </w:r>
    </w:p>
    <w:p w14:paraId="7DA1B9CB"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40618B38"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*Step 1: Topic selection is the process of identifying measures that meet criteria consistent with the overall model for performance measurement. There is a huge universe of potential performance measures for future versions of HEDIS. The first step is identifying measures that meet formal criteria for further development.</w:t>
      </w:r>
    </w:p>
    <w:p w14:paraId="7926C187"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5EDB3E3E"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NCQA staff identifies areas of interest or gaps in care. Clinical expert panels (MAPs—whose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Refer to What Makes a Measure “Desirable”? The work-up is vetted by NCQA’s MAPs, the TAG, the HEDIS Policy Panel and various other panels. </w:t>
      </w:r>
    </w:p>
    <w:p w14:paraId="1BEFC770"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3EDF0897" w14:textId="0C789FB9"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*Step 2: Development ensures that measures are fully defined and tested before the organization collects them. MAPs participate in this process by helping identify the best measures for assessing health care performance in clinical areas identified in the topic selection phase. </w:t>
      </w:r>
    </w:p>
    <w:p w14:paraId="0D594CD2"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Development includes the following tasks.</w:t>
      </w:r>
    </w:p>
    <w:p w14:paraId="35E4BE1A"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1.Ensure funding throughout measure testing</w:t>
      </w:r>
    </w:p>
    <w:p w14:paraId="235DAC8F"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2.Prepare a detailed conceptual and operational work-up that includes a testing proposal</w:t>
      </w:r>
    </w:p>
    <w:p w14:paraId="5BB1BDDE"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3.Collaborate with health plans to conduct field-tests that assess the feasibility and validity of potential measures</w:t>
      </w:r>
    </w:p>
    <w:p w14:paraId="4CCDD845"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0FEEBB1E"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The CPM uses testing results and proposed final specifications to determine if the measure will move forward to Public Comment.</w:t>
      </w:r>
    </w:p>
    <w:p w14:paraId="548D1E87"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44D8F676"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*Step 3: Public Comment is a 30-day period of review that allows interested parties to offer feedback to the CPM about new measures or about changes to existing measures. </w:t>
      </w:r>
    </w:p>
    <w:p w14:paraId="5273E967"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 </w:t>
      </w:r>
    </w:p>
    <w:p w14:paraId="43CDFAC5"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501A360D"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*Step 4: First-year data collection requires organizations to collect, be audited on and report these measures, but results are not publicly reported in the first year and are not included in NCQA’s Quality Compass? or in accreditation scoring. </w:t>
      </w:r>
    </w:p>
    <w:p w14:paraId="18986C70"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2A84C4C1"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The first-year distinction guarantees that a measure can be efficiently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w:t>
      </w:r>
    </w:p>
    <w:p w14:paraId="427CDF34"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4B8BA57B"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lastRenderedPageBreak/>
        <w:t>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4758467C"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2094E4FB"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*Step 5: Public reporting is based on the first-year measure evaluation results. If the measure is approved, it will be reported in Quality Compass and may be used for scoring in accreditation. </w:t>
      </w:r>
    </w:p>
    <w:p w14:paraId="0B21342C"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13DB3E4D"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Step 6: Evaluation is the ongoing review of a measure’s performance and recommendations for its modification or retirement. Every measure is reevaluated at least every three years. NCQA staff continually monitors the performance of publicly reported measures. Statistical analysis, audit result review and user comments contribute to measure evaluation. Information derived from analyzing the performance of existing measures is used to improve development of the next generation of measures. </w:t>
      </w:r>
    </w:p>
    <w:p w14:paraId="5CF1B9EE"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4076D4E0"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Each year, a third of the measurement set is researched for changes in clinical guidelines or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next year’s HEDIS Volume 2.</w:t>
      </w:r>
    </w:p>
    <w:p w14:paraId="29D1610E"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60851B18"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What makes a measure “Desirable”?</w:t>
      </w:r>
    </w:p>
    <w:p w14:paraId="6D6D4CB8"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1525295B"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Whether considering the value of a new measure or the continuing worth of an existing one, we must define what makes a measure useful. HEDIS measures encourage improvement. The defining question for all performance measurement—”Where can measurement make a difference?”—can be answered only after considering many factors. NCQA has established three areas of desirable characteristics for HEDIS measures, discussed below.</w:t>
      </w:r>
    </w:p>
    <w:p w14:paraId="4DB03AEF"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7CD1C979"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1. Relevance: Measures should address features that apply to purchasers or consumers, or which will stimulate internal efforts toward quality improvement. More specifically, relevance includes the following attributes.</w:t>
      </w:r>
    </w:p>
    <w:p w14:paraId="617CC4FB" w14:textId="7BE1ED91" w:rsidR="000E2190" w:rsidRPr="000E2190" w:rsidRDefault="000E2190" w:rsidP="000E2190">
      <w:pPr>
        <w:autoSpaceDE w:val="0"/>
        <w:autoSpaceDN w:val="0"/>
        <w:adjustRightInd w:val="0"/>
        <w:spacing w:after="0" w:line="240" w:lineRule="auto"/>
        <w:rPr>
          <w:rFonts w:cstheme="minorHAnsi"/>
          <w:bCs/>
          <w:color w:val="1F497D" w:themeColor="text2"/>
        </w:rPr>
      </w:pPr>
    </w:p>
    <w:p w14:paraId="50B0612F"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Meaningful: What is the significance of the measure to the different groups concerned with health care? Is the measure easily interpreted? Are the results meaningful to target audiences?</w:t>
      </w:r>
    </w:p>
    <w:p w14:paraId="198D2E21"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Measures should be meaningful to at least one HEDIS audience (e.g., individual consumers, purchasers or health care systems). Decision makers should be able to understand a measure’s clinical and economic significance.</w:t>
      </w:r>
    </w:p>
    <w:p w14:paraId="582F6A99"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2E195BC8"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Important to health: What is the prevalence and overall impact of the condition in the U.S. population? What significant health care aspects will the measure address?</w:t>
      </w:r>
    </w:p>
    <w:p w14:paraId="1DE2C639"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We should consider the type of measure (e.g., outcome or process), the prevalence of medical condition addressed by the measure and the seriousness of affected health outcomes.</w:t>
      </w:r>
    </w:p>
    <w:p w14:paraId="1FDB45E3"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3A14CC63"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Financially important: What financial implications result from actions evaluated by the measure? Does the measure relate to activities with high financial impact?</w:t>
      </w:r>
    </w:p>
    <w:p w14:paraId="4AF1D146"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Measures should relate to activities that have high financial impact.</w:t>
      </w:r>
    </w:p>
    <w:p w14:paraId="39F64611"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37EAD9A3"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lastRenderedPageBreak/>
        <w:t>Cost effective: What is the cost benefit of implementing the change in the health care system? Does the measure encourage the use of cost-effective activities or discourage the use of activities that have low cost-effectiveness? Measures should encourage the use of cost-effective activities or discourage the use of activities that have low cost-effectiveness.</w:t>
      </w:r>
    </w:p>
    <w:p w14:paraId="47AC056D"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2D58FDD1"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Strategically important: What are the policy implications? Does the measure encourage activities that use resources efficiently? Measures should encourage activities that use resources most efficiently to maximize member health.</w:t>
      </w:r>
    </w:p>
    <w:p w14:paraId="4A0DFEE3"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15F81AA4"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Controllable: What impact can the organization have on the condition or disease? What impact can the organization have on the measure? Health care systems should be able to improve their performance. For outcome measures, at least one process should be controlled and have an important effect on outcome. For process measures, there should be a strong link between the process and desired outcome.</w:t>
      </w:r>
    </w:p>
    <w:p w14:paraId="6A22C6B0"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532D4838"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Variation across systems: Will there be variation across systems? There should be the potential for wide variation across systems.</w:t>
      </w:r>
    </w:p>
    <w:p w14:paraId="0B3876F8"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1038CDC8"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Potential for improvement: Will organizations be able to improve performance? There should be substantial room for performance improvement.</w:t>
      </w:r>
    </w:p>
    <w:p w14:paraId="6E3B2248"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6D9F1FEF"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2. Scientific soundness: Perhaps in no other industry is scientific soundness as important as in health care. Scientific soundness must be a core value of our health care system—a system that has extended and improved the lives of countless individuals.</w:t>
      </w:r>
    </w:p>
    <w:p w14:paraId="0C9916BA"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68099DA2"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Clinical evidence: Is there strong evidence to support the measure? Are there published guidelines for the condition? Do the guidelines discuss aspects of the measure? Does evidence document a link between clinical processes and outcomes addressed by the measure? There should be evidence documenting a link between clinical processes and outcomes.</w:t>
      </w:r>
    </w:p>
    <w:p w14:paraId="53F1354E"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6796C8ED"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Reproducible: Are results consistent? Measures should produce the same results when repeated in the same population and setting.</w:t>
      </w:r>
    </w:p>
    <w:p w14:paraId="1EA712E7"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0A8CE37D"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Valid: Does the measure make sense? Measures should make sense logically and clinically, and should correlate well with other measures of the same aspects of care.</w:t>
      </w:r>
    </w:p>
    <w:p w14:paraId="59FFF565"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4B760C5E"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Accurate: How well does the measure evaluate what is happening? Measures should precisely evaluate what is actually happening. </w:t>
      </w:r>
    </w:p>
    <w:p w14:paraId="0AC5427A"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4C93EB02"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Risk adjustment: Is it appropriate to stratify the measure by age or another variable? Measure variables should not differ appreciably beyond the health care system’s control, or variables should be known and measurable. Risk stratification or a validated model for calculating an adjusted result can be used for measures with confounding variables.</w:t>
      </w:r>
    </w:p>
    <w:p w14:paraId="61AB7767"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0A1095CB"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Comparability of data sources: How do different systems affect accuracy, reproducibility and validity? Accuracy, reproducibility and validity should not be affected if different systems use different data sources for a measure.</w:t>
      </w:r>
    </w:p>
    <w:p w14:paraId="2563E02B" w14:textId="54BA9527" w:rsidR="000E2190" w:rsidRPr="000E2190" w:rsidRDefault="000E2190" w:rsidP="000E2190">
      <w:pPr>
        <w:autoSpaceDE w:val="0"/>
        <w:autoSpaceDN w:val="0"/>
        <w:adjustRightInd w:val="0"/>
        <w:spacing w:after="0" w:line="240" w:lineRule="auto"/>
        <w:rPr>
          <w:rFonts w:cstheme="minorHAnsi"/>
          <w:bCs/>
          <w:color w:val="1F497D" w:themeColor="text2"/>
        </w:rPr>
      </w:pPr>
    </w:p>
    <w:p w14:paraId="47D02E8A"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lastRenderedPageBreak/>
        <w:t>3. Feasibility:</w:t>
      </w:r>
    </w:p>
    <w:p w14:paraId="18963F06"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The goal is not only to include feasible measures, but also to catalyze a process whereby relevant measures can be made feasible. </w:t>
      </w:r>
    </w:p>
    <w:p w14:paraId="56FC8951"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312CD4D9"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Precise specifications: Are there clear specifications for data sources and methods for data collection and reporting? Measures should have clear specifications for data sources and methods for data collection and reporting.</w:t>
      </w:r>
    </w:p>
    <w:p w14:paraId="1FEE5C4E"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1657DD27"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Reasonable cost: Does the measure impose a burden on health care systems? Measures should not impose an inappropriate burden on health care systems.</w:t>
      </w:r>
    </w:p>
    <w:p w14:paraId="43CBD937"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7E58E7B9"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Confidentiality: Does data collection meet accepted standards of member confidentiality? </w:t>
      </w:r>
    </w:p>
    <w:p w14:paraId="33BE8EC2"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Data collection should not violate accepted standards of member confidentiality. Logistical feasibility</w:t>
      </w:r>
    </w:p>
    <w:p w14:paraId="30776758"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Are the required data available? </w:t>
      </w:r>
    </w:p>
    <w:p w14:paraId="6FC45DA7"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37C44643" w14:textId="2D1A1E56"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Auditability: Is the measure susceptible to exploitation or “gaming” that would be undetectable in an audit? Measures should not be susceptible to manipulation that would be undetectable in an audit.</w:t>
      </w:r>
    </w:p>
    <w:p w14:paraId="7FC84CDB"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4F0D67F9" w14:textId="5019C88E" w:rsidR="000E2190" w:rsidRPr="00B1157C" w:rsidRDefault="00B1157C" w:rsidP="000E2190">
      <w:pPr>
        <w:autoSpaceDE w:val="0"/>
        <w:autoSpaceDN w:val="0"/>
        <w:adjustRightInd w:val="0"/>
        <w:spacing w:after="0" w:line="240" w:lineRule="auto"/>
        <w:rPr>
          <w:rFonts w:cstheme="minorHAnsi"/>
          <w:bCs/>
          <w:color w:val="1F497D" w:themeColor="text2"/>
          <w:u w:val="single"/>
        </w:rPr>
      </w:pPr>
      <w:r w:rsidRPr="00B1157C">
        <w:rPr>
          <w:rFonts w:cstheme="minorHAnsi"/>
          <w:bCs/>
          <w:color w:val="1F497D" w:themeColor="text2"/>
          <w:u w:val="single"/>
        </w:rPr>
        <w:t xml:space="preserve">Method for initial assessment of </w:t>
      </w:r>
      <w:r>
        <w:rPr>
          <w:rFonts w:cstheme="minorHAnsi"/>
          <w:bCs/>
          <w:color w:val="1F497D" w:themeColor="text2"/>
          <w:u w:val="single"/>
        </w:rPr>
        <w:t>CAHPS survey instrument:</w:t>
      </w:r>
      <w:r>
        <w:rPr>
          <w:rFonts w:cstheme="minorHAnsi"/>
          <w:bCs/>
          <w:color w:val="1F497D" w:themeColor="text2"/>
        </w:rPr>
        <w:t xml:space="preserve"> </w:t>
      </w:r>
      <w:r w:rsidR="000E2190" w:rsidRPr="000E2190">
        <w:rPr>
          <w:rFonts w:cstheme="minorHAnsi"/>
          <w:bCs/>
          <w:color w:val="1F497D" w:themeColor="text2"/>
        </w:rPr>
        <w:t>Cognitive testing provides useful information about respondents’ comprehension of the questions, their ability to answer the questions, and the adequacy of the response choices. It also helps identify words that can be used to describe health care providers accurately and consistently across a range of consumers (e.g., commercially insured, Medicaid, fee-for-service, managed care, lower socioeconomic status (SES), middle SES, low literacy, higher literacy) and explores whether key words and concepts work equally well in both English and Spanish.</w:t>
      </w:r>
    </w:p>
    <w:p w14:paraId="505A96F2"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14F8D0D6" w14:textId="140F5553" w:rsid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Field tests and psychometric analyses provide information about the items’ reliability and validity. Many existing questionnaires about health care have been tested primarily or exclusively using a psychometric approach, but the CAHPS team views the combination of cognitive and psychometric approaches as essential to producing the best possible survey instrument. </w:t>
      </w:r>
    </w:p>
    <w:p w14:paraId="2B491749" w14:textId="0A4FC765" w:rsidR="00E2458F" w:rsidRDefault="00E2458F" w:rsidP="000E2190">
      <w:pPr>
        <w:autoSpaceDE w:val="0"/>
        <w:autoSpaceDN w:val="0"/>
        <w:adjustRightInd w:val="0"/>
        <w:spacing w:after="0" w:line="240" w:lineRule="auto"/>
        <w:rPr>
          <w:rFonts w:cstheme="minorHAnsi"/>
          <w:bCs/>
          <w:color w:val="1F497D" w:themeColor="text2"/>
        </w:rPr>
      </w:pPr>
    </w:p>
    <w:p w14:paraId="107F84BF" w14:textId="5FAEF6A6" w:rsidR="00EF7420" w:rsidRPr="00306F0F" w:rsidRDefault="00E2458F" w:rsidP="000E2190">
      <w:pPr>
        <w:autoSpaceDE w:val="0"/>
        <w:autoSpaceDN w:val="0"/>
        <w:adjustRightInd w:val="0"/>
        <w:spacing w:after="0" w:line="240" w:lineRule="auto"/>
        <w:rPr>
          <w:rFonts w:cstheme="minorHAnsi"/>
          <w:bCs/>
          <w:color w:val="FF0000"/>
        </w:rPr>
      </w:pPr>
      <w:r w:rsidRPr="00306F0F">
        <w:rPr>
          <w:rFonts w:cstheme="minorHAnsi"/>
          <w:bCs/>
          <w:color w:val="FF0000"/>
          <w:u w:val="single"/>
        </w:rPr>
        <w:t>Additional information about cognitive testing</w:t>
      </w:r>
      <w:r w:rsidR="00EF7420" w:rsidRPr="00306F0F">
        <w:rPr>
          <w:rFonts w:cstheme="minorHAnsi"/>
          <w:bCs/>
          <w:color w:val="FF0000"/>
          <w:u w:val="single"/>
        </w:rPr>
        <w:t xml:space="preserve"> of </w:t>
      </w:r>
      <w:r w:rsidR="00D9551A" w:rsidRPr="00306F0F">
        <w:rPr>
          <w:rFonts w:cstheme="minorHAnsi"/>
          <w:bCs/>
          <w:color w:val="FF0000"/>
          <w:u w:val="single"/>
        </w:rPr>
        <w:t xml:space="preserve">survey </w:t>
      </w:r>
      <w:r w:rsidR="00EF7420" w:rsidRPr="00306F0F">
        <w:rPr>
          <w:rFonts w:cstheme="minorHAnsi"/>
          <w:bCs/>
          <w:color w:val="FF0000"/>
          <w:u w:val="single"/>
        </w:rPr>
        <w:t>questions:</w:t>
      </w:r>
      <w:r w:rsidR="00EF7420" w:rsidRPr="00306F0F">
        <w:rPr>
          <w:rFonts w:cstheme="minorHAnsi"/>
          <w:bCs/>
          <w:color w:val="FF0000"/>
        </w:rPr>
        <w:t xml:space="preserve"> The intent of the cognitive testing NQCA conducted in 2008 was to </w:t>
      </w:r>
      <w:r w:rsidR="00F113B5" w:rsidRPr="00306F0F">
        <w:rPr>
          <w:rFonts w:cstheme="minorHAnsi"/>
          <w:bCs/>
          <w:color w:val="FF0000"/>
        </w:rPr>
        <w:t xml:space="preserve">test four smoking cessation survey items from CAHPS 4.0 to address issues raised by health plans and the expert workgroup during the re-evaluation of the Medical Assistance with Smoking Cessation HEDIS measure. The recommended revisions to the questions addressed relevance with current guidelines (at the time), issues with response bias and clarity of survey language. </w:t>
      </w:r>
    </w:p>
    <w:p w14:paraId="66D0701F" w14:textId="77777777" w:rsidR="00EF7420" w:rsidRPr="00306F0F" w:rsidRDefault="00EF7420" w:rsidP="000E2190">
      <w:pPr>
        <w:autoSpaceDE w:val="0"/>
        <w:autoSpaceDN w:val="0"/>
        <w:adjustRightInd w:val="0"/>
        <w:spacing w:after="0" w:line="240" w:lineRule="auto"/>
        <w:rPr>
          <w:rFonts w:cstheme="minorHAnsi"/>
          <w:bCs/>
          <w:color w:val="FF0000"/>
        </w:rPr>
      </w:pPr>
    </w:p>
    <w:p w14:paraId="31A11674" w14:textId="0B73715B" w:rsidR="00E2458F" w:rsidRPr="00306F0F" w:rsidRDefault="00EF7420" w:rsidP="000E2190">
      <w:pPr>
        <w:autoSpaceDE w:val="0"/>
        <w:autoSpaceDN w:val="0"/>
        <w:adjustRightInd w:val="0"/>
        <w:spacing w:after="0" w:line="240" w:lineRule="auto"/>
        <w:rPr>
          <w:rFonts w:cstheme="minorHAnsi"/>
          <w:bCs/>
          <w:color w:val="FF0000"/>
        </w:rPr>
      </w:pPr>
      <w:r w:rsidRPr="00306F0F">
        <w:rPr>
          <w:rFonts w:cstheme="minorHAnsi"/>
          <w:bCs/>
          <w:color w:val="FF0000"/>
        </w:rPr>
        <w:t xml:space="preserve">Cognitive testing was conducted in two rounds. In Round 1, all respondents were tested using the paper and pencil instrument (PAPI). Two versions of the protocol were tested in Round 2, a PAPI version and a telephone instrument version. The PAPI version was administered to the first four respondents and the telephone instrument was administered to the remaining five respondents. </w:t>
      </w:r>
    </w:p>
    <w:p w14:paraId="1B3F302C" w14:textId="15453D91" w:rsidR="00EF7420" w:rsidRPr="00306F0F" w:rsidRDefault="00EF7420" w:rsidP="000E2190">
      <w:pPr>
        <w:autoSpaceDE w:val="0"/>
        <w:autoSpaceDN w:val="0"/>
        <w:adjustRightInd w:val="0"/>
        <w:spacing w:after="0" w:line="240" w:lineRule="auto"/>
        <w:rPr>
          <w:rFonts w:cstheme="minorHAnsi"/>
          <w:bCs/>
          <w:color w:val="FF0000"/>
        </w:rPr>
      </w:pPr>
    </w:p>
    <w:p w14:paraId="1C579727" w14:textId="2E141489" w:rsidR="00EF7420" w:rsidRPr="00306F0F" w:rsidRDefault="00EF7420" w:rsidP="000E2190">
      <w:pPr>
        <w:autoSpaceDE w:val="0"/>
        <w:autoSpaceDN w:val="0"/>
        <w:adjustRightInd w:val="0"/>
        <w:spacing w:after="0" w:line="240" w:lineRule="auto"/>
        <w:rPr>
          <w:rFonts w:cstheme="minorHAnsi"/>
          <w:bCs/>
          <w:color w:val="FF0000"/>
        </w:rPr>
      </w:pPr>
      <w:r w:rsidRPr="00306F0F">
        <w:rPr>
          <w:rFonts w:cstheme="minorHAnsi"/>
          <w:bCs/>
          <w:color w:val="FF0000"/>
        </w:rPr>
        <w:t xml:space="preserve">For the PAPI testing, respondents were asked to read each item aloud and to provide a response. Probing was conducted concurrently, that is, administered after respondents answered each question. Interviewers administered the probes contained in the scripted protocol and followed up on other topics that emerged in testing. Respondents were given a $50 incentive to thank them for their time. </w:t>
      </w:r>
    </w:p>
    <w:p w14:paraId="536494AD" w14:textId="3CE8C5A5" w:rsidR="00EF7420" w:rsidRPr="00306F0F" w:rsidRDefault="00EF7420" w:rsidP="000E2190">
      <w:pPr>
        <w:autoSpaceDE w:val="0"/>
        <w:autoSpaceDN w:val="0"/>
        <w:adjustRightInd w:val="0"/>
        <w:spacing w:after="0" w:line="240" w:lineRule="auto"/>
        <w:rPr>
          <w:rFonts w:cstheme="minorHAnsi"/>
          <w:bCs/>
          <w:color w:val="FF0000"/>
        </w:rPr>
      </w:pPr>
    </w:p>
    <w:p w14:paraId="48F33185" w14:textId="26A6AABE" w:rsidR="00EF7420" w:rsidRPr="00EF7420" w:rsidRDefault="00EF7420" w:rsidP="000E2190">
      <w:pPr>
        <w:autoSpaceDE w:val="0"/>
        <w:autoSpaceDN w:val="0"/>
        <w:adjustRightInd w:val="0"/>
        <w:spacing w:after="0" w:line="240" w:lineRule="auto"/>
        <w:rPr>
          <w:rFonts w:cstheme="minorHAnsi"/>
          <w:bCs/>
          <w:color w:val="FF0000"/>
        </w:rPr>
      </w:pPr>
      <w:r w:rsidRPr="00306F0F">
        <w:rPr>
          <w:rFonts w:cstheme="minorHAnsi"/>
          <w:bCs/>
          <w:color w:val="FF0000"/>
        </w:rPr>
        <w:lastRenderedPageBreak/>
        <w:t>For the telephone instrument, the interviewer explained to the respondent that this is a survey that will be conducted by telephone. To simulate a telephone survey environment, the interviewer dialed in via phone to the respondent from another location. The interviewer read each question aloud to the respondent and noted the responses. After completing the survey by phone, the interviewer re-entered the room and administered the protocol retrospectively. For ease of reference, the respondent was able to look at each question and the answer they had provided.</w:t>
      </w:r>
      <w:r>
        <w:rPr>
          <w:rFonts w:cstheme="minorHAnsi"/>
          <w:bCs/>
          <w:color w:val="FF0000"/>
        </w:rPr>
        <w:t xml:space="preserve"> </w:t>
      </w:r>
    </w:p>
    <w:p w14:paraId="2AE9B17B" w14:textId="4E7B4EF2" w:rsidR="00833325" w:rsidRPr="00A25024" w:rsidRDefault="00833325" w:rsidP="00DB3627">
      <w:pPr>
        <w:autoSpaceDE w:val="0"/>
        <w:autoSpaceDN w:val="0"/>
        <w:adjustRightInd w:val="0"/>
        <w:spacing w:after="0" w:line="240" w:lineRule="auto"/>
        <w:rPr>
          <w:rFonts w:cstheme="minorHAnsi"/>
          <w:bCs/>
        </w:rPr>
      </w:pPr>
    </w:p>
    <w:p w14:paraId="7577CA60" w14:textId="77777777" w:rsidR="000E2190"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6F53B359" w14:textId="77777777" w:rsidR="00A12DF9" w:rsidRDefault="00A12DF9" w:rsidP="00A12DF9">
      <w:pPr>
        <w:autoSpaceDE w:val="0"/>
        <w:autoSpaceDN w:val="0"/>
        <w:adjustRightInd w:val="0"/>
        <w:spacing w:after="0" w:line="240" w:lineRule="auto"/>
        <w:rPr>
          <w:rFonts w:cstheme="minorHAnsi"/>
          <w:bCs/>
          <w:color w:val="FF0000"/>
          <w:u w:val="single"/>
        </w:rPr>
      </w:pPr>
    </w:p>
    <w:p w14:paraId="3E57A35D" w14:textId="4CB6240B" w:rsidR="00A12DF9" w:rsidRDefault="00A12DF9" w:rsidP="00A12DF9">
      <w:pPr>
        <w:autoSpaceDE w:val="0"/>
        <w:autoSpaceDN w:val="0"/>
        <w:adjustRightInd w:val="0"/>
        <w:spacing w:after="0" w:line="240" w:lineRule="auto"/>
        <w:rPr>
          <w:rFonts w:cstheme="minorHAnsi"/>
          <w:bCs/>
          <w:color w:val="FF0000"/>
        </w:rPr>
      </w:pPr>
      <w:r w:rsidRPr="00B1157C">
        <w:rPr>
          <w:rFonts w:cstheme="minorHAnsi"/>
          <w:bCs/>
          <w:color w:val="FF0000"/>
          <w:u w:val="single"/>
        </w:rPr>
        <w:t xml:space="preserve">2016 update: </w:t>
      </w:r>
      <w:r w:rsidR="00977C25">
        <w:rPr>
          <w:rFonts w:cstheme="minorHAnsi"/>
          <w:bCs/>
          <w:color w:val="FF0000"/>
          <w:u w:val="single"/>
        </w:rPr>
        <w:t>results</w:t>
      </w:r>
      <w:r w:rsidRPr="00B1157C">
        <w:rPr>
          <w:rFonts w:cstheme="minorHAnsi"/>
          <w:bCs/>
          <w:color w:val="FF0000"/>
          <w:u w:val="single"/>
        </w:rPr>
        <w:t xml:space="preserve"> </w:t>
      </w:r>
      <w:r w:rsidR="00977C25">
        <w:rPr>
          <w:rFonts w:cstheme="minorHAnsi"/>
          <w:bCs/>
          <w:color w:val="FF0000"/>
          <w:u w:val="single"/>
        </w:rPr>
        <w:t xml:space="preserve">from assessment of </w:t>
      </w:r>
      <w:r w:rsidRPr="00B1157C">
        <w:rPr>
          <w:rFonts w:cstheme="minorHAnsi"/>
          <w:bCs/>
          <w:color w:val="FF0000"/>
          <w:u w:val="single"/>
        </w:rPr>
        <w:t>construct validity:</w:t>
      </w:r>
      <w:r>
        <w:rPr>
          <w:rFonts w:cstheme="minorHAnsi"/>
          <w:bCs/>
          <w:color w:val="FF0000"/>
        </w:rPr>
        <w:t xml:space="preserve"> The results indicate that the tobacco cessation rates are significantly correlated with each other in the direction that was hypothesized. </w:t>
      </w:r>
    </w:p>
    <w:p w14:paraId="16501AEC" w14:textId="59DCBAEC" w:rsidR="00A12DF9" w:rsidRDefault="00A12DF9" w:rsidP="00A12DF9">
      <w:pPr>
        <w:autoSpaceDE w:val="0"/>
        <w:autoSpaceDN w:val="0"/>
        <w:adjustRightInd w:val="0"/>
        <w:spacing w:after="0" w:line="240" w:lineRule="auto"/>
        <w:rPr>
          <w:rFonts w:cstheme="minorHAnsi"/>
          <w:bCs/>
          <w:color w:val="FF0000"/>
        </w:rPr>
      </w:pPr>
    </w:p>
    <w:p w14:paraId="03FBCBD3" w14:textId="3E1801B6" w:rsidR="00A12DF9" w:rsidRDefault="00A12DF9" w:rsidP="00A12DF9">
      <w:pPr>
        <w:autoSpaceDE w:val="0"/>
        <w:autoSpaceDN w:val="0"/>
        <w:adjustRightInd w:val="0"/>
        <w:spacing w:after="0" w:line="240" w:lineRule="auto"/>
        <w:rPr>
          <w:rFonts w:cstheme="minorHAnsi"/>
          <w:bCs/>
          <w:color w:val="FF0000"/>
        </w:rPr>
      </w:pPr>
      <w:r>
        <w:rPr>
          <w:rFonts w:cstheme="minorHAnsi"/>
          <w:bCs/>
          <w:color w:val="FF0000"/>
        </w:rPr>
        <w:t xml:space="preserve">Results of Pearson correlation coefficient analyses </w:t>
      </w:r>
      <w:r w:rsidR="00977C25">
        <w:rPr>
          <w:rFonts w:cstheme="minorHAnsi"/>
          <w:bCs/>
          <w:color w:val="FF0000"/>
        </w:rPr>
        <w:t>(commercial health plans)</w:t>
      </w:r>
    </w:p>
    <w:p w14:paraId="61B1464A" w14:textId="3BBA61E6" w:rsidR="00977C25" w:rsidRDefault="00977C25" w:rsidP="00977C25">
      <w:pPr>
        <w:pStyle w:val="ListParagraph"/>
        <w:numPr>
          <w:ilvl w:val="0"/>
          <w:numId w:val="33"/>
        </w:numPr>
        <w:autoSpaceDE w:val="0"/>
        <w:autoSpaceDN w:val="0"/>
        <w:adjustRightInd w:val="0"/>
        <w:spacing w:after="0" w:line="240" w:lineRule="auto"/>
        <w:rPr>
          <w:rFonts w:cstheme="minorHAnsi"/>
          <w:bCs/>
          <w:color w:val="FF0000"/>
        </w:rPr>
      </w:pPr>
      <w:r>
        <w:rPr>
          <w:rFonts w:cstheme="minorHAnsi"/>
          <w:bCs/>
          <w:color w:val="FF0000"/>
        </w:rPr>
        <w:t xml:space="preserve">Advising Smokers to Quit and </w:t>
      </w:r>
      <w:r w:rsidR="00C973DE">
        <w:rPr>
          <w:rFonts w:cstheme="minorHAnsi"/>
          <w:bCs/>
          <w:color w:val="FF0000"/>
        </w:rPr>
        <w:t xml:space="preserve">Discussing Cessation </w:t>
      </w:r>
      <w:r>
        <w:rPr>
          <w:rFonts w:cstheme="minorHAnsi"/>
          <w:bCs/>
          <w:color w:val="FF0000"/>
        </w:rPr>
        <w:t>Medications rates</w:t>
      </w:r>
    </w:p>
    <w:p w14:paraId="70EFF14B" w14:textId="61825338" w:rsidR="00977C25" w:rsidRDefault="00977C25" w:rsidP="00977C25">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Pearson correlation coefficient: 0.82</w:t>
      </w:r>
    </w:p>
    <w:p w14:paraId="5FBF79C9" w14:textId="09DEB035" w:rsidR="00977C25" w:rsidRDefault="00977C25" w:rsidP="00977C25">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P-value: &lt;.0001</w:t>
      </w:r>
    </w:p>
    <w:p w14:paraId="3F1A945B" w14:textId="5AEB2DC2" w:rsidR="00977C25" w:rsidRDefault="00977C25" w:rsidP="00977C25">
      <w:pPr>
        <w:pStyle w:val="ListParagraph"/>
        <w:numPr>
          <w:ilvl w:val="0"/>
          <w:numId w:val="33"/>
        </w:numPr>
        <w:autoSpaceDE w:val="0"/>
        <w:autoSpaceDN w:val="0"/>
        <w:adjustRightInd w:val="0"/>
        <w:spacing w:after="0" w:line="240" w:lineRule="auto"/>
        <w:rPr>
          <w:rFonts w:cstheme="minorHAnsi"/>
          <w:bCs/>
          <w:color w:val="FF0000"/>
        </w:rPr>
      </w:pPr>
      <w:r>
        <w:rPr>
          <w:rFonts w:cstheme="minorHAnsi"/>
          <w:bCs/>
          <w:color w:val="FF0000"/>
        </w:rPr>
        <w:t xml:space="preserve">Advising Smokers to Quit and </w:t>
      </w:r>
      <w:r w:rsidR="00AD5D21">
        <w:rPr>
          <w:rFonts w:cstheme="minorHAnsi"/>
          <w:bCs/>
          <w:color w:val="FF0000"/>
        </w:rPr>
        <w:t xml:space="preserve">Discussing Cessation </w:t>
      </w:r>
      <w:r>
        <w:rPr>
          <w:rFonts w:cstheme="minorHAnsi"/>
          <w:bCs/>
          <w:color w:val="FF0000"/>
        </w:rPr>
        <w:t>Strategies rates</w:t>
      </w:r>
    </w:p>
    <w:p w14:paraId="1877686F" w14:textId="6F01380F" w:rsidR="00977C25" w:rsidRDefault="00977C25" w:rsidP="00977C25">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Pearson correlation coefficient: 0.77</w:t>
      </w:r>
    </w:p>
    <w:p w14:paraId="1CD095DB" w14:textId="028E0EB4" w:rsidR="00977C25" w:rsidRDefault="00977C25" w:rsidP="00977C25">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P-value: &lt;.0001</w:t>
      </w:r>
    </w:p>
    <w:p w14:paraId="61BDFE38" w14:textId="66DB3521" w:rsidR="00977C25" w:rsidRDefault="00AD5D21" w:rsidP="00977C25">
      <w:pPr>
        <w:pStyle w:val="ListParagraph"/>
        <w:numPr>
          <w:ilvl w:val="0"/>
          <w:numId w:val="33"/>
        </w:numPr>
        <w:autoSpaceDE w:val="0"/>
        <w:autoSpaceDN w:val="0"/>
        <w:adjustRightInd w:val="0"/>
        <w:spacing w:after="0" w:line="240" w:lineRule="auto"/>
        <w:rPr>
          <w:rFonts w:cstheme="minorHAnsi"/>
          <w:bCs/>
          <w:color w:val="FF0000"/>
        </w:rPr>
      </w:pPr>
      <w:r>
        <w:rPr>
          <w:rFonts w:cstheme="minorHAnsi"/>
          <w:bCs/>
          <w:color w:val="FF0000"/>
        </w:rPr>
        <w:t xml:space="preserve">Discussing Cessation </w:t>
      </w:r>
      <w:r w:rsidR="00977C25">
        <w:rPr>
          <w:rFonts w:cstheme="minorHAnsi"/>
          <w:bCs/>
          <w:color w:val="FF0000"/>
        </w:rPr>
        <w:t xml:space="preserve">Medications and </w:t>
      </w:r>
      <w:r>
        <w:rPr>
          <w:rFonts w:cstheme="minorHAnsi"/>
          <w:bCs/>
          <w:color w:val="FF0000"/>
        </w:rPr>
        <w:t xml:space="preserve">Discussing Cessation </w:t>
      </w:r>
      <w:r w:rsidR="00977C25">
        <w:rPr>
          <w:rFonts w:cstheme="minorHAnsi"/>
          <w:bCs/>
          <w:color w:val="FF0000"/>
        </w:rPr>
        <w:t>Strategies rates</w:t>
      </w:r>
    </w:p>
    <w:p w14:paraId="3B6F559A" w14:textId="1130DB32" w:rsidR="00977C25" w:rsidRDefault="00977C25" w:rsidP="00977C25">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Pearson correlation coefficient: 0.85</w:t>
      </w:r>
    </w:p>
    <w:p w14:paraId="505FC842" w14:textId="33F67F61" w:rsidR="00977C25" w:rsidRPr="00977C25" w:rsidRDefault="00977C25" w:rsidP="00977C25">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P-value: &lt;.0001</w:t>
      </w:r>
    </w:p>
    <w:p w14:paraId="359011D0" w14:textId="23F8416A" w:rsidR="00A12DF9" w:rsidRDefault="00A12DF9" w:rsidP="00A12DF9">
      <w:pPr>
        <w:autoSpaceDE w:val="0"/>
        <w:autoSpaceDN w:val="0"/>
        <w:adjustRightInd w:val="0"/>
        <w:spacing w:after="0" w:line="240" w:lineRule="auto"/>
        <w:rPr>
          <w:rFonts w:cstheme="minorHAnsi"/>
          <w:bCs/>
          <w:color w:val="FF0000"/>
          <w:u w:val="single"/>
        </w:rPr>
      </w:pPr>
    </w:p>
    <w:p w14:paraId="5AEC475F" w14:textId="48FCEBAD" w:rsidR="00977C25" w:rsidRDefault="00977C25" w:rsidP="00977C25">
      <w:pPr>
        <w:autoSpaceDE w:val="0"/>
        <w:autoSpaceDN w:val="0"/>
        <w:adjustRightInd w:val="0"/>
        <w:spacing w:after="0" w:line="240" w:lineRule="auto"/>
        <w:rPr>
          <w:rFonts w:cstheme="minorHAnsi"/>
          <w:bCs/>
          <w:color w:val="FF0000"/>
        </w:rPr>
      </w:pPr>
      <w:r>
        <w:rPr>
          <w:rFonts w:cstheme="minorHAnsi"/>
          <w:bCs/>
          <w:color w:val="FF0000"/>
        </w:rPr>
        <w:t>Results of Pearson correlation coefficient analyses (Medicaid health plans)</w:t>
      </w:r>
    </w:p>
    <w:p w14:paraId="06DC8124" w14:textId="4548411C" w:rsidR="00977C25" w:rsidRDefault="00977C25" w:rsidP="00977C25">
      <w:pPr>
        <w:pStyle w:val="ListParagraph"/>
        <w:numPr>
          <w:ilvl w:val="0"/>
          <w:numId w:val="33"/>
        </w:numPr>
        <w:autoSpaceDE w:val="0"/>
        <w:autoSpaceDN w:val="0"/>
        <w:adjustRightInd w:val="0"/>
        <w:spacing w:after="0" w:line="240" w:lineRule="auto"/>
        <w:rPr>
          <w:rFonts w:cstheme="minorHAnsi"/>
          <w:bCs/>
          <w:color w:val="FF0000"/>
        </w:rPr>
      </w:pPr>
      <w:r>
        <w:rPr>
          <w:rFonts w:cstheme="minorHAnsi"/>
          <w:bCs/>
          <w:color w:val="FF0000"/>
        </w:rPr>
        <w:t xml:space="preserve">Advising Smokers to Quit and </w:t>
      </w:r>
      <w:r w:rsidR="00AD5D21">
        <w:rPr>
          <w:rFonts w:cstheme="minorHAnsi"/>
          <w:bCs/>
          <w:color w:val="FF0000"/>
        </w:rPr>
        <w:t xml:space="preserve">Discussing Cessation </w:t>
      </w:r>
      <w:r>
        <w:rPr>
          <w:rFonts w:cstheme="minorHAnsi"/>
          <w:bCs/>
          <w:color w:val="FF0000"/>
        </w:rPr>
        <w:t>Medications rates</w:t>
      </w:r>
    </w:p>
    <w:p w14:paraId="5452FB19" w14:textId="5FE45ECC" w:rsidR="00977C25" w:rsidRDefault="00977C25" w:rsidP="00977C25">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Pearson correlation coefficient: 0.74</w:t>
      </w:r>
    </w:p>
    <w:p w14:paraId="0E77D0B1" w14:textId="77777777" w:rsidR="00977C25" w:rsidRDefault="00977C25" w:rsidP="00977C25">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P-value: &lt;.0001</w:t>
      </w:r>
    </w:p>
    <w:p w14:paraId="258DCB47" w14:textId="3803E68E" w:rsidR="00977C25" w:rsidRDefault="00977C25" w:rsidP="00977C25">
      <w:pPr>
        <w:pStyle w:val="ListParagraph"/>
        <w:numPr>
          <w:ilvl w:val="0"/>
          <w:numId w:val="33"/>
        </w:numPr>
        <w:autoSpaceDE w:val="0"/>
        <w:autoSpaceDN w:val="0"/>
        <w:adjustRightInd w:val="0"/>
        <w:spacing w:after="0" w:line="240" w:lineRule="auto"/>
        <w:rPr>
          <w:rFonts w:cstheme="minorHAnsi"/>
          <w:bCs/>
          <w:color w:val="FF0000"/>
        </w:rPr>
      </w:pPr>
      <w:r>
        <w:rPr>
          <w:rFonts w:cstheme="minorHAnsi"/>
          <w:bCs/>
          <w:color w:val="FF0000"/>
        </w:rPr>
        <w:t xml:space="preserve">Advising Smokers to Quit and </w:t>
      </w:r>
      <w:r w:rsidR="00AD5D21">
        <w:rPr>
          <w:rFonts w:cstheme="minorHAnsi"/>
          <w:bCs/>
          <w:color w:val="FF0000"/>
        </w:rPr>
        <w:t xml:space="preserve">Discussing Cessation </w:t>
      </w:r>
      <w:r>
        <w:rPr>
          <w:rFonts w:cstheme="minorHAnsi"/>
          <w:bCs/>
          <w:color w:val="FF0000"/>
        </w:rPr>
        <w:t>Strategies rates</w:t>
      </w:r>
    </w:p>
    <w:p w14:paraId="4BBC2661" w14:textId="3215D8FC" w:rsidR="00977C25" w:rsidRDefault="00977C25" w:rsidP="00977C25">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Pearson correlation coefficient: 0.68</w:t>
      </w:r>
    </w:p>
    <w:p w14:paraId="0C192AF0" w14:textId="77777777" w:rsidR="00977C25" w:rsidRDefault="00977C25" w:rsidP="00977C25">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P-value: &lt;.0001</w:t>
      </w:r>
    </w:p>
    <w:p w14:paraId="3C90E88B" w14:textId="17480AE5" w:rsidR="00977C25" w:rsidRDefault="00AD5D21" w:rsidP="00977C25">
      <w:pPr>
        <w:pStyle w:val="ListParagraph"/>
        <w:numPr>
          <w:ilvl w:val="0"/>
          <w:numId w:val="33"/>
        </w:numPr>
        <w:autoSpaceDE w:val="0"/>
        <w:autoSpaceDN w:val="0"/>
        <w:adjustRightInd w:val="0"/>
        <w:spacing w:after="0" w:line="240" w:lineRule="auto"/>
        <w:rPr>
          <w:rFonts w:cstheme="minorHAnsi"/>
          <w:bCs/>
          <w:color w:val="FF0000"/>
        </w:rPr>
      </w:pPr>
      <w:r>
        <w:rPr>
          <w:rFonts w:cstheme="minorHAnsi"/>
          <w:bCs/>
          <w:color w:val="FF0000"/>
        </w:rPr>
        <w:t xml:space="preserve">Discussing Cessation </w:t>
      </w:r>
      <w:r w:rsidR="00977C25">
        <w:rPr>
          <w:rFonts w:cstheme="minorHAnsi"/>
          <w:bCs/>
          <w:color w:val="FF0000"/>
        </w:rPr>
        <w:t xml:space="preserve">Medications and </w:t>
      </w:r>
      <w:r>
        <w:rPr>
          <w:rFonts w:cstheme="minorHAnsi"/>
          <w:bCs/>
          <w:color w:val="FF0000"/>
        </w:rPr>
        <w:t xml:space="preserve">Discussing Cessation </w:t>
      </w:r>
      <w:r w:rsidR="00977C25">
        <w:rPr>
          <w:rFonts w:cstheme="minorHAnsi"/>
          <w:bCs/>
          <w:color w:val="FF0000"/>
        </w:rPr>
        <w:t>Strategies rates</w:t>
      </w:r>
    </w:p>
    <w:p w14:paraId="05F24D36" w14:textId="4A25A898" w:rsidR="00977C25" w:rsidRDefault="00977C25" w:rsidP="00A12DF9">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Pearson correlation coefficient: 0.84</w:t>
      </w:r>
    </w:p>
    <w:p w14:paraId="21C1A324" w14:textId="0447E7D0" w:rsidR="00977C25" w:rsidRPr="00977C25" w:rsidRDefault="00977C25" w:rsidP="00A12DF9">
      <w:pPr>
        <w:pStyle w:val="ListParagraph"/>
        <w:numPr>
          <w:ilvl w:val="1"/>
          <w:numId w:val="33"/>
        </w:numPr>
        <w:autoSpaceDE w:val="0"/>
        <w:autoSpaceDN w:val="0"/>
        <w:adjustRightInd w:val="0"/>
        <w:spacing w:after="0" w:line="240" w:lineRule="auto"/>
        <w:rPr>
          <w:rFonts w:cstheme="minorHAnsi"/>
          <w:bCs/>
          <w:color w:val="FF0000"/>
        </w:rPr>
      </w:pPr>
      <w:r>
        <w:rPr>
          <w:rFonts w:cstheme="minorHAnsi"/>
          <w:bCs/>
          <w:color w:val="FF0000"/>
        </w:rPr>
        <w:t>P-value: &lt;.0001</w:t>
      </w:r>
    </w:p>
    <w:p w14:paraId="563860FD" w14:textId="77777777" w:rsidR="00977C25" w:rsidRDefault="00977C25" w:rsidP="00A12DF9">
      <w:pPr>
        <w:autoSpaceDE w:val="0"/>
        <w:autoSpaceDN w:val="0"/>
        <w:adjustRightInd w:val="0"/>
        <w:spacing w:after="0" w:line="240" w:lineRule="auto"/>
        <w:rPr>
          <w:rFonts w:cstheme="minorHAnsi"/>
          <w:bCs/>
          <w:color w:val="1F497D" w:themeColor="text2"/>
          <w:u w:val="single"/>
        </w:rPr>
      </w:pPr>
    </w:p>
    <w:p w14:paraId="1AC04668" w14:textId="5992223D" w:rsidR="00A12DF9" w:rsidRPr="00A12DF9" w:rsidRDefault="00A12DF9" w:rsidP="00A12DF9">
      <w:pPr>
        <w:autoSpaceDE w:val="0"/>
        <w:autoSpaceDN w:val="0"/>
        <w:adjustRightInd w:val="0"/>
        <w:spacing w:after="0" w:line="240" w:lineRule="auto"/>
        <w:rPr>
          <w:rFonts w:cstheme="minorHAnsi"/>
          <w:bCs/>
          <w:color w:val="1F497D" w:themeColor="text2"/>
          <w:u w:val="single"/>
        </w:rPr>
      </w:pPr>
      <w:r>
        <w:rPr>
          <w:rFonts w:cstheme="minorHAnsi"/>
          <w:bCs/>
          <w:color w:val="1F497D" w:themeColor="text2"/>
          <w:u w:val="single"/>
        </w:rPr>
        <w:t xml:space="preserve">Results </w:t>
      </w:r>
      <w:r w:rsidRPr="00B1157C">
        <w:rPr>
          <w:rFonts w:cstheme="minorHAnsi"/>
          <w:bCs/>
          <w:color w:val="1F497D" w:themeColor="text2"/>
          <w:u w:val="single"/>
        </w:rPr>
        <w:t>for initial systematic assessment of f</w:t>
      </w:r>
      <w:r>
        <w:rPr>
          <w:rFonts w:cstheme="minorHAnsi"/>
          <w:bCs/>
          <w:color w:val="1F497D" w:themeColor="text2"/>
          <w:u w:val="single"/>
        </w:rPr>
        <w:t>ace validity:</w:t>
      </w:r>
    </w:p>
    <w:p w14:paraId="5D6575F7"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 xml:space="preserve">Step 1: The Medical Assistance with Smoking Cessation was reevaluated in 2008. NCQA’s Performance Measurement Department and the Smoking Cessation Measurement Workgroup worked together to rename the measure to Medical Assistance with Smoking and Tobacco Use Cessation and review the cognitive testing results of the CAPHS survey. </w:t>
      </w:r>
    </w:p>
    <w:p w14:paraId="186B5FEC"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6A4B9661"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Step 2: The proposed measure revisions and cognitive testing results were presented to the CPM in 2009. The CAHPS Survey has been deemed valid as a survey instrument. The CPM recommended to send the measure to public comment with a vote of 12 in favor and none opposed.</w:t>
      </w:r>
    </w:p>
    <w:p w14:paraId="70D50989"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37DBC81A" w14:textId="77777777" w:rsidR="000E2190" w:rsidRP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Step 3: The measure was released for Public Comment in spring 2009. We received and responded to comments on this measure. The CPM recommended moving this measure to first year data collection with a vote of 10 in favor and none opposed.</w:t>
      </w:r>
    </w:p>
    <w:p w14:paraId="059866B0" w14:textId="77777777" w:rsidR="000E2190" w:rsidRPr="000E2190" w:rsidRDefault="000E2190" w:rsidP="000E2190">
      <w:pPr>
        <w:autoSpaceDE w:val="0"/>
        <w:autoSpaceDN w:val="0"/>
        <w:adjustRightInd w:val="0"/>
        <w:spacing w:after="0" w:line="240" w:lineRule="auto"/>
        <w:rPr>
          <w:rFonts w:cstheme="minorHAnsi"/>
          <w:bCs/>
          <w:color w:val="1F497D" w:themeColor="text2"/>
        </w:rPr>
      </w:pPr>
    </w:p>
    <w:p w14:paraId="619990EC" w14:textId="56F611DC" w:rsidR="000E2190" w:rsidRDefault="000E2190" w:rsidP="000E2190">
      <w:pPr>
        <w:autoSpaceDE w:val="0"/>
        <w:autoSpaceDN w:val="0"/>
        <w:adjustRightInd w:val="0"/>
        <w:spacing w:after="0" w:line="240" w:lineRule="auto"/>
        <w:rPr>
          <w:rFonts w:cstheme="minorHAnsi"/>
          <w:bCs/>
          <w:color w:val="1F497D" w:themeColor="text2"/>
        </w:rPr>
      </w:pPr>
      <w:r w:rsidRPr="000E2190">
        <w:rPr>
          <w:rFonts w:cstheme="minorHAnsi"/>
          <w:bCs/>
          <w:color w:val="1F497D" w:themeColor="text2"/>
        </w:rPr>
        <w:t>Step 4: The Medical Assistance with Smoking and Tobacco Use Cessation measure was introduced in HEDIS 2010. Organizations reported the measures in the first year and the results were analyzed for public reporting in the following two years. The Cardiovascular MAP assumed the responsibilities of the Smoking Cessation Measurement Workgroup reviewed the first year results and recommended public reporting. The CPM recommended moving this measure public reporting with a vote of 10 in favor 1 opposed, and 1 abstained.</w:t>
      </w:r>
    </w:p>
    <w:p w14:paraId="3918097A" w14:textId="5364C343" w:rsidR="00A12DF9" w:rsidRDefault="00A12DF9" w:rsidP="000E2190">
      <w:pPr>
        <w:autoSpaceDE w:val="0"/>
        <w:autoSpaceDN w:val="0"/>
        <w:adjustRightInd w:val="0"/>
        <w:spacing w:after="0" w:line="240" w:lineRule="auto"/>
        <w:rPr>
          <w:rFonts w:cstheme="minorHAnsi"/>
          <w:bCs/>
          <w:color w:val="1F497D" w:themeColor="text2"/>
        </w:rPr>
      </w:pPr>
    </w:p>
    <w:p w14:paraId="1D6BD2D0" w14:textId="77777777" w:rsidR="00A857AB" w:rsidRPr="00A857AB" w:rsidRDefault="00A857AB" w:rsidP="00A857AB">
      <w:pPr>
        <w:autoSpaceDE w:val="0"/>
        <w:autoSpaceDN w:val="0"/>
        <w:adjustRightInd w:val="0"/>
        <w:spacing w:after="0" w:line="240" w:lineRule="auto"/>
        <w:rPr>
          <w:rFonts w:cstheme="minorHAnsi"/>
          <w:bCs/>
          <w:color w:val="FF0000"/>
        </w:rPr>
      </w:pPr>
      <w:r w:rsidRPr="00A857AB">
        <w:rPr>
          <w:rFonts w:cstheme="minorHAnsi"/>
          <w:bCs/>
          <w:color w:val="FF0000"/>
          <w:u w:val="single"/>
        </w:rPr>
        <w:t>Results from cognitive testing of survey questions:</w:t>
      </w:r>
      <w:r w:rsidRPr="00A857AB">
        <w:rPr>
          <w:rFonts w:cstheme="minorHAnsi"/>
          <w:bCs/>
          <w:color w:val="FF0000"/>
        </w:rPr>
        <w:t xml:space="preserve"> For the first topic, related to an individual’s current smoking status, respondents were asked to answer two questions: one that asked about cigarette use only, and one that asked about cigarette or tobacco use. Respondents were able to interpret the term “tobacco”, had no difficulty with the question, and preferred the question that used both smoking and tobacco to the question that used only smoking. </w:t>
      </w:r>
    </w:p>
    <w:p w14:paraId="4C833E64" w14:textId="77777777" w:rsidR="00A857AB" w:rsidRPr="00A857AB" w:rsidRDefault="00A857AB" w:rsidP="00A857AB">
      <w:pPr>
        <w:autoSpaceDE w:val="0"/>
        <w:autoSpaceDN w:val="0"/>
        <w:adjustRightInd w:val="0"/>
        <w:spacing w:after="0" w:line="240" w:lineRule="auto"/>
        <w:rPr>
          <w:rFonts w:cstheme="minorHAnsi"/>
          <w:bCs/>
          <w:color w:val="FF0000"/>
        </w:rPr>
      </w:pPr>
    </w:p>
    <w:p w14:paraId="61FD7172" w14:textId="77777777" w:rsidR="00A857AB" w:rsidRPr="00A857AB" w:rsidRDefault="00A857AB" w:rsidP="00A857AB">
      <w:pPr>
        <w:autoSpaceDE w:val="0"/>
        <w:autoSpaceDN w:val="0"/>
        <w:adjustRightInd w:val="0"/>
        <w:spacing w:after="0" w:line="240" w:lineRule="auto"/>
        <w:rPr>
          <w:rFonts w:cstheme="minorHAnsi"/>
          <w:bCs/>
          <w:color w:val="FF0000"/>
        </w:rPr>
      </w:pPr>
      <w:r w:rsidRPr="00A857AB">
        <w:rPr>
          <w:rFonts w:cstheme="minorHAnsi"/>
          <w:bCs/>
          <w:color w:val="FF0000"/>
        </w:rPr>
        <w:t xml:space="preserve">For the second topic, related to an individual’s experience with receiving advice to quit smoking by a doctor or other health provider, respondents were asked to answer two questions: one that used response options about the number of visits (eg, “1 visit”, “2 to 4 visits”, etc.) and one that used open quantifier response options (eg, “never”, “once”, “sometimes”, etc.). Respondents were generally more comfortable with the open quantifier response options, strongly preferring those response options to the options using number of visits. Respondents reported that the open quantifier response options were easier, and did not require remembering a concrete number of visits. </w:t>
      </w:r>
    </w:p>
    <w:p w14:paraId="52F60A90" w14:textId="77777777" w:rsidR="00A857AB" w:rsidRPr="00A857AB" w:rsidRDefault="00A857AB" w:rsidP="00A857AB">
      <w:pPr>
        <w:autoSpaceDE w:val="0"/>
        <w:autoSpaceDN w:val="0"/>
        <w:adjustRightInd w:val="0"/>
        <w:spacing w:after="0" w:line="240" w:lineRule="auto"/>
        <w:rPr>
          <w:rFonts w:cstheme="minorHAnsi"/>
          <w:bCs/>
          <w:color w:val="FF0000"/>
        </w:rPr>
      </w:pPr>
    </w:p>
    <w:p w14:paraId="2AE9B17C" w14:textId="44002295" w:rsidR="007422FD" w:rsidRPr="00A857AB" w:rsidRDefault="00A857AB" w:rsidP="00A857AB">
      <w:pPr>
        <w:autoSpaceDE w:val="0"/>
        <w:autoSpaceDN w:val="0"/>
        <w:adjustRightInd w:val="0"/>
        <w:spacing w:after="0" w:line="240" w:lineRule="auto"/>
        <w:rPr>
          <w:rFonts w:cstheme="minorHAnsi"/>
          <w:bCs/>
          <w:color w:val="1F497D" w:themeColor="text2"/>
        </w:rPr>
      </w:pPr>
      <w:r w:rsidRPr="00A857AB">
        <w:rPr>
          <w:rFonts w:cstheme="minorHAnsi"/>
          <w:bCs/>
          <w:color w:val="FF0000"/>
        </w:rPr>
        <w:t>Similar to the second topic, for the third topic (related to an individual’s experience with discussing cessation medications) and fourth topic (related to an individual’s experience with discussing cessation methods other than medication), respondents were asked to answer two questions: one that used response options about the number of visits and one that used open quantifier response options. As with the second topic, respondents preferred the open quantifier response options. Respondents found it helpful that the questions included examples of cessation medications and cessation methods other than medication.</w:t>
      </w:r>
      <w:r w:rsidR="00833325" w:rsidRPr="000E2190">
        <w:rPr>
          <w:rFonts w:cstheme="minorHAnsi"/>
          <w:bCs/>
          <w:color w:val="1F497D" w:themeColor="text2"/>
          <w:u w:val="single"/>
        </w:rPr>
        <w:br/>
      </w:r>
    </w:p>
    <w:p w14:paraId="2AE9B17D" w14:textId="5F3ACFD4" w:rsidR="007422FD"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6E43F42B" w14:textId="5A8DDAD4" w:rsidR="00977C25" w:rsidRDefault="00977C25" w:rsidP="00DB3627">
      <w:pPr>
        <w:autoSpaceDE w:val="0"/>
        <w:autoSpaceDN w:val="0"/>
        <w:adjustRightInd w:val="0"/>
        <w:spacing w:after="0" w:line="240" w:lineRule="auto"/>
        <w:rPr>
          <w:rFonts w:cstheme="minorHAnsi"/>
          <w:bCs/>
          <w:color w:val="FF0000"/>
        </w:rPr>
      </w:pPr>
      <w:r w:rsidRPr="00B1157C">
        <w:rPr>
          <w:rFonts w:cstheme="minorHAnsi"/>
          <w:bCs/>
          <w:color w:val="FF0000"/>
          <w:u w:val="single"/>
        </w:rPr>
        <w:t xml:space="preserve">2016 update: </w:t>
      </w:r>
      <w:r>
        <w:rPr>
          <w:rFonts w:cstheme="minorHAnsi"/>
          <w:bCs/>
          <w:color w:val="FF0000"/>
          <w:u w:val="single"/>
        </w:rPr>
        <w:t>interpretation of results</w:t>
      </w:r>
      <w:r w:rsidRPr="00B1157C">
        <w:rPr>
          <w:rFonts w:cstheme="minorHAnsi"/>
          <w:bCs/>
          <w:color w:val="FF0000"/>
          <w:u w:val="single"/>
        </w:rPr>
        <w:t xml:space="preserve"> </w:t>
      </w:r>
      <w:r>
        <w:rPr>
          <w:rFonts w:cstheme="minorHAnsi"/>
          <w:bCs/>
          <w:color w:val="FF0000"/>
          <w:u w:val="single"/>
        </w:rPr>
        <w:t xml:space="preserve">from assessment of </w:t>
      </w:r>
      <w:r w:rsidRPr="00B1157C">
        <w:rPr>
          <w:rFonts w:cstheme="minorHAnsi"/>
          <w:bCs/>
          <w:color w:val="FF0000"/>
          <w:u w:val="single"/>
        </w:rPr>
        <w:t>construct validity:</w:t>
      </w:r>
      <w:r w:rsidR="006B599D">
        <w:rPr>
          <w:rFonts w:cstheme="minorHAnsi"/>
          <w:bCs/>
          <w:color w:val="FF0000"/>
        </w:rPr>
        <w:t xml:space="preserve"> Coefficients with absolute value of </w:t>
      </w:r>
      <w:r w:rsidR="000417BC">
        <w:rPr>
          <w:rFonts w:cstheme="minorHAnsi"/>
          <w:bCs/>
          <w:color w:val="FF0000"/>
        </w:rPr>
        <w:t xml:space="preserve">less than 0.3 are generally considered indicative of weak associations whereas absolute values of 0.3 or higher denote moderate to strong associations. </w:t>
      </w:r>
      <w:r w:rsidR="006B599D">
        <w:rPr>
          <w:rFonts w:cstheme="minorHAnsi"/>
          <w:bCs/>
          <w:color w:val="FF0000"/>
        </w:rPr>
        <w:t xml:space="preserve">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0.0001 to evaluate the test results. P-values less than this this threshold imply that it is unlikely that a non-zero coefficient was observed due to chance alone. The results confirmed the hypotheses that the tobacco cessation rates are positively correlated with each other, suggesting they represent the same underlying quality construct of tobacco cessation care. </w:t>
      </w:r>
    </w:p>
    <w:p w14:paraId="59DD1664" w14:textId="77777777" w:rsidR="00A857AB" w:rsidRPr="000417BC" w:rsidRDefault="00A857AB" w:rsidP="00DB3627">
      <w:pPr>
        <w:autoSpaceDE w:val="0"/>
        <w:autoSpaceDN w:val="0"/>
        <w:adjustRightInd w:val="0"/>
        <w:spacing w:after="0" w:line="240" w:lineRule="auto"/>
        <w:rPr>
          <w:rFonts w:cstheme="minorHAnsi"/>
          <w:bCs/>
          <w:color w:val="FF0000"/>
        </w:rPr>
      </w:pPr>
    </w:p>
    <w:p w14:paraId="11043950" w14:textId="189529FB" w:rsidR="006B599D" w:rsidRPr="000417BC" w:rsidRDefault="00A857AB" w:rsidP="00DB3627">
      <w:pPr>
        <w:autoSpaceDE w:val="0"/>
        <w:autoSpaceDN w:val="0"/>
        <w:adjustRightInd w:val="0"/>
        <w:spacing w:after="0" w:line="240" w:lineRule="auto"/>
        <w:rPr>
          <w:rFonts w:cstheme="minorHAnsi"/>
          <w:bCs/>
          <w:color w:val="FF0000"/>
        </w:rPr>
      </w:pPr>
      <w:r w:rsidRPr="000417BC">
        <w:rPr>
          <w:rFonts w:cstheme="minorHAnsi"/>
          <w:bCs/>
          <w:color w:val="FF0000"/>
          <w:u w:val="single"/>
        </w:rPr>
        <w:t>Interpretation of results from cognitive testing of survey questions:</w:t>
      </w:r>
      <w:r w:rsidRPr="000417BC">
        <w:rPr>
          <w:rFonts w:cstheme="minorHAnsi"/>
          <w:bCs/>
          <w:color w:val="FF0000"/>
        </w:rPr>
        <w:t xml:space="preserve"> Respondents were able to answer the survey questions. They were able to interpret the addition of “tobacco” and they preferred open quantifier response options to </w:t>
      </w:r>
      <w:r w:rsidR="000417BC" w:rsidRPr="000417BC">
        <w:rPr>
          <w:rFonts w:cstheme="minorHAnsi"/>
          <w:bCs/>
          <w:color w:val="FF0000"/>
        </w:rPr>
        <w:t xml:space="preserve">response options that required them to recall the number of visits at which they discussed smoking or tobacco use cessation. </w:t>
      </w:r>
    </w:p>
    <w:p w14:paraId="2AE9B17E"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lastRenderedPageBreak/>
        <w:t>_________________________</w:t>
      </w:r>
    </w:p>
    <w:p w14:paraId="2AE9B17F"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2AE9B180" w14:textId="3F322E4A"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Content>
          <w:r w:rsidR="000E2190">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2AE9B181" w14:textId="77777777" w:rsidR="00001D73" w:rsidRDefault="00001D73" w:rsidP="00DB3627">
      <w:pPr>
        <w:autoSpaceDE w:val="0"/>
        <w:autoSpaceDN w:val="0"/>
        <w:adjustRightInd w:val="0"/>
        <w:spacing w:after="0" w:line="240" w:lineRule="auto"/>
        <w:rPr>
          <w:rFonts w:cstheme="minorHAnsi"/>
          <w:b/>
          <w:bCs/>
        </w:rPr>
      </w:pPr>
    </w:p>
    <w:p w14:paraId="2AE9B182" w14:textId="77777777"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2AE9B183" w14:textId="77777777" w:rsidR="00833325" w:rsidRPr="00A25024" w:rsidRDefault="00833325" w:rsidP="00DB3627">
      <w:pPr>
        <w:autoSpaceDE w:val="0"/>
        <w:autoSpaceDN w:val="0"/>
        <w:adjustRightInd w:val="0"/>
        <w:spacing w:after="0" w:line="240" w:lineRule="auto"/>
        <w:rPr>
          <w:rFonts w:cstheme="minorHAnsi"/>
          <w:bCs/>
        </w:rPr>
      </w:pPr>
    </w:p>
    <w:p w14:paraId="2AE9B184"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2AE9B185" w14:textId="77777777" w:rsidR="00092566" w:rsidRPr="009D3882" w:rsidRDefault="00092566" w:rsidP="00092566">
      <w:pPr>
        <w:autoSpaceDE w:val="0"/>
        <w:autoSpaceDN w:val="0"/>
        <w:adjustRightInd w:val="0"/>
        <w:spacing w:after="0" w:line="240" w:lineRule="auto"/>
        <w:rPr>
          <w:rFonts w:cstheme="minorHAnsi"/>
          <w:bCs/>
          <w:sz w:val="12"/>
        </w:rPr>
      </w:pPr>
    </w:p>
    <w:p w14:paraId="2AE9B186" w14:textId="77777777"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2AE9B187"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2AE9B188" w14:textId="77777777"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2AE9B189" w14:textId="77777777" w:rsidR="008871A9" w:rsidRDefault="008871A9" w:rsidP="00092566">
      <w:pPr>
        <w:autoSpaceDE w:val="0"/>
        <w:autoSpaceDN w:val="0"/>
        <w:adjustRightInd w:val="0"/>
        <w:spacing w:after="0" w:line="240" w:lineRule="auto"/>
        <w:rPr>
          <w:rFonts w:cstheme="minorHAnsi"/>
          <w:b/>
          <w:bCs/>
        </w:rPr>
      </w:pPr>
    </w:p>
    <w:p w14:paraId="2AE9B18A"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2AE9B18B" w14:textId="48AAC47E" w:rsidR="00033038" w:rsidRPr="005232D6" w:rsidRDefault="00CD7139"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Content>
          <w:r w:rsidR="000E2190">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2AE9B18C" w14:textId="77777777" w:rsidR="00743E46" w:rsidRPr="005232D6" w:rsidRDefault="00CD7139"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2AE9B18D" w14:textId="77777777" w:rsidR="00743E46" w:rsidRPr="005232D6" w:rsidRDefault="00CD7139"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2AE9B18E" w14:textId="77777777" w:rsidR="00743E46" w:rsidRPr="005232D6" w:rsidRDefault="00CD7139"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2AE9B18F" w14:textId="77777777" w:rsidR="00743E46" w:rsidRDefault="00743E46" w:rsidP="00092566">
      <w:pPr>
        <w:autoSpaceDE w:val="0"/>
        <w:autoSpaceDN w:val="0"/>
        <w:adjustRightInd w:val="0"/>
        <w:spacing w:after="0" w:line="240" w:lineRule="auto"/>
        <w:rPr>
          <w:rFonts w:cstheme="minorHAnsi"/>
          <w:b/>
          <w:bCs/>
        </w:rPr>
      </w:pPr>
    </w:p>
    <w:p w14:paraId="2AE9B190" w14:textId="77777777" w:rsidR="00092566" w:rsidRDefault="000B7D57" w:rsidP="00F34FAB">
      <w:pPr>
        <w:autoSpaceDE w:val="0"/>
        <w:autoSpaceDN w:val="0"/>
        <w:adjustRightInd w:val="0"/>
        <w:spacing w:after="0" w:line="240" w:lineRule="auto"/>
        <w:rPr>
          <w:rFonts w:cstheme="minorHAnsi"/>
          <w:bCs/>
        </w:rPr>
      </w:pPr>
      <w:r w:rsidRPr="00450C58">
        <w:rPr>
          <w:rFonts w:cstheme="minorHAnsi"/>
          <w:b/>
          <w:bCs/>
        </w:rPr>
        <w:t xml:space="preserve">2b4.1.1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2AE9B191" w14:textId="77777777" w:rsidR="009D3882" w:rsidRDefault="009D3882" w:rsidP="009D3882">
      <w:pPr>
        <w:rPr>
          <w:rFonts w:cs="Calibri"/>
          <w:b/>
          <w:bCs/>
        </w:rPr>
      </w:pPr>
    </w:p>
    <w:p w14:paraId="2AE9B192" w14:textId="77777777" w:rsidR="009D3882" w:rsidRPr="009D3882" w:rsidRDefault="009D3882" w:rsidP="009D3882">
      <w:pPr>
        <w:rPr>
          <w:rFonts w:cstheme="minorHAnsi"/>
          <w:b/>
          <w:bCs/>
          <w:sz w:val="14"/>
        </w:rPr>
      </w:pPr>
      <w:r>
        <w:rPr>
          <w:rFonts w:cs="Calibri"/>
          <w:b/>
          <w:bCs/>
        </w:rPr>
        <w:t xml:space="preserve">2b4.2. If an outcome or resource use component measure is </w:t>
      </w:r>
      <w:r>
        <w:rPr>
          <w:rFonts w:cs="Calibri"/>
          <w:b/>
          <w:bCs/>
          <w:u w:val="single"/>
        </w:rPr>
        <w:t>not risk adjusted or stratified</w:t>
      </w:r>
      <w:r>
        <w:rPr>
          <w:rFonts w:cs="Calibri"/>
          <w:b/>
          <w:bCs/>
        </w:rPr>
        <w:t xml:space="preserve">, provide </w:t>
      </w:r>
      <w:r>
        <w:rPr>
          <w:rFonts w:cs="Calibri"/>
          <w:b/>
          <w:bCs/>
          <w:u w:val="single"/>
        </w:rPr>
        <w:t>rationale and analyses</w:t>
      </w:r>
      <w:r>
        <w:rPr>
          <w:rFonts w:cs="Calibri"/>
          <w:b/>
          <w:bCs/>
        </w:rPr>
        <w:t xml:space="preserve"> to demonstrate that controlling for differences in patient characteristics (case mix) is not needed to achieve fair comparisons across measured entities</w:t>
      </w:r>
      <w:r>
        <w:rPr>
          <w:rFonts w:cs="Calibri"/>
          <w:bCs/>
        </w:rPr>
        <w:t xml:space="preserve">. </w:t>
      </w:r>
      <w:r>
        <w:rPr>
          <w:rFonts w:cs="Calibri"/>
          <w:bCs/>
        </w:rPr>
        <w:br/>
      </w:r>
    </w:p>
    <w:p w14:paraId="2AE9B193" w14:textId="77777777" w:rsidR="00092566" w:rsidRPr="009D3882" w:rsidRDefault="00092566" w:rsidP="009D3882">
      <w:pPr>
        <w:rPr>
          <w:rFonts w:cstheme="minorHAnsi"/>
          <w:bCs/>
          <w:sz w:val="4"/>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21054A">
        <w:rPr>
          <w:rFonts w:cstheme="minorHAnsi"/>
          <w:b/>
          <w:bCs/>
        </w:rPr>
        <w:t xml:space="preserve">sociodemographic factors) </w:t>
      </w:r>
      <w:r w:rsidRPr="00A25024">
        <w:rPr>
          <w:rFonts w:cstheme="minorHAnsi"/>
          <w:b/>
          <w:bCs/>
        </w:rPr>
        <w:t>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Pr="00A25024">
        <w:rPr>
          <w:rFonts w:cstheme="minorHAnsi"/>
          <w:bCs/>
        </w:rPr>
        <w:t>)</w:t>
      </w:r>
      <w:r w:rsidRPr="00A25024">
        <w:rPr>
          <w:rFonts w:cstheme="minorHAnsi"/>
          <w:bCs/>
        </w:rPr>
        <w:br/>
      </w:r>
    </w:p>
    <w:p w14:paraId="2AE9B194" w14:textId="77777777" w:rsidR="00001D73" w:rsidRPr="00001D73" w:rsidRDefault="00001D73" w:rsidP="00001D73">
      <w:pPr>
        <w:autoSpaceDE w:val="0"/>
        <w:autoSpaceDN w:val="0"/>
        <w:adjustRightInd w:val="0"/>
        <w:spacing w:after="0" w:line="240" w:lineRule="auto"/>
        <w:rPr>
          <w:rFonts w:cstheme="minorHAnsi"/>
          <w:bCs/>
        </w:rPr>
      </w:pPr>
    </w:p>
    <w:p w14:paraId="2AE9B195" w14:textId="77777777" w:rsidR="00092566" w:rsidRDefault="00092566" w:rsidP="00001D73">
      <w:pPr>
        <w:autoSpaceDE w:val="0"/>
        <w:autoSpaceDN w:val="0"/>
        <w:adjustRightInd w:val="0"/>
        <w:spacing w:after="0" w:line="240" w:lineRule="auto"/>
        <w:rPr>
          <w:rFonts w:cstheme="minorHAnsi"/>
          <w:b/>
          <w:bCs/>
        </w:rPr>
      </w:pPr>
      <w:r>
        <w:rPr>
          <w:rFonts w:cstheme="minorHAnsi"/>
          <w:b/>
          <w:bCs/>
        </w:rPr>
        <w:t>2b4.4</w:t>
      </w:r>
      <w:r w:rsidR="00193F21">
        <w:rPr>
          <w:rFonts w:cstheme="minorHAnsi"/>
          <w:b/>
          <w:bCs/>
        </w:rPr>
        <w:t>a</w:t>
      </w:r>
      <w:r>
        <w:rPr>
          <w:rFonts w:cstheme="minorHAnsi"/>
          <w:b/>
          <w:bCs/>
        </w:rPr>
        <w:t xml:space="preserve">. </w:t>
      </w:r>
      <w:r w:rsidRPr="00A25024">
        <w:rPr>
          <w:rFonts w:cstheme="minorHAnsi"/>
          <w:b/>
          <w:bCs/>
        </w:rPr>
        <w:t>What were the statistical results of the analyses used to select risk factors?</w:t>
      </w:r>
      <w:r w:rsidR="00001D73">
        <w:rPr>
          <w:rFonts w:cstheme="minorHAnsi"/>
          <w:b/>
          <w:bCs/>
        </w:rPr>
        <w:br/>
      </w:r>
    </w:p>
    <w:p w14:paraId="2AE9B196" w14:textId="77777777" w:rsidR="00001D73" w:rsidRDefault="00C1695E" w:rsidP="00001D73">
      <w:pPr>
        <w:autoSpaceDE w:val="0"/>
        <w:autoSpaceDN w:val="0"/>
        <w:adjustRightInd w:val="0"/>
        <w:spacing w:after="0" w:line="240" w:lineRule="auto"/>
        <w:rPr>
          <w:rFonts w:cstheme="minorHAnsi"/>
          <w:b/>
          <w:bCs/>
        </w:rPr>
      </w:pPr>
      <w:r>
        <w:rPr>
          <w:rFonts w:cstheme="minorHAnsi"/>
          <w:b/>
          <w:bCs/>
        </w:rPr>
        <w:lastRenderedPageBreak/>
        <w:t>2b4.4b. Describe the analyses and interpretation resulting in the decision to select SDS factors (e.g. prevalence of the factor across measured entities, empirical association with the outcome, contribution of unique variation in the outcome, assessment of between-unit effects and within-unit effects)</w:t>
      </w:r>
    </w:p>
    <w:p w14:paraId="2AE9B197" w14:textId="77777777" w:rsidR="00C1695E" w:rsidRPr="00001D73" w:rsidRDefault="00C1695E" w:rsidP="00001D73">
      <w:pPr>
        <w:autoSpaceDE w:val="0"/>
        <w:autoSpaceDN w:val="0"/>
        <w:adjustRightInd w:val="0"/>
        <w:spacing w:after="0" w:line="240" w:lineRule="auto"/>
        <w:rPr>
          <w:rFonts w:cstheme="minorHAnsi"/>
          <w:b/>
          <w:bCs/>
        </w:rPr>
      </w:pPr>
    </w:p>
    <w:p w14:paraId="2AE9B198"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2AE9B199"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2AE9B19A" w14:textId="77777777" w:rsidR="00743E46" w:rsidRDefault="00743E46" w:rsidP="00092566">
      <w:pPr>
        <w:autoSpaceDE w:val="0"/>
        <w:autoSpaceDN w:val="0"/>
        <w:adjustRightInd w:val="0"/>
        <w:spacing w:after="0" w:line="240" w:lineRule="auto"/>
        <w:rPr>
          <w:rFonts w:cstheme="minorHAnsi"/>
          <w:b/>
          <w:bCs/>
        </w:rPr>
      </w:pPr>
    </w:p>
    <w:p w14:paraId="2AE9B19B" w14:textId="77777777"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2AE9B19C" w14:textId="77777777"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2AE9B19D" w14:textId="77777777"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2AE9B19E" w14:textId="77777777" w:rsidR="00092566" w:rsidRPr="00A25024"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2AE9B19F" w14:textId="77777777" w:rsidR="00092566" w:rsidRPr="00A25024" w:rsidRDefault="00092566" w:rsidP="00092566">
      <w:pPr>
        <w:pStyle w:val="ListParagraph"/>
        <w:rPr>
          <w:rFonts w:cstheme="minorHAnsi"/>
          <w:bCs/>
        </w:rPr>
      </w:pPr>
    </w:p>
    <w:p w14:paraId="2AE9B1A0"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2AE9B1A1" w14:textId="77777777" w:rsidR="00092566" w:rsidRPr="00A25024" w:rsidRDefault="00092566" w:rsidP="00092566">
      <w:pPr>
        <w:spacing w:after="0" w:line="240" w:lineRule="auto"/>
        <w:rPr>
          <w:rFonts w:cstheme="minorHAnsi"/>
        </w:rPr>
      </w:pPr>
    </w:p>
    <w:p w14:paraId="2AE9B1A2"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2AE9B1A3" w14:textId="77777777" w:rsidR="003755CB" w:rsidRDefault="003755CB" w:rsidP="00D61410">
      <w:pPr>
        <w:autoSpaceDE w:val="0"/>
        <w:autoSpaceDN w:val="0"/>
        <w:adjustRightInd w:val="0"/>
        <w:spacing w:after="0" w:line="240" w:lineRule="auto"/>
        <w:rPr>
          <w:rFonts w:cstheme="minorHAnsi"/>
          <w:b/>
          <w:bCs/>
        </w:rPr>
      </w:pPr>
    </w:p>
    <w:p w14:paraId="2AE9B1A4"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2AE9B1A5" w14:textId="77777777"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14:paraId="2AE9B1A6" w14:textId="516C80E2" w:rsidR="00D61410"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14:paraId="35A1831E" w14:textId="0B9EF3C6" w:rsidR="006B599D" w:rsidRPr="00A7626D" w:rsidRDefault="006B599D" w:rsidP="006B599D">
      <w:pPr>
        <w:autoSpaceDE w:val="0"/>
        <w:autoSpaceDN w:val="0"/>
        <w:adjustRightInd w:val="0"/>
        <w:spacing w:after="0" w:line="240" w:lineRule="auto"/>
        <w:rPr>
          <w:rFonts w:cstheme="minorHAnsi"/>
          <w:bCs/>
          <w:color w:val="FF0000"/>
        </w:rPr>
      </w:pPr>
      <w:r w:rsidRPr="000E2190">
        <w:rPr>
          <w:rFonts w:cstheme="minorHAnsi"/>
          <w:bCs/>
          <w:color w:val="FF0000"/>
          <w:u w:val="single"/>
        </w:rPr>
        <w:t xml:space="preserve">2016 </w:t>
      </w:r>
      <w:r>
        <w:rPr>
          <w:rFonts w:cstheme="minorHAnsi"/>
          <w:bCs/>
          <w:color w:val="FF0000"/>
          <w:u w:val="single"/>
        </w:rPr>
        <w:t>u</w:t>
      </w:r>
      <w:r w:rsidRPr="000E2190">
        <w:rPr>
          <w:rFonts w:cstheme="minorHAnsi"/>
          <w:bCs/>
          <w:color w:val="FF0000"/>
          <w:u w:val="single"/>
        </w:rPr>
        <w:t>pdate:</w:t>
      </w:r>
      <w:r w:rsidR="00A7626D">
        <w:rPr>
          <w:rFonts w:cstheme="minorHAnsi"/>
          <w:bCs/>
          <w:color w:val="FF0000"/>
        </w:rPr>
        <w:t xml:space="preserve"> </w:t>
      </w:r>
      <w:r w:rsidR="00A7626D" w:rsidRPr="00A7626D">
        <w:rPr>
          <w:rFonts w:cstheme="minorHAnsi"/>
          <w:bCs/>
          <w:color w:val="FF0000"/>
        </w:rPr>
        <w:t>To demonstrate meaningful differences in performance, NCQA calculates an inter-quartile range (IQR) for each indicator. The IQR provides a measure of the dispersion of performance. The IQR can be interpreted as the difference between the 25th and 75th percentile on a measure.  To determine if this difference is statistically significant, NCQA calculates an independent sample t-test of the performance difference between two randomly selected plans at the 25th and 75th percentile. The t-test method calculates a testing statistic based on the sample size, performance rate, and standardized error of each plan.  The test statistic is then compared against a</w:t>
      </w:r>
      <w:r w:rsidR="00A7626D">
        <w:rPr>
          <w:rFonts w:cstheme="minorHAnsi"/>
          <w:bCs/>
          <w:color w:val="FF0000"/>
        </w:rPr>
        <w:t xml:space="preserve"> normal distribution.  If the p-</w:t>
      </w:r>
      <w:r w:rsidR="00A7626D" w:rsidRPr="00A7626D">
        <w:rPr>
          <w:rFonts w:cstheme="minorHAnsi"/>
          <w:bCs/>
          <w:color w:val="FF0000"/>
        </w:rPr>
        <w:t xml:space="preserve">value of the test statistic is less than .05, then the two plans’ performance is significantly different from each other. Using this method, we compared the performance rates of two randomly selected plans, one plan in the 25th percentile and another plan in the 75th percentile of performance. We used these two plans </w:t>
      </w:r>
      <w:r w:rsidR="00A7626D" w:rsidRPr="00A7626D">
        <w:rPr>
          <w:rFonts w:cstheme="minorHAnsi"/>
          <w:bCs/>
          <w:color w:val="FF0000"/>
        </w:rPr>
        <w:lastRenderedPageBreak/>
        <w:t>as examples of measured entities. However</w:t>
      </w:r>
      <w:r w:rsidR="00A7626D">
        <w:rPr>
          <w:rFonts w:cstheme="minorHAnsi"/>
          <w:bCs/>
          <w:color w:val="FF0000"/>
        </w:rPr>
        <w:t>,</w:t>
      </w:r>
      <w:r w:rsidR="00A7626D" w:rsidRPr="00A7626D">
        <w:rPr>
          <w:rFonts w:cstheme="minorHAnsi"/>
          <w:bCs/>
          <w:color w:val="FF0000"/>
        </w:rPr>
        <w:t xml:space="preserve"> the method can be used for comparison of any two measured entities.</w:t>
      </w:r>
    </w:p>
    <w:p w14:paraId="1191FE03" w14:textId="77777777" w:rsidR="006B599D" w:rsidRDefault="006B599D" w:rsidP="000E2190">
      <w:pPr>
        <w:autoSpaceDE w:val="0"/>
        <w:autoSpaceDN w:val="0"/>
        <w:adjustRightInd w:val="0"/>
        <w:spacing w:after="0" w:line="240" w:lineRule="auto"/>
        <w:rPr>
          <w:rFonts w:cstheme="minorHAnsi"/>
          <w:bCs/>
          <w:color w:val="1F497D" w:themeColor="text2"/>
        </w:rPr>
      </w:pPr>
    </w:p>
    <w:p w14:paraId="0A58A7EF" w14:textId="60F89D17" w:rsidR="000E2190" w:rsidRDefault="006B599D" w:rsidP="000E2190">
      <w:pPr>
        <w:autoSpaceDE w:val="0"/>
        <w:autoSpaceDN w:val="0"/>
        <w:adjustRightInd w:val="0"/>
        <w:spacing w:after="0" w:line="240" w:lineRule="auto"/>
        <w:rPr>
          <w:rFonts w:cstheme="minorHAnsi"/>
          <w:bCs/>
          <w:color w:val="1F497D" w:themeColor="text2"/>
        </w:rPr>
      </w:pPr>
      <w:r w:rsidRPr="006B599D">
        <w:rPr>
          <w:rFonts w:cstheme="minorHAnsi"/>
          <w:bCs/>
          <w:color w:val="1F497D" w:themeColor="text2"/>
          <w:u w:val="single"/>
        </w:rPr>
        <w:t>Previous submission:</w:t>
      </w:r>
      <w:r>
        <w:rPr>
          <w:rFonts w:cstheme="minorHAnsi"/>
          <w:bCs/>
          <w:color w:val="1F497D" w:themeColor="text2"/>
        </w:rPr>
        <w:t xml:space="preserve"> </w:t>
      </w:r>
      <w:r w:rsidR="00836487" w:rsidRPr="000E2190">
        <w:rPr>
          <w:rFonts w:cstheme="minorHAnsi"/>
          <w:bCs/>
          <w:color w:val="1F497D" w:themeColor="text2"/>
        </w:rPr>
        <w:t xml:space="preserve">Comparison of means and percentiles; analysis of variance against established benchmarks: if sample size is &gt;400, we would use an analysis of variance. </w:t>
      </w:r>
    </w:p>
    <w:p w14:paraId="2AE9B1A7" w14:textId="77777777" w:rsidR="00D61410" w:rsidRPr="00A25024" w:rsidRDefault="00D61410" w:rsidP="00D61410">
      <w:pPr>
        <w:autoSpaceDE w:val="0"/>
        <w:autoSpaceDN w:val="0"/>
        <w:adjustRightInd w:val="0"/>
        <w:spacing w:after="0" w:line="240" w:lineRule="auto"/>
        <w:rPr>
          <w:rFonts w:cstheme="minorHAnsi"/>
          <w:bCs/>
        </w:rPr>
      </w:pPr>
    </w:p>
    <w:p w14:paraId="2AE9B1A8" w14:textId="031FD667"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7770EF94" w14:textId="2667239E" w:rsidR="00A7626D" w:rsidRPr="00C50B99" w:rsidRDefault="00A7626D" w:rsidP="00D61410">
      <w:pPr>
        <w:autoSpaceDE w:val="0"/>
        <w:autoSpaceDN w:val="0"/>
        <w:adjustRightInd w:val="0"/>
        <w:spacing w:after="0" w:line="240" w:lineRule="auto"/>
      </w:pPr>
      <w:r w:rsidRPr="000E2190">
        <w:rPr>
          <w:rFonts w:cstheme="minorHAnsi"/>
          <w:bCs/>
          <w:color w:val="FF0000"/>
          <w:u w:val="single"/>
        </w:rPr>
        <w:t xml:space="preserve">2016 </w:t>
      </w:r>
      <w:r>
        <w:rPr>
          <w:rFonts w:cstheme="minorHAnsi"/>
          <w:bCs/>
          <w:color w:val="FF0000"/>
          <w:u w:val="single"/>
        </w:rPr>
        <w:t>u</w:t>
      </w:r>
      <w:r w:rsidRPr="000E2190">
        <w:rPr>
          <w:rFonts w:cstheme="minorHAnsi"/>
          <w:bCs/>
          <w:color w:val="FF0000"/>
          <w:u w:val="single"/>
        </w:rPr>
        <w:t>pdate:</w:t>
      </w:r>
      <w:r w:rsidR="00C50B99" w:rsidRPr="00C50B99">
        <w:rPr>
          <w:rFonts w:ascii="Arial Narrow" w:hAnsi="Arial Narrow" w:cs="Arial"/>
          <w:color w:val="FF0000"/>
        </w:rPr>
        <w:t xml:space="preserve"> </w:t>
      </w:r>
      <w:r w:rsidR="00C50B99">
        <w:rPr>
          <w:rFonts w:cstheme="minorHAnsi"/>
          <w:bCs/>
          <w:color w:val="FF0000"/>
        </w:rPr>
        <w:t>The p-</w:t>
      </w:r>
      <w:r w:rsidR="00C50B99" w:rsidRPr="00C50B99">
        <w:rPr>
          <w:rFonts w:cstheme="minorHAnsi"/>
          <w:bCs/>
          <w:color w:val="FF0000"/>
        </w:rPr>
        <w:t xml:space="preserve">value for commercial </w:t>
      </w:r>
      <w:r w:rsidR="00C50B99">
        <w:rPr>
          <w:rFonts w:cstheme="minorHAnsi"/>
          <w:bCs/>
          <w:color w:val="FF0000"/>
        </w:rPr>
        <w:t xml:space="preserve">and Medicaid plans was &lt;0.001 for all three rates, except for the commercial and Medicare Advising Smokers to Quit rates (p-value &lt;0.01). </w:t>
      </w:r>
    </w:p>
    <w:p w14:paraId="73C9DC97" w14:textId="13D4ADBB" w:rsidR="00A7626D" w:rsidRDefault="00A7626D" w:rsidP="00D61410">
      <w:pPr>
        <w:autoSpaceDE w:val="0"/>
        <w:autoSpaceDN w:val="0"/>
        <w:adjustRightInd w:val="0"/>
        <w:spacing w:after="0" w:line="240" w:lineRule="auto"/>
        <w:rPr>
          <w:rFonts w:cstheme="minorHAnsi"/>
          <w:bCs/>
          <w:color w:val="FF0000"/>
        </w:rPr>
      </w:pPr>
    </w:p>
    <w:p w14:paraId="61199E9F" w14:textId="5BEE6EC1" w:rsidR="007B2543" w:rsidRPr="007B2543" w:rsidRDefault="007B2543" w:rsidP="00D61410">
      <w:pPr>
        <w:autoSpaceDE w:val="0"/>
        <w:autoSpaceDN w:val="0"/>
        <w:adjustRightInd w:val="0"/>
        <w:spacing w:after="0" w:line="240" w:lineRule="auto"/>
        <w:rPr>
          <w:rFonts w:cstheme="minorHAnsi"/>
          <w:bCs/>
          <w:color w:val="FF0000"/>
        </w:rPr>
      </w:pPr>
      <w:r>
        <w:rPr>
          <w:rFonts w:cstheme="minorHAnsi"/>
          <w:bCs/>
          <w:color w:val="FF0000"/>
        </w:rPr>
        <w:t xml:space="preserve">Table 3. HEDIS 2016 variation in performance across health plans </w:t>
      </w:r>
    </w:p>
    <w:tbl>
      <w:tblPr>
        <w:tblStyle w:val="TableGrid"/>
        <w:tblW w:w="0" w:type="auto"/>
        <w:tblLook w:val="04A0" w:firstRow="1" w:lastRow="0" w:firstColumn="1" w:lastColumn="0" w:noHBand="0" w:noVBand="1"/>
      </w:tblPr>
      <w:tblGrid>
        <w:gridCol w:w="1190"/>
        <w:gridCol w:w="1220"/>
        <w:gridCol w:w="691"/>
        <w:gridCol w:w="691"/>
        <w:gridCol w:w="646"/>
        <w:gridCol w:w="690"/>
        <w:gridCol w:w="690"/>
        <w:gridCol w:w="690"/>
        <w:gridCol w:w="690"/>
        <w:gridCol w:w="690"/>
        <w:gridCol w:w="690"/>
        <w:gridCol w:w="772"/>
      </w:tblGrid>
      <w:tr w:rsidR="007B2543" w:rsidRPr="007B2543" w14:paraId="60EFA860" w14:textId="3C6686BD" w:rsidTr="007B2543">
        <w:tc>
          <w:tcPr>
            <w:tcW w:w="1190" w:type="dxa"/>
          </w:tcPr>
          <w:p w14:paraId="69DCF7A6" w14:textId="32122AE5" w:rsidR="000417BC" w:rsidRPr="007B2543" w:rsidRDefault="000417BC" w:rsidP="00D61410">
            <w:pPr>
              <w:autoSpaceDE w:val="0"/>
              <w:autoSpaceDN w:val="0"/>
              <w:adjustRightInd w:val="0"/>
              <w:rPr>
                <w:rFonts w:cstheme="minorHAnsi"/>
                <w:bCs/>
                <w:color w:val="FF0000"/>
                <w:sz w:val="20"/>
                <w:szCs w:val="20"/>
              </w:rPr>
            </w:pPr>
            <w:r w:rsidRPr="007B2543">
              <w:rPr>
                <w:rFonts w:cstheme="minorHAnsi"/>
                <w:bCs/>
                <w:color w:val="FF0000"/>
                <w:sz w:val="20"/>
                <w:szCs w:val="20"/>
              </w:rPr>
              <w:t>Product Line</w:t>
            </w:r>
          </w:p>
        </w:tc>
        <w:tc>
          <w:tcPr>
            <w:tcW w:w="1220" w:type="dxa"/>
          </w:tcPr>
          <w:p w14:paraId="5D159B0E" w14:textId="10B8C0C9" w:rsidR="000417BC" w:rsidRPr="007B2543" w:rsidRDefault="000417BC" w:rsidP="00D61410">
            <w:pPr>
              <w:autoSpaceDE w:val="0"/>
              <w:autoSpaceDN w:val="0"/>
              <w:adjustRightInd w:val="0"/>
              <w:rPr>
                <w:rFonts w:cstheme="minorHAnsi"/>
                <w:bCs/>
                <w:color w:val="FF0000"/>
                <w:sz w:val="20"/>
                <w:szCs w:val="20"/>
              </w:rPr>
            </w:pPr>
            <w:r w:rsidRPr="007B2543">
              <w:rPr>
                <w:rFonts w:cstheme="minorHAnsi"/>
                <w:bCs/>
                <w:color w:val="FF0000"/>
                <w:sz w:val="20"/>
                <w:szCs w:val="20"/>
              </w:rPr>
              <w:t>Rate</w:t>
            </w:r>
          </w:p>
        </w:tc>
        <w:tc>
          <w:tcPr>
            <w:tcW w:w="696" w:type="dxa"/>
          </w:tcPr>
          <w:p w14:paraId="20EA5CAD" w14:textId="2AC8E371" w:rsidR="000417BC" w:rsidRPr="007B2543" w:rsidRDefault="001044DD" w:rsidP="00D61410">
            <w:pPr>
              <w:autoSpaceDE w:val="0"/>
              <w:autoSpaceDN w:val="0"/>
              <w:adjustRightInd w:val="0"/>
              <w:rPr>
                <w:rFonts w:cstheme="minorHAnsi"/>
                <w:bCs/>
                <w:color w:val="FF0000"/>
                <w:sz w:val="20"/>
                <w:szCs w:val="20"/>
              </w:rPr>
            </w:pPr>
            <w:r w:rsidRPr="007B2543">
              <w:rPr>
                <w:rFonts w:cstheme="minorHAnsi"/>
                <w:bCs/>
                <w:color w:val="FF0000"/>
                <w:sz w:val="20"/>
                <w:szCs w:val="20"/>
              </w:rPr>
              <w:t>Avg. EP</w:t>
            </w:r>
          </w:p>
        </w:tc>
        <w:tc>
          <w:tcPr>
            <w:tcW w:w="696" w:type="dxa"/>
          </w:tcPr>
          <w:p w14:paraId="59F22499" w14:textId="5B02E755" w:rsidR="000417BC" w:rsidRPr="007B2543" w:rsidRDefault="001044DD" w:rsidP="00D61410">
            <w:pPr>
              <w:autoSpaceDE w:val="0"/>
              <w:autoSpaceDN w:val="0"/>
              <w:adjustRightInd w:val="0"/>
              <w:rPr>
                <w:rFonts w:cstheme="minorHAnsi"/>
                <w:bCs/>
                <w:color w:val="FF0000"/>
                <w:sz w:val="20"/>
                <w:szCs w:val="20"/>
              </w:rPr>
            </w:pPr>
            <w:r w:rsidRPr="007B2543">
              <w:rPr>
                <w:rFonts w:cstheme="minorHAnsi"/>
                <w:bCs/>
                <w:color w:val="FF0000"/>
                <w:sz w:val="20"/>
                <w:szCs w:val="20"/>
              </w:rPr>
              <w:t>Avg.</w:t>
            </w:r>
          </w:p>
        </w:tc>
        <w:tc>
          <w:tcPr>
            <w:tcW w:w="654" w:type="dxa"/>
          </w:tcPr>
          <w:p w14:paraId="3972F3EC" w14:textId="4C638090" w:rsidR="000417BC" w:rsidRPr="007B2543" w:rsidRDefault="001044DD" w:rsidP="00D61410">
            <w:pPr>
              <w:autoSpaceDE w:val="0"/>
              <w:autoSpaceDN w:val="0"/>
              <w:adjustRightInd w:val="0"/>
              <w:rPr>
                <w:rFonts w:cstheme="minorHAnsi"/>
                <w:bCs/>
                <w:color w:val="FF0000"/>
                <w:sz w:val="20"/>
                <w:szCs w:val="20"/>
              </w:rPr>
            </w:pPr>
            <w:r w:rsidRPr="007B2543">
              <w:rPr>
                <w:rFonts w:cstheme="minorHAnsi"/>
                <w:bCs/>
                <w:color w:val="FF0000"/>
                <w:sz w:val="20"/>
                <w:szCs w:val="20"/>
              </w:rPr>
              <w:t>SD</w:t>
            </w:r>
          </w:p>
        </w:tc>
        <w:tc>
          <w:tcPr>
            <w:tcW w:w="694" w:type="dxa"/>
          </w:tcPr>
          <w:p w14:paraId="0A04859F" w14:textId="6DE3C53E" w:rsidR="000417BC" w:rsidRPr="007B2543" w:rsidRDefault="001044DD" w:rsidP="00D61410">
            <w:pPr>
              <w:autoSpaceDE w:val="0"/>
              <w:autoSpaceDN w:val="0"/>
              <w:adjustRightInd w:val="0"/>
              <w:rPr>
                <w:rFonts w:cstheme="minorHAnsi"/>
                <w:bCs/>
                <w:color w:val="FF0000"/>
                <w:sz w:val="20"/>
                <w:szCs w:val="20"/>
              </w:rPr>
            </w:pPr>
            <w:r w:rsidRPr="007B2543">
              <w:rPr>
                <w:rFonts w:cstheme="minorHAnsi"/>
                <w:bCs/>
                <w:color w:val="FF0000"/>
                <w:sz w:val="20"/>
                <w:szCs w:val="20"/>
              </w:rPr>
              <w:t>10</w:t>
            </w:r>
            <w:r w:rsidRPr="007B2543">
              <w:rPr>
                <w:rFonts w:cstheme="minorHAnsi"/>
                <w:bCs/>
                <w:color w:val="FF0000"/>
                <w:sz w:val="20"/>
                <w:szCs w:val="20"/>
                <w:vertAlign w:val="superscript"/>
              </w:rPr>
              <w:t>th</w:t>
            </w:r>
          </w:p>
        </w:tc>
        <w:tc>
          <w:tcPr>
            <w:tcW w:w="694" w:type="dxa"/>
          </w:tcPr>
          <w:p w14:paraId="6A86D2EA" w14:textId="65E1D245" w:rsidR="000417BC" w:rsidRPr="007B2543" w:rsidRDefault="001044DD" w:rsidP="00D61410">
            <w:pPr>
              <w:autoSpaceDE w:val="0"/>
              <w:autoSpaceDN w:val="0"/>
              <w:adjustRightInd w:val="0"/>
              <w:rPr>
                <w:rFonts w:cstheme="minorHAnsi"/>
                <w:bCs/>
                <w:color w:val="FF0000"/>
                <w:sz w:val="20"/>
                <w:szCs w:val="20"/>
              </w:rPr>
            </w:pPr>
            <w:r w:rsidRPr="007B2543">
              <w:rPr>
                <w:rFonts w:cstheme="minorHAnsi"/>
                <w:bCs/>
                <w:color w:val="FF0000"/>
                <w:sz w:val="20"/>
                <w:szCs w:val="20"/>
              </w:rPr>
              <w:t>25</w:t>
            </w:r>
            <w:r w:rsidRPr="007B2543">
              <w:rPr>
                <w:rFonts w:cstheme="minorHAnsi"/>
                <w:bCs/>
                <w:color w:val="FF0000"/>
                <w:sz w:val="20"/>
                <w:szCs w:val="20"/>
                <w:vertAlign w:val="superscript"/>
              </w:rPr>
              <w:t>th</w:t>
            </w:r>
            <w:r w:rsidRPr="007B2543">
              <w:rPr>
                <w:rFonts w:cstheme="minorHAnsi"/>
                <w:bCs/>
                <w:color w:val="FF0000"/>
                <w:sz w:val="20"/>
                <w:szCs w:val="20"/>
              </w:rPr>
              <w:t xml:space="preserve"> </w:t>
            </w:r>
          </w:p>
        </w:tc>
        <w:tc>
          <w:tcPr>
            <w:tcW w:w="694" w:type="dxa"/>
          </w:tcPr>
          <w:p w14:paraId="51565703" w14:textId="7884352A" w:rsidR="000417BC" w:rsidRPr="007B2543" w:rsidRDefault="001044DD" w:rsidP="00D61410">
            <w:pPr>
              <w:autoSpaceDE w:val="0"/>
              <w:autoSpaceDN w:val="0"/>
              <w:adjustRightInd w:val="0"/>
              <w:rPr>
                <w:rFonts w:cstheme="minorHAnsi"/>
                <w:bCs/>
                <w:color w:val="FF0000"/>
                <w:sz w:val="20"/>
                <w:szCs w:val="20"/>
              </w:rPr>
            </w:pPr>
            <w:r w:rsidRPr="007B2543">
              <w:rPr>
                <w:rFonts w:cstheme="minorHAnsi"/>
                <w:bCs/>
                <w:color w:val="FF0000"/>
                <w:sz w:val="20"/>
                <w:szCs w:val="20"/>
              </w:rPr>
              <w:t>50</w:t>
            </w:r>
            <w:r w:rsidRPr="007B2543">
              <w:rPr>
                <w:rFonts w:cstheme="minorHAnsi"/>
                <w:bCs/>
                <w:color w:val="FF0000"/>
                <w:sz w:val="20"/>
                <w:szCs w:val="20"/>
                <w:vertAlign w:val="superscript"/>
              </w:rPr>
              <w:t>th</w:t>
            </w:r>
          </w:p>
        </w:tc>
        <w:tc>
          <w:tcPr>
            <w:tcW w:w="694" w:type="dxa"/>
          </w:tcPr>
          <w:p w14:paraId="7854FF87" w14:textId="6A731F6C" w:rsidR="000417BC" w:rsidRPr="007B2543" w:rsidRDefault="001044DD" w:rsidP="00D61410">
            <w:pPr>
              <w:autoSpaceDE w:val="0"/>
              <w:autoSpaceDN w:val="0"/>
              <w:adjustRightInd w:val="0"/>
              <w:rPr>
                <w:rFonts w:cstheme="minorHAnsi"/>
                <w:bCs/>
                <w:color w:val="FF0000"/>
                <w:sz w:val="20"/>
                <w:szCs w:val="20"/>
              </w:rPr>
            </w:pPr>
            <w:r w:rsidRPr="007B2543">
              <w:rPr>
                <w:rFonts w:cstheme="minorHAnsi"/>
                <w:bCs/>
                <w:color w:val="FF0000"/>
                <w:sz w:val="20"/>
                <w:szCs w:val="20"/>
              </w:rPr>
              <w:t>75</w:t>
            </w:r>
            <w:r w:rsidRPr="007B2543">
              <w:rPr>
                <w:rFonts w:cstheme="minorHAnsi"/>
                <w:bCs/>
                <w:color w:val="FF0000"/>
                <w:sz w:val="20"/>
                <w:szCs w:val="20"/>
                <w:vertAlign w:val="superscript"/>
              </w:rPr>
              <w:t>th</w:t>
            </w:r>
            <w:r w:rsidRPr="007B2543">
              <w:rPr>
                <w:rFonts w:cstheme="minorHAnsi"/>
                <w:bCs/>
                <w:color w:val="FF0000"/>
                <w:sz w:val="20"/>
                <w:szCs w:val="20"/>
              </w:rPr>
              <w:t xml:space="preserve"> </w:t>
            </w:r>
          </w:p>
        </w:tc>
        <w:tc>
          <w:tcPr>
            <w:tcW w:w="694" w:type="dxa"/>
          </w:tcPr>
          <w:p w14:paraId="6FDBDE64" w14:textId="5F96B1A4" w:rsidR="000417BC" w:rsidRPr="007B2543" w:rsidRDefault="001044DD" w:rsidP="00D61410">
            <w:pPr>
              <w:autoSpaceDE w:val="0"/>
              <w:autoSpaceDN w:val="0"/>
              <w:adjustRightInd w:val="0"/>
              <w:rPr>
                <w:rFonts w:cstheme="minorHAnsi"/>
                <w:bCs/>
                <w:color w:val="FF0000"/>
                <w:sz w:val="20"/>
                <w:szCs w:val="20"/>
              </w:rPr>
            </w:pPr>
            <w:r w:rsidRPr="007B2543">
              <w:rPr>
                <w:rFonts w:cstheme="minorHAnsi"/>
                <w:bCs/>
                <w:color w:val="FF0000"/>
                <w:sz w:val="20"/>
                <w:szCs w:val="20"/>
              </w:rPr>
              <w:t>90</w:t>
            </w:r>
            <w:r w:rsidRPr="007B2543">
              <w:rPr>
                <w:rFonts w:cstheme="minorHAnsi"/>
                <w:bCs/>
                <w:color w:val="FF0000"/>
                <w:sz w:val="20"/>
                <w:szCs w:val="20"/>
                <w:vertAlign w:val="superscript"/>
              </w:rPr>
              <w:t>th</w:t>
            </w:r>
            <w:r w:rsidRPr="007B2543">
              <w:rPr>
                <w:rFonts w:cstheme="minorHAnsi"/>
                <w:bCs/>
                <w:color w:val="FF0000"/>
                <w:sz w:val="20"/>
                <w:szCs w:val="20"/>
              </w:rPr>
              <w:t xml:space="preserve"> </w:t>
            </w:r>
          </w:p>
        </w:tc>
        <w:tc>
          <w:tcPr>
            <w:tcW w:w="694" w:type="dxa"/>
          </w:tcPr>
          <w:p w14:paraId="6CF16961" w14:textId="60BF969F" w:rsidR="000417BC" w:rsidRPr="007B2543" w:rsidRDefault="001044DD" w:rsidP="00D61410">
            <w:pPr>
              <w:autoSpaceDE w:val="0"/>
              <w:autoSpaceDN w:val="0"/>
              <w:adjustRightInd w:val="0"/>
              <w:rPr>
                <w:rFonts w:cstheme="minorHAnsi"/>
                <w:bCs/>
                <w:color w:val="FF0000"/>
                <w:sz w:val="20"/>
                <w:szCs w:val="20"/>
              </w:rPr>
            </w:pPr>
            <w:r w:rsidRPr="007B2543">
              <w:rPr>
                <w:rFonts w:cstheme="minorHAnsi"/>
                <w:bCs/>
                <w:color w:val="FF0000"/>
                <w:sz w:val="20"/>
                <w:szCs w:val="20"/>
              </w:rPr>
              <w:t>IQR</w:t>
            </w:r>
          </w:p>
        </w:tc>
        <w:tc>
          <w:tcPr>
            <w:tcW w:w="730" w:type="dxa"/>
          </w:tcPr>
          <w:p w14:paraId="444BE823" w14:textId="19672A9E" w:rsidR="000417BC" w:rsidRPr="007B2543" w:rsidRDefault="001044DD" w:rsidP="00D61410">
            <w:pPr>
              <w:autoSpaceDE w:val="0"/>
              <w:autoSpaceDN w:val="0"/>
              <w:adjustRightInd w:val="0"/>
              <w:rPr>
                <w:rFonts w:cstheme="minorHAnsi"/>
                <w:bCs/>
                <w:color w:val="FF0000"/>
                <w:sz w:val="20"/>
                <w:szCs w:val="20"/>
              </w:rPr>
            </w:pPr>
            <w:r w:rsidRPr="007B2543">
              <w:rPr>
                <w:rFonts w:cstheme="minorHAnsi"/>
                <w:bCs/>
                <w:color w:val="FF0000"/>
                <w:sz w:val="20"/>
                <w:szCs w:val="20"/>
              </w:rPr>
              <w:t>p-value</w:t>
            </w:r>
          </w:p>
        </w:tc>
      </w:tr>
      <w:tr w:rsidR="007B2543" w:rsidRPr="007B2543" w14:paraId="7996D909" w14:textId="2F155AA3" w:rsidTr="007B2543">
        <w:tc>
          <w:tcPr>
            <w:tcW w:w="1190" w:type="dxa"/>
            <w:vMerge w:val="restart"/>
            <w:vAlign w:val="center"/>
          </w:tcPr>
          <w:p w14:paraId="651B4310" w14:textId="793E8B15" w:rsidR="007B2543" w:rsidRPr="007B2543" w:rsidRDefault="007B2543" w:rsidP="007B2543">
            <w:pPr>
              <w:autoSpaceDE w:val="0"/>
              <w:autoSpaceDN w:val="0"/>
              <w:adjustRightInd w:val="0"/>
              <w:rPr>
                <w:rFonts w:cstheme="minorHAnsi"/>
                <w:bCs/>
                <w:color w:val="FF0000"/>
                <w:sz w:val="20"/>
                <w:szCs w:val="20"/>
              </w:rPr>
            </w:pPr>
            <w:r w:rsidRPr="007B2543">
              <w:rPr>
                <w:rFonts w:cstheme="minorHAnsi"/>
                <w:bCs/>
                <w:color w:val="FF0000"/>
                <w:sz w:val="20"/>
                <w:szCs w:val="20"/>
              </w:rPr>
              <w:t>Commercial</w:t>
            </w:r>
          </w:p>
        </w:tc>
        <w:tc>
          <w:tcPr>
            <w:tcW w:w="1220" w:type="dxa"/>
          </w:tcPr>
          <w:p w14:paraId="61E8B4FF" w14:textId="2AF8C9FB"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Advising Smokers to Quit</w:t>
            </w:r>
          </w:p>
        </w:tc>
        <w:tc>
          <w:tcPr>
            <w:tcW w:w="696" w:type="dxa"/>
          </w:tcPr>
          <w:p w14:paraId="377481F7" w14:textId="08C64E64"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132</w:t>
            </w:r>
          </w:p>
        </w:tc>
        <w:tc>
          <w:tcPr>
            <w:tcW w:w="696" w:type="dxa"/>
          </w:tcPr>
          <w:p w14:paraId="0BAAA6B8" w14:textId="7A5A1B29"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75%</w:t>
            </w:r>
          </w:p>
        </w:tc>
        <w:tc>
          <w:tcPr>
            <w:tcW w:w="654" w:type="dxa"/>
          </w:tcPr>
          <w:p w14:paraId="2CCA86FC" w14:textId="736A1E8D"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7%</w:t>
            </w:r>
          </w:p>
        </w:tc>
        <w:tc>
          <w:tcPr>
            <w:tcW w:w="694" w:type="dxa"/>
          </w:tcPr>
          <w:p w14:paraId="70A9367A" w14:textId="6B4342E1"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66%</w:t>
            </w:r>
          </w:p>
        </w:tc>
        <w:tc>
          <w:tcPr>
            <w:tcW w:w="694" w:type="dxa"/>
          </w:tcPr>
          <w:p w14:paraId="269BEAB8" w14:textId="7FE430ED"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70%</w:t>
            </w:r>
          </w:p>
        </w:tc>
        <w:tc>
          <w:tcPr>
            <w:tcW w:w="694" w:type="dxa"/>
          </w:tcPr>
          <w:p w14:paraId="46886D2F" w14:textId="610B5148"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75%</w:t>
            </w:r>
          </w:p>
        </w:tc>
        <w:tc>
          <w:tcPr>
            <w:tcW w:w="694" w:type="dxa"/>
          </w:tcPr>
          <w:p w14:paraId="7AD183D4" w14:textId="17F7F454"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79%</w:t>
            </w:r>
          </w:p>
        </w:tc>
        <w:tc>
          <w:tcPr>
            <w:tcW w:w="694" w:type="dxa"/>
          </w:tcPr>
          <w:p w14:paraId="52BB6176" w14:textId="2F7BE643"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83%</w:t>
            </w:r>
          </w:p>
        </w:tc>
        <w:tc>
          <w:tcPr>
            <w:tcW w:w="694" w:type="dxa"/>
          </w:tcPr>
          <w:p w14:paraId="2223BDCD" w14:textId="7A5307AD"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9%</w:t>
            </w:r>
          </w:p>
        </w:tc>
        <w:tc>
          <w:tcPr>
            <w:tcW w:w="730" w:type="dxa"/>
          </w:tcPr>
          <w:p w14:paraId="6142E379" w14:textId="0B727575" w:rsidR="007B2543" w:rsidRPr="007B2543" w:rsidRDefault="007B2543" w:rsidP="00D61410">
            <w:pPr>
              <w:autoSpaceDE w:val="0"/>
              <w:autoSpaceDN w:val="0"/>
              <w:adjustRightInd w:val="0"/>
              <w:rPr>
                <w:rFonts w:cstheme="minorHAnsi"/>
                <w:bCs/>
                <w:color w:val="FF0000"/>
                <w:sz w:val="20"/>
                <w:szCs w:val="20"/>
              </w:rPr>
            </w:pPr>
            <w:r>
              <w:rPr>
                <w:rFonts w:cstheme="minorHAnsi"/>
                <w:bCs/>
                <w:color w:val="FF0000"/>
                <w:sz w:val="20"/>
                <w:szCs w:val="20"/>
              </w:rPr>
              <w:t>0.009</w:t>
            </w:r>
          </w:p>
        </w:tc>
      </w:tr>
      <w:tr w:rsidR="007B2543" w:rsidRPr="007B2543" w14:paraId="30EF0B44" w14:textId="77777777" w:rsidTr="007B2543">
        <w:tc>
          <w:tcPr>
            <w:tcW w:w="1190" w:type="dxa"/>
            <w:vMerge/>
          </w:tcPr>
          <w:p w14:paraId="1A4A8B41" w14:textId="77777777" w:rsidR="007B2543" w:rsidRPr="007B2543" w:rsidRDefault="007B2543" w:rsidP="00D61410">
            <w:pPr>
              <w:autoSpaceDE w:val="0"/>
              <w:autoSpaceDN w:val="0"/>
              <w:adjustRightInd w:val="0"/>
              <w:rPr>
                <w:rFonts w:cstheme="minorHAnsi"/>
                <w:bCs/>
                <w:color w:val="FF0000"/>
                <w:sz w:val="20"/>
                <w:szCs w:val="20"/>
              </w:rPr>
            </w:pPr>
          </w:p>
        </w:tc>
        <w:tc>
          <w:tcPr>
            <w:tcW w:w="1220" w:type="dxa"/>
          </w:tcPr>
          <w:p w14:paraId="38CCFB54" w14:textId="730A8A4B"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 xml:space="preserve">Discussing Cessation Medications </w:t>
            </w:r>
          </w:p>
        </w:tc>
        <w:tc>
          <w:tcPr>
            <w:tcW w:w="696" w:type="dxa"/>
          </w:tcPr>
          <w:p w14:paraId="2AD2A0A1" w14:textId="48B9EC09"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132</w:t>
            </w:r>
          </w:p>
        </w:tc>
        <w:tc>
          <w:tcPr>
            <w:tcW w:w="696" w:type="dxa"/>
          </w:tcPr>
          <w:p w14:paraId="6D691588" w14:textId="393A8C07"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48%</w:t>
            </w:r>
          </w:p>
        </w:tc>
        <w:tc>
          <w:tcPr>
            <w:tcW w:w="654" w:type="dxa"/>
          </w:tcPr>
          <w:p w14:paraId="736BE276" w14:textId="1DC9254C"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8%</w:t>
            </w:r>
          </w:p>
        </w:tc>
        <w:tc>
          <w:tcPr>
            <w:tcW w:w="694" w:type="dxa"/>
          </w:tcPr>
          <w:p w14:paraId="0CDBC3FA" w14:textId="319766BD"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41%</w:t>
            </w:r>
          </w:p>
        </w:tc>
        <w:tc>
          <w:tcPr>
            <w:tcW w:w="694" w:type="dxa"/>
          </w:tcPr>
          <w:p w14:paraId="65FA1214" w14:textId="3CE947C8"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43%</w:t>
            </w:r>
          </w:p>
        </w:tc>
        <w:tc>
          <w:tcPr>
            <w:tcW w:w="694" w:type="dxa"/>
          </w:tcPr>
          <w:p w14:paraId="45947550" w14:textId="2C4141CC"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48%</w:t>
            </w:r>
          </w:p>
        </w:tc>
        <w:tc>
          <w:tcPr>
            <w:tcW w:w="694" w:type="dxa"/>
          </w:tcPr>
          <w:p w14:paraId="6B65550D" w14:textId="70FF10DD"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52%</w:t>
            </w:r>
          </w:p>
        </w:tc>
        <w:tc>
          <w:tcPr>
            <w:tcW w:w="694" w:type="dxa"/>
          </w:tcPr>
          <w:p w14:paraId="297CCF82" w14:textId="4F2F0029"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61%</w:t>
            </w:r>
          </w:p>
        </w:tc>
        <w:tc>
          <w:tcPr>
            <w:tcW w:w="694" w:type="dxa"/>
          </w:tcPr>
          <w:p w14:paraId="34316467" w14:textId="2AF3817A"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9%</w:t>
            </w:r>
          </w:p>
        </w:tc>
        <w:tc>
          <w:tcPr>
            <w:tcW w:w="730" w:type="dxa"/>
          </w:tcPr>
          <w:p w14:paraId="65E58368" w14:textId="446052F2" w:rsidR="007B2543" w:rsidRPr="007B2543" w:rsidRDefault="007B2543" w:rsidP="00D61410">
            <w:pPr>
              <w:autoSpaceDE w:val="0"/>
              <w:autoSpaceDN w:val="0"/>
              <w:adjustRightInd w:val="0"/>
              <w:rPr>
                <w:rFonts w:cstheme="minorHAnsi"/>
                <w:bCs/>
                <w:color w:val="FF0000"/>
                <w:sz w:val="20"/>
                <w:szCs w:val="20"/>
              </w:rPr>
            </w:pPr>
            <w:r>
              <w:rPr>
                <w:rFonts w:cstheme="minorHAnsi"/>
                <w:bCs/>
                <w:color w:val="FF0000"/>
                <w:sz w:val="20"/>
                <w:szCs w:val="20"/>
              </w:rPr>
              <w:t>&lt;0.001</w:t>
            </w:r>
          </w:p>
        </w:tc>
      </w:tr>
      <w:tr w:rsidR="007B2543" w:rsidRPr="007B2543" w14:paraId="7D2A17D1" w14:textId="77777777" w:rsidTr="007B2543">
        <w:tc>
          <w:tcPr>
            <w:tcW w:w="1190" w:type="dxa"/>
            <w:vMerge/>
          </w:tcPr>
          <w:p w14:paraId="2D9D8F10" w14:textId="77777777" w:rsidR="007B2543" w:rsidRPr="007B2543" w:rsidRDefault="007B2543" w:rsidP="00D61410">
            <w:pPr>
              <w:autoSpaceDE w:val="0"/>
              <w:autoSpaceDN w:val="0"/>
              <w:adjustRightInd w:val="0"/>
              <w:rPr>
                <w:rFonts w:cstheme="minorHAnsi"/>
                <w:bCs/>
                <w:color w:val="FF0000"/>
                <w:sz w:val="20"/>
                <w:szCs w:val="20"/>
              </w:rPr>
            </w:pPr>
          </w:p>
        </w:tc>
        <w:tc>
          <w:tcPr>
            <w:tcW w:w="1220" w:type="dxa"/>
          </w:tcPr>
          <w:p w14:paraId="10861F66" w14:textId="4E12B995"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Discussing Cessation Strategies</w:t>
            </w:r>
          </w:p>
        </w:tc>
        <w:tc>
          <w:tcPr>
            <w:tcW w:w="696" w:type="dxa"/>
          </w:tcPr>
          <w:p w14:paraId="046F4395" w14:textId="0654D825"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131</w:t>
            </w:r>
          </w:p>
        </w:tc>
        <w:tc>
          <w:tcPr>
            <w:tcW w:w="696" w:type="dxa"/>
          </w:tcPr>
          <w:p w14:paraId="3B804F18" w14:textId="2A7095D9"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44%</w:t>
            </w:r>
          </w:p>
        </w:tc>
        <w:tc>
          <w:tcPr>
            <w:tcW w:w="654" w:type="dxa"/>
          </w:tcPr>
          <w:p w14:paraId="44672CC0" w14:textId="67ABF820"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9%</w:t>
            </w:r>
          </w:p>
        </w:tc>
        <w:tc>
          <w:tcPr>
            <w:tcW w:w="694" w:type="dxa"/>
          </w:tcPr>
          <w:p w14:paraId="452CA435" w14:textId="66593C07"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34%</w:t>
            </w:r>
          </w:p>
        </w:tc>
        <w:tc>
          <w:tcPr>
            <w:tcW w:w="694" w:type="dxa"/>
          </w:tcPr>
          <w:p w14:paraId="5CA452A7" w14:textId="12B3E7B1"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38%</w:t>
            </w:r>
          </w:p>
        </w:tc>
        <w:tc>
          <w:tcPr>
            <w:tcW w:w="694" w:type="dxa"/>
          </w:tcPr>
          <w:p w14:paraId="2703C2DC" w14:textId="00F67AF2"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42%</w:t>
            </w:r>
          </w:p>
        </w:tc>
        <w:tc>
          <w:tcPr>
            <w:tcW w:w="694" w:type="dxa"/>
          </w:tcPr>
          <w:p w14:paraId="565744DE" w14:textId="5A3C3A0F"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50%</w:t>
            </w:r>
          </w:p>
        </w:tc>
        <w:tc>
          <w:tcPr>
            <w:tcW w:w="694" w:type="dxa"/>
          </w:tcPr>
          <w:p w14:paraId="6CF9D568" w14:textId="15E072AC"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58%</w:t>
            </w:r>
          </w:p>
        </w:tc>
        <w:tc>
          <w:tcPr>
            <w:tcW w:w="694" w:type="dxa"/>
          </w:tcPr>
          <w:p w14:paraId="477CF20A" w14:textId="495966DF"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12%</w:t>
            </w:r>
          </w:p>
        </w:tc>
        <w:tc>
          <w:tcPr>
            <w:tcW w:w="730" w:type="dxa"/>
          </w:tcPr>
          <w:p w14:paraId="1F5E3BD5" w14:textId="43A82C70" w:rsidR="007B2543" w:rsidRPr="007B2543" w:rsidRDefault="007B2543" w:rsidP="00D61410">
            <w:pPr>
              <w:autoSpaceDE w:val="0"/>
              <w:autoSpaceDN w:val="0"/>
              <w:adjustRightInd w:val="0"/>
              <w:rPr>
                <w:rFonts w:cstheme="minorHAnsi"/>
                <w:bCs/>
                <w:color w:val="FF0000"/>
                <w:sz w:val="20"/>
                <w:szCs w:val="20"/>
              </w:rPr>
            </w:pPr>
            <w:r>
              <w:rPr>
                <w:rFonts w:cstheme="minorHAnsi"/>
                <w:bCs/>
                <w:color w:val="FF0000"/>
                <w:sz w:val="20"/>
                <w:szCs w:val="20"/>
              </w:rPr>
              <w:t>&lt;0.001</w:t>
            </w:r>
          </w:p>
        </w:tc>
      </w:tr>
      <w:tr w:rsidR="007B2543" w:rsidRPr="007B2543" w14:paraId="0A5DD0BD" w14:textId="5E1D8501" w:rsidTr="007B2543">
        <w:tc>
          <w:tcPr>
            <w:tcW w:w="1190" w:type="dxa"/>
            <w:vMerge w:val="restart"/>
            <w:vAlign w:val="center"/>
          </w:tcPr>
          <w:p w14:paraId="2B112110" w14:textId="42936B2D" w:rsidR="007B2543" w:rsidRPr="007B2543" w:rsidRDefault="007B2543" w:rsidP="007B2543">
            <w:pPr>
              <w:autoSpaceDE w:val="0"/>
              <w:autoSpaceDN w:val="0"/>
              <w:adjustRightInd w:val="0"/>
              <w:rPr>
                <w:rFonts w:cstheme="minorHAnsi"/>
                <w:bCs/>
                <w:color w:val="FF0000"/>
                <w:sz w:val="20"/>
                <w:szCs w:val="20"/>
              </w:rPr>
            </w:pPr>
            <w:r w:rsidRPr="007B2543">
              <w:rPr>
                <w:rFonts w:cstheme="minorHAnsi"/>
                <w:bCs/>
                <w:color w:val="FF0000"/>
                <w:sz w:val="20"/>
                <w:szCs w:val="20"/>
              </w:rPr>
              <w:t>Medicaid</w:t>
            </w:r>
          </w:p>
        </w:tc>
        <w:tc>
          <w:tcPr>
            <w:tcW w:w="1220" w:type="dxa"/>
          </w:tcPr>
          <w:p w14:paraId="4B2E20C7" w14:textId="142625EE"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Advising Smokers to Quit</w:t>
            </w:r>
          </w:p>
        </w:tc>
        <w:tc>
          <w:tcPr>
            <w:tcW w:w="696" w:type="dxa"/>
          </w:tcPr>
          <w:p w14:paraId="43AC5473" w14:textId="42E68AB4"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257</w:t>
            </w:r>
          </w:p>
        </w:tc>
        <w:tc>
          <w:tcPr>
            <w:tcW w:w="696" w:type="dxa"/>
          </w:tcPr>
          <w:p w14:paraId="453097AB" w14:textId="49D44076"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76%</w:t>
            </w:r>
          </w:p>
        </w:tc>
        <w:tc>
          <w:tcPr>
            <w:tcW w:w="654" w:type="dxa"/>
          </w:tcPr>
          <w:p w14:paraId="7437576E" w14:textId="37CF326B"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6%</w:t>
            </w:r>
          </w:p>
        </w:tc>
        <w:tc>
          <w:tcPr>
            <w:tcW w:w="694" w:type="dxa"/>
          </w:tcPr>
          <w:p w14:paraId="0A220EC6" w14:textId="1BBCA383"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68%</w:t>
            </w:r>
          </w:p>
        </w:tc>
        <w:tc>
          <w:tcPr>
            <w:tcW w:w="694" w:type="dxa"/>
          </w:tcPr>
          <w:p w14:paraId="579D867D" w14:textId="77677E69"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73%</w:t>
            </w:r>
          </w:p>
        </w:tc>
        <w:tc>
          <w:tcPr>
            <w:tcW w:w="694" w:type="dxa"/>
          </w:tcPr>
          <w:p w14:paraId="513D4AF7" w14:textId="79E37FE9"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77%</w:t>
            </w:r>
          </w:p>
        </w:tc>
        <w:tc>
          <w:tcPr>
            <w:tcW w:w="694" w:type="dxa"/>
          </w:tcPr>
          <w:p w14:paraId="3771D29A" w14:textId="5B00AF26"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79%</w:t>
            </w:r>
          </w:p>
        </w:tc>
        <w:tc>
          <w:tcPr>
            <w:tcW w:w="694" w:type="dxa"/>
          </w:tcPr>
          <w:p w14:paraId="24A934DD" w14:textId="2DA2F78D"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82%</w:t>
            </w:r>
          </w:p>
        </w:tc>
        <w:tc>
          <w:tcPr>
            <w:tcW w:w="694" w:type="dxa"/>
          </w:tcPr>
          <w:p w14:paraId="2362728F" w14:textId="23E596B9"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6%</w:t>
            </w:r>
          </w:p>
        </w:tc>
        <w:tc>
          <w:tcPr>
            <w:tcW w:w="730" w:type="dxa"/>
          </w:tcPr>
          <w:p w14:paraId="2D844E5B" w14:textId="51F874FA" w:rsidR="007B2543" w:rsidRPr="007B2543" w:rsidRDefault="007B2543" w:rsidP="00D61410">
            <w:pPr>
              <w:autoSpaceDE w:val="0"/>
              <w:autoSpaceDN w:val="0"/>
              <w:adjustRightInd w:val="0"/>
              <w:rPr>
                <w:rFonts w:cstheme="minorHAnsi"/>
                <w:bCs/>
                <w:color w:val="FF0000"/>
                <w:sz w:val="20"/>
                <w:szCs w:val="20"/>
              </w:rPr>
            </w:pPr>
            <w:r>
              <w:rPr>
                <w:rFonts w:cstheme="minorHAnsi"/>
                <w:bCs/>
                <w:color w:val="FF0000"/>
                <w:sz w:val="20"/>
                <w:szCs w:val="20"/>
              </w:rPr>
              <w:t>&lt;0.001</w:t>
            </w:r>
          </w:p>
        </w:tc>
      </w:tr>
      <w:tr w:rsidR="007B2543" w:rsidRPr="007B2543" w14:paraId="6A9E61C3" w14:textId="77777777" w:rsidTr="007B2543">
        <w:tc>
          <w:tcPr>
            <w:tcW w:w="1190" w:type="dxa"/>
            <w:vMerge/>
            <w:vAlign w:val="center"/>
          </w:tcPr>
          <w:p w14:paraId="1B6DF83A" w14:textId="77777777" w:rsidR="007B2543" w:rsidRPr="007B2543" w:rsidRDefault="007B2543" w:rsidP="007B2543">
            <w:pPr>
              <w:autoSpaceDE w:val="0"/>
              <w:autoSpaceDN w:val="0"/>
              <w:adjustRightInd w:val="0"/>
              <w:rPr>
                <w:rFonts w:cstheme="minorHAnsi"/>
                <w:bCs/>
                <w:color w:val="FF0000"/>
                <w:sz w:val="20"/>
                <w:szCs w:val="20"/>
              </w:rPr>
            </w:pPr>
          </w:p>
        </w:tc>
        <w:tc>
          <w:tcPr>
            <w:tcW w:w="1220" w:type="dxa"/>
          </w:tcPr>
          <w:p w14:paraId="64D8986B" w14:textId="1723EC80"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Discussing Cessation Medications</w:t>
            </w:r>
          </w:p>
        </w:tc>
        <w:tc>
          <w:tcPr>
            <w:tcW w:w="696" w:type="dxa"/>
          </w:tcPr>
          <w:p w14:paraId="645C286C" w14:textId="1F635CBB"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256</w:t>
            </w:r>
          </w:p>
        </w:tc>
        <w:tc>
          <w:tcPr>
            <w:tcW w:w="696" w:type="dxa"/>
          </w:tcPr>
          <w:p w14:paraId="3E87921F" w14:textId="2CE758B8"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48%</w:t>
            </w:r>
          </w:p>
        </w:tc>
        <w:tc>
          <w:tcPr>
            <w:tcW w:w="654" w:type="dxa"/>
          </w:tcPr>
          <w:p w14:paraId="71FD95C3" w14:textId="269E95DD"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8%</w:t>
            </w:r>
          </w:p>
        </w:tc>
        <w:tc>
          <w:tcPr>
            <w:tcW w:w="694" w:type="dxa"/>
          </w:tcPr>
          <w:p w14:paraId="28674643" w14:textId="31AF2406"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37%</w:t>
            </w:r>
          </w:p>
        </w:tc>
        <w:tc>
          <w:tcPr>
            <w:tcW w:w="694" w:type="dxa"/>
          </w:tcPr>
          <w:p w14:paraId="1CFF4BE3" w14:textId="3373F354"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43%</w:t>
            </w:r>
          </w:p>
        </w:tc>
        <w:tc>
          <w:tcPr>
            <w:tcW w:w="694" w:type="dxa"/>
          </w:tcPr>
          <w:p w14:paraId="090F0B40" w14:textId="190D5D7F"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48%</w:t>
            </w:r>
          </w:p>
        </w:tc>
        <w:tc>
          <w:tcPr>
            <w:tcW w:w="694" w:type="dxa"/>
          </w:tcPr>
          <w:p w14:paraId="212F4A2D" w14:textId="6A95C0BC"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54%</w:t>
            </w:r>
          </w:p>
        </w:tc>
        <w:tc>
          <w:tcPr>
            <w:tcW w:w="694" w:type="dxa"/>
          </w:tcPr>
          <w:p w14:paraId="2E3D7578" w14:textId="47487DA9"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58%</w:t>
            </w:r>
          </w:p>
        </w:tc>
        <w:tc>
          <w:tcPr>
            <w:tcW w:w="694" w:type="dxa"/>
          </w:tcPr>
          <w:p w14:paraId="06D03D43" w14:textId="693A3EC3"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11%</w:t>
            </w:r>
          </w:p>
        </w:tc>
        <w:tc>
          <w:tcPr>
            <w:tcW w:w="730" w:type="dxa"/>
          </w:tcPr>
          <w:p w14:paraId="7DCADD72" w14:textId="3C3468FB" w:rsidR="007B2543" w:rsidRPr="007B2543" w:rsidRDefault="007B2543" w:rsidP="00D61410">
            <w:pPr>
              <w:autoSpaceDE w:val="0"/>
              <w:autoSpaceDN w:val="0"/>
              <w:adjustRightInd w:val="0"/>
              <w:rPr>
                <w:rFonts w:cstheme="minorHAnsi"/>
                <w:bCs/>
                <w:color w:val="FF0000"/>
                <w:sz w:val="20"/>
                <w:szCs w:val="20"/>
              </w:rPr>
            </w:pPr>
            <w:r>
              <w:rPr>
                <w:rFonts w:cstheme="minorHAnsi"/>
                <w:bCs/>
                <w:color w:val="FF0000"/>
                <w:sz w:val="20"/>
                <w:szCs w:val="20"/>
              </w:rPr>
              <w:t>&lt;0.001</w:t>
            </w:r>
          </w:p>
        </w:tc>
      </w:tr>
      <w:tr w:rsidR="007B2543" w:rsidRPr="007B2543" w14:paraId="6BCCABBD" w14:textId="77777777" w:rsidTr="007B2543">
        <w:tc>
          <w:tcPr>
            <w:tcW w:w="1190" w:type="dxa"/>
            <w:vMerge/>
            <w:vAlign w:val="center"/>
          </w:tcPr>
          <w:p w14:paraId="543AC36E" w14:textId="77777777" w:rsidR="007B2543" w:rsidRPr="007B2543" w:rsidRDefault="007B2543" w:rsidP="007B2543">
            <w:pPr>
              <w:autoSpaceDE w:val="0"/>
              <w:autoSpaceDN w:val="0"/>
              <w:adjustRightInd w:val="0"/>
              <w:rPr>
                <w:rFonts w:cstheme="minorHAnsi"/>
                <w:bCs/>
                <w:color w:val="FF0000"/>
                <w:sz w:val="20"/>
                <w:szCs w:val="20"/>
              </w:rPr>
            </w:pPr>
          </w:p>
        </w:tc>
        <w:tc>
          <w:tcPr>
            <w:tcW w:w="1220" w:type="dxa"/>
          </w:tcPr>
          <w:p w14:paraId="6D68418D" w14:textId="02CA6A2E"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Discussing Cessation Strategies</w:t>
            </w:r>
          </w:p>
        </w:tc>
        <w:tc>
          <w:tcPr>
            <w:tcW w:w="696" w:type="dxa"/>
          </w:tcPr>
          <w:p w14:paraId="53A7C252" w14:textId="2DBA1C80"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256</w:t>
            </w:r>
          </w:p>
        </w:tc>
        <w:tc>
          <w:tcPr>
            <w:tcW w:w="696" w:type="dxa"/>
          </w:tcPr>
          <w:p w14:paraId="65D6A69E" w14:textId="52B8637F"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43%</w:t>
            </w:r>
          </w:p>
        </w:tc>
        <w:tc>
          <w:tcPr>
            <w:tcW w:w="654" w:type="dxa"/>
          </w:tcPr>
          <w:p w14:paraId="76C2EBA3" w14:textId="0275AD62"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7%</w:t>
            </w:r>
          </w:p>
        </w:tc>
        <w:tc>
          <w:tcPr>
            <w:tcW w:w="694" w:type="dxa"/>
          </w:tcPr>
          <w:p w14:paraId="2ED6D02A" w14:textId="562D1E92"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34%</w:t>
            </w:r>
          </w:p>
        </w:tc>
        <w:tc>
          <w:tcPr>
            <w:tcW w:w="694" w:type="dxa"/>
          </w:tcPr>
          <w:p w14:paraId="01FCB028" w14:textId="05822CE2"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39%</w:t>
            </w:r>
          </w:p>
        </w:tc>
        <w:tc>
          <w:tcPr>
            <w:tcW w:w="694" w:type="dxa"/>
          </w:tcPr>
          <w:p w14:paraId="55FE9A4A" w14:textId="76C363C6"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44%</w:t>
            </w:r>
          </w:p>
        </w:tc>
        <w:tc>
          <w:tcPr>
            <w:tcW w:w="694" w:type="dxa"/>
          </w:tcPr>
          <w:p w14:paraId="2371E5B9" w14:textId="0853A560"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48%</w:t>
            </w:r>
          </w:p>
        </w:tc>
        <w:tc>
          <w:tcPr>
            <w:tcW w:w="694" w:type="dxa"/>
          </w:tcPr>
          <w:p w14:paraId="6386B6B5" w14:textId="6B9C7E4B"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52%</w:t>
            </w:r>
          </w:p>
        </w:tc>
        <w:tc>
          <w:tcPr>
            <w:tcW w:w="694" w:type="dxa"/>
          </w:tcPr>
          <w:p w14:paraId="421C290D" w14:textId="22CCFAC9" w:rsidR="007B2543" w:rsidRPr="007B2543" w:rsidRDefault="007B2543" w:rsidP="00D61410">
            <w:pPr>
              <w:autoSpaceDE w:val="0"/>
              <w:autoSpaceDN w:val="0"/>
              <w:adjustRightInd w:val="0"/>
              <w:rPr>
                <w:rFonts w:cstheme="minorHAnsi"/>
                <w:bCs/>
                <w:color w:val="FF0000"/>
                <w:sz w:val="20"/>
                <w:szCs w:val="20"/>
              </w:rPr>
            </w:pPr>
            <w:r w:rsidRPr="007B2543">
              <w:rPr>
                <w:rFonts w:cstheme="minorHAnsi"/>
                <w:bCs/>
                <w:color w:val="FF0000"/>
                <w:sz w:val="20"/>
                <w:szCs w:val="20"/>
              </w:rPr>
              <w:t>9%</w:t>
            </w:r>
          </w:p>
        </w:tc>
        <w:tc>
          <w:tcPr>
            <w:tcW w:w="730" w:type="dxa"/>
          </w:tcPr>
          <w:p w14:paraId="4D5FB5C2" w14:textId="66A32BCB" w:rsidR="007B2543" w:rsidRPr="007B2543" w:rsidRDefault="007B2543" w:rsidP="00D61410">
            <w:pPr>
              <w:autoSpaceDE w:val="0"/>
              <w:autoSpaceDN w:val="0"/>
              <w:adjustRightInd w:val="0"/>
              <w:rPr>
                <w:rFonts w:cstheme="minorHAnsi"/>
                <w:bCs/>
                <w:color w:val="FF0000"/>
                <w:sz w:val="20"/>
                <w:szCs w:val="20"/>
              </w:rPr>
            </w:pPr>
            <w:r>
              <w:rPr>
                <w:rFonts w:cstheme="minorHAnsi"/>
                <w:bCs/>
                <w:color w:val="FF0000"/>
                <w:sz w:val="20"/>
                <w:szCs w:val="20"/>
              </w:rPr>
              <w:t>&lt;0.001</w:t>
            </w:r>
          </w:p>
        </w:tc>
      </w:tr>
      <w:tr w:rsidR="007B2543" w:rsidRPr="007B2543" w14:paraId="026DE378" w14:textId="77777777" w:rsidTr="007B2543">
        <w:tc>
          <w:tcPr>
            <w:tcW w:w="1190" w:type="dxa"/>
            <w:vAlign w:val="center"/>
          </w:tcPr>
          <w:p w14:paraId="45BBAC70" w14:textId="48FAD3AA" w:rsidR="000417BC" w:rsidRPr="007B2543" w:rsidRDefault="000417BC" w:rsidP="007B2543">
            <w:pPr>
              <w:autoSpaceDE w:val="0"/>
              <w:autoSpaceDN w:val="0"/>
              <w:adjustRightInd w:val="0"/>
              <w:rPr>
                <w:rFonts w:cstheme="minorHAnsi"/>
                <w:bCs/>
                <w:color w:val="FF0000"/>
                <w:sz w:val="20"/>
                <w:szCs w:val="20"/>
              </w:rPr>
            </w:pPr>
            <w:r w:rsidRPr="007B2543">
              <w:rPr>
                <w:rFonts w:cstheme="minorHAnsi"/>
                <w:bCs/>
                <w:color w:val="FF0000"/>
                <w:sz w:val="20"/>
                <w:szCs w:val="20"/>
              </w:rPr>
              <w:t>Medicare</w:t>
            </w:r>
          </w:p>
        </w:tc>
        <w:tc>
          <w:tcPr>
            <w:tcW w:w="1220" w:type="dxa"/>
          </w:tcPr>
          <w:p w14:paraId="4BD32199" w14:textId="544ED744" w:rsidR="000417BC" w:rsidRPr="007B2543" w:rsidRDefault="00F24994" w:rsidP="00D61410">
            <w:pPr>
              <w:autoSpaceDE w:val="0"/>
              <w:autoSpaceDN w:val="0"/>
              <w:adjustRightInd w:val="0"/>
              <w:rPr>
                <w:rFonts w:cstheme="minorHAnsi"/>
                <w:bCs/>
                <w:color w:val="FF0000"/>
                <w:sz w:val="20"/>
                <w:szCs w:val="20"/>
              </w:rPr>
            </w:pPr>
            <w:r w:rsidRPr="007B2543">
              <w:rPr>
                <w:rFonts w:cstheme="minorHAnsi"/>
                <w:bCs/>
                <w:color w:val="FF0000"/>
                <w:sz w:val="20"/>
                <w:szCs w:val="20"/>
              </w:rPr>
              <w:t>Advising Smokers to Quit</w:t>
            </w:r>
          </w:p>
        </w:tc>
        <w:tc>
          <w:tcPr>
            <w:tcW w:w="696" w:type="dxa"/>
          </w:tcPr>
          <w:p w14:paraId="7DBCCD69" w14:textId="3BF0EA4F" w:rsidR="000417BC" w:rsidRPr="007B2543" w:rsidRDefault="00F24994" w:rsidP="00D61410">
            <w:pPr>
              <w:autoSpaceDE w:val="0"/>
              <w:autoSpaceDN w:val="0"/>
              <w:adjustRightInd w:val="0"/>
              <w:rPr>
                <w:rFonts w:cstheme="minorHAnsi"/>
                <w:bCs/>
                <w:color w:val="FF0000"/>
                <w:sz w:val="20"/>
                <w:szCs w:val="20"/>
              </w:rPr>
            </w:pPr>
            <w:r w:rsidRPr="007B2543">
              <w:rPr>
                <w:rFonts w:cstheme="minorHAnsi"/>
                <w:bCs/>
                <w:color w:val="FF0000"/>
                <w:sz w:val="20"/>
                <w:szCs w:val="20"/>
              </w:rPr>
              <w:t>55</w:t>
            </w:r>
          </w:p>
        </w:tc>
        <w:tc>
          <w:tcPr>
            <w:tcW w:w="696" w:type="dxa"/>
          </w:tcPr>
          <w:p w14:paraId="4F212563" w14:textId="41644B9C" w:rsidR="000417BC" w:rsidRPr="007B2543" w:rsidRDefault="00F24994" w:rsidP="00D61410">
            <w:pPr>
              <w:autoSpaceDE w:val="0"/>
              <w:autoSpaceDN w:val="0"/>
              <w:adjustRightInd w:val="0"/>
              <w:rPr>
                <w:rFonts w:cstheme="minorHAnsi"/>
                <w:bCs/>
                <w:color w:val="FF0000"/>
                <w:sz w:val="20"/>
                <w:szCs w:val="20"/>
              </w:rPr>
            </w:pPr>
            <w:r w:rsidRPr="007B2543">
              <w:rPr>
                <w:rFonts w:cstheme="minorHAnsi"/>
                <w:bCs/>
                <w:color w:val="FF0000"/>
                <w:sz w:val="20"/>
                <w:szCs w:val="20"/>
              </w:rPr>
              <w:t>86%</w:t>
            </w:r>
          </w:p>
        </w:tc>
        <w:tc>
          <w:tcPr>
            <w:tcW w:w="654" w:type="dxa"/>
          </w:tcPr>
          <w:p w14:paraId="45A424B3" w14:textId="6CAE5697" w:rsidR="000417BC" w:rsidRPr="007B2543" w:rsidRDefault="00F24994" w:rsidP="00D61410">
            <w:pPr>
              <w:autoSpaceDE w:val="0"/>
              <w:autoSpaceDN w:val="0"/>
              <w:adjustRightInd w:val="0"/>
              <w:rPr>
                <w:rFonts w:cstheme="minorHAnsi"/>
                <w:bCs/>
                <w:color w:val="FF0000"/>
                <w:sz w:val="20"/>
                <w:szCs w:val="20"/>
              </w:rPr>
            </w:pPr>
            <w:r w:rsidRPr="007B2543">
              <w:rPr>
                <w:rFonts w:cstheme="minorHAnsi"/>
                <w:bCs/>
                <w:color w:val="FF0000"/>
                <w:sz w:val="20"/>
                <w:szCs w:val="20"/>
              </w:rPr>
              <w:t>6%</w:t>
            </w:r>
          </w:p>
        </w:tc>
        <w:tc>
          <w:tcPr>
            <w:tcW w:w="694" w:type="dxa"/>
          </w:tcPr>
          <w:p w14:paraId="4520C9C8" w14:textId="5FF719A3" w:rsidR="000417BC" w:rsidRPr="007B2543" w:rsidRDefault="00F24994" w:rsidP="00D61410">
            <w:pPr>
              <w:autoSpaceDE w:val="0"/>
              <w:autoSpaceDN w:val="0"/>
              <w:adjustRightInd w:val="0"/>
              <w:rPr>
                <w:rFonts w:cstheme="minorHAnsi"/>
                <w:bCs/>
                <w:color w:val="FF0000"/>
                <w:sz w:val="20"/>
                <w:szCs w:val="20"/>
              </w:rPr>
            </w:pPr>
            <w:r w:rsidRPr="007B2543">
              <w:rPr>
                <w:rFonts w:cstheme="minorHAnsi"/>
                <w:bCs/>
                <w:color w:val="FF0000"/>
                <w:sz w:val="20"/>
                <w:szCs w:val="20"/>
              </w:rPr>
              <w:t>78%</w:t>
            </w:r>
          </w:p>
        </w:tc>
        <w:tc>
          <w:tcPr>
            <w:tcW w:w="694" w:type="dxa"/>
          </w:tcPr>
          <w:p w14:paraId="15E9E6EF" w14:textId="4B4A9248" w:rsidR="000417BC" w:rsidRPr="007B2543" w:rsidRDefault="00F24994" w:rsidP="00D61410">
            <w:pPr>
              <w:autoSpaceDE w:val="0"/>
              <w:autoSpaceDN w:val="0"/>
              <w:adjustRightInd w:val="0"/>
              <w:rPr>
                <w:rFonts w:cstheme="minorHAnsi"/>
                <w:bCs/>
                <w:color w:val="FF0000"/>
                <w:sz w:val="20"/>
                <w:szCs w:val="20"/>
              </w:rPr>
            </w:pPr>
            <w:r w:rsidRPr="007B2543">
              <w:rPr>
                <w:rFonts w:cstheme="minorHAnsi"/>
                <w:bCs/>
                <w:color w:val="FF0000"/>
                <w:sz w:val="20"/>
                <w:szCs w:val="20"/>
              </w:rPr>
              <w:t>82%</w:t>
            </w:r>
          </w:p>
        </w:tc>
        <w:tc>
          <w:tcPr>
            <w:tcW w:w="694" w:type="dxa"/>
          </w:tcPr>
          <w:p w14:paraId="494D1A2B" w14:textId="19CFE0A5" w:rsidR="000417BC" w:rsidRPr="007B2543" w:rsidRDefault="00F24994" w:rsidP="00D61410">
            <w:pPr>
              <w:autoSpaceDE w:val="0"/>
              <w:autoSpaceDN w:val="0"/>
              <w:adjustRightInd w:val="0"/>
              <w:rPr>
                <w:rFonts w:cstheme="minorHAnsi"/>
                <w:bCs/>
                <w:color w:val="FF0000"/>
                <w:sz w:val="20"/>
                <w:szCs w:val="20"/>
              </w:rPr>
            </w:pPr>
            <w:r w:rsidRPr="007B2543">
              <w:rPr>
                <w:rFonts w:cstheme="minorHAnsi"/>
                <w:bCs/>
                <w:color w:val="FF0000"/>
                <w:sz w:val="20"/>
                <w:szCs w:val="20"/>
              </w:rPr>
              <w:t>86%</w:t>
            </w:r>
          </w:p>
        </w:tc>
        <w:tc>
          <w:tcPr>
            <w:tcW w:w="694" w:type="dxa"/>
          </w:tcPr>
          <w:p w14:paraId="2DF1B811" w14:textId="38BBC180" w:rsidR="000417BC" w:rsidRPr="007B2543" w:rsidRDefault="00F24994" w:rsidP="00D61410">
            <w:pPr>
              <w:autoSpaceDE w:val="0"/>
              <w:autoSpaceDN w:val="0"/>
              <w:adjustRightInd w:val="0"/>
              <w:rPr>
                <w:rFonts w:cstheme="minorHAnsi"/>
                <w:bCs/>
                <w:color w:val="FF0000"/>
                <w:sz w:val="20"/>
                <w:szCs w:val="20"/>
              </w:rPr>
            </w:pPr>
            <w:r w:rsidRPr="007B2543">
              <w:rPr>
                <w:rFonts w:cstheme="minorHAnsi"/>
                <w:bCs/>
                <w:color w:val="FF0000"/>
                <w:sz w:val="20"/>
                <w:szCs w:val="20"/>
              </w:rPr>
              <w:t>90%</w:t>
            </w:r>
          </w:p>
        </w:tc>
        <w:tc>
          <w:tcPr>
            <w:tcW w:w="694" w:type="dxa"/>
          </w:tcPr>
          <w:p w14:paraId="2D2F32DA" w14:textId="1418DCAA" w:rsidR="000417BC" w:rsidRPr="007B2543" w:rsidRDefault="00F24994" w:rsidP="00D61410">
            <w:pPr>
              <w:autoSpaceDE w:val="0"/>
              <w:autoSpaceDN w:val="0"/>
              <w:adjustRightInd w:val="0"/>
              <w:rPr>
                <w:rFonts w:cstheme="minorHAnsi"/>
                <w:bCs/>
                <w:color w:val="FF0000"/>
                <w:sz w:val="20"/>
                <w:szCs w:val="20"/>
              </w:rPr>
            </w:pPr>
            <w:r w:rsidRPr="007B2543">
              <w:rPr>
                <w:rFonts w:cstheme="minorHAnsi"/>
                <w:bCs/>
                <w:color w:val="FF0000"/>
                <w:sz w:val="20"/>
                <w:szCs w:val="20"/>
              </w:rPr>
              <w:t>93%</w:t>
            </w:r>
          </w:p>
        </w:tc>
        <w:tc>
          <w:tcPr>
            <w:tcW w:w="694" w:type="dxa"/>
          </w:tcPr>
          <w:p w14:paraId="06BEA466" w14:textId="2450B9E8" w:rsidR="000417BC" w:rsidRPr="007B2543" w:rsidRDefault="00F24994" w:rsidP="00D61410">
            <w:pPr>
              <w:autoSpaceDE w:val="0"/>
              <w:autoSpaceDN w:val="0"/>
              <w:adjustRightInd w:val="0"/>
              <w:rPr>
                <w:rFonts w:cstheme="minorHAnsi"/>
                <w:bCs/>
                <w:color w:val="FF0000"/>
                <w:sz w:val="20"/>
                <w:szCs w:val="20"/>
              </w:rPr>
            </w:pPr>
            <w:r w:rsidRPr="007B2543">
              <w:rPr>
                <w:rFonts w:cstheme="minorHAnsi"/>
                <w:bCs/>
                <w:color w:val="FF0000"/>
                <w:sz w:val="20"/>
                <w:szCs w:val="20"/>
              </w:rPr>
              <w:t>8%</w:t>
            </w:r>
          </w:p>
        </w:tc>
        <w:tc>
          <w:tcPr>
            <w:tcW w:w="730" w:type="dxa"/>
          </w:tcPr>
          <w:p w14:paraId="5AB5904E" w14:textId="5DDDBA06" w:rsidR="000417BC" w:rsidRPr="007B2543" w:rsidRDefault="007B2543" w:rsidP="00D61410">
            <w:pPr>
              <w:autoSpaceDE w:val="0"/>
              <w:autoSpaceDN w:val="0"/>
              <w:adjustRightInd w:val="0"/>
              <w:rPr>
                <w:rFonts w:cstheme="minorHAnsi"/>
                <w:bCs/>
                <w:color w:val="FF0000"/>
                <w:sz w:val="20"/>
                <w:szCs w:val="20"/>
              </w:rPr>
            </w:pPr>
            <w:r>
              <w:rPr>
                <w:rFonts w:cstheme="minorHAnsi"/>
                <w:bCs/>
                <w:color w:val="FF0000"/>
                <w:sz w:val="20"/>
                <w:szCs w:val="20"/>
              </w:rPr>
              <w:t>0.006</w:t>
            </w:r>
          </w:p>
        </w:tc>
      </w:tr>
    </w:tbl>
    <w:p w14:paraId="08D5F0B6" w14:textId="16F54AB0" w:rsidR="000417BC" w:rsidRPr="007B2543" w:rsidRDefault="001044DD" w:rsidP="00D61410">
      <w:pPr>
        <w:autoSpaceDE w:val="0"/>
        <w:autoSpaceDN w:val="0"/>
        <w:adjustRightInd w:val="0"/>
        <w:spacing w:after="0" w:line="240" w:lineRule="auto"/>
        <w:rPr>
          <w:rFonts w:cstheme="minorHAnsi"/>
          <w:bCs/>
          <w:color w:val="FF0000"/>
          <w:sz w:val="20"/>
          <w:szCs w:val="20"/>
        </w:rPr>
      </w:pPr>
      <w:r w:rsidRPr="007B2543">
        <w:rPr>
          <w:rFonts w:cstheme="minorHAnsi"/>
          <w:bCs/>
          <w:color w:val="FF0000"/>
          <w:sz w:val="20"/>
          <w:szCs w:val="20"/>
        </w:rPr>
        <w:t>EP: eligible population, the average denominator size across plans submitting to HEDIS</w:t>
      </w:r>
    </w:p>
    <w:p w14:paraId="5B3EFFD4" w14:textId="733875FF" w:rsidR="001044DD" w:rsidRPr="007B2543" w:rsidRDefault="001044DD" w:rsidP="00D61410">
      <w:pPr>
        <w:autoSpaceDE w:val="0"/>
        <w:autoSpaceDN w:val="0"/>
        <w:adjustRightInd w:val="0"/>
        <w:spacing w:after="0" w:line="240" w:lineRule="auto"/>
        <w:rPr>
          <w:rFonts w:cstheme="minorHAnsi"/>
          <w:bCs/>
          <w:color w:val="FF0000"/>
          <w:sz w:val="20"/>
          <w:szCs w:val="20"/>
        </w:rPr>
      </w:pPr>
      <w:r w:rsidRPr="007B2543">
        <w:rPr>
          <w:rFonts w:cstheme="minorHAnsi"/>
          <w:bCs/>
          <w:color w:val="FF0000"/>
          <w:sz w:val="20"/>
          <w:szCs w:val="20"/>
        </w:rPr>
        <w:t xml:space="preserve">SD: standard deviation </w:t>
      </w:r>
    </w:p>
    <w:p w14:paraId="5813A0D6" w14:textId="0276CCAE" w:rsidR="001044DD" w:rsidRPr="007B2543" w:rsidRDefault="001044DD" w:rsidP="00D61410">
      <w:pPr>
        <w:autoSpaceDE w:val="0"/>
        <w:autoSpaceDN w:val="0"/>
        <w:adjustRightInd w:val="0"/>
        <w:spacing w:after="0" w:line="240" w:lineRule="auto"/>
        <w:rPr>
          <w:rFonts w:cstheme="minorHAnsi"/>
          <w:bCs/>
          <w:color w:val="FF0000"/>
          <w:sz w:val="20"/>
          <w:szCs w:val="20"/>
        </w:rPr>
      </w:pPr>
      <w:r w:rsidRPr="007B2543">
        <w:rPr>
          <w:rFonts w:cstheme="minorHAnsi"/>
          <w:bCs/>
          <w:color w:val="FF0000"/>
          <w:sz w:val="20"/>
          <w:szCs w:val="20"/>
        </w:rPr>
        <w:t xml:space="preserve">IQR: interquartile range </w:t>
      </w:r>
    </w:p>
    <w:p w14:paraId="2296D6B3" w14:textId="5C091976" w:rsidR="001044DD" w:rsidRPr="007B2543" w:rsidRDefault="001044DD" w:rsidP="00D61410">
      <w:pPr>
        <w:autoSpaceDE w:val="0"/>
        <w:autoSpaceDN w:val="0"/>
        <w:adjustRightInd w:val="0"/>
        <w:spacing w:after="0" w:line="240" w:lineRule="auto"/>
        <w:rPr>
          <w:rFonts w:cstheme="minorHAnsi"/>
          <w:bCs/>
          <w:color w:val="FF0000"/>
          <w:sz w:val="20"/>
          <w:szCs w:val="20"/>
        </w:rPr>
      </w:pPr>
      <w:r w:rsidRPr="007B2543">
        <w:rPr>
          <w:rFonts w:cstheme="minorHAnsi"/>
          <w:bCs/>
          <w:color w:val="FF0000"/>
          <w:sz w:val="20"/>
          <w:szCs w:val="20"/>
        </w:rPr>
        <w:t>p-value: p-value of independent samples t-test comparing plans at the 25</w:t>
      </w:r>
      <w:r w:rsidRPr="007B2543">
        <w:rPr>
          <w:rFonts w:cstheme="minorHAnsi"/>
          <w:bCs/>
          <w:color w:val="FF0000"/>
          <w:sz w:val="20"/>
          <w:szCs w:val="20"/>
          <w:vertAlign w:val="superscript"/>
        </w:rPr>
        <w:t>th</w:t>
      </w:r>
      <w:r w:rsidRPr="007B2543">
        <w:rPr>
          <w:rFonts w:cstheme="minorHAnsi"/>
          <w:bCs/>
          <w:color w:val="FF0000"/>
          <w:sz w:val="20"/>
          <w:szCs w:val="20"/>
        </w:rPr>
        <w:t xml:space="preserve"> percentile to plans at the 75</w:t>
      </w:r>
      <w:r w:rsidRPr="007B2543">
        <w:rPr>
          <w:rFonts w:cstheme="minorHAnsi"/>
          <w:bCs/>
          <w:color w:val="FF0000"/>
          <w:sz w:val="20"/>
          <w:szCs w:val="20"/>
          <w:vertAlign w:val="superscript"/>
        </w:rPr>
        <w:t>th</w:t>
      </w:r>
      <w:r w:rsidRPr="007B2543">
        <w:rPr>
          <w:rFonts w:cstheme="minorHAnsi"/>
          <w:bCs/>
          <w:color w:val="FF0000"/>
          <w:sz w:val="20"/>
          <w:szCs w:val="20"/>
        </w:rPr>
        <w:t xml:space="preserve"> percentile</w:t>
      </w:r>
    </w:p>
    <w:p w14:paraId="2F892FDB" w14:textId="77777777" w:rsidR="000417BC" w:rsidRDefault="000417BC" w:rsidP="00D61410">
      <w:pPr>
        <w:autoSpaceDE w:val="0"/>
        <w:autoSpaceDN w:val="0"/>
        <w:adjustRightInd w:val="0"/>
        <w:spacing w:after="0" w:line="240" w:lineRule="auto"/>
        <w:rPr>
          <w:rFonts w:cstheme="minorHAnsi"/>
          <w:bCs/>
        </w:rPr>
      </w:pPr>
    </w:p>
    <w:p w14:paraId="2C83F0A0" w14:textId="429365F5" w:rsidR="00A7626D" w:rsidRPr="00A7626D" w:rsidRDefault="00A7626D" w:rsidP="00836487">
      <w:pPr>
        <w:autoSpaceDE w:val="0"/>
        <w:autoSpaceDN w:val="0"/>
        <w:adjustRightInd w:val="0"/>
        <w:spacing w:after="0" w:line="240" w:lineRule="auto"/>
        <w:rPr>
          <w:rFonts w:cstheme="minorHAnsi"/>
          <w:bCs/>
          <w:color w:val="1F497D" w:themeColor="text2"/>
          <w:u w:val="single"/>
        </w:rPr>
      </w:pPr>
      <w:r w:rsidRPr="00A7626D">
        <w:rPr>
          <w:rFonts w:cstheme="minorHAnsi"/>
          <w:bCs/>
          <w:color w:val="1F497D" w:themeColor="text2"/>
          <w:u w:val="single"/>
        </w:rPr>
        <w:t>Previous submission:</w:t>
      </w:r>
    </w:p>
    <w:p w14:paraId="213A22E6" w14:textId="1A04281F"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Commercial</w:t>
      </w:r>
    </w:p>
    <w:p w14:paraId="4E598DA6"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ASTQ Rolling Average Rate </w:t>
      </w:r>
    </w:p>
    <w:p w14:paraId="5C9BE6B4"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Data Element; 2010, 2009; 2008</w:t>
      </w:r>
    </w:p>
    <w:p w14:paraId="63EE7994"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N; 234; 14; 114</w:t>
      </w:r>
    </w:p>
    <w:p w14:paraId="4EBB1C13"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lastRenderedPageBreak/>
        <w:t>MEAN; 74.9; 79.5; 76.7</w:t>
      </w:r>
    </w:p>
    <w:p w14:paraId="7B30E1A9"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STDEV; 6.88; 5.99; 5.53</w:t>
      </w:r>
    </w:p>
    <w:p w14:paraId="1D4E0BA7" w14:textId="77777777" w:rsidR="00836487" w:rsidRPr="00836487" w:rsidRDefault="00836487" w:rsidP="00836487">
      <w:pPr>
        <w:autoSpaceDE w:val="0"/>
        <w:autoSpaceDN w:val="0"/>
        <w:adjustRightInd w:val="0"/>
        <w:spacing w:after="0" w:line="240" w:lineRule="auto"/>
        <w:rPr>
          <w:rFonts w:cstheme="minorHAnsi"/>
          <w:bCs/>
          <w:color w:val="1F497D" w:themeColor="text2"/>
        </w:rPr>
      </w:pPr>
    </w:p>
    <w:p w14:paraId="5621D7DD"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P10; 66.1; 73.8; 69.2</w:t>
      </w:r>
    </w:p>
    <w:p w14:paraId="7B35985F"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P25; 70.5; 73.9; 73</w:t>
      </w:r>
    </w:p>
    <w:p w14:paraId="52237FA7"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P50; 74.6; 79.8; 76.9</w:t>
      </w:r>
    </w:p>
    <w:p w14:paraId="36E50F59"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P75; 80.0; 84; 80.3</w:t>
      </w:r>
    </w:p>
    <w:p w14:paraId="0C8A8F78"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P90; 83.7; 87.7; 83.5</w:t>
      </w:r>
    </w:p>
    <w:p w14:paraId="3AAEA2AB" w14:textId="77777777" w:rsidR="00836487" w:rsidRPr="00836487" w:rsidRDefault="00836487" w:rsidP="00836487">
      <w:pPr>
        <w:autoSpaceDE w:val="0"/>
        <w:autoSpaceDN w:val="0"/>
        <w:adjustRightInd w:val="0"/>
        <w:spacing w:after="0" w:line="240" w:lineRule="auto"/>
        <w:rPr>
          <w:rFonts w:cstheme="minorHAnsi"/>
          <w:bCs/>
          <w:color w:val="1F497D" w:themeColor="text2"/>
        </w:rPr>
      </w:pPr>
    </w:p>
    <w:p w14:paraId="58A35D2D"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DSCM Rolling Average Rate </w:t>
      </w:r>
    </w:p>
    <w:p w14:paraId="0E3A6623"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Data Element; 2010; 2009; 2008</w:t>
      </w:r>
    </w:p>
    <w:p w14:paraId="716CF792"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N ; 231; 14; 115</w:t>
      </w:r>
    </w:p>
    <w:p w14:paraId="7C629857"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MEAN; 50.5; 53.3; 54.4</w:t>
      </w:r>
    </w:p>
    <w:p w14:paraId="6D7B4EFE"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STDEV; 7.8; 6.57; 7.29</w:t>
      </w:r>
    </w:p>
    <w:p w14:paraId="2E925D30" w14:textId="77777777" w:rsidR="00836487" w:rsidRPr="00836487" w:rsidRDefault="00836487" w:rsidP="00836487">
      <w:pPr>
        <w:autoSpaceDE w:val="0"/>
        <w:autoSpaceDN w:val="0"/>
        <w:adjustRightInd w:val="0"/>
        <w:spacing w:after="0" w:line="240" w:lineRule="auto"/>
        <w:rPr>
          <w:rFonts w:cstheme="minorHAnsi"/>
          <w:bCs/>
          <w:color w:val="1F497D" w:themeColor="text2"/>
        </w:rPr>
      </w:pPr>
    </w:p>
    <w:p w14:paraId="400DB81B"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P10; 40.3; 46.8; 45.2</w:t>
      </w:r>
    </w:p>
    <w:p w14:paraId="695CAA17"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P25; 45.3; 47.8; 48.7</w:t>
      </w:r>
    </w:p>
    <w:p w14:paraId="22F61CBC"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P50; 50.3; 51.6; 53.6</w:t>
      </w:r>
    </w:p>
    <w:p w14:paraId="56B90CBF"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P75; 55.5; 57.5; 61</w:t>
      </w:r>
    </w:p>
    <w:p w14:paraId="142ADAEC"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P90; 62.0; 64.4; 63.6</w:t>
      </w:r>
    </w:p>
    <w:p w14:paraId="4B1D59EA" w14:textId="77777777" w:rsidR="00836487" w:rsidRPr="00836487" w:rsidRDefault="00836487" w:rsidP="00836487">
      <w:pPr>
        <w:autoSpaceDE w:val="0"/>
        <w:autoSpaceDN w:val="0"/>
        <w:adjustRightInd w:val="0"/>
        <w:spacing w:after="0" w:line="240" w:lineRule="auto"/>
        <w:rPr>
          <w:rFonts w:cstheme="minorHAnsi"/>
          <w:bCs/>
          <w:color w:val="1F497D" w:themeColor="text2"/>
        </w:rPr>
      </w:pPr>
    </w:p>
    <w:p w14:paraId="400F391B"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DSCS Rolling Average Rate </w:t>
      </w:r>
    </w:p>
    <w:p w14:paraId="230E8525"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Data Element; 2010; 2009; 2008</w:t>
      </w:r>
    </w:p>
    <w:p w14:paraId="7F16A917"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N; 228; 14; 115</w:t>
      </w:r>
    </w:p>
    <w:p w14:paraId="2361D097"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MEAN; 42.8; 50; 49.7 </w:t>
      </w:r>
    </w:p>
    <w:p w14:paraId="002EDA79" w14:textId="40BE7892" w:rsidR="00836487" w:rsidRPr="00836487" w:rsidRDefault="00A7626D" w:rsidP="00836487">
      <w:pPr>
        <w:autoSpaceDE w:val="0"/>
        <w:autoSpaceDN w:val="0"/>
        <w:adjustRightInd w:val="0"/>
        <w:spacing w:after="0" w:line="240" w:lineRule="auto"/>
        <w:rPr>
          <w:rFonts w:cstheme="minorHAnsi"/>
          <w:bCs/>
          <w:color w:val="1F497D" w:themeColor="text2"/>
        </w:rPr>
      </w:pPr>
      <w:r>
        <w:rPr>
          <w:rFonts w:cstheme="minorHAnsi"/>
          <w:bCs/>
          <w:color w:val="1F497D" w:themeColor="text2"/>
        </w:rPr>
        <w:t>STDEV; 8.7; 8.45; 7.46</w:t>
      </w:r>
    </w:p>
    <w:p w14:paraId="207FF647"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P10; 33.0; 38.6; 39</w:t>
      </w:r>
    </w:p>
    <w:p w14:paraId="6817BC9C"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P25; 35.9; 45.4; 44.6</w:t>
      </w:r>
    </w:p>
    <w:p w14:paraId="71ABAB73"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P50; 41.2; 51; 49.7</w:t>
      </w:r>
    </w:p>
    <w:p w14:paraId="61DD4181"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P75; 47.8; 56.1; 55</w:t>
      </w:r>
    </w:p>
    <w:p w14:paraId="0026CCE8"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P90; 55.1; 61.2; 59.8</w:t>
      </w:r>
    </w:p>
    <w:p w14:paraId="6B8F87FE" w14:textId="77777777" w:rsidR="00836487" w:rsidRPr="00836487" w:rsidRDefault="00836487" w:rsidP="00836487">
      <w:pPr>
        <w:autoSpaceDE w:val="0"/>
        <w:autoSpaceDN w:val="0"/>
        <w:adjustRightInd w:val="0"/>
        <w:spacing w:after="0" w:line="240" w:lineRule="auto"/>
        <w:rPr>
          <w:rFonts w:cstheme="minorHAnsi"/>
          <w:bCs/>
          <w:color w:val="1F497D" w:themeColor="text2"/>
        </w:rPr>
      </w:pPr>
    </w:p>
    <w:p w14:paraId="7C60FF73"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Medicare</w:t>
      </w:r>
    </w:p>
    <w:p w14:paraId="3034E7D3"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ASTQ Rolling Average Rate </w:t>
      </w:r>
    </w:p>
    <w:p w14:paraId="78AE45AB"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Data Element; 2009 </w:t>
      </w:r>
    </w:p>
    <w:p w14:paraId="50B39DEB"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N; 295 </w:t>
      </w:r>
    </w:p>
    <w:p w14:paraId="15BE1053"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MEAN; 78 </w:t>
      </w:r>
    </w:p>
    <w:p w14:paraId="3784EC5C"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STDEV; 7.91 </w:t>
      </w:r>
    </w:p>
    <w:p w14:paraId="016C65B5"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STDERR; 0.46 </w:t>
      </w:r>
    </w:p>
    <w:p w14:paraId="368693E4"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MIN; 50 </w:t>
      </w:r>
    </w:p>
    <w:p w14:paraId="63E46213"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MAX; 100 </w:t>
      </w:r>
    </w:p>
    <w:p w14:paraId="4B936CCF"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P10; 67.7 </w:t>
      </w:r>
    </w:p>
    <w:p w14:paraId="71C22F57"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P25; 73.3 </w:t>
      </w:r>
    </w:p>
    <w:p w14:paraId="419F1D42"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P50; 78 </w:t>
      </w:r>
    </w:p>
    <w:p w14:paraId="1032422C"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P75; 82.9 </w:t>
      </w:r>
    </w:p>
    <w:p w14:paraId="7321599D"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P90; 87.8 </w:t>
      </w:r>
    </w:p>
    <w:p w14:paraId="6177CEC0" w14:textId="77777777" w:rsidR="00836487" w:rsidRPr="00836487" w:rsidRDefault="00836487" w:rsidP="00836487">
      <w:pPr>
        <w:autoSpaceDE w:val="0"/>
        <w:autoSpaceDN w:val="0"/>
        <w:adjustRightInd w:val="0"/>
        <w:spacing w:after="0" w:line="240" w:lineRule="auto"/>
        <w:rPr>
          <w:rFonts w:cstheme="minorHAnsi"/>
          <w:bCs/>
          <w:color w:val="1F497D" w:themeColor="text2"/>
        </w:rPr>
      </w:pPr>
    </w:p>
    <w:p w14:paraId="4C43792F"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Medicaid</w:t>
      </w:r>
    </w:p>
    <w:p w14:paraId="538CED52"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lastRenderedPageBreak/>
        <w:t xml:space="preserve">ASTQ Rolling Average Rate </w:t>
      </w:r>
    </w:p>
    <w:p w14:paraId="6079362F"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Data Element; 2010; 2009; 2008</w:t>
      </w:r>
    </w:p>
    <w:p w14:paraId="38D62708" w14:textId="2BA9FDEC" w:rsidR="000E2190" w:rsidRDefault="00836487" w:rsidP="000E2190">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N; 119; 99; 101</w:t>
      </w:r>
    </w:p>
    <w:p w14:paraId="58EFA294"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MEAN; 73.7; 74.3; 69.3</w:t>
      </w:r>
    </w:p>
    <w:p w14:paraId="7C3CDED4"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STDEV; 6.08; 5.3; 0.62</w:t>
      </w:r>
    </w:p>
    <w:p w14:paraId="0DFB0993"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P10; 64.7; 67.1; 61.4</w:t>
      </w:r>
    </w:p>
    <w:p w14:paraId="72AAF576"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P25; 69.9; 70.8; 66.5</w:t>
      </w:r>
    </w:p>
    <w:p w14:paraId="23979E63"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P50; 74.8; 74.9; 70.4</w:t>
      </w:r>
    </w:p>
    <w:p w14:paraId="0AA412CF"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P75; 78.0; 77.7; 73.5</w:t>
      </w:r>
    </w:p>
    <w:p w14:paraId="537256AE"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P90; 80.8; 80.8; 76.2</w:t>
      </w:r>
    </w:p>
    <w:p w14:paraId="647435FD" w14:textId="77777777" w:rsidR="00836487" w:rsidRPr="00836487" w:rsidRDefault="00836487" w:rsidP="00836487">
      <w:pPr>
        <w:autoSpaceDE w:val="0"/>
        <w:autoSpaceDN w:val="0"/>
        <w:adjustRightInd w:val="0"/>
        <w:spacing w:after="0" w:line="240" w:lineRule="auto"/>
        <w:rPr>
          <w:rFonts w:cstheme="minorHAnsi"/>
          <w:bCs/>
          <w:color w:val="1F497D" w:themeColor="text2"/>
        </w:rPr>
      </w:pPr>
    </w:p>
    <w:p w14:paraId="59481083"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DSCM Rolling Average Rate </w:t>
      </w:r>
    </w:p>
    <w:p w14:paraId="3CAE571E"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Data Element; 2010; 2009; 2008</w:t>
      </w:r>
    </w:p>
    <w:p w14:paraId="0750F876"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N; 119; 99; 101</w:t>
      </w:r>
    </w:p>
    <w:p w14:paraId="4858832F"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MEAN; 42.8; 43.4; 40.6</w:t>
      </w:r>
    </w:p>
    <w:p w14:paraId="06AD8462"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STDEV; 9.1; 9.38; 8.48</w:t>
      </w:r>
    </w:p>
    <w:p w14:paraId="49BC6311" w14:textId="77777777" w:rsidR="00836487" w:rsidRPr="00836487" w:rsidRDefault="00836487" w:rsidP="00836487">
      <w:pPr>
        <w:autoSpaceDE w:val="0"/>
        <w:autoSpaceDN w:val="0"/>
        <w:adjustRightInd w:val="0"/>
        <w:spacing w:after="0" w:line="240" w:lineRule="auto"/>
        <w:rPr>
          <w:rFonts w:cstheme="minorHAnsi"/>
          <w:bCs/>
          <w:color w:val="1F497D" w:themeColor="text2"/>
        </w:rPr>
      </w:pPr>
    </w:p>
    <w:p w14:paraId="5B31573E"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P10; 30.2; 29.4; 31.8</w:t>
      </w:r>
    </w:p>
    <w:p w14:paraId="0EECDE16"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P25; 36.4; 37.2; 34.6</w:t>
      </w:r>
    </w:p>
    <w:p w14:paraId="3010AF6F"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P50; 42.8; 43.4; 39.9</w:t>
      </w:r>
    </w:p>
    <w:p w14:paraId="0B270D12"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P75; 48.9; 51; 46.1 </w:t>
      </w:r>
    </w:p>
    <w:p w14:paraId="742D138C"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P90; 55.0; 56.6; 52.3</w:t>
      </w:r>
    </w:p>
    <w:p w14:paraId="0053E1EB" w14:textId="77777777" w:rsidR="00836487" w:rsidRPr="00836487" w:rsidRDefault="00836487" w:rsidP="00836487">
      <w:pPr>
        <w:autoSpaceDE w:val="0"/>
        <w:autoSpaceDN w:val="0"/>
        <w:adjustRightInd w:val="0"/>
        <w:spacing w:after="0" w:line="240" w:lineRule="auto"/>
        <w:rPr>
          <w:rFonts w:cstheme="minorHAnsi"/>
          <w:bCs/>
          <w:color w:val="1F497D" w:themeColor="text2"/>
        </w:rPr>
      </w:pPr>
    </w:p>
    <w:p w14:paraId="2D0E91D2"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DSCS Rolling Average Rate </w:t>
      </w:r>
    </w:p>
    <w:p w14:paraId="22FCE787"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Data Element; 2010; 2009; 2008</w:t>
      </w:r>
    </w:p>
    <w:p w14:paraId="5B4AFDC8"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N; 119; 98; 101 </w:t>
      </w:r>
    </w:p>
    <w:p w14:paraId="66F6D664"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MEAN; 38.6; 38.8; 40.8</w:t>
      </w:r>
    </w:p>
    <w:p w14:paraId="268BBA62"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STDEV; 7.3; 7.78; 6.99</w:t>
      </w:r>
    </w:p>
    <w:p w14:paraId="597A0556" w14:textId="77777777" w:rsidR="00836487" w:rsidRPr="00836487" w:rsidRDefault="00836487" w:rsidP="00836487">
      <w:pPr>
        <w:autoSpaceDE w:val="0"/>
        <w:autoSpaceDN w:val="0"/>
        <w:adjustRightInd w:val="0"/>
        <w:spacing w:after="0" w:line="240" w:lineRule="auto"/>
        <w:rPr>
          <w:rFonts w:cstheme="minorHAnsi"/>
          <w:bCs/>
          <w:color w:val="1F497D" w:themeColor="text2"/>
        </w:rPr>
      </w:pPr>
    </w:p>
    <w:p w14:paraId="392B95E0"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P10; 33.0; 28.4; 32.1</w:t>
      </w:r>
    </w:p>
    <w:p w14:paraId="58217FDA"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P25; 33.7; 34; 36.3 </w:t>
      </w:r>
    </w:p>
    <w:p w14:paraId="1832A0FE"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P50; 38.3; 38.3; 39.8 </w:t>
      </w:r>
    </w:p>
    <w:p w14:paraId="6956FF19" w14:textId="77777777" w:rsidR="00836487" w:rsidRP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 xml:space="preserve">P75; 43.8; 44.4; 45.8 </w:t>
      </w:r>
    </w:p>
    <w:p w14:paraId="337F0F91" w14:textId="49853F38" w:rsidR="00836487" w:rsidRDefault="00836487" w:rsidP="00836487">
      <w:pPr>
        <w:autoSpaceDE w:val="0"/>
        <w:autoSpaceDN w:val="0"/>
        <w:adjustRightInd w:val="0"/>
        <w:spacing w:after="0" w:line="240" w:lineRule="auto"/>
        <w:rPr>
          <w:rFonts w:cstheme="minorHAnsi"/>
          <w:bCs/>
          <w:color w:val="1F497D" w:themeColor="text2"/>
        </w:rPr>
      </w:pPr>
      <w:r w:rsidRPr="00836487">
        <w:rPr>
          <w:rFonts w:cstheme="minorHAnsi"/>
          <w:bCs/>
          <w:color w:val="1F497D" w:themeColor="text2"/>
        </w:rPr>
        <w:t>P90; 48.5; 50; 50.3</w:t>
      </w:r>
    </w:p>
    <w:p w14:paraId="245F38C0" w14:textId="4FC641D5" w:rsidR="000E2190" w:rsidRPr="00927027" w:rsidRDefault="000E2190" w:rsidP="00D61410">
      <w:pPr>
        <w:autoSpaceDE w:val="0"/>
        <w:autoSpaceDN w:val="0"/>
        <w:adjustRightInd w:val="0"/>
        <w:spacing w:after="0" w:line="240" w:lineRule="auto"/>
        <w:rPr>
          <w:rFonts w:cstheme="minorHAnsi"/>
          <w:bCs/>
        </w:rPr>
      </w:pPr>
    </w:p>
    <w:p w14:paraId="2AE9B1AA" w14:textId="1D2C4FE7"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480225BD" w14:textId="542767B3" w:rsidR="00C50B99" w:rsidRDefault="00C50B99" w:rsidP="00D61410">
      <w:pPr>
        <w:autoSpaceDE w:val="0"/>
        <w:autoSpaceDN w:val="0"/>
        <w:adjustRightInd w:val="0"/>
        <w:spacing w:after="0" w:line="240" w:lineRule="auto"/>
        <w:rPr>
          <w:rFonts w:cstheme="minorHAnsi"/>
          <w:bCs/>
          <w:color w:val="FF0000"/>
        </w:rPr>
      </w:pPr>
      <w:r w:rsidRPr="000E2190">
        <w:rPr>
          <w:rFonts w:cstheme="minorHAnsi"/>
          <w:bCs/>
          <w:color w:val="FF0000"/>
          <w:u w:val="single"/>
        </w:rPr>
        <w:t xml:space="preserve">2016 </w:t>
      </w:r>
      <w:r>
        <w:rPr>
          <w:rFonts w:cstheme="minorHAnsi"/>
          <w:bCs/>
          <w:color w:val="FF0000"/>
          <w:u w:val="single"/>
        </w:rPr>
        <w:t>u</w:t>
      </w:r>
      <w:r w:rsidRPr="000E2190">
        <w:rPr>
          <w:rFonts w:cstheme="minorHAnsi"/>
          <w:bCs/>
          <w:color w:val="FF0000"/>
          <w:u w:val="single"/>
        </w:rPr>
        <w:t>pdate:</w:t>
      </w:r>
      <w:r>
        <w:rPr>
          <w:rFonts w:cstheme="minorHAnsi"/>
          <w:bCs/>
          <w:color w:val="FF0000"/>
        </w:rPr>
        <w:t xml:space="preserve"> The results </w:t>
      </w:r>
      <w:r w:rsidR="007B2543">
        <w:rPr>
          <w:rFonts w:cstheme="minorHAnsi"/>
          <w:bCs/>
          <w:color w:val="FF0000"/>
        </w:rPr>
        <w:t>above indicate that there is a six to 12 percent gap in performance between the 25</w:t>
      </w:r>
      <w:r w:rsidR="007B2543" w:rsidRPr="007B2543">
        <w:rPr>
          <w:rFonts w:cstheme="minorHAnsi"/>
          <w:bCs/>
          <w:color w:val="FF0000"/>
          <w:vertAlign w:val="superscript"/>
        </w:rPr>
        <w:t>th</w:t>
      </w:r>
      <w:r w:rsidR="007B2543">
        <w:rPr>
          <w:rFonts w:cstheme="minorHAnsi"/>
          <w:bCs/>
          <w:color w:val="FF0000"/>
        </w:rPr>
        <w:t xml:space="preserve"> and 75</w:t>
      </w:r>
      <w:r w:rsidR="007B2543">
        <w:rPr>
          <w:rFonts w:cstheme="minorHAnsi"/>
          <w:bCs/>
          <w:color w:val="FF0000"/>
          <w:vertAlign w:val="superscript"/>
        </w:rPr>
        <w:t xml:space="preserve">th </w:t>
      </w:r>
      <w:r w:rsidR="007B2543">
        <w:rPr>
          <w:rFonts w:cstheme="minorHAnsi"/>
          <w:bCs/>
          <w:color w:val="FF0000"/>
        </w:rPr>
        <w:t>performing plans. For all product lines the difference between the 25</w:t>
      </w:r>
      <w:r w:rsidR="007B2543" w:rsidRPr="007B2543">
        <w:rPr>
          <w:rFonts w:cstheme="minorHAnsi"/>
          <w:bCs/>
          <w:color w:val="FF0000"/>
          <w:vertAlign w:val="superscript"/>
        </w:rPr>
        <w:t>th</w:t>
      </w:r>
      <w:r w:rsidR="007B2543">
        <w:rPr>
          <w:rFonts w:cstheme="minorHAnsi"/>
          <w:bCs/>
          <w:color w:val="FF0000"/>
        </w:rPr>
        <w:t xml:space="preserve"> and 75</w:t>
      </w:r>
      <w:r w:rsidR="007B2543" w:rsidRPr="007B2543">
        <w:rPr>
          <w:rFonts w:cstheme="minorHAnsi"/>
          <w:bCs/>
          <w:color w:val="FF0000"/>
          <w:vertAlign w:val="superscript"/>
        </w:rPr>
        <w:t>th</w:t>
      </w:r>
      <w:r w:rsidR="007B2543">
        <w:rPr>
          <w:rFonts w:cstheme="minorHAnsi"/>
          <w:bCs/>
          <w:color w:val="FF0000"/>
        </w:rPr>
        <w:t xml:space="preserve"> percentile is statistically significant. The largest gap in performance is for the commercial plans on the Discussing Cessation Strategies rate, which show a 12 percentage point gap between 25</w:t>
      </w:r>
      <w:r w:rsidR="007B2543" w:rsidRPr="007B2543">
        <w:rPr>
          <w:rFonts w:cstheme="minorHAnsi"/>
          <w:bCs/>
          <w:color w:val="FF0000"/>
          <w:vertAlign w:val="superscript"/>
        </w:rPr>
        <w:t>th</w:t>
      </w:r>
      <w:r w:rsidR="007B2543">
        <w:rPr>
          <w:rFonts w:cstheme="minorHAnsi"/>
          <w:bCs/>
          <w:color w:val="FF0000"/>
        </w:rPr>
        <w:t xml:space="preserve"> and 75</w:t>
      </w:r>
      <w:r w:rsidR="007B2543" w:rsidRPr="007B2543">
        <w:rPr>
          <w:rFonts w:cstheme="minorHAnsi"/>
          <w:bCs/>
          <w:color w:val="FF0000"/>
          <w:vertAlign w:val="superscript"/>
        </w:rPr>
        <w:t>th</w:t>
      </w:r>
      <w:r w:rsidR="007B2543">
        <w:rPr>
          <w:rFonts w:cstheme="minorHAnsi"/>
          <w:bCs/>
          <w:color w:val="FF0000"/>
        </w:rPr>
        <w:t xml:space="preserve"> percentile plans. The next largest gap is for Medicaid plans on the Discussing Cessation Medications, which show an 11 percentage point gap between 25</w:t>
      </w:r>
      <w:r w:rsidR="007B2543" w:rsidRPr="007B2543">
        <w:rPr>
          <w:rFonts w:cstheme="minorHAnsi"/>
          <w:bCs/>
          <w:color w:val="FF0000"/>
          <w:vertAlign w:val="superscript"/>
        </w:rPr>
        <w:t>th</w:t>
      </w:r>
      <w:r w:rsidR="007B2543">
        <w:rPr>
          <w:rFonts w:cstheme="minorHAnsi"/>
          <w:bCs/>
          <w:color w:val="FF0000"/>
        </w:rPr>
        <w:t xml:space="preserve"> and 7</w:t>
      </w:r>
      <w:r w:rsidR="00166AE7">
        <w:rPr>
          <w:rFonts w:cstheme="minorHAnsi"/>
          <w:bCs/>
          <w:color w:val="FF0000"/>
        </w:rPr>
        <w:t>5</w:t>
      </w:r>
      <w:r w:rsidR="007B2543" w:rsidRPr="007B2543">
        <w:rPr>
          <w:rFonts w:cstheme="minorHAnsi"/>
          <w:bCs/>
          <w:color w:val="FF0000"/>
          <w:vertAlign w:val="superscript"/>
        </w:rPr>
        <w:t>th</w:t>
      </w:r>
      <w:r w:rsidR="007B2543">
        <w:rPr>
          <w:rFonts w:cstheme="minorHAnsi"/>
          <w:bCs/>
          <w:color w:val="FF0000"/>
        </w:rPr>
        <w:t xml:space="preserve"> percentile plans. </w:t>
      </w:r>
      <w:r w:rsidR="00166AE7">
        <w:rPr>
          <w:rFonts w:cstheme="minorHAnsi"/>
          <w:bCs/>
          <w:color w:val="FF0000"/>
        </w:rPr>
        <w:t>Additionally, t</w:t>
      </w:r>
      <w:r w:rsidR="00166AE7" w:rsidRPr="00166AE7">
        <w:rPr>
          <w:rFonts w:cstheme="minorHAnsi"/>
          <w:bCs/>
          <w:color w:val="FF0000"/>
        </w:rPr>
        <w:t>he difference in performance between plans in the 10th and 90th percentiles varies from 12 to 27 points across the three rates and product lines.</w:t>
      </w:r>
      <w:r w:rsidR="00166AE7">
        <w:rPr>
          <w:rFonts w:cstheme="minorHAnsi"/>
          <w:bCs/>
          <w:color w:val="FF0000"/>
        </w:rPr>
        <w:t xml:space="preserve"> Overall, these results </w:t>
      </w:r>
      <w:r>
        <w:rPr>
          <w:rFonts w:cstheme="minorHAnsi"/>
          <w:bCs/>
          <w:color w:val="FF0000"/>
        </w:rPr>
        <w:t>demonstrate that there are meaningful differences in performance for all three rates across commercial, Medicaid and Medicare product lines.</w:t>
      </w:r>
    </w:p>
    <w:p w14:paraId="2C56C41E" w14:textId="309745E2" w:rsidR="00C50B99" w:rsidRDefault="00C50B99" w:rsidP="00D61410">
      <w:pPr>
        <w:autoSpaceDE w:val="0"/>
        <w:autoSpaceDN w:val="0"/>
        <w:adjustRightInd w:val="0"/>
        <w:spacing w:after="0" w:line="240" w:lineRule="auto"/>
        <w:rPr>
          <w:rFonts w:cstheme="minorHAnsi"/>
          <w:bCs/>
          <w:color w:val="FF0000"/>
        </w:rPr>
      </w:pPr>
    </w:p>
    <w:p w14:paraId="3660C9EA" w14:textId="631BC8D6" w:rsidR="00C50B99" w:rsidRPr="00C50B99" w:rsidRDefault="00C50B99" w:rsidP="00D61410">
      <w:pPr>
        <w:autoSpaceDE w:val="0"/>
        <w:autoSpaceDN w:val="0"/>
        <w:adjustRightInd w:val="0"/>
        <w:spacing w:after="0" w:line="240" w:lineRule="auto"/>
        <w:rPr>
          <w:rFonts w:cstheme="minorHAnsi"/>
          <w:bCs/>
          <w:color w:val="1F497D" w:themeColor="text2"/>
        </w:rPr>
      </w:pPr>
      <w:r>
        <w:rPr>
          <w:rFonts w:cstheme="minorHAnsi"/>
          <w:bCs/>
          <w:color w:val="1F497D" w:themeColor="text2"/>
          <w:u w:val="single"/>
        </w:rPr>
        <w:t>Previous submission:</w:t>
      </w:r>
      <w:r>
        <w:rPr>
          <w:rFonts w:cstheme="minorHAnsi"/>
          <w:bCs/>
          <w:color w:val="1F497D" w:themeColor="text2"/>
        </w:rPr>
        <w:t xml:space="preserve"> This information was not provided in the previous submission. </w:t>
      </w:r>
    </w:p>
    <w:p w14:paraId="2AE9B1AB" w14:textId="77777777" w:rsidR="0086464B" w:rsidRDefault="0086464B" w:rsidP="0086464B">
      <w:pPr>
        <w:spacing w:after="0" w:line="240" w:lineRule="auto"/>
        <w:rPr>
          <w:rFonts w:cstheme="minorHAnsi"/>
          <w:b/>
          <w:bCs/>
        </w:rPr>
      </w:pPr>
      <w:r>
        <w:rPr>
          <w:rFonts w:cstheme="minorHAnsi"/>
          <w:b/>
          <w:bCs/>
        </w:rPr>
        <w:t>_______________________________________</w:t>
      </w:r>
    </w:p>
    <w:p w14:paraId="2AE9B1AC"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2AE9B1AD"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2AE9B1AE" w14:textId="77777777" w:rsidR="00567D12" w:rsidRPr="00A25024" w:rsidRDefault="00567D12" w:rsidP="00DB3627">
      <w:pPr>
        <w:autoSpaceDE w:val="0"/>
        <w:autoSpaceDN w:val="0"/>
        <w:adjustRightInd w:val="0"/>
        <w:spacing w:after="0" w:line="240" w:lineRule="auto"/>
        <w:rPr>
          <w:rFonts w:cstheme="minorHAnsi"/>
          <w:b/>
          <w:bCs/>
        </w:rPr>
      </w:pPr>
    </w:p>
    <w:p w14:paraId="2AE9B1AF"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SDS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with and without SDS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2AE9B1B0" w14:textId="77777777" w:rsidR="000F06B5" w:rsidRPr="00A25024" w:rsidRDefault="000F06B5" w:rsidP="00DB3627">
      <w:pPr>
        <w:autoSpaceDE w:val="0"/>
        <w:autoSpaceDN w:val="0"/>
        <w:adjustRightInd w:val="0"/>
        <w:spacing w:after="0" w:line="240" w:lineRule="auto"/>
        <w:rPr>
          <w:rFonts w:cstheme="minorHAnsi"/>
          <w:bCs/>
        </w:rPr>
      </w:pPr>
    </w:p>
    <w:p w14:paraId="2AE9B1B1" w14:textId="77777777" w:rsidR="000F06B5" w:rsidRPr="009D3882" w:rsidRDefault="00E1508F" w:rsidP="00DB3627">
      <w:pPr>
        <w:autoSpaceDE w:val="0"/>
        <w:autoSpaceDN w:val="0"/>
        <w:adjustRightInd w:val="0"/>
        <w:spacing w:after="0" w:line="240" w:lineRule="auto"/>
        <w:rPr>
          <w:rFonts w:cstheme="minorHAnsi"/>
          <w:bCs/>
          <w:sz w:val="14"/>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2AE9B1B2"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2AE9B1B3"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2AE9B1B4" w14:textId="77777777" w:rsidR="00E1508F" w:rsidRPr="00E1508F" w:rsidRDefault="00E1508F" w:rsidP="00E1508F">
      <w:pPr>
        <w:autoSpaceDE w:val="0"/>
        <w:autoSpaceDN w:val="0"/>
        <w:adjustRightInd w:val="0"/>
        <w:spacing w:after="0" w:line="240" w:lineRule="auto"/>
        <w:rPr>
          <w:rFonts w:cstheme="minorHAnsi"/>
          <w:bCs/>
        </w:rPr>
      </w:pPr>
    </w:p>
    <w:p w14:paraId="2AE9B1B5"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2AE9B1B6" w14:textId="77777777" w:rsidR="008F7E67" w:rsidRDefault="008F7E67" w:rsidP="008F7E67">
      <w:pPr>
        <w:spacing w:after="0" w:line="240" w:lineRule="auto"/>
        <w:rPr>
          <w:rFonts w:cstheme="minorHAnsi"/>
          <w:b/>
          <w:bCs/>
        </w:rPr>
      </w:pPr>
      <w:r>
        <w:rPr>
          <w:rFonts w:cstheme="minorHAnsi"/>
          <w:b/>
          <w:bCs/>
        </w:rPr>
        <w:t>_______________________________________</w:t>
      </w:r>
    </w:p>
    <w:p w14:paraId="2AE9B1B7"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2AE9B1B8" w14:textId="77777777" w:rsidR="008F7E67" w:rsidRDefault="008F7E67" w:rsidP="008F7E67">
      <w:pPr>
        <w:autoSpaceDE w:val="0"/>
        <w:autoSpaceDN w:val="0"/>
        <w:adjustRightInd w:val="0"/>
        <w:spacing w:after="0" w:line="240" w:lineRule="auto"/>
        <w:rPr>
          <w:rFonts w:cstheme="minorHAnsi"/>
          <w:bCs/>
        </w:rPr>
      </w:pPr>
    </w:p>
    <w:p w14:paraId="2C9196A2" w14:textId="77777777" w:rsidR="00CD7139"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00C50B99">
        <w:rPr>
          <w:rFonts w:cstheme="minorHAnsi"/>
          <w:bCs/>
        </w:rPr>
        <w:t>)</w:t>
      </w:r>
    </w:p>
    <w:p w14:paraId="2AE9B1B9" w14:textId="33A428B2" w:rsidR="008F7E67" w:rsidRDefault="00CD7139" w:rsidP="008F7E67">
      <w:pPr>
        <w:autoSpaceDE w:val="0"/>
        <w:autoSpaceDN w:val="0"/>
        <w:adjustRightInd w:val="0"/>
        <w:spacing w:after="0" w:line="240" w:lineRule="auto"/>
        <w:rPr>
          <w:rFonts w:cstheme="minorHAnsi"/>
          <w:bCs/>
        </w:rPr>
      </w:pPr>
      <w:r w:rsidRPr="00CD7139">
        <w:rPr>
          <w:rFonts w:cstheme="minorHAnsi"/>
          <w:bCs/>
          <w:color w:val="FF0000"/>
        </w:rPr>
        <w:t>NA</w:t>
      </w:r>
      <w:r w:rsidR="00C50B99">
        <w:rPr>
          <w:rFonts w:cstheme="minorHAnsi"/>
          <w:bCs/>
        </w:rPr>
        <w:br/>
      </w:r>
    </w:p>
    <w:p w14:paraId="2AE9B1BA"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2AE9B1BB" w14:textId="6F04B304"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sidR="00CD7139" w:rsidRPr="00CD7139">
        <w:rPr>
          <w:rFonts w:cstheme="minorHAnsi"/>
          <w:bCs/>
          <w:color w:val="FF0000"/>
        </w:rPr>
        <w:t>NA</w:t>
      </w:r>
    </w:p>
    <w:p w14:paraId="2AE9B1BC" w14:textId="77777777" w:rsidR="008F7E67" w:rsidRPr="00E1508F" w:rsidRDefault="008F7E67" w:rsidP="008F7E67">
      <w:pPr>
        <w:autoSpaceDE w:val="0"/>
        <w:autoSpaceDN w:val="0"/>
        <w:adjustRightInd w:val="0"/>
        <w:spacing w:after="0" w:line="240" w:lineRule="auto"/>
        <w:rPr>
          <w:rFonts w:cstheme="minorHAnsi"/>
          <w:bCs/>
        </w:rPr>
      </w:pPr>
    </w:p>
    <w:p w14:paraId="2AE9B1BD"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w:t>
      </w:r>
      <w:r w:rsidR="00771B2A" w:rsidRPr="006A028C">
        <w:rPr>
          <w:rFonts w:ascii="Calibri" w:eastAsia="Calibri" w:hAnsi="Calibri" w:cs="Calibri"/>
        </w:rPr>
        <w:lastRenderedPageBreak/>
        <w:t>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2AE9B1BE" w14:textId="63E88EF1" w:rsidR="00BA053B" w:rsidRPr="00CD7139" w:rsidRDefault="00CD7139">
      <w:pPr>
        <w:autoSpaceDE w:val="0"/>
        <w:autoSpaceDN w:val="0"/>
        <w:adjustRightInd w:val="0"/>
        <w:spacing w:after="0" w:line="240" w:lineRule="auto"/>
        <w:rPr>
          <w:rFonts w:cstheme="minorHAnsi"/>
          <w:bCs/>
          <w:color w:val="FF0000"/>
        </w:rPr>
      </w:pPr>
      <w:r w:rsidRPr="00CD7139">
        <w:rPr>
          <w:rFonts w:cstheme="minorHAnsi"/>
          <w:bCs/>
          <w:color w:val="FF0000"/>
        </w:rPr>
        <w:t>NA</w:t>
      </w:r>
      <w:bookmarkStart w:id="14" w:name="_GoBack"/>
      <w:bookmarkEnd w:id="14"/>
    </w:p>
    <w:sectPr w:rsidR="00BA053B" w:rsidRPr="00CD7139"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93D6F" w14:textId="77777777" w:rsidR="00CD7139" w:rsidRDefault="00CD7139" w:rsidP="005C73CA">
      <w:pPr>
        <w:spacing w:after="0" w:line="240" w:lineRule="auto"/>
      </w:pPr>
      <w:r>
        <w:separator/>
      </w:r>
    </w:p>
  </w:endnote>
  <w:endnote w:type="continuationSeparator" w:id="0">
    <w:p w14:paraId="466B5ECC" w14:textId="77777777" w:rsidR="00CD7139" w:rsidRDefault="00CD7139"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9B1C4" w14:textId="40D0E660" w:rsidR="00CD7139" w:rsidRDefault="00CD7139">
    <w:pPr>
      <w:pStyle w:val="Footer"/>
    </w:pPr>
    <w:r>
      <w:t>Version 7.0 8/1/2016</w:t>
    </w:r>
    <w:r>
      <w:ptab w:relativeTo="margin" w:alignment="right" w:leader="none"/>
    </w:r>
    <w:r>
      <w:fldChar w:fldCharType="begin"/>
    </w:r>
    <w:r>
      <w:instrText xml:space="preserve"> PAGE   \* MERGEFORMAT </w:instrText>
    </w:r>
    <w:r>
      <w:fldChar w:fldCharType="separate"/>
    </w:r>
    <w:r w:rsidR="00701E33">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822E0" w14:textId="77777777" w:rsidR="00CD7139" w:rsidRDefault="00CD7139" w:rsidP="005C73CA">
      <w:pPr>
        <w:spacing w:after="0" w:line="240" w:lineRule="auto"/>
      </w:pPr>
      <w:r>
        <w:separator/>
      </w:r>
    </w:p>
  </w:footnote>
  <w:footnote w:type="continuationSeparator" w:id="0">
    <w:p w14:paraId="68979537" w14:textId="77777777" w:rsidR="00CD7139" w:rsidRDefault="00CD7139"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9B1C3" w14:textId="77777777" w:rsidR="00CD7139" w:rsidRPr="00105D8B" w:rsidRDefault="00CD7139"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424455"/>
    <w:multiLevelType w:val="hybridMultilevel"/>
    <w:tmpl w:val="0010A5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3512D6"/>
    <w:multiLevelType w:val="hybridMultilevel"/>
    <w:tmpl w:val="FD124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D711A72"/>
    <w:multiLevelType w:val="hybridMultilevel"/>
    <w:tmpl w:val="59125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03A6194"/>
    <w:multiLevelType w:val="hybridMultilevel"/>
    <w:tmpl w:val="18C0F2D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num>
  <w:num w:numId="3">
    <w:abstractNumId w:val="4"/>
  </w:num>
  <w:num w:numId="4">
    <w:abstractNumId w:val="7"/>
  </w:num>
  <w:num w:numId="5">
    <w:abstractNumId w:val="3"/>
  </w:num>
  <w:num w:numId="6">
    <w:abstractNumId w:val="2"/>
  </w:num>
  <w:num w:numId="7">
    <w:abstractNumId w:val="5"/>
  </w:num>
  <w:num w:numId="8">
    <w:abstractNumId w:val="23"/>
  </w:num>
  <w:num w:numId="9">
    <w:abstractNumId w:val="12"/>
  </w:num>
  <w:num w:numId="10">
    <w:abstractNumId w:val="30"/>
  </w:num>
  <w:num w:numId="11">
    <w:abstractNumId w:val="14"/>
  </w:num>
  <w:num w:numId="12">
    <w:abstractNumId w:val="27"/>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9"/>
  </w:num>
  <w:num w:numId="17">
    <w:abstractNumId w:val="29"/>
  </w:num>
  <w:num w:numId="18">
    <w:abstractNumId w:val="25"/>
  </w:num>
  <w:num w:numId="19">
    <w:abstractNumId w:val="24"/>
  </w:num>
  <w:num w:numId="20">
    <w:abstractNumId w:val="18"/>
  </w:num>
  <w:num w:numId="21">
    <w:abstractNumId w:val="22"/>
  </w:num>
  <w:num w:numId="22">
    <w:abstractNumId w:val="17"/>
  </w:num>
  <w:num w:numId="23">
    <w:abstractNumId w:val="8"/>
  </w:num>
  <w:num w:numId="24">
    <w:abstractNumId w:val="16"/>
  </w:num>
  <w:num w:numId="25">
    <w:abstractNumId w:val="15"/>
  </w:num>
  <w:num w:numId="26">
    <w:abstractNumId w:val="31"/>
  </w:num>
  <w:num w:numId="27">
    <w:abstractNumId w:val="0"/>
  </w:num>
  <w:num w:numId="28">
    <w:abstractNumId w:val="11"/>
  </w:num>
  <w:num w:numId="29">
    <w:abstractNumId w:val="19"/>
  </w:num>
  <w:num w:numId="30">
    <w:abstractNumId w:val="1"/>
  </w:num>
  <w:num w:numId="31">
    <w:abstractNumId w:val="28"/>
  </w:num>
  <w:num w:numId="32">
    <w:abstractNumId w:val="1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178B2"/>
    <w:rsid w:val="00021170"/>
    <w:rsid w:val="0002128B"/>
    <w:rsid w:val="00024DFD"/>
    <w:rsid w:val="00027AB8"/>
    <w:rsid w:val="000309DD"/>
    <w:rsid w:val="00031414"/>
    <w:rsid w:val="00033038"/>
    <w:rsid w:val="00033D63"/>
    <w:rsid w:val="0003436F"/>
    <w:rsid w:val="000414E8"/>
    <w:rsid w:val="000417BC"/>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FF8"/>
    <w:rsid w:val="000D2722"/>
    <w:rsid w:val="000D7948"/>
    <w:rsid w:val="000D7C84"/>
    <w:rsid w:val="000E2190"/>
    <w:rsid w:val="000E4E13"/>
    <w:rsid w:val="000E78F6"/>
    <w:rsid w:val="000F034A"/>
    <w:rsid w:val="000F06B5"/>
    <w:rsid w:val="000F39E9"/>
    <w:rsid w:val="001044DD"/>
    <w:rsid w:val="00104B45"/>
    <w:rsid w:val="00105D8B"/>
    <w:rsid w:val="0011342F"/>
    <w:rsid w:val="001202E9"/>
    <w:rsid w:val="00123A3D"/>
    <w:rsid w:val="0012454F"/>
    <w:rsid w:val="00125273"/>
    <w:rsid w:val="0012575E"/>
    <w:rsid w:val="00127C06"/>
    <w:rsid w:val="00145149"/>
    <w:rsid w:val="00145D4F"/>
    <w:rsid w:val="0014773C"/>
    <w:rsid w:val="00166AE7"/>
    <w:rsid w:val="0017696D"/>
    <w:rsid w:val="001848FC"/>
    <w:rsid w:val="00193F21"/>
    <w:rsid w:val="001969C5"/>
    <w:rsid w:val="0019701C"/>
    <w:rsid w:val="001A6CDD"/>
    <w:rsid w:val="001C12EE"/>
    <w:rsid w:val="001C7B02"/>
    <w:rsid w:val="001E4DD4"/>
    <w:rsid w:val="001E69DC"/>
    <w:rsid w:val="001F169D"/>
    <w:rsid w:val="001F1DA1"/>
    <w:rsid w:val="001F6F93"/>
    <w:rsid w:val="001F7A20"/>
    <w:rsid w:val="0021054A"/>
    <w:rsid w:val="0021195A"/>
    <w:rsid w:val="00213383"/>
    <w:rsid w:val="00214A73"/>
    <w:rsid w:val="00220250"/>
    <w:rsid w:val="00222444"/>
    <w:rsid w:val="0022691B"/>
    <w:rsid w:val="00232163"/>
    <w:rsid w:val="002376F8"/>
    <w:rsid w:val="002408E4"/>
    <w:rsid w:val="00241591"/>
    <w:rsid w:val="00246494"/>
    <w:rsid w:val="00250B4F"/>
    <w:rsid w:val="0025762F"/>
    <w:rsid w:val="00265E26"/>
    <w:rsid w:val="002779D2"/>
    <w:rsid w:val="0028114D"/>
    <w:rsid w:val="00287649"/>
    <w:rsid w:val="00287E84"/>
    <w:rsid w:val="0029286C"/>
    <w:rsid w:val="0029300E"/>
    <w:rsid w:val="002B0B11"/>
    <w:rsid w:val="002B0C3A"/>
    <w:rsid w:val="002B2116"/>
    <w:rsid w:val="002B2D9B"/>
    <w:rsid w:val="002B5016"/>
    <w:rsid w:val="002B742C"/>
    <w:rsid w:val="002B7F4D"/>
    <w:rsid w:val="002C285C"/>
    <w:rsid w:val="002C7BE4"/>
    <w:rsid w:val="002D10CE"/>
    <w:rsid w:val="002D417D"/>
    <w:rsid w:val="002D5E5D"/>
    <w:rsid w:val="002E78A0"/>
    <w:rsid w:val="002F2687"/>
    <w:rsid w:val="002F48E1"/>
    <w:rsid w:val="002F4F3B"/>
    <w:rsid w:val="00304C86"/>
    <w:rsid w:val="003059EB"/>
    <w:rsid w:val="00306F0F"/>
    <w:rsid w:val="003116AC"/>
    <w:rsid w:val="00315567"/>
    <w:rsid w:val="00330144"/>
    <w:rsid w:val="0033474C"/>
    <w:rsid w:val="00345CBA"/>
    <w:rsid w:val="00346245"/>
    <w:rsid w:val="00356267"/>
    <w:rsid w:val="00356BAD"/>
    <w:rsid w:val="003605B4"/>
    <w:rsid w:val="003627AC"/>
    <w:rsid w:val="00366914"/>
    <w:rsid w:val="00372FE3"/>
    <w:rsid w:val="00375255"/>
    <w:rsid w:val="003755CB"/>
    <w:rsid w:val="00383F85"/>
    <w:rsid w:val="00387BA1"/>
    <w:rsid w:val="003A306C"/>
    <w:rsid w:val="003A7DE7"/>
    <w:rsid w:val="003B1006"/>
    <w:rsid w:val="003C3D01"/>
    <w:rsid w:val="003C3FF6"/>
    <w:rsid w:val="003C5F11"/>
    <w:rsid w:val="003D294B"/>
    <w:rsid w:val="003D6401"/>
    <w:rsid w:val="003E1863"/>
    <w:rsid w:val="0041606D"/>
    <w:rsid w:val="00416962"/>
    <w:rsid w:val="004206A8"/>
    <w:rsid w:val="004348CC"/>
    <w:rsid w:val="00450C58"/>
    <w:rsid w:val="00453FE2"/>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7D12"/>
    <w:rsid w:val="00576062"/>
    <w:rsid w:val="0059559F"/>
    <w:rsid w:val="005A49FF"/>
    <w:rsid w:val="005A7634"/>
    <w:rsid w:val="005B6F04"/>
    <w:rsid w:val="005C0447"/>
    <w:rsid w:val="005C739F"/>
    <w:rsid w:val="005C73CA"/>
    <w:rsid w:val="005D4768"/>
    <w:rsid w:val="005E2CAB"/>
    <w:rsid w:val="005E429E"/>
    <w:rsid w:val="00601ED4"/>
    <w:rsid w:val="006030BC"/>
    <w:rsid w:val="00612866"/>
    <w:rsid w:val="00616C10"/>
    <w:rsid w:val="00616EB5"/>
    <w:rsid w:val="006269D4"/>
    <w:rsid w:val="006327D8"/>
    <w:rsid w:val="0064070A"/>
    <w:rsid w:val="00643A01"/>
    <w:rsid w:val="006574D2"/>
    <w:rsid w:val="00663563"/>
    <w:rsid w:val="006676D4"/>
    <w:rsid w:val="00675535"/>
    <w:rsid w:val="00681359"/>
    <w:rsid w:val="0069157C"/>
    <w:rsid w:val="00696262"/>
    <w:rsid w:val="006B599D"/>
    <w:rsid w:val="006C3A4F"/>
    <w:rsid w:val="006C4845"/>
    <w:rsid w:val="006D6BC1"/>
    <w:rsid w:val="006E2BFC"/>
    <w:rsid w:val="006E5C57"/>
    <w:rsid w:val="006F22A5"/>
    <w:rsid w:val="00701E33"/>
    <w:rsid w:val="00702C73"/>
    <w:rsid w:val="00713394"/>
    <w:rsid w:val="00722E6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248A"/>
    <w:rsid w:val="007950CC"/>
    <w:rsid w:val="0079538B"/>
    <w:rsid w:val="007961B8"/>
    <w:rsid w:val="00797624"/>
    <w:rsid w:val="007A4828"/>
    <w:rsid w:val="007B093D"/>
    <w:rsid w:val="007B2069"/>
    <w:rsid w:val="007B2543"/>
    <w:rsid w:val="007C04A1"/>
    <w:rsid w:val="007C21FA"/>
    <w:rsid w:val="007D13B1"/>
    <w:rsid w:val="007D4351"/>
    <w:rsid w:val="007D7019"/>
    <w:rsid w:val="007E18DB"/>
    <w:rsid w:val="007E6F1C"/>
    <w:rsid w:val="00804C69"/>
    <w:rsid w:val="0080711D"/>
    <w:rsid w:val="008155CD"/>
    <w:rsid w:val="00833325"/>
    <w:rsid w:val="00836487"/>
    <w:rsid w:val="00840A41"/>
    <w:rsid w:val="00842F3C"/>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1D81"/>
    <w:rsid w:val="009726E1"/>
    <w:rsid w:val="00972A04"/>
    <w:rsid w:val="00977591"/>
    <w:rsid w:val="00977C25"/>
    <w:rsid w:val="00980E75"/>
    <w:rsid w:val="0098394D"/>
    <w:rsid w:val="00994BE0"/>
    <w:rsid w:val="009A25B1"/>
    <w:rsid w:val="009A4608"/>
    <w:rsid w:val="009A6A57"/>
    <w:rsid w:val="009A70BF"/>
    <w:rsid w:val="009B1A15"/>
    <w:rsid w:val="009C0852"/>
    <w:rsid w:val="009C13CA"/>
    <w:rsid w:val="009C32C6"/>
    <w:rsid w:val="009C665F"/>
    <w:rsid w:val="009C66C8"/>
    <w:rsid w:val="009D3882"/>
    <w:rsid w:val="009D7E38"/>
    <w:rsid w:val="009E095B"/>
    <w:rsid w:val="009E1846"/>
    <w:rsid w:val="009E78FF"/>
    <w:rsid w:val="00A01494"/>
    <w:rsid w:val="00A12DF9"/>
    <w:rsid w:val="00A22FA9"/>
    <w:rsid w:val="00A25024"/>
    <w:rsid w:val="00A35F8F"/>
    <w:rsid w:val="00A41377"/>
    <w:rsid w:val="00A4263D"/>
    <w:rsid w:val="00A509B8"/>
    <w:rsid w:val="00A51067"/>
    <w:rsid w:val="00A52AB9"/>
    <w:rsid w:val="00A609C7"/>
    <w:rsid w:val="00A6210B"/>
    <w:rsid w:val="00A64EBF"/>
    <w:rsid w:val="00A71200"/>
    <w:rsid w:val="00A7323A"/>
    <w:rsid w:val="00A7626D"/>
    <w:rsid w:val="00A831B4"/>
    <w:rsid w:val="00A857AB"/>
    <w:rsid w:val="00A97798"/>
    <w:rsid w:val="00AA5213"/>
    <w:rsid w:val="00AA65A6"/>
    <w:rsid w:val="00AC1D8E"/>
    <w:rsid w:val="00AC48FA"/>
    <w:rsid w:val="00AD0240"/>
    <w:rsid w:val="00AD4137"/>
    <w:rsid w:val="00AD4921"/>
    <w:rsid w:val="00AD5D21"/>
    <w:rsid w:val="00AD6FD0"/>
    <w:rsid w:val="00B037BA"/>
    <w:rsid w:val="00B1157C"/>
    <w:rsid w:val="00B20139"/>
    <w:rsid w:val="00B218DA"/>
    <w:rsid w:val="00B342FA"/>
    <w:rsid w:val="00B53E8B"/>
    <w:rsid w:val="00B774D2"/>
    <w:rsid w:val="00B8015A"/>
    <w:rsid w:val="00B82A57"/>
    <w:rsid w:val="00B87CEB"/>
    <w:rsid w:val="00BA053B"/>
    <w:rsid w:val="00BB35AE"/>
    <w:rsid w:val="00BC03A1"/>
    <w:rsid w:val="00BC0D25"/>
    <w:rsid w:val="00BC1790"/>
    <w:rsid w:val="00BD2505"/>
    <w:rsid w:val="00BE592D"/>
    <w:rsid w:val="00BF52B0"/>
    <w:rsid w:val="00BF5697"/>
    <w:rsid w:val="00C14CCC"/>
    <w:rsid w:val="00C1695E"/>
    <w:rsid w:val="00C22C1C"/>
    <w:rsid w:val="00C326FE"/>
    <w:rsid w:val="00C33F2E"/>
    <w:rsid w:val="00C34936"/>
    <w:rsid w:val="00C34C14"/>
    <w:rsid w:val="00C355B9"/>
    <w:rsid w:val="00C37EF1"/>
    <w:rsid w:val="00C401C4"/>
    <w:rsid w:val="00C41680"/>
    <w:rsid w:val="00C41830"/>
    <w:rsid w:val="00C50B99"/>
    <w:rsid w:val="00C60A25"/>
    <w:rsid w:val="00C73B8F"/>
    <w:rsid w:val="00C765C5"/>
    <w:rsid w:val="00C82479"/>
    <w:rsid w:val="00C863D0"/>
    <w:rsid w:val="00C867F0"/>
    <w:rsid w:val="00C973DE"/>
    <w:rsid w:val="00C97737"/>
    <w:rsid w:val="00CA06D8"/>
    <w:rsid w:val="00CA345A"/>
    <w:rsid w:val="00CB1B29"/>
    <w:rsid w:val="00CB49FF"/>
    <w:rsid w:val="00CC02CF"/>
    <w:rsid w:val="00CC086A"/>
    <w:rsid w:val="00CD0F66"/>
    <w:rsid w:val="00CD364B"/>
    <w:rsid w:val="00CD7139"/>
    <w:rsid w:val="00CE23B8"/>
    <w:rsid w:val="00CE4CAB"/>
    <w:rsid w:val="00CE50D7"/>
    <w:rsid w:val="00CF4CBE"/>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551A"/>
    <w:rsid w:val="00D968D8"/>
    <w:rsid w:val="00DA15F5"/>
    <w:rsid w:val="00DA563D"/>
    <w:rsid w:val="00DA7277"/>
    <w:rsid w:val="00DB14C1"/>
    <w:rsid w:val="00DB3627"/>
    <w:rsid w:val="00DB4724"/>
    <w:rsid w:val="00DB6944"/>
    <w:rsid w:val="00DC4746"/>
    <w:rsid w:val="00DE7149"/>
    <w:rsid w:val="00E0314C"/>
    <w:rsid w:val="00E1508F"/>
    <w:rsid w:val="00E2458F"/>
    <w:rsid w:val="00E261DF"/>
    <w:rsid w:val="00E27240"/>
    <w:rsid w:val="00E27EDD"/>
    <w:rsid w:val="00E30584"/>
    <w:rsid w:val="00E310B9"/>
    <w:rsid w:val="00E37E1B"/>
    <w:rsid w:val="00E54E18"/>
    <w:rsid w:val="00E562C0"/>
    <w:rsid w:val="00E57FAF"/>
    <w:rsid w:val="00E672D6"/>
    <w:rsid w:val="00E76024"/>
    <w:rsid w:val="00E7702F"/>
    <w:rsid w:val="00E835F0"/>
    <w:rsid w:val="00E8391A"/>
    <w:rsid w:val="00E856A2"/>
    <w:rsid w:val="00E967AD"/>
    <w:rsid w:val="00E96884"/>
    <w:rsid w:val="00EA5435"/>
    <w:rsid w:val="00EA5F47"/>
    <w:rsid w:val="00EB455E"/>
    <w:rsid w:val="00EC79DE"/>
    <w:rsid w:val="00ED4ACE"/>
    <w:rsid w:val="00EE4D35"/>
    <w:rsid w:val="00EE6D0F"/>
    <w:rsid w:val="00EF2DA7"/>
    <w:rsid w:val="00EF56E4"/>
    <w:rsid w:val="00EF7420"/>
    <w:rsid w:val="00F113B5"/>
    <w:rsid w:val="00F1412B"/>
    <w:rsid w:val="00F15BFA"/>
    <w:rsid w:val="00F24994"/>
    <w:rsid w:val="00F34FAB"/>
    <w:rsid w:val="00F435AA"/>
    <w:rsid w:val="00F5738A"/>
    <w:rsid w:val="00F612D4"/>
    <w:rsid w:val="00F77F1D"/>
    <w:rsid w:val="00F87CCB"/>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2AE9B0F1"/>
  <w15:docId w15:val="{5EAAFC08-8A55-45C0-A629-59CDA09E5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Style5">
    <w:name w:val="Style5"/>
    <w:basedOn w:val="Normal"/>
    <w:link w:val="Style5Char"/>
    <w:qFormat/>
    <w:rsid w:val="00B1157C"/>
    <w:pPr>
      <w:autoSpaceDE w:val="0"/>
      <w:autoSpaceDN w:val="0"/>
      <w:adjustRightInd w:val="0"/>
      <w:spacing w:after="0" w:line="240" w:lineRule="auto"/>
    </w:pPr>
    <w:rPr>
      <w:rFonts w:ascii="Trebuchet MS" w:hAnsi="Trebuchet MS" w:cs="Calibri"/>
      <w:i/>
      <w:color w:val="FF0000"/>
      <w:sz w:val="20"/>
      <w:szCs w:val="20"/>
    </w:rPr>
  </w:style>
  <w:style w:type="character" w:customStyle="1" w:styleId="Style5Char">
    <w:name w:val="Style5 Char"/>
    <w:basedOn w:val="DefaultParagraphFont"/>
    <w:link w:val="Style5"/>
    <w:locked/>
    <w:rsid w:val="00B1157C"/>
    <w:rPr>
      <w:rFonts w:ascii="Trebuchet MS" w:hAnsi="Trebuchet MS" w:cs="Calibri"/>
      <w:i/>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226646602">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altName w:val="游明朝"/>
    <w:panose1 w:val="00000000000000000000"/>
    <w:charset w:val="80"/>
    <w:family w:val="roman"/>
    <w:notTrueType/>
    <w:pitch w:val="default"/>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23A80"/>
    <w:rsid w:val="00041998"/>
    <w:rsid w:val="00094E78"/>
    <w:rsid w:val="00127222"/>
    <w:rsid w:val="001736D7"/>
    <w:rsid w:val="00190AF4"/>
    <w:rsid w:val="00223FA3"/>
    <w:rsid w:val="002A288F"/>
    <w:rsid w:val="002C65A7"/>
    <w:rsid w:val="002F052A"/>
    <w:rsid w:val="00350176"/>
    <w:rsid w:val="003840F0"/>
    <w:rsid w:val="00437537"/>
    <w:rsid w:val="004C225D"/>
    <w:rsid w:val="004D785E"/>
    <w:rsid w:val="00513FC9"/>
    <w:rsid w:val="0053654E"/>
    <w:rsid w:val="00610196"/>
    <w:rsid w:val="00632A7E"/>
    <w:rsid w:val="00632AB6"/>
    <w:rsid w:val="006A2C4D"/>
    <w:rsid w:val="00730B33"/>
    <w:rsid w:val="00772B2A"/>
    <w:rsid w:val="007C672A"/>
    <w:rsid w:val="007D4368"/>
    <w:rsid w:val="00822666"/>
    <w:rsid w:val="00823ECC"/>
    <w:rsid w:val="00826796"/>
    <w:rsid w:val="00866C97"/>
    <w:rsid w:val="008931B7"/>
    <w:rsid w:val="009017AE"/>
    <w:rsid w:val="009A0B0A"/>
    <w:rsid w:val="009C542D"/>
    <w:rsid w:val="00A01A18"/>
    <w:rsid w:val="00A95183"/>
    <w:rsid w:val="00AB4AF7"/>
    <w:rsid w:val="00AD54D7"/>
    <w:rsid w:val="00AD7C4F"/>
    <w:rsid w:val="00B445F5"/>
    <w:rsid w:val="00BD40CB"/>
    <w:rsid w:val="00C362A2"/>
    <w:rsid w:val="00C90121"/>
    <w:rsid w:val="00C96E73"/>
    <w:rsid w:val="00CA1FE8"/>
    <w:rsid w:val="00CA344F"/>
    <w:rsid w:val="00D1676E"/>
    <w:rsid w:val="00DC0246"/>
    <w:rsid w:val="00E6518A"/>
    <w:rsid w:val="00E93377"/>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3adc8089a93ed3bbafb013068d5db34">
  <xsd:schema xmlns:xsd="http://www.w3.org/2001/XMLSchema" xmlns:xs="http://www.w3.org/2001/XMLSchema" xmlns:p="http://schemas.microsoft.com/office/2006/metadata/properties" xmlns:ns2="836b82f1-340d-495e-85b5-201c5296619a" targetNamespace="http://schemas.microsoft.com/office/2006/metadata/properties" ma:root="true" ma:fieldsID="4b289a11f9fe13af1747c9a1bfb3026e"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Webinars"/>
          <xsd:enumeration value="Schedules"/>
          <xsd:enumeration value="CSAC Materials"/>
          <xsd:enumeration value="Time-Limited"/>
          <xsd:enumeration value="Reference Materials"/>
          <xsd:enumeration value="Developer Workshop"/>
          <xsd:enumeration value="Measure Developer Schedules"/>
          <xsd:enumeration value="Measure Developer Advisory Panel"/>
          <xsd:enumeration value="Maintenance Revamp Materials"/>
          <xsd:enumeration value="Financial Inform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1C782-71DD-4ED3-A81B-13460E596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D700C901-3C40-4C03-AF30-8401D54B3554}">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purl.org/dc/dcmitype/"/>
    <ds:schemaRef ds:uri="http://schemas.microsoft.com/office/infopath/2007/PartnerControls"/>
    <ds:schemaRef ds:uri="836b82f1-340d-495e-85b5-201c5296619a"/>
  </ds:schemaRefs>
</ds:datastoreItem>
</file>

<file path=customXml/itemProps5.xml><?xml version="1.0" encoding="utf-8"?>
<ds:datastoreItem xmlns:ds="http://schemas.openxmlformats.org/officeDocument/2006/customXml" ds:itemID="{9EB43077-C0BD-4325-9000-0540FDD93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8115</Words>
  <Characters>46261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Kristen Swift</cp:lastModifiedBy>
  <cp:revision>2</cp:revision>
  <dcterms:created xsi:type="dcterms:W3CDTF">2016-12-21T22:21:00Z</dcterms:created>
  <dcterms:modified xsi:type="dcterms:W3CDTF">2016-12-21T22:21:00Z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