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4C30E13"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sdt>
            <w:sdtPr>
              <w:rPr>
                <w:rStyle w:val="Style1"/>
              </w:rPr>
              <w:id w:val="-1869203980"/>
              <w:placeholder>
                <w:docPart w:val="582B151534EE4AE5964DBD86504A7956"/>
              </w:placeholder>
            </w:sdtPr>
            <w:sdtEndPr>
              <w:rPr>
                <w:rStyle w:val="DefaultParagraphFont"/>
                <w:rFonts w:cstheme="minorHAnsi"/>
                <w:b/>
                <w:noProof/>
                <w:color w:val="auto"/>
              </w:rPr>
            </w:sdtEndPr>
            <w:sdtContent>
              <w:r w:rsidR="00680933">
                <w:rPr>
                  <w:rStyle w:val="Style1"/>
                </w:rPr>
                <w:t>0383</w:t>
              </w:r>
            </w:sdtContent>
          </w:sdt>
        </w:sdtContent>
      </w:sdt>
    </w:p>
    <w:p w14:paraId="55B8DA2F" w14:textId="28B38D44"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852063409"/>
              <w:placeholder>
                <w:docPart w:val="3A3B08254E984359A97B3D82A9D84371"/>
              </w:placeholder>
            </w:sdtPr>
            <w:sdtEndPr>
              <w:rPr>
                <w:rStyle w:val="DefaultParagraphFont"/>
                <w:noProof/>
                <w:color w:val="auto"/>
              </w:rPr>
            </w:sdtEndPr>
            <w:sdtContent>
              <w:sdt>
                <w:sdtPr>
                  <w:rPr>
                    <w:rStyle w:val="Style1"/>
                    <w:rFonts w:cstheme="minorHAnsi"/>
                  </w:rPr>
                  <w:id w:val="1629658943"/>
                  <w:placeholder>
                    <w:docPart w:val="1897D90F416E456FBE2AD32BFD19F8B1"/>
                  </w:placeholder>
                </w:sdtPr>
                <w:sdtEndPr>
                  <w:rPr>
                    <w:rStyle w:val="DefaultParagraphFont"/>
                    <w:noProof/>
                    <w:color w:val="auto"/>
                  </w:rPr>
                </w:sdtEndPr>
                <w:sdtContent>
                  <w:r w:rsidR="00680933">
                    <w:rPr>
                      <w:rStyle w:val="Style1"/>
                      <w:rFonts w:cstheme="minorHAnsi"/>
                    </w:rPr>
                    <w:t>Oncology: Plan of Care for Pain – Medical Oncology and Radiation Oncology (paired with 0384)</w:t>
                  </w:r>
                </w:sdtContent>
              </w:sdt>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46BA2864"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color w:val="auto"/>
            <w:u w:val="none"/>
          </w:rPr>
        </w:sdtEndPr>
        <w:sdtContent>
          <w:r w:rsidR="00680933">
            <w:rPr>
              <w:rStyle w:val="Style2"/>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9933B7"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9933B7"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9933B7"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89A5933" w:rsidR="00D73685" w:rsidRDefault="009933B7"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680933">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9933B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9933B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1926933F"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7EB8FA1" w14:textId="42C08D6B" w:rsidR="009D1FEE" w:rsidRDefault="009D1FEE" w:rsidP="002B06BD">
      <w:pPr>
        <w:ind w:left="432" w:hanging="432"/>
        <w:rPr>
          <w:iCs/>
        </w:rPr>
      </w:pPr>
    </w:p>
    <w:p w14:paraId="6FFE29CB" w14:textId="77777777" w:rsidR="009D1FEE" w:rsidRPr="00676BD4" w:rsidRDefault="009D1FEE" w:rsidP="002B06BD">
      <w:pPr>
        <w:ind w:left="432" w:hanging="432"/>
        <w:rPr>
          <w:iCs/>
        </w:rPr>
      </w:pPr>
    </w:p>
    <w:p w14:paraId="55B8DA5B" w14:textId="701A623B" w:rsidR="002B06BD" w:rsidRPr="003B1CC5" w:rsidRDefault="004E1EE8" w:rsidP="002E2177">
      <w:pPr>
        <w:ind w:left="432" w:hanging="432"/>
        <w:rPr>
          <w:color w:val="0000FF"/>
        </w:rPr>
      </w:pPr>
      <w:r>
        <w:rPr>
          <w:noProof/>
          <w:color w:val="0000FF"/>
        </w:rPr>
        <w:drawing>
          <wp:inline distT="0" distB="0" distL="0" distR="0" wp14:anchorId="3F376C8B" wp14:editId="6BCA234E">
            <wp:extent cx="6692510" cy="1416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83_NQF_drawing1.20.18.png"/>
                    <pic:cNvPicPr/>
                  </pic:nvPicPr>
                  <pic:blipFill>
                    <a:blip r:embed="rId15">
                      <a:extLst>
                        <a:ext uri="{28A0092B-C50C-407E-A947-70E740481C1C}">
                          <a14:useLocalDpi xmlns:a14="http://schemas.microsoft.com/office/drawing/2010/main" val="0"/>
                        </a:ext>
                      </a:extLst>
                    </a:blip>
                    <a:stretch>
                      <a:fillRect/>
                    </a:stretch>
                  </pic:blipFill>
                  <pic:spPr>
                    <a:xfrm>
                      <a:off x="0" y="0"/>
                      <a:ext cx="6699254" cy="1417477"/>
                    </a:xfrm>
                    <a:prstGeom prst="rect">
                      <a:avLst/>
                    </a:prstGeom>
                  </pic:spPr>
                </pic:pic>
              </a:graphicData>
            </a:graphic>
          </wp:inline>
        </w:drawing>
      </w:r>
    </w:p>
    <w:p w14:paraId="55B8DA5C" w14:textId="30392E5D" w:rsidR="00676BD4" w:rsidRDefault="00676BD4" w:rsidP="002E2177">
      <w:pPr>
        <w:ind w:left="432" w:hanging="432"/>
        <w:rPr>
          <w:b/>
          <w:color w:val="0000FF"/>
        </w:rPr>
      </w:pPr>
    </w:p>
    <w:p w14:paraId="169BD02B" w14:textId="77777777" w:rsidR="00680933" w:rsidRPr="00680933" w:rsidRDefault="00680933" w:rsidP="00680933">
      <w:pPr>
        <w:ind w:firstLine="0"/>
        <w:rPr>
          <w:color w:val="C00000"/>
        </w:rPr>
      </w:pPr>
      <w:r w:rsidRPr="00680933">
        <w:rPr>
          <w:color w:val="C00000"/>
        </w:rPr>
        <w:t>A documented plan of care may include: use of opioids, nonopioid analgesics, psychological support, patient and/or family education, referral to a pain clinic, or reassessment of pain at an appropriate time interval.</w:t>
      </w:r>
    </w:p>
    <w:p w14:paraId="78191167" w14:textId="77777777" w:rsidR="00680933" w:rsidRDefault="00680933"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sidRPr="00EF571F">
        <w:rPr>
          <w:b/>
          <w:bCs/>
        </w:rPr>
        <w:t xml:space="preserve">Value and Meaningfulness:  </w:t>
      </w:r>
      <w:r w:rsidRPr="00EF571F">
        <w:rPr>
          <w:bCs/>
        </w:rPr>
        <w:t xml:space="preserve"> </w:t>
      </w:r>
      <w:r w:rsidRPr="00EF571F">
        <w:rPr>
          <w:b/>
          <w:iCs/>
        </w:rPr>
        <w:t xml:space="preserve">IF </w:t>
      </w:r>
      <w:r w:rsidRPr="00EF571F">
        <w:rPr>
          <w:iCs/>
        </w:rPr>
        <w:t xml:space="preserve">this measure is derived from patient report, provide evidence that the target population values the measured </w:t>
      </w:r>
      <w:r w:rsidRPr="00EF571F">
        <w:rPr>
          <w:b/>
          <w:i/>
          <w:iCs/>
        </w:rPr>
        <w:t>outcome, process, or structure</w:t>
      </w:r>
      <w:r w:rsidRPr="00EF571F">
        <w:rPr>
          <w:iCs/>
        </w:rPr>
        <w:t xml:space="preserve"> and finds it meaningful. (Describe how and from whom their input was obtained.)</w:t>
      </w:r>
    </w:p>
    <w:p w14:paraId="14E178F9" w14:textId="77777777" w:rsidR="00D40E5E" w:rsidRDefault="00D40E5E" w:rsidP="00D40E5E">
      <w:pPr>
        <w:ind w:left="0" w:firstLine="0"/>
        <w:rPr>
          <w:color w:val="C00000"/>
        </w:rPr>
      </w:pPr>
    </w:p>
    <w:p w14:paraId="1010708D" w14:textId="18F71749" w:rsidR="00EF571F" w:rsidRDefault="00EF571F" w:rsidP="00D40E5E">
      <w:pPr>
        <w:ind w:firstLine="0"/>
        <w:rPr>
          <w:color w:val="C00000"/>
        </w:rPr>
      </w:pPr>
      <w:r>
        <w:rPr>
          <w:color w:val="C00000"/>
        </w:rPr>
        <w:t>ASCO has not conducted an assessment from patients on the benefits of this measure’s meaningfulness. However, we would refer the committee to the following recognized literature.  It is undisputed that p</w:t>
      </w:r>
      <w:r w:rsidR="00D40E5E" w:rsidRPr="00D40E5E">
        <w:rPr>
          <w:color w:val="C00000"/>
        </w:rPr>
        <w:t xml:space="preserve">ain has a significant impact on a patient’s quality of </w:t>
      </w:r>
      <w:r w:rsidR="00CB3761" w:rsidRPr="00D40E5E">
        <w:rPr>
          <w:color w:val="C00000"/>
        </w:rPr>
        <w:t>life</w:t>
      </w:r>
      <w:r>
        <w:rPr>
          <w:color w:val="C00000"/>
        </w:rPr>
        <w:t xml:space="preserve"> (1)</w:t>
      </w:r>
      <w:r w:rsidR="00CB3761" w:rsidRPr="00D40E5E">
        <w:rPr>
          <w:color w:val="C00000"/>
        </w:rPr>
        <w:t xml:space="preserve">. </w:t>
      </w:r>
      <w:r>
        <w:rPr>
          <w:color w:val="C00000"/>
        </w:rPr>
        <w:t>C</w:t>
      </w:r>
      <w:r w:rsidR="00D40E5E" w:rsidRPr="00D40E5E">
        <w:rPr>
          <w:color w:val="C00000"/>
        </w:rPr>
        <w:t>ancer pain has numerous psychosocial responses in patients</w:t>
      </w:r>
      <w:r>
        <w:rPr>
          <w:color w:val="C00000"/>
        </w:rPr>
        <w:t xml:space="preserve"> (2,3)</w:t>
      </w:r>
      <w:r w:rsidR="00D40E5E" w:rsidRPr="00D40E5E">
        <w:rPr>
          <w:color w:val="C00000"/>
        </w:rPr>
        <w:t>.  Patients report that pain not only prevents them from thinking or concentrating, but it also impacts their ability to perform normal daily activities</w:t>
      </w:r>
      <w:r>
        <w:rPr>
          <w:color w:val="C00000"/>
        </w:rPr>
        <w:t xml:space="preserve"> (4). One</w:t>
      </w:r>
      <w:r w:rsidR="00D40E5E" w:rsidRPr="00D40E5E">
        <w:rPr>
          <w:color w:val="C00000"/>
        </w:rPr>
        <w:t xml:space="preserve"> study</w:t>
      </w:r>
      <w:r>
        <w:rPr>
          <w:color w:val="C00000"/>
        </w:rPr>
        <w:t xml:space="preserve"> found that</w:t>
      </w:r>
      <w:r w:rsidR="00D40E5E" w:rsidRPr="00D40E5E">
        <w:rPr>
          <w:color w:val="C00000"/>
        </w:rPr>
        <w:t xml:space="preserve"> one-third of patients describe p</w:t>
      </w:r>
      <w:r>
        <w:rPr>
          <w:color w:val="C00000"/>
        </w:rPr>
        <w:t>a</w:t>
      </w:r>
      <w:r w:rsidR="00D40E5E" w:rsidRPr="00D40E5E">
        <w:rPr>
          <w:color w:val="C00000"/>
        </w:rPr>
        <w:t>in related to cancer as distressing and a</w:t>
      </w:r>
      <w:r>
        <w:rPr>
          <w:color w:val="C00000"/>
        </w:rPr>
        <w:t xml:space="preserve">n </w:t>
      </w:r>
      <w:r>
        <w:rPr>
          <w:color w:val="C00000"/>
        </w:rPr>
        <w:lastRenderedPageBreak/>
        <w:t>intolerable aspect of cancer</w:t>
      </w:r>
      <w:r w:rsidR="00150CCE">
        <w:rPr>
          <w:color w:val="C00000"/>
        </w:rPr>
        <w:t xml:space="preserve"> (4)</w:t>
      </w:r>
      <w:r>
        <w:rPr>
          <w:color w:val="C00000"/>
        </w:rPr>
        <w:t>. The e</w:t>
      </w:r>
      <w:r w:rsidR="00D40E5E" w:rsidRPr="00D40E5E">
        <w:rPr>
          <w:color w:val="C00000"/>
        </w:rPr>
        <w:t>vidence</w:t>
      </w:r>
      <w:r w:rsidR="00D40E5E">
        <w:rPr>
          <w:color w:val="C00000"/>
        </w:rPr>
        <w:t xml:space="preserve"> </w:t>
      </w:r>
      <w:r w:rsidR="00D40E5E" w:rsidRPr="00D40E5E">
        <w:rPr>
          <w:color w:val="C00000"/>
        </w:rPr>
        <w:t>s</w:t>
      </w:r>
      <w:r w:rsidR="00D40E5E">
        <w:rPr>
          <w:color w:val="C00000"/>
        </w:rPr>
        <w:t>u</w:t>
      </w:r>
      <w:r w:rsidR="00D40E5E" w:rsidRPr="00D40E5E">
        <w:rPr>
          <w:color w:val="C00000"/>
        </w:rPr>
        <w:t>ggests that adequate pain t</w:t>
      </w:r>
      <w:r w:rsidR="00D40E5E">
        <w:rPr>
          <w:color w:val="C00000"/>
        </w:rPr>
        <w:t>reatment can result in clinical</w:t>
      </w:r>
      <w:r w:rsidR="00D40E5E" w:rsidRPr="00D40E5E">
        <w:rPr>
          <w:color w:val="C00000"/>
        </w:rPr>
        <w:t>ly relevant improvement in health related quality of life</w:t>
      </w:r>
      <w:r w:rsidR="00150CCE">
        <w:rPr>
          <w:color w:val="C00000"/>
        </w:rPr>
        <w:t xml:space="preserve"> (5)</w:t>
      </w:r>
      <w:r w:rsidR="00D40E5E" w:rsidRPr="00D40E5E">
        <w:rPr>
          <w:color w:val="C00000"/>
        </w:rPr>
        <w:t xml:space="preserve">.  Based on one systematic report performed in 2007 the authors found that the </w:t>
      </w:r>
      <w:r w:rsidRPr="00D40E5E">
        <w:rPr>
          <w:color w:val="C00000"/>
        </w:rPr>
        <w:t>prevalence</w:t>
      </w:r>
      <w:r w:rsidR="00D40E5E" w:rsidRPr="00D40E5E">
        <w:rPr>
          <w:color w:val="C00000"/>
        </w:rPr>
        <w:t xml:space="preserve"> of cancer pain over a time of 40 years had not improved. (</w:t>
      </w:r>
      <w:r w:rsidR="00150CCE">
        <w:rPr>
          <w:color w:val="C00000"/>
        </w:rPr>
        <w:t>6</w:t>
      </w:r>
      <w:r w:rsidR="00D40E5E" w:rsidRPr="00D40E5E">
        <w:rPr>
          <w:color w:val="C00000"/>
        </w:rPr>
        <w:t>)</w:t>
      </w:r>
      <w:r>
        <w:rPr>
          <w:color w:val="C00000"/>
        </w:rPr>
        <w:t xml:space="preserve">. </w:t>
      </w:r>
      <w:r w:rsidRPr="00EF571F">
        <w:rPr>
          <w:color w:val="C00000"/>
        </w:rPr>
        <w:t>Despite increased attention on assessment and management, pain continues to be a prevalent symptom in patients with cancer</w:t>
      </w:r>
      <w:r w:rsidR="00150CCE">
        <w:rPr>
          <w:color w:val="C00000"/>
        </w:rPr>
        <w:t xml:space="preserve"> (7)</w:t>
      </w:r>
      <w:r w:rsidRPr="00EF571F">
        <w:rPr>
          <w:color w:val="C00000"/>
        </w:rPr>
        <w:t xml:space="preserve">. </w:t>
      </w:r>
      <w:r w:rsidR="004E1EE8">
        <w:rPr>
          <w:color w:val="C00000"/>
        </w:rPr>
        <w:t xml:space="preserve">This measure seeks to address patient care by determining if a patient has moderate or severe pain, and developing a plan of care that will further the implementation of </w:t>
      </w:r>
      <w:r w:rsidRPr="00EF571F">
        <w:rPr>
          <w:color w:val="C00000"/>
        </w:rPr>
        <w:t xml:space="preserve">interventions </w:t>
      </w:r>
      <w:r w:rsidR="004E1EE8">
        <w:rPr>
          <w:color w:val="C00000"/>
        </w:rPr>
        <w:t xml:space="preserve">needed </w:t>
      </w:r>
      <w:r w:rsidRPr="00EF571F">
        <w:rPr>
          <w:color w:val="C00000"/>
        </w:rPr>
        <w:t>to optimally manage pain in patients with cancer</w:t>
      </w:r>
      <w:r w:rsidR="004E1EE8">
        <w:rPr>
          <w:color w:val="C00000"/>
        </w:rPr>
        <w:t xml:space="preserve"> </w:t>
      </w:r>
      <w:r w:rsidRPr="00EF571F">
        <w:rPr>
          <w:color w:val="C00000"/>
        </w:rPr>
        <w:t xml:space="preserve">. </w:t>
      </w:r>
    </w:p>
    <w:p w14:paraId="57024A93" w14:textId="271A63E3" w:rsidR="00EF571F" w:rsidRDefault="00EF571F" w:rsidP="00D40E5E">
      <w:pPr>
        <w:ind w:firstLine="0"/>
        <w:rPr>
          <w:color w:val="C00000"/>
        </w:rPr>
      </w:pPr>
    </w:p>
    <w:p w14:paraId="3A76C0ED" w14:textId="50B4868E" w:rsidR="00EF571F" w:rsidRDefault="00EF571F" w:rsidP="00EF571F">
      <w:pPr>
        <w:pStyle w:val="ListParagraph"/>
        <w:numPr>
          <w:ilvl w:val="0"/>
          <w:numId w:val="17"/>
        </w:numPr>
        <w:rPr>
          <w:color w:val="C00000"/>
        </w:rPr>
      </w:pPr>
      <w:r w:rsidRPr="00EF571F">
        <w:rPr>
          <w:color w:val="C00000"/>
        </w:rPr>
        <w:t>IASP. 2008-2009 Global Year Against Cancer Pain 2008.</w:t>
      </w:r>
      <w:r w:rsidRPr="00EF571F">
        <w:t xml:space="preserve"> </w:t>
      </w:r>
      <w:r w:rsidRPr="00EF571F">
        <w:rPr>
          <w:color w:val="C00000"/>
        </w:rPr>
        <w:t>Available at: https://www.iasp-pain.org/GlobalYear/Cancer Pain. Accessed February 10, 2015.</w:t>
      </w:r>
    </w:p>
    <w:p w14:paraId="389ACDC7" w14:textId="7B19265A" w:rsidR="00EF571F" w:rsidRDefault="00EF571F" w:rsidP="00EF571F">
      <w:pPr>
        <w:pStyle w:val="ListParagraph"/>
        <w:numPr>
          <w:ilvl w:val="0"/>
          <w:numId w:val="17"/>
        </w:numPr>
        <w:rPr>
          <w:color w:val="C00000"/>
        </w:rPr>
      </w:pPr>
      <w:r w:rsidRPr="00EF571F">
        <w:rPr>
          <w:color w:val="C00000"/>
        </w:rPr>
        <w:t>Kroenke K, Theobald D, Wu J, et al. The association of</w:t>
      </w:r>
      <w:r>
        <w:rPr>
          <w:color w:val="C00000"/>
        </w:rPr>
        <w:t xml:space="preserve"> </w:t>
      </w:r>
      <w:r w:rsidRPr="00EF571F">
        <w:rPr>
          <w:color w:val="C00000"/>
        </w:rPr>
        <w:t>depression and pain with health-related quality of life,</w:t>
      </w:r>
      <w:r w:rsidRPr="00EF571F">
        <w:t xml:space="preserve"> </w:t>
      </w:r>
      <w:r w:rsidRPr="00EF571F">
        <w:rPr>
          <w:color w:val="C00000"/>
        </w:rPr>
        <w:t>disability, and health care use in cancer patients. J Pain Symptom Manage 2010;40:327e341.</w:t>
      </w:r>
    </w:p>
    <w:p w14:paraId="0EE13C5D" w14:textId="73DE3659" w:rsidR="00EF571F" w:rsidRDefault="00EF571F" w:rsidP="00EF571F">
      <w:pPr>
        <w:pStyle w:val="ListParagraph"/>
        <w:numPr>
          <w:ilvl w:val="0"/>
          <w:numId w:val="17"/>
        </w:numPr>
        <w:rPr>
          <w:color w:val="C00000"/>
        </w:rPr>
      </w:pPr>
      <w:r w:rsidRPr="00EF571F">
        <w:rPr>
          <w:color w:val="C00000"/>
        </w:rPr>
        <w:t>Porter LS, Keefe FJ. Psychosocial issues in cancer pain.</w:t>
      </w:r>
      <w:r w:rsidRPr="00EF571F">
        <w:t xml:space="preserve"> </w:t>
      </w:r>
      <w:r w:rsidRPr="00EF571F">
        <w:rPr>
          <w:color w:val="C00000"/>
        </w:rPr>
        <w:t>Curr Pain Headache Rep 2011;15:263e270.</w:t>
      </w:r>
    </w:p>
    <w:p w14:paraId="52C5C5EB" w14:textId="77777777" w:rsidR="00150CCE" w:rsidRDefault="00EF571F" w:rsidP="00150CCE">
      <w:pPr>
        <w:pStyle w:val="ListParagraph"/>
        <w:numPr>
          <w:ilvl w:val="0"/>
          <w:numId w:val="17"/>
        </w:numPr>
        <w:rPr>
          <w:color w:val="C00000"/>
        </w:rPr>
      </w:pPr>
      <w:r w:rsidRPr="00EF571F">
        <w:rPr>
          <w:color w:val="C00000"/>
        </w:rPr>
        <w:t>Breivik H, Cherny N, Collett B, et al. Cancer-related</w:t>
      </w:r>
      <w:r>
        <w:rPr>
          <w:color w:val="C00000"/>
        </w:rPr>
        <w:t xml:space="preserve"> </w:t>
      </w:r>
      <w:r w:rsidR="00150CCE" w:rsidRPr="00150CCE">
        <w:rPr>
          <w:color w:val="C00000"/>
        </w:rPr>
        <w:t>pain: a pan-European survey of prevalence, treatment, and patient attitudes. Ann Oncol 2009;20:1420e1433.</w:t>
      </w:r>
    </w:p>
    <w:p w14:paraId="5F9E0265" w14:textId="11B99FAD" w:rsidR="00EF571F" w:rsidRDefault="00150CCE" w:rsidP="00150CCE">
      <w:pPr>
        <w:pStyle w:val="ListParagraph"/>
        <w:numPr>
          <w:ilvl w:val="0"/>
          <w:numId w:val="17"/>
        </w:numPr>
        <w:rPr>
          <w:color w:val="C00000"/>
        </w:rPr>
      </w:pPr>
      <w:r w:rsidRPr="00150CCE">
        <w:rPr>
          <w:color w:val="C00000"/>
        </w:rPr>
        <w:t>Puetzler J, Feldmann RE Jr, Brascher AK, Gerhardt A,</w:t>
      </w:r>
      <w:r w:rsidRPr="00150CCE">
        <w:t xml:space="preserve"> </w:t>
      </w:r>
      <w:r w:rsidRPr="00150CCE">
        <w:rPr>
          <w:color w:val="C00000"/>
        </w:rPr>
        <w:t>Benrath J. Improvements in health-related quality of life by comprehensive cancer pain therapy: a pilot study with breast cancer outpatients under palliative chemotherapy. Oncol Res Treat 2014;37:456e462.</w:t>
      </w:r>
    </w:p>
    <w:p w14:paraId="6F3DA36D" w14:textId="77777777" w:rsidR="00150CCE" w:rsidRDefault="00150CCE" w:rsidP="00150CCE">
      <w:pPr>
        <w:pStyle w:val="ListParagraph"/>
        <w:numPr>
          <w:ilvl w:val="0"/>
          <w:numId w:val="17"/>
        </w:numPr>
        <w:rPr>
          <w:color w:val="C00000"/>
        </w:rPr>
      </w:pPr>
      <w:r w:rsidRPr="00150CCE">
        <w:rPr>
          <w:color w:val="C00000"/>
        </w:rPr>
        <w:t>van den Beuken-van Everdingen MH, de Rijke JM,</w:t>
      </w:r>
      <w:r>
        <w:rPr>
          <w:color w:val="C00000"/>
        </w:rPr>
        <w:t xml:space="preserve"> </w:t>
      </w:r>
      <w:r w:rsidRPr="00150CCE">
        <w:rPr>
          <w:color w:val="C00000"/>
        </w:rPr>
        <w:t>Kessels AG, et al. Prevalence of pain in patients with cancer: a systematic review of the past 40 years. Ann Oncol 2007;18: 1437e1449</w:t>
      </w:r>
    </w:p>
    <w:p w14:paraId="7664D52D" w14:textId="0DD2513E" w:rsidR="006920BA" w:rsidRPr="006F137B" w:rsidRDefault="006F137B" w:rsidP="006F137B">
      <w:pPr>
        <w:pStyle w:val="ListParagraph"/>
        <w:numPr>
          <w:ilvl w:val="0"/>
          <w:numId w:val="17"/>
        </w:numPr>
        <w:rPr>
          <w:color w:val="C00000"/>
        </w:rPr>
      </w:pPr>
      <w:r w:rsidRPr="006F137B">
        <w:rPr>
          <w:color w:val="C00000"/>
        </w:rPr>
        <w:t>van den Beuken-van Everdingen, Marieke H.J. et al.Update on Prevalence of Pain in Patients With Cancer: Sys</w:t>
      </w:r>
      <w:r>
        <w:rPr>
          <w:color w:val="C00000"/>
        </w:rPr>
        <w:t xml:space="preserve">tematic Review and Meta-Analysis. </w:t>
      </w:r>
      <w:r w:rsidR="00EF571F" w:rsidRPr="006F137B">
        <w:rPr>
          <w:color w:val="C00000"/>
        </w:rPr>
        <w:t>J Pain Symptom Manage 2016;51:1070e1090</w:t>
      </w:r>
      <w:r>
        <w:rPr>
          <w:color w:val="C00000"/>
        </w:rPr>
        <w:t>.</w:t>
      </w: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559313E7" w:rsidR="00676BD4" w:rsidRPr="00680933" w:rsidRDefault="00680933" w:rsidP="002E2177">
      <w:pPr>
        <w:ind w:left="0" w:firstLine="0"/>
        <w:rPr>
          <w:iCs/>
          <w:highlight w:val="yellow"/>
        </w:rPr>
      </w:pPr>
      <w:r w:rsidRPr="00680933">
        <w:rPr>
          <w:iCs/>
        </w:rPr>
        <w:t xml:space="preserve">Not Applicable </w:t>
      </w:r>
    </w:p>
    <w:p w14:paraId="066F6175" w14:textId="77777777" w:rsidR="00680933" w:rsidRPr="00680933" w:rsidRDefault="00680933" w:rsidP="002E2177">
      <w:pPr>
        <w:ind w:left="0" w:firstLine="0"/>
        <w:rPr>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56467092" w:rsidR="00A9011D" w:rsidRPr="00A9011D" w:rsidRDefault="009933B7" w:rsidP="00A9011D">
      <w:pPr>
        <w:ind w:left="0" w:firstLine="0"/>
        <w:rPr>
          <w:rFonts w:ascii="Calibri" w:eastAsia="Calibri" w:hAnsi="Calibri" w:cs="Times New Roman"/>
        </w:rPr>
      </w:pPr>
      <w:sdt>
        <w:sdtPr>
          <w:rPr>
            <w:bCs/>
            <w:color w:val="0000FF"/>
          </w:rPr>
          <w:id w:val="-417638314"/>
          <w14:checkbox>
            <w14:checked w14:val="1"/>
            <w14:checkedState w14:val="2612" w14:font="MS Gothic"/>
            <w14:uncheckedState w14:val="2610" w14:font="MS Gothic"/>
          </w14:checkbox>
        </w:sdtPr>
        <w:sdtEndPr/>
        <w:sdtContent>
          <w:r w:rsidR="009D1FEE">
            <w:rPr>
              <w:rFonts w:ascii="MS Gothic" w:eastAsia="MS Gothic" w:hAnsi="MS Gothic" w:hint="eastAsia"/>
              <w:bCs/>
              <w:color w:val="0000FF"/>
            </w:rPr>
            <w:t>☒</w:t>
          </w:r>
        </w:sdtContent>
      </w:sdt>
      <w:r w:rsidR="009D1FEE" w:rsidRPr="00A9011D">
        <w:rPr>
          <w:rFonts w:ascii="Calibri" w:eastAsia="Calibri" w:hAnsi="Calibri" w:cs="Times New Roma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lastRenderedPageBreak/>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112A0159" w:rsidR="00A9011D" w:rsidRPr="000F4A7F" w:rsidRDefault="009933B7" w:rsidP="002E2177">
      <w:pPr>
        <w:ind w:left="0" w:firstLine="0"/>
        <w:rPr>
          <w:rFonts w:ascii="Calibri" w:eastAsia="Calibri" w:hAnsi="Calibri" w:cs="Times New Roman"/>
        </w:rPr>
      </w:pPr>
      <w:sdt>
        <w:sdtPr>
          <w:rPr>
            <w:bCs/>
            <w:color w:val="0000FF"/>
          </w:rPr>
          <w:id w:val="-1142726970"/>
          <w14:checkbox>
            <w14:checked w14:val="1"/>
            <w14:checkedState w14:val="2612" w14:font="MS Gothic"/>
            <w14:uncheckedState w14:val="2610" w14:font="MS Gothic"/>
          </w14:checkbox>
        </w:sdtPr>
        <w:sdtEndPr/>
        <w:sdtContent>
          <w:r w:rsidR="009D1FEE">
            <w:rPr>
              <w:rFonts w:ascii="MS Gothic" w:eastAsia="MS Gothic" w:hAnsi="MS Gothic" w:hint="eastAsia"/>
              <w:bCs/>
              <w:color w:val="0000FF"/>
            </w:rPr>
            <w:t>☒</w:t>
          </w:r>
        </w:sdtContent>
      </w:sdt>
      <w:r w:rsidR="00A9011D"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402"/>
        <w:gridCol w:w="5948"/>
      </w:tblGrid>
      <w:tr w:rsidR="00AB4ECE" w14:paraId="55B8DA76" w14:textId="77777777" w:rsidTr="009D1FEE">
        <w:tc>
          <w:tcPr>
            <w:tcW w:w="3402"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948" w:type="dxa"/>
          </w:tcPr>
          <w:p w14:paraId="55B8DA75" w14:textId="4517D813" w:rsidR="00AB4ECE" w:rsidRPr="00AB4ECE" w:rsidRDefault="009D1FEE" w:rsidP="002E2177">
            <w:pPr>
              <w:ind w:left="0" w:firstLine="0"/>
              <w:rPr>
                <w:b/>
              </w:rPr>
            </w:pPr>
            <w:r w:rsidRPr="00560B1E">
              <w:t xml:space="preserve">Adult cancer pain. Swarm RA, Abernethy AP, Anghelescu DL, et al. </w:t>
            </w:r>
            <w:r w:rsidRPr="004E1EE8">
              <w:rPr>
                <w:color w:val="C00000"/>
              </w:rPr>
              <w:t>2017.</w:t>
            </w:r>
            <w:r w:rsidRPr="00560B1E">
              <w:t xml:space="preserve"> </w:t>
            </w:r>
            <w:hyperlink r:id="rId16" w:history="1">
              <w:r w:rsidRPr="00560B1E">
                <w:rPr>
                  <w:rStyle w:val="Hyperlink"/>
                </w:rPr>
                <w:t>https://www.nccn.org/professionals/physician_gls/pdf/pain.pdf</w:t>
              </w:r>
            </w:hyperlink>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10E06227" w14:textId="78111911" w:rsidR="009D1FEE" w:rsidRPr="00560B1E" w:rsidRDefault="009D1FEE" w:rsidP="009D1FEE">
            <w:pPr>
              <w:ind w:left="91" w:firstLine="1"/>
              <w:rPr>
                <w:rFonts w:cstheme="minorHAnsi"/>
                <w:bCs/>
              </w:rPr>
            </w:pPr>
            <w:r w:rsidRPr="00560B1E">
              <w:rPr>
                <w:rFonts w:cstheme="minorHAnsi"/>
                <w:bCs/>
              </w:rPr>
              <w:t>For management of cancer-relate</w:t>
            </w:r>
            <w:r>
              <w:rPr>
                <w:rFonts w:cstheme="minorHAnsi"/>
                <w:bCs/>
              </w:rPr>
              <w:t xml:space="preserve">d pain in adults, the algorithm </w:t>
            </w:r>
            <w:r w:rsidRPr="00560B1E">
              <w:rPr>
                <w:rFonts w:cstheme="minorHAnsi"/>
                <w:bCs/>
              </w:rPr>
              <w:t xml:space="preserve">distinguishes three levels of pain intensity, based on a 0-10 numerical value obtained using numerical or the pictorial rating scale (with 0 being no pain to 10 being the worst pain).  The three levels of pain intensity listed in the algorithm are mild pain (1-3); moderate pain </w:t>
            </w:r>
            <w:r w:rsidR="006B3261">
              <w:rPr>
                <w:rFonts w:cstheme="minorHAnsi"/>
                <w:bCs/>
              </w:rPr>
              <w:t>(4-6); and severe pain (7-10).(Page 53</w:t>
            </w:r>
            <w:r w:rsidRPr="00560B1E">
              <w:rPr>
                <w:rFonts w:cstheme="minorHAnsi"/>
                <w:bCs/>
              </w:rPr>
              <w:t xml:space="preserve">)  </w:t>
            </w:r>
          </w:p>
          <w:p w14:paraId="0B2221C0" w14:textId="77777777" w:rsidR="009D1FEE" w:rsidRPr="00560B1E" w:rsidRDefault="009D1FEE" w:rsidP="009D1FEE">
            <w:pPr>
              <w:rPr>
                <w:rFonts w:cstheme="minorHAnsi"/>
                <w:bCs/>
              </w:rPr>
            </w:pPr>
          </w:p>
          <w:p w14:paraId="37758357" w14:textId="2ADAF77D" w:rsidR="009D1FEE" w:rsidRDefault="009D1FEE" w:rsidP="009D1FEE">
            <w:pPr>
              <w:ind w:left="91" w:firstLine="1"/>
              <w:rPr>
                <w:rFonts w:cstheme="minorHAnsi"/>
                <w:bCs/>
              </w:rPr>
            </w:pPr>
            <w:r w:rsidRPr="00560B1E">
              <w:rPr>
                <w:rFonts w:cstheme="minorHAnsi"/>
                <w:bCs/>
              </w:rPr>
              <w:t>Th</w:t>
            </w:r>
            <w:r w:rsidR="006B3261">
              <w:rPr>
                <w:rFonts w:cstheme="minorHAnsi"/>
                <w:bCs/>
              </w:rPr>
              <w:t>e NCCN</w:t>
            </w:r>
            <w:r w:rsidRPr="00560B1E">
              <w:rPr>
                <w:rFonts w:cstheme="minorHAnsi"/>
                <w:bCs/>
              </w:rPr>
              <w:t xml:space="preserve"> guidelines a</w:t>
            </w:r>
            <w:r>
              <w:rPr>
                <w:rFonts w:cstheme="minorHAnsi"/>
                <w:bCs/>
              </w:rPr>
              <w:t xml:space="preserve">cknowledge the range of complex </w:t>
            </w:r>
            <w:r w:rsidRPr="00560B1E">
              <w:rPr>
                <w:rFonts w:cstheme="minorHAnsi"/>
                <w:bCs/>
              </w:rPr>
              <w:t xml:space="preserve">decisions faced in caring for these patients.  As a result, they provide dosing guidelines for opioids, non-opioid analgesics, and adjuvant analgesics.  They also provide specific suggestions for titrating and rotating opioids, escalation of opioid dosage, management of opioid adverse effects, and when and how to proceed to other techniques/interventions for </w:t>
            </w:r>
            <w:r w:rsidR="006B3261">
              <w:rPr>
                <w:rFonts w:cstheme="minorHAnsi"/>
                <w:bCs/>
              </w:rPr>
              <w:t>the management of cancer pain.(</w:t>
            </w:r>
            <w:r w:rsidR="004E1EE8">
              <w:rPr>
                <w:rFonts w:cstheme="minorHAnsi"/>
                <w:bCs/>
              </w:rPr>
              <w:t>P</w:t>
            </w:r>
            <w:r w:rsidR="006B3261">
              <w:rPr>
                <w:rFonts w:cstheme="minorHAnsi"/>
                <w:bCs/>
              </w:rPr>
              <w:t>age 51</w:t>
            </w:r>
            <w:r w:rsidRPr="00560B1E">
              <w:rPr>
                <w:rFonts w:cstheme="minorHAnsi"/>
                <w:bCs/>
              </w:rPr>
              <w:t>)</w:t>
            </w:r>
          </w:p>
          <w:p w14:paraId="323C6A1C" w14:textId="77777777" w:rsidR="009D1FEE" w:rsidRDefault="009D1FEE" w:rsidP="009D1FEE">
            <w:pPr>
              <w:rPr>
                <w:rFonts w:cstheme="minorHAnsi"/>
                <w:bCs/>
              </w:rPr>
            </w:pPr>
          </w:p>
          <w:p w14:paraId="6B0E2D26" w14:textId="575CCA47" w:rsidR="00AB4ECE" w:rsidRDefault="009D1FEE" w:rsidP="009D1FEE">
            <w:pPr>
              <w:ind w:left="91" w:firstLine="0"/>
              <w:rPr>
                <w:rFonts w:cstheme="minorHAnsi"/>
                <w:bCs/>
              </w:rPr>
            </w:pPr>
            <w:r>
              <w:rPr>
                <w:rFonts w:cstheme="minorHAnsi"/>
                <w:bCs/>
              </w:rPr>
              <w:t>The patient must be provided with a written follow-up pain plan including medications. It is important to ensure that the patient has adequate access to prescribed medications and maintains communication and coordination of care with relevant providers, especially during transitions between sites of care.</w:t>
            </w:r>
            <w:r w:rsidR="006B3261">
              <w:rPr>
                <w:rFonts w:cstheme="minorHAnsi"/>
                <w:bCs/>
              </w:rPr>
              <w:t xml:space="preserve"> </w:t>
            </w:r>
            <w:r w:rsidR="004E1EE8">
              <w:rPr>
                <w:rFonts w:cstheme="minorHAnsi"/>
                <w:bCs/>
              </w:rPr>
              <w:t>(P</w:t>
            </w:r>
            <w:r w:rsidR="006B3261">
              <w:rPr>
                <w:rFonts w:cstheme="minorHAnsi"/>
                <w:bCs/>
              </w:rPr>
              <w:t xml:space="preserve">age 57) </w:t>
            </w:r>
          </w:p>
          <w:p w14:paraId="0D5CC8E7" w14:textId="77777777" w:rsidR="009D1FEE" w:rsidRDefault="009D1FEE" w:rsidP="009D1FEE">
            <w:pPr>
              <w:ind w:left="91" w:firstLine="0"/>
              <w:rPr>
                <w:rFonts w:cstheme="minorHAnsi"/>
                <w:bCs/>
              </w:rPr>
            </w:pPr>
          </w:p>
          <w:p w14:paraId="118D9B2C" w14:textId="66430C31" w:rsidR="009D1FEE" w:rsidRPr="00D72C27" w:rsidRDefault="009D1FEE" w:rsidP="009D1FEE">
            <w:pPr>
              <w:rPr>
                <w:rFonts w:cstheme="minorHAnsi"/>
                <w:b/>
                <w:bCs/>
                <w:color w:val="C00000"/>
              </w:rPr>
            </w:pPr>
            <w:r w:rsidRPr="00D72C27">
              <w:rPr>
                <w:rFonts w:cstheme="minorHAnsi"/>
                <w:b/>
                <w:bCs/>
                <w:color w:val="C00000"/>
              </w:rPr>
              <w:t>For ALL levels of pain</w:t>
            </w:r>
            <w:r w:rsidR="006B3261">
              <w:rPr>
                <w:rFonts w:cstheme="minorHAnsi"/>
                <w:b/>
                <w:bCs/>
                <w:color w:val="C00000"/>
              </w:rPr>
              <w:t xml:space="preserve"> (Page 11)</w:t>
            </w:r>
          </w:p>
          <w:p w14:paraId="79E36462" w14:textId="77777777" w:rsidR="009D1FEE" w:rsidRPr="00D72C27" w:rsidRDefault="009D1FEE" w:rsidP="009D1FEE">
            <w:pPr>
              <w:rPr>
                <w:rFonts w:cstheme="minorHAnsi"/>
                <w:b/>
                <w:bCs/>
                <w:color w:val="C00000"/>
              </w:rPr>
            </w:pPr>
          </w:p>
          <w:p w14:paraId="0086AFAB" w14:textId="1C38ADE4" w:rsidR="009D1FEE" w:rsidRPr="00D72C27" w:rsidRDefault="009D1FEE" w:rsidP="009D1FEE">
            <w:pPr>
              <w:pStyle w:val="ListParagraph"/>
              <w:numPr>
                <w:ilvl w:val="0"/>
                <w:numId w:val="12"/>
              </w:numPr>
              <w:rPr>
                <w:rFonts w:cstheme="minorHAnsi"/>
                <w:bCs/>
                <w:color w:val="C00000"/>
              </w:rPr>
            </w:pPr>
            <w:r w:rsidRPr="00D72C27">
              <w:rPr>
                <w:rFonts w:cstheme="minorHAnsi"/>
                <w:bCs/>
                <w:color w:val="C00000"/>
              </w:rPr>
              <w:t>Select the most appropriate medication based on the physiology of the patient’s pain</w:t>
            </w:r>
          </w:p>
          <w:p w14:paraId="4A0DEDF1" w14:textId="46B6A19A" w:rsidR="009D1FEE" w:rsidRPr="00D72C27" w:rsidRDefault="009D1FEE" w:rsidP="009D1FEE">
            <w:pPr>
              <w:pStyle w:val="ListParagraph"/>
              <w:numPr>
                <w:ilvl w:val="0"/>
                <w:numId w:val="12"/>
              </w:numPr>
              <w:rPr>
                <w:rFonts w:cstheme="minorHAnsi"/>
                <w:bCs/>
                <w:color w:val="C00000"/>
              </w:rPr>
            </w:pPr>
            <w:r w:rsidRPr="00D72C27">
              <w:rPr>
                <w:rFonts w:cstheme="minorHAnsi"/>
                <w:bCs/>
                <w:color w:val="C00000"/>
              </w:rPr>
              <w:t xml:space="preserve">Consider acetaminophen or nonsteroidal anti-inflammatory drugs (NSAIDs) (See PAIN-K) </w:t>
            </w:r>
          </w:p>
          <w:p w14:paraId="136E0096" w14:textId="10A5D8D8" w:rsidR="009D1FEE" w:rsidRPr="00D72C27" w:rsidRDefault="009D1FEE" w:rsidP="009D1FEE">
            <w:pPr>
              <w:pStyle w:val="ListParagraph"/>
              <w:numPr>
                <w:ilvl w:val="0"/>
                <w:numId w:val="12"/>
              </w:numPr>
              <w:rPr>
                <w:rFonts w:cstheme="minorHAnsi"/>
                <w:bCs/>
                <w:color w:val="C00000"/>
              </w:rPr>
            </w:pPr>
            <w:r w:rsidRPr="00D72C27">
              <w:rPr>
                <w:rFonts w:cstheme="minorHAnsi"/>
                <w:bCs/>
                <w:color w:val="C00000"/>
              </w:rPr>
              <w:lastRenderedPageBreak/>
              <w:t>For opioid principles, prescribing,  titration, and maintenance, (See PAIN-E)</w:t>
            </w:r>
          </w:p>
          <w:p w14:paraId="7E1924C0" w14:textId="2021CE51" w:rsidR="009D1FEE" w:rsidRPr="00D72C27" w:rsidRDefault="009D1FEE" w:rsidP="009D1FEE">
            <w:pPr>
              <w:pStyle w:val="ListParagraph"/>
              <w:numPr>
                <w:ilvl w:val="0"/>
                <w:numId w:val="12"/>
              </w:numPr>
              <w:rPr>
                <w:rFonts w:cstheme="minorHAnsi"/>
                <w:bCs/>
                <w:color w:val="C00000"/>
              </w:rPr>
            </w:pPr>
            <w:r w:rsidRPr="00D72C27">
              <w:rPr>
                <w:rFonts w:cstheme="minorHAnsi"/>
                <w:bCs/>
                <w:color w:val="C00000"/>
              </w:rPr>
              <w:t>Consider adding adjuvant analgesics (see PAIN-G) for specific syndromes (PAIN-D)</w:t>
            </w:r>
          </w:p>
          <w:p w14:paraId="25A3C4AD" w14:textId="77DC8A82" w:rsidR="009D1FEE" w:rsidRPr="00D72C27" w:rsidRDefault="009D1FEE" w:rsidP="009D1FEE">
            <w:pPr>
              <w:pStyle w:val="ListParagraph"/>
              <w:numPr>
                <w:ilvl w:val="0"/>
                <w:numId w:val="12"/>
              </w:numPr>
              <w:rPr>
                <w:rFonts w:cstheme="minorHAnsi"/>
                <w:bCs/>
                <w:color w:val="C00000"/>
              </w:rPr>
            </w:pPr>
            <w:r w:rsidRPr="00D72C27">
              <w:rPr>
                <w:rFonts w:cstheme="minorHAnsi"/>
                <w:bCs/>
                <w:color w:val="C00000"/>
              </w:rPr>
              <w:t>Anticipate and treat analgesics adverse effects (See PAIN-F)</w:t>
            </w:r>
          </w:p>
          <w:p w14:paraId="16BCDC1E" w14:textId="1CAF11BA" w:rsidR="009D1FEE" w:rsidRPr="00D72C27" w:rsidRDefault="009D1FEE" w:rsidP="009D1FEE">
            <w:pPr>
              <w:pStyle w:val="ListParagraph"/>
              <w:numPr>
                <w:ilvl w:val="0"/>
                <w:numId w:val="12"/>
              </w:numPr>
              <w:rPr>
                <w:rFonts w:cstheme="minorHAnsi"/>
                <w:bCs/>
                <w:color w:val="C00000"/>
              </w:rPr>
            </w:pPr>
            <w:r w:rsidRPr="00D72C27">
              <w:rPr>
                <w:rFonts w:cstheme="minorHAnsi"/>
                <w:bCs/>
                <w:color w:val="C00000"/>
              </w:rPr>
              <w:t>Provide psychosocial support (See PAIN-H)</w:t>
            </w:r>
          </w:p>
          <w:p w14:paraId="6655385F" w14:textId="3BE116C5" w:rsidR="009D1FEE" w:rsidRPr="00D72C27" w:rsidRDefault="009D1FEE" w:rsidP="009D1FEE">
            <w:pPr>
              <w:pStyle w:val="ListParagraph"/>
              <w:numPr>
                <w:ilvl w:val="0"/>
                <w:numId w:val="12"/>
              </w:numPr>
              <w:rPr>
                <w:rFonts w:cstheme="minorHAnsi"/>
                <w:bCs/>
                <w:color w:val="C00000"/>
              </w:rPr>
            </w:pPr>
            <w:r w:rsidRPr="00D72C27">
              <w:rPr>
                <w:rFonts w:cstheme="minorHAnsi"/>
                <w:bCs/>
                <w:color w:val="C00000"/>
              </w:rPr>
              <w:t>Provide patient and family/care giver education (See PAIN-I)</w:t>
            </w:r>
          </w:p>
          <w:p w14:paraId="324FEA5C" w14:textId="77777777" w:rsidR="009D1FEE" w:rsidRPr="00D72C27" w:rsidRDefault="009D1FEE" w:rsidP="009D1FEE">
            <w:pPr>
              <w:pStyle w:val="ListParagraph"/>
              <w:numPr>
                <w:ilvl w:val="0"/>
                <w:numId w:val="12"/>
              </w:numPr>
              <w:rPr>
                <w:color w:val="C00000"/>
              </w:rPr>
            </w:pPr>
            <w:r w:rsidRPr="00D72C27">
              <w:rPr>
                <w:rFonts w:cstheme="minorHAnsi"/>
                <w:bCs/>
                <w:color w:val="C00000"/>
              </w:rPr>
              <w:t>Optimize integrative interventions (See PAIN-J)</w:t>
            </w:r>
          </w:p>
          <w:p w14:paraId="0E7C8621" w14:textId="1B25EDFB" w:rsidR="00D72C27" w:rsidRPr="00D72C27" w:rsidRDefault="00D72C27" w:rsidP="00D72C27">
            <w:pPr>
              <w:rPr>
                <w:rFonts w:cstheme="minorHAnsi"/>
                <w:b/>
                <w:bCs/>
                <w:color w:val="C00000"/>
              </w:rPr>
            </w:pPr>
            <w:r w:rsidRPr="00D72C27">
              <w:rPr>
                <w:rFonts w:cstheme="minorHAnsi"/>
                <w:b/>
                <w:bCs/>
                <w:color w:val="C00000"/>
              </w:rPr>
              <w:t>Moderate pain 4-6</w:t>
            </w:r>
            <w:r w:rsidR="006B3261">
              <w:rPr>
                <w:rFonts w:cstheme="minorHAnsi"/>
                <w:b/>
                <w:bCs/>
                <w:color w:val="C00000"/>
              </w:rPr>
              <w:t xml:space="preserve"> (Page 11)</w:t>
            </w:r>
          </w:p>
          <w:p w14:paraId="5A3245FA" w14:textId="77777777" w:rsidR="00D72C27" w:rsidRPr="00D72C27" w:rsidRDefault="00D72C27" w:rsidP="00D72C27">
            <w:pPr>
              <w:rPr>
                <w:rFonts w:cstheme="minorHAnsi"/>
                <w:b/>
                <w:bCs/>
                <w:color w:val="C00000"/>
              </w:rPr>
            </w:pPr>
          </w:p>
          <w:p w14:paraId="55B3652E" w14:textId="783D2984" w:rsidR="00D72C27" w:rsidRPr="00D72C27" w:rsidRDefault="00D72C27" w:rsidP="00D72C27">
            <w:pPr>
              <w:pStyle w:val="ListParagraph"/>
              <w:numPr>
                <w:ilvl w:val="0"/>
                <w:numId w:val="13"/>
              </w:numPr>
              <w:rPr>
                <w:rFonts w:cstheme="minorHAnsi"/>
                <w:bCs/>
                <w:color w:val="C00000"/>
              </w:rPr>
            </w:pPr>
            <w:r w:rsidRPr="00D72C27">
              <w:rPr>
                <w:rFonts w:cstheme="minorHAnsi"/>
                <w:bCs/>
                <w:color w:val="C00000"/>
              </w:rPr>
              <w:t xml:space="preserve">See management for all levels of pain above </w:t>
            </w:r>
          </w:p>
          <w:p w14:paraId="5E3D7BFD" w14:textId="77777777" w:rsidR="00D72C27" w:rsidRPr="00D72C27" w:rsidRDefault="00D72C27" w:rsidP="00D72C27">
            <w:pPr>
              <w:pStyle w:val="ListParagraph"/>
              <w:ind w:firstLine="0"/>
              <w:rPr>
                <w:rFonts w:cstheme="minorHAnsi"/>
                <w:bCs/>
                <w:color w:val="C00000"/>
              </w:rPr>
            </w:pPr>
            <w:r w:rsidRPr="00D72C27">
              <w:rPr>
                <w:rFonts w:cstheme="minorHAnsi"/>
                <w:bCs/>
                <w:color w:val="C00000"/>
              </w:rPr>
              <w:t xml:space="preserve">AND </w:t>
            </w:r>
          </w:p>
          <w:p w14:paraId="77CA706C" w14:textId="293FA5BD" w:rsidR="00D72C27" w:rsidRPr="00D72C27" w:rsidRDefault="00D72C27" w:rsidP="00D72C27">
            <w:pPr>
              <w:pStyle w:val="ListParagraph"/>
              <w:numPr>
                <w:ilvl w:val="0"/>
                <w:numId w:val="13"/>
              </w:numPr>
              <w:rPr>
                <w:rFonts w:cstheme="minorHAnsi"/>
                <w:bCs/>
                <w:color w:val="C00000"/>
              </w:rPr>
            </w:pPr>
            <w:r w:rsidRPr="00D72C27">
              <w:rPr>
                <w:rFonts w:cstheme="minorHAnsi"/>
                <w:bCs/>
                <w:color w:val="C00000"/>
              </w:rPr>
              <w:t xml:space="preserve">Rapidly titrate short acting opioid, </w:t>
            </w:r>
            <w:r w:rsidR="004E1EE8">
              <w:rPr>
                <w:rFonts w:cstheme="minorHAnsi"/>
                <w:bCs/>
                <w:color w:val="C00000"/>
              </w:rPr>
              <w:t>(S</w:t>
            </w:r>
            <w:r w:rsidRPr="00D72C27">
              <w:rPr>
                <w:rFonts w:cstheme="minorHAnsi"/>
                <w:bCs/>
                <w:color w:val="C00000"/>
              </w:rPr>
              <w:t>ee PAIN-4</w:t>
            </w:r>
            <w:r w:rsidR="004E1EE8">
              <w:rPr>
                <w:rFonts w:cstheme="minorHAnsi"/>
                <w:bCs/>
                <w:color w:val="C00000"/>
              </w:rPr>
              <w:t>)</w:t>
            </w:r>
            <w:r w:rsidRPr="00D72C27">
              <w:rPr>
                <w:rFonts w:cstheme="minorHAnsi"/>
                <w:bCs/>
                <w:color w:val="C00000"/>
              </w:rPr>
              <w:t xml:space="preserve"> for initiating short-acting opioids</w:t>
            </w:r>
          </w:p>
          <w:p w14:paraId="7299F2C5" w14:textId="4C727BFE" w:rsidR="009D1FEE" w:rsidRPr="00D72C27" w:rsidRDefault="00D72C27" w:rsidP="00D72C27">
            <w:pPr>
              <w:pStyle w:val="ListParagraph"/>
              <w:numPr>
                <w:ilvl w:val="1"/>
                <w:numId w:val="13"/>
              </w:numPr>
              <w:rPr>
                <w:color w:val="C00000"/>
              </w:rPr>
            </w:pPr>
            <w:r w:rsidRPr="00D72C27">
              <w:rPr>
                <w:rFonts w:cstheme="minorHAnsi"/>
                <w:bCs/>
                <w:color w:val="C00000"/>
              </w:rPr>
              <w:t>Begin Bowel regimen</w:t>
            </w:r>
          </w:p>
          <w:p w14:paraId="1A7A22DB" w14:textId="5441D00D" w:rsidR="00D72C27" w:rsidRPr="00D72C27" w:rsidRDefault="00D72C27" w:rsidP="00D72C27">
            <w:pPr>
              <w:rPr>
                <w:rFonts w:cstheme="minorHAnsi"/>
                <w:b/>
                <w:bCs/>
                <w:color w:val="C00000"/>
              </w:rPr>
            </w:pPr>
            <w:r w:rsidRPr="00D72C27">
              <w:rPr>
                <w:rFonts w:cstheme="minorHAnsi"/>
                <w:b/>
                <w:bCs/>
                <w:color w:val="C00000"/>
              </w:rPr>
              <w:t xml:space="preserve">Severe Pain 7-10 </w:t>
            </w:r>
            <w:r w:rsidR="006B3261">
              <w:rPr>
                <w:rFonts w:cstheme="minorHAnsi"/>
                <w:b/>
                <w:bCs/>
                <w:color w:val="C00000"/>
              </w:rPr>
              <w:t>(Page 11)</w:t>
            </w:r>
          </w:p>
          <w:p w14:paraId="5A97DA3D" w14:textId="77777777" w:rsidR="00D72C27" w:rsidRPr="00D72C27" w:rsidRDefault="00D72C27" w:rsidP="00D72C27">
            <w:pPr>
              <w:rPr>
                <w:rFonts w:cstheme="minorHAnsi"/>
                <w:bCs/>
                <w:color w:val="C00000"/>
              </w:rPr>
            </w:pPr>
          </w:p>
          <w:p w14:paraId="0E9C3639" w14:textId="3390CFD6" w:rsidR="00D72C27" w:rsidRPr="00D72C27" w:rsidRDefault="00D72C27" w:rsidP="00D72C27">
            <w:pPr>
              <w:pStyle w:val="ListParagraph"/>
              <w:numPr>
                <w:ilvl w:val="0"/>
                <w:numId w:val="13"/>
              </w:numPr>
              <w:rPr>
                <w:rFonts w:cstheme="minorHAnsi"/>
                <w:bCs/>
                <w:color w:val="C00000"/>
              </w:rPr>
            </w:pPr>
            <w:r w:rsidRPr="00D72C27">
              <w:rPr>
                <w:rFonts w:cstheme="minorHAnsi"/>
                <w:bCs/>
                <w:color w:val="C00000"/>
              </w:rPr>
              <w:t xml:space="preserve">Rapidly titrate </w:t>
            </w:r>
            <w:r w:rsidR="004E1EE8">
              <w:rPr>
                <w:rFonts w:cstheme="minorHAnsi"/>
                <w:bCs/>
                <w:color w:val="C00000"/>
              </w:rPr>
              <w:t>short-acting opioid , (</w:t>
            </w:r>
            <w:r w:rsidRPr="00D72C27">
              <w:rPr>
                <w:rFonts w:cstheme="minorHAnsi"/>
                <w:bCs/>
                <w:color w:val="C00000"/>
              </w:rPr>
              <w:t>see PAIN-4) for initiating short acting opioids</w:t>
            </w:r>
          </w:p>
          <w:p w14:paraId="19D8D6F1" w14:textId="176A586D" w:rsidR="00D72C27" w:rsidRPr="00D72C27" w:rsidRDefault="00D72C27" w:rsidP="00D72C27">
            <w:pPr>
              <w:pStyle w:val="ListParagraph"/>
              <w:ind w:firstLine="0"/>
              <w:rPr>
                <w:rFonts w:cstheme="minorHAnsi"/>
                <w:bCs/>
                <w:color w:val="C00000"/>
              </w:rPr>
            </w:pPr>
            <w:r w:rsidRPr="00D72C27">
              <w:rPr>
                <w:rFonts w:cstheme="minorHAnsi"/>
                <w:bCs/>
                <w:color w:val="C00000"/>
              </w:rPr>
              <w:sym w:font="Wingdings" w:char="F0E0"/>
            </w:r>
            <w:r w:rsidRPr="00D72C27">
              <w:rPr>
                <w:rFonts w:cstheme="minorHAnsi"/>
                <w:bCs/>
                <w:color w:val="C00000"/>
              </w:rPr>
              <w:t>Begin Bowel regimen (See Pain-F)</w:t>
            </w:r>
          </w:p>
          <w:p w14:paraId="46782C6E" w14:textId="0806FCF8" w:rsidR="00D72C27" w:rsidRPr="00D72C27" w:rsidRDefault="00D72C27" w:rsidP="00D72C27">
            <w:pPr>
              <w:pStyle w:val="ListParagraph"/>
              <w:numPr>
                <w:ilvl w:val="0"/>
                <w:numId w:val="13"/>
              </w:numPr>
              <w:rPr>
                <w:rFonts w:cstheme="minorHAnsi"/>
                <w:bCs/>
                <w:color w:val="C00000"/>
              </w:rPr>
            </w:pPr>
            <w:r w:rsidRPr="00D72C27">
              <w:rPr>
                <w:rFonts w:cstheme="minorHAnsi"/>
                <w:bCs/>
                <w:color w:val="C00000"/>
              </w:rPr>
              <w:t xml:space="preserve">For acute, Severe Pain, or Pain Crisis, consider hospital or inpatient hospice admission to achieve patient-specific goal for comfort and function </w:t>
            </w:r>
          </w:p>
          <w:p w14:paraId="75653CF3" w14:textId="77777777" w:rsidR="00D72C27" w:rsidRDefault="00D72C27" w:rsidP="00D72C27">
            <w:pPr>
              <w:rPr>
                <w:rFonts w:cstheme="minorHAnsi"/>
                <w:bCs/>
                <w:color w:val="C00000"/>
              </w:rPr>
            </w:pPr>
            <w:r w:rsidRPr="00D72C27">
              <w:rPr>
                <w:rFonts w:cstheme="minorHAnsi"/>
                <w:bCs/>
                <w:i/>
                <w:color w:val="C00000"/>
              </w:rPr>
              <w:t>Note:</w:t>
            </w:r>
            <w:r w:rsidRPr="00D72C27">
              <w:rPr>
                <w:rFonts w:cstheme="minorHAnsi"/>
                <w:bCs/>
                <w:color w:val="C00000"/>
              </w:rPr>
              <w:t xml:space="preserve"> Opioid naïve includes patients who are not chronically receiving opioid analgesic on a daily basis and therefore have not developed significant tolerance. The FDA identifies tolerance as receiving at least 60 mg. or morphine daily at least 8 mg of morphine daily, at least 30 mg of oral oxycodone daily, or at least 8mg of oral hydropmorphone daily or an equianalgesic dose of another opioid for a week or longer. </w:t>
            </w:r>
          </w:p>
          <w:p w14:paraId="55B8DA78" w14:textId="47E9F4E8" w:rsidR="00D72C27" w:rsidRPr="00D72C27" w:rsidRDefault="00D72C27" w:rsidP="00D72C27">
            <w:pPr>
              <w:rPr>
                <w:rFonts w:cstheme="minorHAnsi"/>
                <w:bCs/>
                <w:color w:val="C00000"/>
              </w:rPr>
            </w:pP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55B8DA7B" w14:textId="6A129CBE" w:rsidR="00AB4ECE" w:rsidRDefault="00A75F13" w:rsidP="002E2177">
            <w:pPr>
              <w:ind w:left="0" w:firstLine="0"/>
            </w:pPr>
            <w:r>
              <w:t>Category 2A</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77D13A47" w14:textId="77777777" w:rsidR="00A75F13" w:rsidRDefault="00A75F13" w:rsidP="00A75F13">
            <w:pPr>
              <w:ind w:left="0" w:firstLine="0"/>
            </w:pPr>
            <w:r>
              <w:t>NCCN Categories of Evidence and Consensus</w:t>
            </w:r>
          </w:p>
          <w:p w14:paraId="30B5A969" w14:textId="77777777" w:rsidR="00A75F13" w:rsidRDefault="00A75F13" w:rsidP="00A75F13">
            <w:pPr>
              <w:ind w:left="0" w:firstLine="0"/>
            </w:pPr>
          </w:p>
          <w:p w14:paraId="4430DF1C" w14:textId="77777777" w:rsidR="00A75F13" w:rsidRDefault="00A75F13" w:rsidP="00A75F13">
            <w:pPr>
              <w:ind w:left="0" w:firstLine="0"/>
            </w:pPr>
            <w:r>
              <w:t>Category 1: Based upon high-level evidence, there is uniform NCCN consensus that the intervention is appropriate.</w:t>
            </w:r>
          </w:p>
          <w:p w14:paraId="21EC1755" w14:textId="77777777" w:rsidR="00A75F13" w:rsidRDefault="00A75F13" w:rsidP="00A75F13">
            <w:pPr>
              <w:ind w:left="0" w:firstLine="0"/>
            </w:pPr>
          </w:p>
          <w:p w14:paraId="7947C967" w14:textId="77777777" w:rsidR="00A75F13" w:rsidRDefault="00A75F13" w:rsidP="00A75F13">
            <w:pPr>
              <w:ind w:left="0" w:firstLine="0"/>
            </w:pPr>
            <w:r>
              <w:t>Category 2A: Based upon lower-level evidence, there is uniform NCCN consensus that the intervention is appropriate.</w:t>
            </w:r>
          </w:p>
          <w:p w14:paraId="52067718" w14:textId="77777777" w:rsidR="00A75F13" w:rsidRDefault="00A75F13" w:rsidP="00A75F13">
            <w:pPr>
              <w:ind w:left="0" w:firstLine="0"/>
            </w:pPr>
          </w:p>
          <w:p w14:paraId="5D13A52A" w14:textId="77777777" w:rsidR="00A75F13" w:rsidRDefault="00A75F13" w:rsidP="00A75F13">
            <w:pPr>
              <w:ind w:left="0" w:firstLine="0"/>
            </w:pPr>
            <w:r>
              <w:t>Category 2B: Based upon lower-level evidence, there is NCCN consensus that the intervention is appropriate.</w:t>
            </w:r>
          </w:p>
          <w:p w14:paraId="55B4271B" w14:textId="77777777" w:rsidR="00A75F13" w:rsidRDefault="00A75F13" w:rsidP="00A75F13">
            <w:pPr>
              <w:ind w:left="0" w:firstLine="0"/>
            </w:pPr>
          </w:p>
          <w:p w14:paraId="7B4D1165" w14:textId="77777777" w:rsidR="00A75F13" w:rsidRDefault="00A75F13" w:rsidP="00A75F13">
            <w:pPr>
              <w:ind w:left="0" w:firstLine="0"/>
            </w:pPr>
            <w:r>
              <w:t>Category 3: Based upon any level of evidence, there is major NCCN disagreement that the intervention is appropriate.</w:t>
            </w:r>
          </w:p>
          <w:p w14:paraId="55B8DA7E" w14:textId="77777777" w:rsidR="00AB4ECE" w:rsidRDefault="00AB4ECE" w:rsidP="002E2177">
            <w:pPr>
              <w:ind w:left="0" w:firstLine="0"/>
            </w:pPr>
          </w:p>
        </w:tc>
      </w:tr>
      <w:tr w:rsidR="009D1FEE" w14:paraId="55B8DA82" w14:textId="77777777" w:rsidTr="00F90F82">
        <w:tc>
          <w:tcPr>
            <w:tcW w:w="4068" w:type="dxa"/>
          </w:tcPr>
          <w:p w14:paraId="55B8DA80" w14:textId="77777777" w:rsidR="009D1FEE" w:rsidRDefault="009D1FEE" w:rsidP="009D1FEE">
            <w:pPr>
              <w:ind w:left="0" w:firstLine="0"/>
            </w:pPr>
            <w:r>
              <w:lastRenderedPageBreak/>
              <w:t xml:space="preserve">Grade assigned to the </w:t>
            </w:r>
            <w:r w:rsidRPr="004E7215">
              <w:rPr>
                <w:b/>
              </w:rPr>
              <w:t>recommendation</w:t>
            </w:r>
            <w:r>
              <w:t xml:space="preserve"> with definition of the grade</w:t>
            </w:r>
          </w:p>
        </w:tc>
        <w:tc>
          <w:tcPr>
            <w:tcW w:w="5130" w:type="dxa"/>
          </w:tcPr>
          <w:p w14:paraId="55B8DA81" w14:textId="1EEBF365" w:rsidR="009D1FEE" w:rsidRDefault="009D1FEE" w:rsidP="009D1FEE">
            <w:pPr>
              <w:ind w:left="0" w:firstLine="0"/>
            </w:pPr>
            <w:r>
              <w:t>Category 2A</w:t>
            </w:r>
          </w:p>
        </w:tc>
      </w:tr>
      <w:tr w:rsidR="009D1FEE" w14:paraId="55B8DA85" w14:textId="77777777" w:rsidTr="009D1FEE">
        <w:tc>
          <w:tcPr>
            <w:tcW w:w="3402" w:type="dxa"/>
          </w:tcPr>
          <w:p w14:paraId="55B8DA83" w14:textId="77777777" w:rsidR="009D1FEE" w:rsidRDefault="009D1FEE" w:rsidP="009D1FEE">
            <w:pPr>
              <w:ind w:left="0" w:firstLine="0"/>
            </w:pPr>
            <w:r>
              <w:t>Provide all other grades and definitions from the recommendation grading system</w:t>
            </w:r>
          </w:p>
        </w:tc>
        <w:tc>
          <w:tcPr>
            <w:tcW w:w="5948" w:type="dxa"/>
          </w:tcPr>
          <w:p w14:paraId="5CE524BC" w14:textId="77777777" w:rsidR="009D1FEE" w:rsidRDefault="009D1FEE" w:rsidP="009D1FEE">
            <w:pPr>
              <w:ind w:left="0" w:firstLine="0"/>
            </w:pPr>
            <w:r>
              <w:t>NCCN Categories of Evidence and Consensus</w:t>
            </w:r>
          </w:p>
          <w:p w14:paraId="5DBF1F3B" w14:textId="77777777" w:rsidR="009D1FEE" w:rsidRDefault="009D1FEE" w:rsidP="009D1FEE">
            <w:pPr>
              <w:ind w:left="0" w:firstLine="0"/>
            </w:pPr>
          </w:p>
          <w:p w14:paraId="081DF999" w14:textId="77777777" w:rsidR="009D1FEE" w:rsidRDefault="009D1FEE" w:rsidP="009D1FEE">
            <w:pPr>
              <w:ind w:left="0" w:firstLine="0"/>
            </w:pPr>
            <w:r>
              <w:t>Category 1: Based upon high-level evidence, there is uniform NCCN consensus that the intervention is appropriate.</w:t>
            </w:r>
          </w:p>
          <w:p w14:paraId="00FD09EC" w14:textId="77777777" w:rsidR="009D1FEE" w:rsidRDefault="009D1FEE" w:rsidP="009D1FEE">
            <w:pPr>
              <w:ind w:left="0" w:firstLine="0"/>
            </w:pPr>
          </w:p>
          <w:p w14:paraId="06726413" w14:textId="77777777" w:rsidR="009D1FEE" w:rsidRDefault="009D1FEE" w:rsidP="009D1FEE">
            <w:pPr>
              <w:ind w:left="0" w:firstLine="0"/>
            </w:pPr>
            <w:r>
              <w:t>Category 2A: Based upon lower-level evidence, there is uniform NCCN consensus that the intervention is appropriate.</w:t>
            </w:r>
          </w:p>
          <w:p w14:paraId="6D75EF5D" w14:textId="77777777" w:rsidR="009D1FEE" w:rsidRDefault="009D1FEE" w:rsidP="009D1FEE">
            <w:pPr>
              <w:ind w:left="0" w:firstLine="0"/>
            </w:pPr>
          </w:p>
          <w:p w14:paraId="606CAC8A" w14:textId="77777777" w:rsidR="009D1FEE" w:rsidRDefault="009D1FEE" w:rsidP="009D1FEE">
            <w:pPr>
              <w:ind w:left="0" w:firstLine="0"/>
            </w:pPr>
            <w:r>
              <w:t>Category 2B: Based upon lower-level evidence, there is NCCN consensus that the intervention is appropriate.</w:t>
            </w:r>
          </w:p>
          <w:p w14:paraId="44241E59" w14:textId="77777777" w:rsidR="009D1FEE" w:rsidRDefault="009D1FEE" w:rsidP="009D1FEE">
            <w:pPr>
              <w:ind w:left="0" w:firstLine="0"/>
            </w:pPr>
          </w:p>
          <w:p w14:paraId="1EA48B4D" w14:textId="77777777" w:rsidR="009D1FEE" w:rsidRDefault="009D1FEE" w:rsidP="009D1FEE">
            <w:pPr>
              <w:ind w:left="0" w:firstLine="0"/>
            </w:pPr>
            <w:r>
              <w:t>Category 3: Based upon any level of evidence, there is major NCCN disagreement that the intervention is appropriate.</w:t>
            </w:r>
          </w:p>
          <w:p w14:paraId="55B8DA84" w14:textId="6B4A5B7C" w:rsidR="00D72C27" w:rsidRDefault="00D72C27" w:rsidP="009D1FEE">
            <w:pPr>
              <w:ind w:left="0" w:firstLine="0"/>
            </w:pPr>
          </w:p>
        </w:tc>
      </w:tr>
      <w:tr w:rsidR="009D1FEE" w14:paraId="55B8DA8A" w14:textId="77777777" w:rsidTr="009D1FEE">
        <w:tc>
          <w:tcPr>
            <w:tcW w:w="3402" w:type="dxa"/>
          </w:tcPr>
          <w:p w14:paraId="55B8DA86" w14:textId="77777777" w:rsidR="009D1FEE" w:rsidRDefault="009D1FEE" w:rsidP="009D1FEE">
            <w:pPr>
              <w:ind w:left="0" w:firstLine="0"/>
            </w:pPr>
            <w:r>
              <w:t>Body of evidence:</w:t>
            </w:r>
          </w:p>
          <w:p w14:paraId="55B8DA87" w14:textId="77777777" w:rsidR="009D1FEE" w:rsidRDefault="009D1FEE" w:rsidP="009D1FEE">
            <w:pPr>
              <w:pStyle w:val="ListParagraph"/>
              <w:numPr>
                <w:ilvl w:val="0"/>
                <w:numId w:val="10"/>
              </w:numPr>
            </w:pPr>
            <w:r>
              <w:t>Quantity – how many studies?</w:t>
            </w:r>
          </w:p>
          <w:p w14:paraId="55B8DA88" w14:textId="77777777" w:rsidR="009D1FEE" w:rsidRDefault="009D1FEE" w:rsidP="009D1FEE">
            <w:pPr>
              <w:pStyle w:val="ListParagraph"/>
              <w:numPr>
                <w:ilvl w:val="0"/>
                <w:numId w:val="10"/>
              </w:numPr>
            </w:pPr>
            <w:r>
              <w:t>Quality – what type of studies?</w:t>
            </w:r>
          </w:p>
        </w:tc>
        <w:tc>
          <w:tcPr>
            <w:tcW w:w="5948" w:type="dxa"/>
          </w:tcPr>
          <w:p w14:paraId="57DF1B4A" w14:textId="1CBF709D" w:rsidR="009D1FEE" w:rsidRPr="009D1FEE" w:rsidRDefault="009D1FEE" w:rsidP="009D1FEE">
            <w:pPr>
              <w:ind w:left="0" w:firstLine="0"/>
              <w:rPr>
                <w:rFonts w:cstheme="minorHAnsi"/>
              </w:rPr>
            </w:pPr>
            <w:r w:rsidRPr="009D1FEE">
              <w:rPr>
                <w:rFonts w:cstheme="minorHAnsi"/>
              </w:rPr>
              <w:t xml:space="preserve">The description of the evidence review in the NCCN guideline did not address the overall quantity of studies in the body of evidence.  However, </w:t>
            </w:r>
            <w:r w:rsidR="00E40B65" w:rsidRPr="00E40B65">
              <w:rPr>
                <w:rFonts w:cstheme="minorHAnsi"/>
                <w:color w:val="C00000"/>
              </w:rPr>
              <w:t>255</w:t>
            </w:r>
            <w:r w:rsidRPr="009D1FEE">
              <w:rPr>
                <w:rFonts w:cstheme="minorHAnsi"/>
              </w:rPr>
              <w:t xml:space="preserve"> articles are cited.</w:t>
            </w:r>
          </w:p>
          <w:p w14:paraId="22A24B67" w14:textId="0FFE208E" w:rsidR="009D1FEE" w:rsidRPr="009D1FEE" w:rsidRDefault="009D1FEE" w:rsidP="009D1FEE">
            <w:pPr>
              <w:ind w:left="0" w:firstLine="0"/>
              <w:rPr>
                <w:rFonts w:cstheme="minorHAnsi"/>
              </w:rPr>
            </w:pPr>
            <w:r w:rsidRPr="009D1FEE">
              <w:rPr>
                <w:rFonts w:cstheme="minorHAnsi"/>
              </w:rPr>
              <w:t>The quality of the body of evidence supporting the NCCN guideline recommendations are summarized according to the NCCN categories of evidence and consensus as being based on "lower-level evidence</w:t>
            </w:r>
            <w:r w:rsidR="004E1EE8">
              <w:rPr>
                <w:rFonts w:cstheme="minorHAnsi"/>
              </w:rPr>
              <w:t>."</w:t>
            </w:r>
            <w:r w:rsidRPr="009D1FEE">
              <w:rPr>
                <w:rFonts w:cstheme="minorHAnsi"/>
              </w:rPr>
              <w:t xml:space="preserve">  Lower-level evidence is later described as evidence that may include non-randomized trials; case series; or when other data are lacking, the clinical experience of expert physicians.</w:t>
            </w:r>
          </w:p>
          <w:p w14:paraId="55B8DA89" w14:textId="26614E08" w:rsidR="009D1FEE" w:rsidRDefault="009D1FEE" w:rsidP="009D1FEE">
            <w:pPr>
              <w:ind w:left="0" w:firstLine="0"/>
            </w:pPr>
          </w:p>
        </w:tc>
      </w:tr>
      <w:tr w:rsidR="009D1FEE" w14:paraId="55B8DA8D" w14:textId="77777777" w:rsidTr="009D1FEE">
        <w:tc>
          <w:tcPr>
            <w:tcW w:w="3402" w:type="dxa"/>
          </w:tcPr>
          <w:p w14:paraId="55B8DA8B" w14:textId="77777777" w:rsidR="009D1FEE" w:rsidRDefault="009D1FEE" w:rsidP="009D1FEE">
            <w:pPr>
              <w:ind w:left="0" w:firstLine="0"/>
            </w:pPr>
            <w:r>
              <w:t xml:space="preserve">Estimates of benefit and consistency across studies </w:t>
            </w:r>
          </w:p>
        </w:tc>
        <w:tc>
          <w:tcPr>
            <w:tcW w:w="5948" w:type="dxa"/>
          </w:tcPr>
          <w:p w14:paraId="08728E8B" w14:textId="77777777" w:rsidR="009D1FEE" w:rsidRPr="009D1FEE" w:rsidRDefault="009D1FEE" w:rsidP="009D1FEE">
            <w:pPr>
              <w:ind w:left="1" w:firstLine="0"/>
              <w:rPr>
                <w:rFonts w:cstheme="minorHAnsi"/>
                <w:i/>
              </w:rPr>
            </w:pPr>
            <w:r w:rsidRPr="009D1FEE">
              <w:rPr>
                <w:rFonts w:cstheme="minorHAnsi"/>
              </w:rPr>
              <w:t>Although there is no explicit statement regarding the overall consistency of results across studies in the NCCN guidelines supporting the measure, the recommendation received uniform NCCN consensus that the intervention is appropriate.</w:t>
            </w:r>
          </w:p>
          <w:p w14:paraId="55B8DA8C" w14:textId="77777777" w:rsidR="009D1FEE" w:rsidRDefault="009D1FEE" w:rsidP="009D1FEE">
            <w:pPr>
              <w:ind w:left="0" w:firstLine="0"/>
            </w:pPr>
          </w:p>
        </w:tc>
      </w:tr>
      <w:tr w:rsidR="009D1FEE" w14:paraId="55B8DA90" w14:textId="77777777" w:rsidTr="009D1FEE">
        <w:tc>
          <w:tcPr>
            <w:tcW w:w="3402" w:type="dxa"/>
          </w:tcPr>
          <w:p w14:paraId="55B8DA8E" w14:textId="77777777" w:rsidR="009D1FEE" w:rsidRDefault="009D1FEE" w:rsidP="009D1FEE">
            <w:pPr>
              <w:ind w:left="0" w:firstLine="0"/>
            </w:pPr>
            <w:r>
              <w:t>What harms were identified?</w:t>
            </w:r>
          </w:p>
        </w:tc>
        <w:tc>
          <w:tcPr>
            <w:tcW w:w="5948" w:type="dxa"/>
          </w:tcPr>
          <w:p w14:paraId="5CB643BD" w14:textId="77777777" w:rsidR="00D72C27" w:rsidRDefault="00D72C27" w:rsidP="009D1FEE">
            <w:pPr>
              <w:ind w:left="0" w:firstLine="0"/>
            </w:pPr>
            <w:r>
              <w:t xml:space="preserve">Adverse effects to opioids should be anticipated and should be managed aggressively. Pages 35-37 delineate how the adverse consequences can be mitigated including constipation, nausea, delirium, pruritus, respiratory depression, etc. </w:t>
            </w:r>
          </w:p>
          <w:p w14:paraId="55B8DA8F" w14:textId="6B13411F" w:rsidR="00D72C27" w:rsidRDefault="00D72C27" w:rsidP="009D1FEE">
            <w:pPr>
              <w:ind w:left="0" w:firstLine="0"/>
            </w:pPr>
          </w:p>
        </w:tc>
      </w:tr>
      <w:tr w:rsidR="009D1FEE" w14:paraId="55B8DA93" w14:textId="77777777" w:rsidTr="009D1FEE">
        <w:tc>
          <w:tcPr>
            <w:tcW w:w="3402" w:type="dxa"/>
          </w:tcPr>
          <w:p w14:paraId="55B8DA91" w14:textId="77777777" w:rsidR="009D1FEE" w:rsidRDefault="009D1FEE" w:rsidP="009D1FEE">
            <w:pPr>
              <w:ind w:left="0" w:firstLine="0"/>
            </w:pPr>
            <w:r>
              <w:lastRenderedPageBreak/>
              <w:t>Identify any new studies conducted since the SR. Do the new studies change the conclusions from the SR?</w:t>
            </w:r>
          </w:p>
        </w:tc>
        <w:tc>
          <w:tcPr>
            <w:tcW w:w="5948" w:type="dxa"/>
          </w:tcPr>
          <w:p w14:paraId="55B8DA92" w14:textId="44258F34" w:rsidR="009D1FEE" w:rsidRDefault="009D1FEE" w:rsidP="009D1FEE">
            <w:pPr>
              <w:ind w:left="0" w:firstLine="0"/>
            </w:pPr>
            <w:r>
              <w:t xml:space="preserve">Not Applicable </w:t>
            </w:r>
          </w:p>
        </w:tc>
      </w:tr>
    </w:tbl>
    <w:p w14:paraId="55B8DA94" w14:textId="38065978" w:rsidR="007C1887" w:rsidRDefault="007C1887" w:rsidP="002E2177">
      <w:pPr>
        <w:ind w:left="0" w:firstLine="0"/>
      </w:pPr>
    </w:p>
    <w:p w14:paraId="66A3117B" w14:textId="4B376D85" w:rsidR="00D72C27" w:rsidRDefault="00D72C27" w:rsidP="002E2177">
      <w:pPr>
        <w:ind w:left="0" w:firstLine="0"/>
      </w:pPr>
    </w:p>
    <w:p w14:paraId="28717636" w14:textId="77777777" w:rsidR="00D72C27" w:rsidRDefault="00D72C27" w:rsidP="002E2177">
      <w:pPr>
        <w:ind w:left="0" w:firstLine="0"/>
      </w:pPr>
    </w:p>
    <w:p w14:paraId="44C99E20" w14:textId="4FD5BBD3" w:rsidR="009D1FEE" w:rsidRDefault="009D1FEE" w:rsidP="002E2177">
      <w:pPr>
        <w:ind w:left="0" w:firstLine="0"/>
      </w:pPr>
    </w:p>
    <w:tbl>
      <w:tblPr>
        <w:tblStyle w:val="TableGrid"/>
        <w:tblW w:w="0" w:type="auto"/>
        <w:tblLayout w:type="fixed"/>
        <w:tblLook w:val="04A0" w:firstRow="1" w:lastRow="0" w:firstColumn="1" w:lastColumn="0" w:noHBand="0" w:noVBand="1"/>
      </w:tblPr>
      <w:tblGrid>
        <w:gridCol w:w="3415"/>
        <w:gridCol w:w="5935"/>
      </w:tblGrid>
      <w:tr w:rsidR="009D1FEE" w14:paraId="4FF5A661" w14:textId="77777777" w:rsidTr="00711265">
        <w:tc>
          <w:tcPr>
            <w:tcW w:w="3415" w:type="dxa"/>
          </w:tcPr>
          <w:p w14:paraId="5CF5744E" w14:textId="77777777" w:rsidR="009D1FEE" w:rsidRPr="00AB4ECE" w:rsidRDefault="009D1FEE" w:rsidP="00685C74">
            <w:pPr>
              <w:ind w:left="0" w:firstLine="0"/>
              <w:rPr>
                <w:b/>
              </w:rPr>
            </w:pPr>
            <w:r w:rsidRPr="00AB4ECE">
              <w:rPr>
                <w:b/>
              </w:rPr>
              <w:t>Source of Systematic Review:</w:t>
            </w:r>
          </w:p>
          <w:p w14:paraId="4F7BB3DE" w14:textId="77777777" w:rsidR="009D1FEE" w:rsidRPr="00AB4ECE" w:rsidRDefault="009D1FEE" w:rsidP="00685C74">
            <w:pPr>
              <w:pStyle w:val="ListParagraph"/>
              <w:numPr>
                <w:ilvl w:val="0"/>
                <w:numId w:val="9"/>
              </w:numPr>
              <w:rPr>
                <w:b/>
              </w:rPr>
            </w:pPr>
            <w:r w:rsidRPr="00AB4ECE">
              <w:rPr>
                <w:b/>
              </w:rPr>
              <w:t>Title</w:t>
            </w:r>
          </w:p>
          <w:p w14:paraId="57B03C31" w14:textId="77777777" w:rsidR="009D1FEE" w:rsidRPr="00AB4ECE" w:rsidRDefault="009D1FEE" w:rsidP="00685C74">
            <w:pPr>
              <w:pStyle w:val="ListParagraph"/>
              <w:numPr>
                <w:ilvl w:val="0"/>
                <w:numId w:val="9"/>
              </w:numPr>
              <w:rPr>
                <w:b/>
              </w:rPr>
            </w:pPr>
            <w:r w:rsidRPr="00AB4ECE">
              <w:rPr>
                <w:b/>
              </w:rPr>
              <w:t>Author</w:t>
            </w:r>
          </w:p>
          <w:p w14:paraId="1F01F6E6" w14:textId="77777777" w:rsidR="009D1FEE" w:rsidRPr="00AB4ECE" w:rsidRDefault="009D1FEE" w:rsidP="00685C74">
            <w:pPr>
              <w:pStyle w:val="ListParagraph"/>
              <w:numPr>
                <w:ilvl w:val="0"/>
                <w:numId w:val="9"/>
              </w:numPr>
              <w:rPr>
                <w:b/>
              </w:rPr>
            </w:pPr>
            <w:r w:rsidRPr="00AB4ECE">
              <w:rPr>
                <w:b/>
              </w:rPr>
              <w:t>Date</w:t>
            </w:r>
          </w:p>
          <w:p w14:paraId="296999E4" w14:textId="77777777" w:rsidR="009D1FEE" w:rsidRPr="00AB4ECE" w:rsidRDefault="009D1FEE" w:rsidP="00685C74">
            <w:pPr>
              <w:pStyle w:val="ListParagraph"/>
              <w:numPr>
                <w:ilvl w:val="0"/>
                <w:numId w:val="9"/>
              </w:numPr>
              <w:rPr>
                <w:b/>
              </w:rPr>
            </w:pPr>
            <w:r w:rsidRPr="00AB4ECE">
              <w:rPr>
                <w:b/>
              </w:rPr>
              <w:t>Citation, including page number</w:t>
            </w:r>
          </w:p>
          <w:p w14:paraId="53418C7B" w14:textId="77777777" w:rsidR="009D1FEE" w:rsidRPr="00AB4ECE" w:rsidRDefault="009D1FEE" w:rsidP="00685C74">
            <w:pPr>
              <w:pStyle w:val="ListParagraph"/>
              <w:numPr>
                <w:ilvl w:val="0"/>
                <w:numId w:val="9"/>
              </w:numPr>
              <w:rPr>
                <w:b/>
              </w:rPr>
            </w:pPr>
            <w:r w:rsidRPr="00AB4ECE">
              <w:rPr>
                <w:b/>
              </w:rPr>
              <w:t>URL</w:t>
            </w:r>
          </w:p>
        </w:tc>
        <w:tc>
          <w:tcPr>
            <w:tcW w:w="5935" w:type="dxa"/>
          </w:tcPr>
          <w:p w14:paraId="6495E8CF" w14:textId="77777777" w:rsidR="00711265" w:rsidRPr="00E10E29" w:rsidRDefault="00711265" w:rsidP="00685C74">
            <w:pPr>
              <w:ind w:left="0" w:firstLine="0"/>
              <w:rPr>
                <w:rFonts w:cstheme="minorHAnsi"/>
                <w:bCs/>
              </w:rPr>
            </w:pPr>
            <w:r w:rsidRPr="00E10E29">
              <w:rPr>
                <w:rFonts w:cstheme="minorHAnsi"/>
                <w:bCs/>
              </w:rPr>
              <w:t>Gordon DB; Dahl JL, Miaskowski C, et al.  American Pain Society Recommendations for Improving the Quality of Acute and Cancer Pain Management: American Pain Society Quality of Care Task Force.  Arch Intern Med. 2005;165:1574-1580.</w:t>
            </w:r>
          </w:p>
          <w:p w14:paraId="46F38453" w14:textId="77777777" w:rsidR="00711265" w:rsidRPr="00E10E29" w:rsidRDefault="00711265" w:rsidP="00685C74">
            <w:pPr>
              <w:ind w:left="0" w:firstLine="0"/>
              <w:rPr>
                <w:rFonts w:cstheme="minorHAnsi"/>
                <w:bCs/>
                <w:color w:val="0000FF"/>
              </w:rPr>
            </w:pPr>
          </w:p>
          <w:p w14:paraId="52B701E4" w14:textId="0F435B10" w:rsidR="00711265" w:rsidRPr="00E10E29" w:rsidRDefault="009933B7" w:rsidP="00685C74">
            <w:pPr>
              <w:ind w:left="0" w:firstLine="0"/>
              <w:rPr>
                <w:rFonts w:cstheme="minorHAnsi"/>
                <w:b/>
              </w:rPr>
            </w:pPr>
            <w:hyperlink r:id="rId17" w:history="1">
              <w:r w:rsidR="00711265" w:rsidRPr="00E10E29">
                <w:rPr>
                  <w:rStyle w:val="Hyperlink"/>
                  <w:rFonts w:cstheme="minorHAnsi"/>
                  <w:b/>
                </w:rPr>
                <w:t>https://jamanetwork.com/journals/jamainternalmedicine/fullarticle/486669</w:t>
              </w:r>
            </w:hyperlink>
          </w:p>
          <w:p w14:paraId="14B71D8F" w14:textId="11F3D820" w:rsidR="009D1FEE" w:rsidRPr="00AB4ECE" w:rsidRDefault="009D1FEE" w:rsidP="00685C74">
            <w:pPr>
              <w:ind w:left="0" w:firstLine="0"/>
              <w:rPr>
                <w:b/>
              </w:rPr>
            </w:pPr>
          </w:p>
        </w:tc>
      </w:tr>
      <w:tr w:rsidR="009D1FEE" w14:paraId="34DCCCC8" w14:textId="77777777" w:rsidTr="00711265">
        <w:tc>
          <w:tcPr>
            <w:tcW w:w="3415" w:type="dxa"/>
          </w:tcPr>
          <w:p w14:paraId="1DFCB041" w14:textId="77777777" w:rsidR="009D1FEE" w:rsidRDefault="009D1FEE" w:rsidP="00685C74">
            <w:pPr>
              <w:ind w:left="0" w:firstLine="0"/>
            </w:pPr>
            <w:r>
              <w:t>Quote the guideline or recommendation verbatim about the process, structure or intermediate outcome being measured. If not a guideline, summarize the conclusions from the SR.</w:t>
            </w:r>
          </w:p>
        </w:tc>
        <w:tc>
          <w:tcPr>
            <w:tcW w:w="5935" w:type="dxa"/>
          </w:tcPr>
          <w:p w14:paraId="0E8EF5B3" w14:textId="033BA399" w:rsidR="00473E74" w:rsidRPr="00E10E29" w:rsidRDefault="00473E74" w:rsidP="00E10E29">
            <w:pPr>
              <w:ind w:left="0" w:hanging="14"/>
              <w:rPr>
                <w:rFonts w:cstheme="minorHAnsi"/>
                <w:bCs/>
              </w:rPr>
            </w:pPr>
            <w:r w:rsidRPr="00E10E29">
              <w:rPr>
                <w:rFonts w:cstheme="minorHAnsi"/>
                <w:bCs/>
              </w:rPr>
              <w:t>[C]linicians must respond to pain reports in a manner appropriate to the type of pain (eg, acute vs chronic) and setting (eg, inpatient vs outpatient)… Appropriate responses may not always include more opioids but rather more detailed assessments, use of nonopioid analgesics or techniques, or nonpharmacologic interventions (eg, education, relaxatio</w:t>
            </w:r>
            <w:r w:rsidR="00E10E29" w:rsidRPr="00E10E29">
              <w:rPr>
                <w:rFonts w:cstheme="minorHAnsi"/>
                <w:bCs/>
              </w:rPr>
              <w:t>n, and use of heat or cold).</w:t>
            </w:r>
            <w:r w:rsidR="006B3261">
              <w:rPr>
                <w:rFonts w:cstheme="minorHAnsi"/>
                <w:bCs/>
              </w:rPr>
              <w:t xml:space="preserve"> (Page 1576)</w:t>
            </w:r>
          </w:p>
          <w:p w14:paraId="02027F5D" w14:textId="77777777" w:rsidR="009D1FEE" w:rsidRDefault="009D1FEE" w:rsidP="00685C74">
            <w:pPr>
              <w:ind w:left="0" w:firstLine="0"/>
            </w:pPr>
          </w:p>
        </w:tc>
      </w:tr>
      <w:tr w:rsidR="009D1FEE" w14:paraId="08FC2CDA" w14:textId="77777777" w:rsidTr="00711265">
        <w:tc>
          <w:tcPr>
            <w:tcW w:w="3415" w:type="dxa"/>
          </w:tcPr>
          <w:p w14:paraId="15A8DEC4" w14:textId="77777777" w:rsidR="009D1FEE" w:rsidRDefault="009D1FEE" w:rsidP="00685C74">
            <w:pPr>
              <w:ind w:left="0" w:firstLine="0"/>
            </w:pPr>
            <w:r>
              <w:t xml:space="preserve">Grade assigned to the </w:t>
            </w:r>
            <w:r w:rsidRPr="004E7215">
              <w:rPr>
                <w:b/>
              </w:rPr>
              <w:t>evidence</w:t>
            </w:r>
            <w:r>
              <w:t xml:space="preserve"> associated with the recommendation with the definition of the grade</w:t>
            </w:r>
          </w:p>
        </w:tc>
        <w:tc>
          <w:tcPr>
            <w:tcW w:w="5935" w:type="dxa"/>
          </w:tcPr>
          <w:p w14:paraId="0A76C1F9" w14:textId="796F1478" w:rsidR="009D1FEE" w:rsidRDefault="00E10E29" w:rsidP="00685C74">
            <w:pPr>
              <w:ind w:left="0" w:firstLine="0"/>
            </w:pPr>
            <w:r>
              <w:t xml:space="preserve">Not Applicable </w:t>
            </w:r>
          </w:p>
        </w:tc>
      </w:tr>
      <w:tr w:rsidR="009D1FEE" w14:paraId="62376882" w14:textId="77777777" w:rsidTr="00711265">
        <w:tc>
          <w:tcPr>
            <w:tcW w:w="3415" w:type="dxa"/>
          </w:tcPr>
          <w:p w14:paraId="4D514DEF" w14:textId="77777777" w:rsidR="009D1FEE" w:rsidRDefault="009D1FEE" w:rsidP="00685C74">
            <w:pPr>
              <w:ind w:left="0" w:firstLine="0"/>
            </w:pPr>
            <w:r>
              <w:t>Provide all other grades and definitions from the evidence grading system</w:t>
            </w:r>
          </w:p>
        </w:tc>
        <w:tc>
          <w:tcPr>
            <w:tcW w:w="5935" w:type="dxa"/>
          </w:tcPr>
          <w:p w14:paraId="4327A024" w14:textId="6B554814" w:rsidR="009D1FEE" w:rsidRDefault="00E10E29" w:rsidP="00685C74">
            <w:pPr>
              <w:ind w:left="0" w:firstLine="0"/>
            </w:pPr>
            <w:r>
              <w:t>Not Applicable</w:t>
            </w:r>
          </w:p>
        </w:tc>
      </w:tr>
      <w:tr w:rsidR="009D1FEE" w14:paraId="6942C825" w14:textId="77777777" w:rsidTr="00711265">
        <w:tc>
          <w:tcPr>
            <w:tcW w:w="3415" w:type="dxa"/>
          </w:tcPr>
          <w:p w14:paraId="02B11E7E" w14:textId="77777777" w:rsidR="009D1FEE" w:rsidRDefault="009D1FEE" w:rsidP="00685C74">
            <w:pPr>
              <w:ind w:left="0" w:firstLine="0"/>
            </w:pPr>
            <w:r>
              <w:t xml:space="preserve">Grade assigned to the </w:t>
            </w:r>
            <w:r w:rsidRPr="004E7215">
              <w:rPr>
                <w:b/>
              </w:rPr>
              <w:t>recommendation</w:t>
            </w:r>
            <w:r>
              <w:t xml:space="preserve"> with definition of the grade</w:t>
            </w:r>
          </w:p>
        </w:tc>
        <w:tc>
          <w:tcPr>
            <w:tcW w:w="5935" w:type="dxa"/>
          </w:tcPr>
          <w:p w14:paraId="5FEB8464" w14:textId="310DC7F5" w:rsidR="009D1FEE" w:rsidRDefault="00E10E29" w:rsidP="00685C74">
            <w:pPr>
              <w:ind w:left="0" w:firstLine="0"/>
            </w:pPr>
            <w:r>
              <w:t>Not Applicable</w:t>
            </w:r>
          </w:p>
        </w:tc>
      </w:tr>
      <w:tr w:rsidR="009D1FEE" w14:paraId="1D424D67" w14:textId="77777777" w:rsidTr="00711265">
        <w:tc>
          <w:tcPr>
            <w:tcW w:w="3415" w:type="dxa"/>
          </w:tcPr>
          <w:p w14:paraId="42051FCA" w14:textId="77777777" w:rsidR="009D1FEE" w:rsidRDefault="009D1FEE" w:rsidP="00685C74">
            <w:pPr>
              <w:ind w:left="0" w:firstLine="0"/>
            </w:pPr>
            <w:r>
              <w:t>Provide all other grades and definitions from the recommendation grading system</w:t>
            </w:r>
          </w:p>
        </w:tc>
        <w:tc>
          <w:tcPr>
            <w:tcW w:w="5935" w:type="dxa"/>
          </w:tcPr>
          <w:p w14:paraId="59A154E2" w14:textId="2EC72824" w:rsidR="009D1FEE" w:rsidRDefault="00E10E29" w:rsidP="00685C74">
            <w:pPr>
              <w:ind w:left="0" w:firstLine="0"/>
            </w:pPr>
            <w:r>
              <w:t xml:space="preserve">Not Applicable </w:t>
            </w:r>
          </w:p>
        </w:tc>
      </w:tr>
      <w:tr w:rsidR="009D1FEE" w14:paraId="6B935FC8" w14:textId="77777777" w:rsidTr="00711265">
        <w:tc>
          <w:tcPr>
            <w:tcW w:w="3415" w:type="dxa"/>
          </w:tcPr>
          <w:p w14:paraId="13A02018" w14:textId="77777777" w:rsidR="009D1FEE" w:rsidRDefault="009D1FEE" w:rsidP="00685C74">
            <w:pPr>
              <w:ind w:left="0" w:firstLine="0"/>
            </w:pPr>
            <w:r>
              <w:t>Body of evidence:</w:t>
            </w:r>
          </w:p>
          <w:p w14:paraId="00FBEAA0" w14:textId="77777777" w:rsidR="009D1FEE" w:rsidRDefault="009D1FEE" w:rsidP="00685C74">
            <w:pPr>
              <w:pStyle w:val="ListParagraph"/>
              <w:numPr>
                <w:ilvl w:val="0"/>
                <w:numId w:val="10"/>
              </w:numPr>
            </w:pPr>
            <w:r>
              <w:t>Quantity – how many studies?</w:t>
            </w:r>
          </w:p>
          <w:p w14:paraId="5B64AE8D" w14:textId="77777777" w:rsidR="009D1FEE" w:rsidRDefault="009D1FEE" w:rsidP="00685C74">
            <w:pPr>
              <w:pStyle w:val="ListParagraph"/>
              <w:numPr>
                <w:ilvl w:val="0"/>
                <w:numId w:val="10"/>
              </w:numPr>
            </w:pPr>
            <w:r>
              <w:t>Quality – what type of studies?</w:t>
            </w:r>
          </w:p>
        </w:tc>
        <w:tc>
          <w:tcPr>
            <w:tcW w:w="5935" w:type="dxa"/>
          </w:tcPr>
          <w:p w14:paraId="027151BC" w14:textId="2F5931E0" w:rsidR="00E10E29" w:rsidRDefault="00711265" w:rsidP="00E10E29">
            <w:pPr>
              <w:ind w:left="0" w:firstLine="0"/>
              <w:rPr>
                <w:rFonts w:cstheme="minorHAnsi"/>
              </w:rPr>
            </w:pPr>
            <w:r w:rsidRPr="00E10E29">
              <w:rPr>
                <w:rFonts w:cstheme="minorHAnsi"/>
              </w:rPr>
              <w:t>Similarly, the description of the evidence review in the APS guideline did not address the overall quantity of studies in the body of evidence.  However, 82 articles are cited</w:t>
            </w:r>
            <w:r w:rsidR="00E10E29">
              <w:rPr>
                <w:rFonts w:cstheme="minorHAnsi"/>
              </w:rPr>
              <w:t>.</w:t>
            </w:r>
          </w:p>
          <w:p w14:paraId="269A40AB" w14:textId="77777777" w:rsidR="00E10E29" w:rsidRDefault="00E10E29" w:rsidP="00E10E29">
            <w:pPr>
              <w:ind w:left="0" w:firstLine="0"/>
              <w:rPr>
                <w:rFonts w:cstheme="minorHAnsi"/>
              </w:rPr>
            </w:pPr>
          </w:p>
          <w:p w14:paraId="007A0E8F" w14:textId="7D83066B" w:rsidR="00711265" w:rsidRPr="00E10E29" w:rsidRDefault="00711265" w:rsidP="00E10E29">
            <w:pPr>
              <w:ind w:left="0" w:firstLine="0"/>
              <w:rPr>
                <w:rFonts w:cstheme="minorHAnsi"/>
              </w:rPr>
            </w:pPr>
            <w:r w:rsidRPr="00E10E29">
              <w:rPr>
                <w:rFonts w:cstheme="minorHAnsi"/>
              </w:rPr>
              <w:t>The quality of the body of evidence supporting the APS guideline recommendation is not provided.</w:t>
            </w:r>
          </w:p>
          <w:p w14:paraId="40893A6E" w14:textId="290E3867" w:rsidR="009D1FEE" w:rsidRDefault="009D1FEE" w:rsidP="00685C74">
            <w:pPr>
              <w:ind w:left="0" w:firstLine="0"/>
            </w:pPr>
          </w:p>
        </w:tc>
      </w:tr>
      <w:tr w:rsidR="009D1FEE" w14:paraId="623AC4C7" w14:textId="77777777" w:rsidTr="00711265">
        <w:tc>
          <w:tcPr>
            <w:tcW w:w="3415" w:type="dxa"/>
          </w:tcPr>
          <w:p w14:paraId="0FCE62FC" w14:textId="77777777" w:rsidR="009D1FEE" w:rsidRDefault="009D1FEE" w:rsidP="00685C74">
            <w:pPr>
              <w:ind w:left="0" w:firstLine="0"/>
            </w:pPr>
            <w:r>
              <w:lastRenderedPageBreak/>
              <w:t xml:space="preserve">Estimates of benefit and consistency across studies </w:t>
            </w:r>
          </w:p>
        </w:tc>
        <w:tc>
          <w:tcPr>
            <w:tcW w:w="5935" w:type="dxa"/>
          </w:tcPr>
          <w:p w14:paraId="7FEFE350" w14:textId="77777777" w:rsidR="00711265" w:rsidRPr="00E10E29" w:rsidRDefault="00711265" w:rsidP="00E10E29">
            <w:pPr>
              <w:ind w:left="0" w:hanging="14"/>
              <w:rPr>
                <w:rFonts w:cstheme="minorHAnsi"/>
              </w:rPr>
            </w:pPr>
            <w:r w:rsidRPr="00E10E29">
              <w:rPr>
                <w:rFonts w:cstheme="minorHAnsi"/>
              </w:rPr>
              <w:t>The consistency of results across the body of evidence supporting the APS guideline recommendation is not provided.</w:t>
            </w:r>
          </w:p>
          <w:p w14:paraId="7BB8239A" w14:textId="77777777" w:rsidR="009D1FEE" w:rsidRPr="00E10E29" w:rsidRDefault="009D1FEE" w:rsidP="00685C74">
            <w:pPr>
              <w:ind w:left="0" w:firstLine="0"/>
              <w:rPr>
                <w:rFonts w:cstheme="minorHAnsi"/>
              </w:rPr>
            </w:pPr>
          </w:p>
        </w:tc>
      </w:tr>
      <w:tr w:rsidR="009D1FEE" w14:paraId="2C9115E4" w14:textId="77777777" w:rsidTr="00711265">
        <w:tc>
          <w:tcPr>
            <w:tcW w:w="3415" w:type="dxa"/>
          </w:tcPr>
          <w:p w14:paraId="039BEDA0" w14:textId="77777777" w:rsidR="009D1FEE" w:rsidRDefault="009D1FEE" w:rsidP="00685C74">
            <w:pPr>
              <w:ind w:left="0" w:firstLine="0"/>
            </w:pPr>
            <w:r>
              <w:t>What harms were identified?</w:t>
            </w:r>
          </w:p>
        </w:tc>
        <w:tc>
          <w:tcPr>
            <w:tcW w:w="5935" w:type="dxa"/>
          </w:tcPr>
          <w:p w14:paraId="0FF7B2BF" w14:textId="2CDE6CF5" w:rsidR="009D1FEE" w:rsidRDefault="00711265" w:rsidP="00685C74">
            <w:pPr>
              <w:ind w:left="0" w:firstLine="0"/>
            </w:pPr>
            <w:r>
              <w:t xml:space="preserve">None were identified </w:t>
            </w:r>
          </w:p>
        </w:tc>
      </w:tr>
      <w:tr w:rsidR="009D1FEE" w14:paraId="0E4677A5" w14:textId="77777777" w:rsidTr="00711265">
        <w:tc>
          <w:tcPr>
            <w:tcW w:w="3415" w:type="dxa"/>
          </w:tcPr>
          <w:p w14:paraId="550190C3" w14:textId="77777777" w:rsidR="009D1FEE" w:rsidRDefault="009D1FEE" w:rsidP="00685C74">
            <w:pPr>
              <w:ind w:left="0" w:firstLine="0"/>
            </w:pPr>
            <w:r>
              <w:t>Identify any new studies conducted since the SR. Do the new studies change the conclusions from the SR?</w:t>
            </w:r>
          </w:p>
        </w:tc>
        <w:tc>
          <w:tcPr>
            <w:tcW w:w="5935" w:type="dxa"/>
          </w:tcPr>
          <w:p w14:paraId="381B66E0" w14:textId="5B82E91F" w:rsidR="009D1FEE" w:rsidRDefault="00711265" w:rsidP="00685C74">
            <w:pPr>
              <w:ind w:left="0" w:firstLine="0"/>
            </w:pPr>
            <w:r>
              <w:t xml:space="preserve">Not Applicable </w:t>
            </w:r>
          </w:p>
        </w:tc>
      </w:tr>
    </w:tbl>
    <w:p w14:paraId="55935D3A" w14:textId="46409BCF" w:rsidR="009D1FEE" w:rsidRDefault="009D1FEE" w:rsidP="002E2177">
      <w:pPr>
        <w:ind w:left="0" w:firstLine="0"/>
      </w:pPr>
    </w:p>
    <w:p w14:paraId="37A63036" w14:textId="0A4707D4" w:rsidR="00D72C27" w:rsidRDefault="00D72C27" w:rsidP="002E2177">
      <w:pPr>
        <w:ind w:left="0" w:firstLine="0"/>
      </w:pPr>
    </w:p>
    <w:p w14:paraId="77B7E1C6" w14:textId="77777777" w:rsidR="00D72C27" w:rsidRDefault="00D72C27" w:rsidP="002E2177">
      <w:pPr>
        <w:ind w:left="0" w:firstLine="0"/>
      </w:pPr>
    </w:p>
    <w:tbl>
      <w:tblPr>
        <w:tblStyle w:val="TableGrid"/>
        <w:tblW w:w="0" w:type="auto"/>
        <w:tblLook w:val="04A0" w:firstRow="1" w:lastRow="0" w:firstColumn="1" w:lastColumn="0" w:noHBand="0" w:noVBand="1"/>
      </w:tblPr>
      <w:tblGrid>
        <w:gridCol w:w="3415"/>
        <w:gridCol w:w="5783"/>
      </w:tblGrid>
      <w:tr w:rsidR="009D1FEE" w14:paraId="1EFDCEDC" w14:textId="77777777" w:rsidTr="006B3261">
        <w:tc>
          <w:tcPr>
            <w:tcW w:w="3415" w:type="dxa"/>
          </w:tcPr>
          <w:p w14:paraId="0E08398E" w14:textId="77777777" w:rsidR="009D1FEE" w:rsidRPr="00AB4ECE" w:rsidRDefault="009D1FEE" w:rsidP="00685C74">
            <w:pPr>
              <w:ind w:left="0" w:firstLine="0"/>
              <w:rPr>
                <w:b/>
              </w:rPr>
            </w:pPr>
            <w:r w:rsidRPr="00AB4ECE">
              <w:rPr>
                <w:b/>
              </w:rPr>
              <w:t>Source of Systematic Review:</w:t>
            </w:r>
          </w:p>
          <w:p w14:paraId="6C94BE85" w14:textId="77777777" w:rsidR="009D1FEE" w:rsidRPr="00AB4ECE" w:rsidRDefault="009D1FEE" w:rsidP="00685C74">
            <w:pPr>
              <w:pStyle w:val="ListParagraph"/>
              <w:numPr>
                <w:ilvl w:val="0"/>
                <w:numId w:val="9"/>
              </w:numPr>
              <w:rPr>
                <w:b/>
              </w:rPr>
            </w:pPr>
            <w:r w:rsidRPr="00AB4ECE">
              <w:rPr>
                <w:b/>
              </w:rPr>
              <w:t>Title</w:t>
            </w:r>
          </w:p>
          <w:p w14:paraId="215DEE87" w14:textId="77777777" w:rsidR="009D1FEE" w:rsidRPr="00AB4ECE" w:rsidRDefault="009D1FEE" w:rsidP="00685C74">
            <w:pPr>
              <w:pStyle w:val="ListParagraph"/>
              <w:numPr>
                <w:ilvl w:val="0"/>
                <w:numId w:val="9"/>
              </w:numPr>
              <w:rPr>
                <w:b/>
              </w:rPr>
            </w:pPr>
            <w:r w:rsidRPr="00AB4ECE">
              <w:rPr>
                <w:b/>
              </w:rPr>
              <w:t>Author</w:t>
            </w:r>
          </w:p>
          <w:p w14:paraId="2B946E69" w14:textId="77777777" w:rsidR="009D1FEE" w:rsidRPr="00AB4ECE" w:rsidRDefault="009D1FEE" w:rsidP="00685C74">
            <w:pPr>
              <w:pStyle w:val="ListParagraph"/>
              <w:numPr>
                <w:ilvl w:val="0"/>
                <w:numId w:val="9"/>
              </w:numPr>
              <w:rPr>
                <w:b/>
              </w:rPr>
            </w:pPr>
            <w:r w:rsidRPr="00AB4ECE">
              <w:rPr>
                <w:b/>
              </w:rPr>
              <w:t>Date</w:t>
            </w:r>
          </w:p>
          <w:p w14:paraId="785C82EA" w14:textId="77777777" w:rsidR="009D1FEE" w:rsidRPr="00AB4ECE" w:rsidRDefault="009D1FEE" w:rsidP="00685C74">
            <w:pPr>
              <w:pStyle w:val="ListParagraph"/>
              <w:numPr>
                <w:ilvl w:val="0"/>
                <w:numId w:val="9"/>
              </w:numPr>
              <w:rPr>
                <w:b/>
              </w:rPr>
            </w:pPr>
            <w:r w:rsidRPr="00AB4ECE">
              <w:rPr>
                <w:b/>
              </w:rPr>
              <w:t>Citation, including page number</w:t>
            </w:r>
          </w:p>
          <w:p w14:paraId="101743DF" w14:textId="77777777" w:rsidR="009D1FEE" w:rsidRPr="00AB4ECE" w:rsidRDefault="009D1FEE" w:rsidP="00685C74">
            <w:pPr>
              <w:pStyle w:val="ListParagraph"/>
              <w:numPr>
                <w:ilvl w:val="0"/>
                <w:numId w:val="9"/>
              </w:numPr>
              <w:rPr>
                <w:b/>
              </w:rPr>
            </w:pPr>
            <w:r w:rsidRPr="00AB4ECE">
              <w:rPr>
                <w:b/>
              </w:rPr>
              <w:t>URL</w:t>
            </w:r>
          </w:p>
        </w:tc>
        <w:tc>
          <w:tcPr>
            <w:tcW w:w="5783" w:type="dxa"/>
          </w:tcPr>
          <w:p w14:paraId="2124EB9B" w14:textId="77777777" w:rsidR="00D72C27" w:rsidRPr="005C240A" w:rsidRDefault="00D72C27" w:rsidP="00D72C27">
            <w:pPr>
              <w:pStyle w:val="Heading4"/>
              <w:shd w:val="clear" w:color="auto" w:fill="FFFFFF"/>
              <w:spacing w:before="0" w:line="270" w:lineRule="atLeast"/>
              <w:ind w:left="0" w:firstLine="0"/>
              <w:rPr>
                <w:rFonts w:asciiTheme="minorHAnsi" w:hAnsiTheme="minorHAnsi" w:cstheme="minorHAnsi"/>
                <w:color w:val="C00000"/>
              </w:rPr>
            </w:pPr>
            <w:bookmarkStart w:id="6" w:name="_GoBack"/>
            <w:r w:rsidRPr="005C240A">
              <w:rPr>
                <w:rFonts w:asciiTheme="minorHAnsi" w:hAnsiTheme="minorHAnsi" w:cstheme="minorHAnsi"/>
                <w:bCs/>
                <w:i w:val="0"/>
                <w:color w:val="C00000"/>
              </w:rPr>
              <w:t>Update on Prevalence of Pain in Patients With Cancer: Systematic Review and Meta-Analysis. V</w:t>
            </w:r>
            <w:r w:rsidRPr="005C240A">
              <w:rPr>
                <w:rFonts w:asciiTheme="minorHAnsi" w:hAnsiTheme="minorHAnsi" w:cstheme="minorHAnsi"/>
                <w:color w:val="C00000"/>
              </w:rPr>
              <w:t xml:space="preserve">an den Beuken-van Everdingen, Marieke H.J. et al. 2016. </w:t>
            </w:r>
          </w:p>
          <w:p w14:paraId="206F53FB" w14:textId="77777777" w:rsidR="00D72C27" w:rsidRPr="005C240A" w:rsidRDefault="00D72C27" w:rsidP="00D72C27">
            <w:pPr>
              <w:shd w:val="clear" w:color="auto" w:fill="FFFFFF"/>
              <w:ind w:left="0" w:firstLine="0"/>
              <w:rPr>
                <w:rFonts w:cstheme="minorHAnsi"/>
                <w:color w:val="C00000"/>
              </w:rPr>
            </w:pPr>
            <w:r w:rsidRPr="005C240A">
              <w:rPr>
                <w:rFonts w:cstheme="minorHAnsi"/>
                <w:color w:val="C00000"/>
              </w:rPr>
              <w:t>Journal of Pain and Symptom Management , Volume 51 , Issue 6 , 1070 - 1090.e9</w:t>
            </w:r>
          </w:p>
          <w:bookmarkEnd w:id="6"/>
          <w:p w14:paraId="69F58046" w14:textId="77777777" w:rsidR="00D72C27" w:rsidRDefault="00D72C27" w:rsidP="00D72C27">
            <w:pPr>
              <w:ind w:left="0" w:firstLine="0"/>
              <w:rPr>
                <w:b/>
              </w:rPr>
            </w:pPr>
          </w:p>
          <w:p w14:paraId="6EFFFCB4" w14:textId="77777777" w:rsidR="009D1FEE" w:rsidRDefault="009933B7" w:rsidP="00D72C27">
            <w:pPr>
              <w:ind w:left="0" w:firstLine="0"/>
              <w:rPr>
                <w:rStyle w:val="Hyperlink"/>
                <w:b/>
              </w:rPr>
            </w:pPr>
            <w:hyperlink r:id="rId18" w:history="1">
              <w:r w:rsidR="00D72C27" w:rsidRPr="007F6AFC">
                <w:rPr>
                  <w:rStyle w:val="Hyperlink"/>
                  <w:b/>
                </w:rPr>
                <w:t>http://www.jpsmjournal.com/article/S0885-3924(16)30048-3/fulltext</w:t>
              </w:r>
            </w:hyperlink>
          </w:p>
          <w:p w14:paraId="67937509" w14:textId="34AD14B4" w:rsidR="00D72C27" w:rsidRPr="00AB4ECE" w:rsidRDefault="00D72C27" w:rsidP="00D72C27">
            <w:pPr>
              <w:ind w:left="0" w:firstLine="0"/>
              <w:rPr>
                <w:b/>
              </w:rPr>
            </w:pPr>
          </w:p>
        </w:tc>
      </w:tr>
      <w:tr w:rsidR="009D1FEE" w14:paraId="0257788A" w14:textId="77777777" w:rsidTr="006B3261">
        <w:tc>
          <w:tcPr>
            <w:tcW w:w="3415" w:type="dxa"/>
          </w:tcPr>
          <w:p w14:paraId="09F599AE" w14:textId="77777777" w:rsidR="009D1FEE" w:rsidRDefault="009D1FEE" w:rsidP="00685C74">
            <w:pPr>
              <w:ind w:left="0" w:firstLine="0"/>
            </w:pPr>
            <w:r>
              <w:t>Quote the guideline or recommendation verbatim about the process, structure or intermediate outcome being measured. If not a guideline, summarize the conclusions from the SR.</w:t>
            </w:r>
          </w:p>
        </w:tc>
        <w:tc>
          <w:tcPr>
            <w:tcW w:w="5783" w:type="dxa"/>
          </w:tcPr>
          <w:p w14:paraId="22BC039F" w14:textId="3800F6F2" w:rsidR="009D1FEE" w:rsidRDefault="00D72C27" w:rsidP="00685C74">
            <w:pPr>
              <w:ind w:left="0" w:firstLine="0"/>
              <w:rPr>
                <w:color w:val="C00000"/>
              </w:rPr>
            </w:pPr>
            <w:r w:rsidRPr="005C240A">
              <w:rPr>
                <w:color w:val="C00000"/>
              </w:rPr>
              <w:t xml:space="preserve">Of 4117 titles, 122 studies were selected for the meta-analyses on pain (117 studies, n </w:t>
            </w:r>
            <w:r w:rsidR="006B3261">
              <w:rPr>
                <w:color w:val="C00000"/>
              </w:rPr>
              <w:t>=</w:t>
            </w:r>
            <w:r w:rsidRPr="005C240A">
              <w:rPr>
                <w:color w:val="C00000"/>
              </w:rPr>
              <w:t xml:space="preserve"> 63,533) an</w:t>
            </w:r>
            <w:r w:rsidR="006B3261">
              <w:rPr>
                <w:color w:val="C00000"/>
              </w:rPr>
              <w:t>d pain severity (52 studies, n =</w:t>
            </w:r>
            <w:r w:rsidRPr="005C240A">
              <w:rPr>
                <w:color w:val="C00000"/>
              </w:rPr>
              <w:t xml:space="preserve"> 32,261). Pain prevalence rates were 39.3% after curative treatment; 55.0% during anticancer treatment; and 66.4% in advanced, metastatic, or terminal disease. Moderate to severe pain (numerical rating scale </w:t>
            </w:r>
            <w:r w:rsidR="00905BC8">
              <w:rPr>
                <w:color w:val="C00000"/>
              </w:rPr>
              <w:t xml:space="preserve">score &gt;= </w:t>
            </w:r>
            <w:r w:rsidRPr="005C240A">
              <w:rPr>
                <w:color w:val="C00000"/>
              </w:rPr>
              <w:t>5) was reported by 38.0% of all patients. Despite increased attention on assessment and management, pain continues to be a prevalent symptom in patients with cancer. Worldwide</w:t>
            </w:r>
            <w:r w:rsidR="005C240A">
              <w:rPr>
                <w:color w:val="C00000"/>
              </w:rPr>
              <w:t>, over one-third of patients af</w:t>
            </w:r>
            <w:r w:rsidRPr="005C240A">
              <w:rPr>
                <w:color w:val="C00000"/>
              </w:rPr>
              <w:t>ter curative treatment, over half of patients during anticancer treatment, and two-third of patients with advanced, metastatic, or terminal disease have pain. Overall, more than one-third of patients graded their pain as moderate or severe.</w:t>
            </w:r>
          </w:p>
          <w:p w14:paraId="180E6B92" w14:textId="0EE7DD48" w:rsidR="009933B7" w:rsidRDefault="009933B7" w:rsidP="00685C74">
            <w:pPr>
              <w:ind w:left="0" w:firstLine="0"/>
              <w:rPr>
                <w:color w:val="C00000"/>
              </w:rPr>
            </w:pPr>
          </w:p>
          <w:p w14:paraId="6156CAFA" w14:textId="77777777" w:rsidR="009933B7" w:rsidRPr="009933B7" w:rsidRDefault="009933B7" w:rsidP="009933B7">
            <w:pPr>
              <w:ind w:left="0" w:firstLine="0"/>
              <w:rPr>
                <w:color w:val="C00000"/>
              </w:rPr>
            </w:pPr>
            <w:r w:rsidRPr="009933B7">
              <w:rPr>
                <w:color w:val="C00000"/>
              </w:rPr>
              <w:t xml:space="preserve">Based on the data of 122 articles, pain prevalence rates were 39.3% after curative treatment; 55.0% during anticancer treatment; 66.4%in advanced, metastatic, or terminal disease and 50.7% in all cancer stages. The 52 studies that reported on pain severity resulted in a 38.0% prevalence of moderate to severe pain. </w:t>
            </w:r>
          </w:p>
          <w:p w14:paraId="59B5C8C3" w14:textId="77777777" w:rsidR="009933B7" w:rsidRPr="009933B7" w:rsidRDefault="009933B7" w:rsidP="009933B7">
            <w:pPr>
              <w:ind w:left="0" w:firstLine="0"/>
              <w:rPr>
                <w:color w:val="C00000"/>
              </w:rPr>
            </w:pPr>
          </w:p>
          <w:p w14:paraId="7A1F0E45" w14:textId="4D0C0848" w:rsidR="009933B7" w:rsidRPr="005C240A" w:rsidRDefault="009933B7" w:rsidP="00685C74">
            <w:pPr>
              <w:ind w:left="0" w:firstLine="0"/>
              <w:rPr>
                <w:color w:val="C00000"/>
              </w:rPr>
            </w:pPr>
            <w:r w:rsidRPr="009933B7">
              <w:rPr>
                <w:color w:val="C00000"/>
              </w:rPr>
              <w:t xml:space="preserve">With reference to types of cancer, lower pain prevalence rates were demonstrated in prostate cancer compared to head and neck, lung, and breast cancer. A possible explanation could be found in group assignment: 1180 of </w:t>
            </w:r>
            <w:r w:rsidRPr="009933B7">
              <w:rPr>
                <w:color w:val="C00000"/>
              </w:rPr>
              <w:lastRenderedPageBreak/>
              <w:t xml:space="preserve">1493 included patients with prostate cancer belonged to the </w:t>
            </w:r>
            <w:r>
              <w:rPr>
                <w:color w:val="C00000"/>
              </w:rPr>
              <w:t>group after curative treatment.</w:t>
            </w:r>
          </w:p>
          <w:p w14:paraId="2E154DD4" w14:textId="5B13D415" w:rsidR="00D72C27" w:rsidRPr="005C240A" w:rsidRDefault="00D72C27" w:rsidP="00685C74">
            <w:pPr>
              <w:ind w:left="0" w:firstLine="0"/>
              <w:rPr>
                <w:color w:val="C00000"/>
              </w:rPr>
            </w:pPr>
          </w:p>
        </w:tc>
      </w:tr>
      <w:tr w:rsidR="009D1FEE" w14:paraId="5B6C6D1F" w14:textId="77777777" w:rsidTr="006B3261">
        <w:tc>
          <w:tcPr>
            <w:tcW w:w="3415" w:type="dxa"/>
          </w:tcPr>
          <w:p w14:paraId="70B7F449" w14:textId="77777777" w:rsidR="009D1FEE" w:rsidRDefault="009D1FEE" w:rsidP="00685C74">
            <w:pPr>
              <w:ind w:left="0" w:firstLine="0"/>
            </w:pPr>
            <w:r>
              <w:lastRenderedPageBreak/>
              <w:t xml:space="preserve">Grade assigned to the </w:t>
            </w:r>
            <w:r w:rsidRPr="004E7215">
              <w:rPr>
                <w:b/>
              </w:rPr>
              <w:t>evidence</w:t>
            </w:r>
            <w:r>
              <w:t xml:space="preserve"> associated with the recommendation with the definition of the grade</w:t>
            </w:r>
          </w:p>
        </w:tc>
        <w:tc>
          <w:tcPr>
            <w:tcW w:w="5783" w:type="dxa"/>
          </w:tcPr>
          <w:p w14:paraId="5C239087" w14:textId="5D60CE8F" w:rsidR="00D72C27" w:rsidRPr="005C240A" w:rsidRDefault="009933B7" w:rsidP="00D72C27">
            <w:pPr>
              <w:ind w:left="0" w:firstLine="0"/>
              <w:rPr>
                <w:color w:val="C00000"/>
              </w:rPr>
            </w:pPr>
            <w:r w:rsidRPr="005C240A">
              <w:rPr>
                <w:color w:val="C00000"/>
              </w:rPr>
              <w:t>Not Applicable</w:t>
            </w:r>
          </w:p>
        </w:tc>
      </w:tr>
      <w:tr w:rsidR="009D1FEE" w14:paraId="772C3A51" w14:textId="77777777" w:rsidTr="006B3261">
        <w:tc>
          <w:tcPr>
            <w:tcW w:w="3415" w:type="dxa"/>
          </w:tcPr>
          <w:p w14:paraId="69A3358C" w14:textId="77777777" w:rsidR="009D1FEE" w:rsidRDefault="009D1FEE" w:rsidP="00685C74">
            <w:pPr>
              <w:ind w:left="0" w:firstLine="0"/>
            </w:pPr>
            <w:r>
              <w:t>Provide all other grades and definitions from the evidence grading system</w:t>
            </w:r>
          </w:p>
        </w:tc>
        <w:tc>
          <w:tcPr>
            <w:tcW w:w="5783" w:type="dxa"/>
          </w:tcPr>
          <w:p w14:paraId="354A1C4B" w14:textId="56F76800" w:rsidR="009D1FEE" w:rsidRPr="005C240A" w:rsidRDefault="00D72C27" w:rsidP="00685C74">
            <w:pPr>
              <w:ind w:left="0" w:firstLine="0"/>
              <w:rPr>
                <w:color w:val="C00000"/>
              </w:rPr>
            </w:pPr>
            <w:r w:rsidRPr="005C240A">
              <w:rPr>
                <w:color w:val="C00000"/>
              </w:rPr>
              <w:t>Not Applicable</w:t>
            </w:r>
          </w:p>
        </w:tc>
      </w:tr>
      <w:tr w:rsidR="009D1FEE" w14:paraId="0FB7F341" w14:textId="77777777" w:rsidTr="006B3261">
        <w:tc>
          <w:tcPr>
            <w:tcW w:w="3415" w:type="dxa"/>
          </w:tcPr>
          <w:p w14:paraId="76C623CB" w14:textId="77777777" w:rsidR="009D1FEE" w:rsidRDefault="009D1FEE" w:rsidP="00685C74">
            <w:pPr>
              <w:ind w:left="0" w:firstLine="0"/>
            </w:pPr>
            <w:r>
              <w:t xml:space="preserve">Grade assigned to the </w:t>
            </w:r>
            <w:r w:rsidRPr="004E7215">
              <w:rPr>
                <w:b/>
              </w:rPr>
              <w:t>recommendation</w:t>
            </w:r>
            <w:r>
              <w:t xml:space="preserve"> with definition of the grade</w:t>
            </w:r>
          </w:p>
        </w:tc>
        <w:tc>
          <w:tcPr>
            <w:tcW w:w="5783" w:type="dxa"/>
          </w:tcPr>
          <w:p w14:paraId="2A581204" w14:textId="419E21A8" w:rsidR="009D1FEE" w:rsidRPr="005C240A" w:rsidRDefault="00D72C27" w:rsidP="00685C74">
            <w:pPr>
              <w:ind w:left="0" w:firstLine="0"/>
              <w:rPr>
                <w:color w:val="C00000"/>
              </w:rPr>
            </w:pPr>
            <w:r w:rsidRPr="005C240A">
              <w:rPr>
                <w:color w:val="C00000"/>
              </w:rPr>
              <w:t>Not Applicable</w:t>
            </w:r>
          </w:p>
        </w:tc>
      </w:tr>
      <w:tr w:rsidR="009D1FEE" w14:paraId="7186CAE4" w14:textId="77777777" w:rsidTr="006B3261">
        <w:tc>
          <w:tcPr>
            <w:tcW w:w="3415" w:type="dxa"/>
          </w:tcPr>
          <w:p w14:paraId="1EFBC940" w14:textId="77777777" w:rsidR="009D1FEE" w:rsidRDefault="009D1FEE" w:rsidP="00685C74">
            <w:pPr>
              <w:ind w:left="0" w:firstLine="0"/>
            </w:pPr>
            <w:r>
              <w:t>Provide all other grades and definitions from the recommendation grading system</w:t>
            </w:r>
          </w:p>
        </w:tc>
        <w:tc>
          <w:tcPr>
            <w:tcW w:w="5783" w:type="dxa"/>
          </w:tcPr>
          <w:p w14:paraId="3C645E6A" w14:textId="1DA05504" w:rsidR="009D1FEE" w:rsidRPr="005C240A" w:rsidRDefault="00D72C27" w:rsidP="00685C74">
            <w:pPr>
              <w:ind w:left="0" w:firstLine="0"/>
              <w:rPr>
                <w:color w:val="C00000"/>
              </w:rPr>
            </w:pPr>
            <w:r w:rsidRPr="005C240A">
              <w:rPr>
                <w:color w:val="C00000"/>
              </w:rPr>
              <w:t xml:space="preserve">Not Applicable </w:t>
            </w:r>
          </w:p>
        </w:tc>
      </w:tr>
      <w:tr w:rsidR="009D1FEE" w14:paraId="75375FE2" w14:textId="77777777" w:rsidTr="006B3261">
        <w:tc>
          <w:tcPr>
            <w:tcW w:w="3415" w:type="dxa"/>
          </w:tcPr>
          <w:p w14:paraId="5B228A7B" w14:textId="77777777" w:rsidR="009D1FEE" w:rsidRDefault="009D1FEE" w:rsidP="00685C74">
            <w:pPr>
              <w:ind w:left="0" w:firstLine="0"/>
            </w:pPr>
            <w:r>
              <w:t>Body of evidence:</w:t>
            </w:r>
          </w:p>
          <w:p w14:paraId="5727820D" w14:textId="77777777" w:rsidR="009D1FEE" w:rsidRDefault="009D1FEE" w:rsidP="00685C74">
            <w:pPr>
              <w:pStyle w:val="ListParagraph"/>
              <w:numPr>
                <w:ilvl w:val="0"/>
                <w:numId w:val="10"/>
              </w:numPr>
            </w:pPr>
            <w:r>
              <w:t>Quantity – how many studies?</w:t>
            </w:r>
          </w:p>
          <w:p w14:paraId="21B4FFBF" w14:textId="77777777" w:rsidR="009D1FEE" w:rsidRDefault="009D1FEE" w:rsidP="00685C74">
            <w:pPr>
              <w:pStyle w:val="ListParagraph"/>
              <w:numPr>
                <w:ilvl w:val="0"/>
                <w:numId w:val="10"/>
              </w:numPr>
            </w:pPr>
            <w:r>
              <w:t>Quality – what type of studies?</w:t>
            </w:r>
          </w:p>
        </w:tc>
        <w:tc>
          <w:tcPr>
            <w:tcW w:w="5783" w:type="dxa"/>
          </w:tcPr>
          <w:p w14:paraId="0EA61278" w14:textId="77777777" w:rsidR="00D72C27" w:rsidRPr="005C240A" w:rsidRDefault="00D72C27" w:rsidP="00D72C27">
            <w:pPr>
              <w:ind w:left="0" w:firstLine="0"/>
              <w:rPr>
                <w:color w:val="C00000"/>
              </w:rPr>
            </w:pPr>
            <w:r w:rsidRPr="005C240A">
              <w:rPr>
                <w:color w:val="C00000"/>
              </w:rPr>
              <w:t xml:space="preserve">Based on the data of 122 articles, pain prevalence rates were 39.3% after curative treatment; 55.0% during anticancer treatment; 66.4%in advanced, metastatic, or terminal disease and 50.7% in all cancer stages. The 52 studies that re-ported on pain severity resulted in a 38.0% prevalence of moderate to severe pain. </w:t>
            </w:r>
          </w:p>
          <w:p w14:paraId="141F4EBA" w14:textId="77777777" w:rsidR="00D72C27" w:rsidRPr="005C240A" w:rsidRDefault="00D72C27" w:rsidP="00D72C27">
            <w:pPr>
              <w:ind w:left="0" w:firstLine="0"/>
              <w:rPr>
                <w:color w:val="C00000"/>
              </w:rPr>
            </w:pPr>
          </w:p>
          <w:p w14:paraId="101BF3D7" w14:textId="4B1CEDF4" w:rsidR="00D72C27" w:rsidRPr="005C240A" w:rsidRDefault="00D72C27" w:rsidP="00D72C27">
            <w:pPr>
              <w:ind w:left="0" w:firstLine="0"/>
              <w:rPr>
                <w:color w:val="C00000"/>
              </w:rPr>
            </w:pPr>
            <w:r w:rsidRPr="005C240A">
              <w:rPr>
                <w:color w:val="C00000"/>
              </w:rPr>
              <w:t xml:space="preserve">With reference to types of cancer, lower pain prevalence rates were demonstrated in prostate cancer compared to head and neck, lung, and breast cancer. A possible explanation could be found in group assignment: 1180 of 1493 included patients with prostate cancer belonged to the group after curative treatment. </w:t>
            </w:r>
          </w:p>
          <w:p w14:paraId="07CD5B6A" w14:textId="77777777" w:rsidR="009D1FEE" w:rsidRPr="005C240A" w:rsidRDefault="009D1FEE" w:rsidP="00685C74">
            <w:pPr>
              <w:ind w:left="0" w:firstLine="0"/>
              <w:rPr>
                <w:color w:val="C00000"/>
              </w:rPr>
            </w:pPr>
          </w:p>
          <w:p w14:paraId="7CEC1642" w14:textId="77777777" w:rsidR="00D72C27" w:rsidRPr="005C240A" w:rsidRDefault="00D72C27" w:rsidP="00D72C27">
            <w:pPr>
              <w:ind w:left="0" w:firstLine="0"/>
              <w:rPr>
                <w:color w:val="C00000"/>
              </w:rPr>
            </w:pPr>
            <w:r w:rsidRPr="005C240A">
              <w:rPr>
                <w:color w:val="C00000"/>
              </w:rPr>
              <w:t>Higher prevalence rates also were seen in studies from Asia compared to Europe, in studies that used point or week prevalence compared to recall periods of a month or year, and in studies that included patients with an ECOG of 2 and 3 compared to an ECOG of 1. Age and race as well as method of data collection were not associated with overall pain prevalence rates</w:t>
            </w:r>
          </w:p>
          <w:p w14:paraId="081EE3FB" w14:textId="77777777" w:rsidR="00D72C27" w:rsidRPr="005C240A" w:rsidRDefault="00D72C27" w:rsidP="00D72C27">
            <w:pPr>
              <w:ind w:left="0" w:firstLine="0"/>
              <w:rPr>
                <w:color w:val="C00000"/>
              </w:rPr>
            </w:pPr>
          </w:p>
          <w:p w14:paraId="241CCD5B" w14:textId="39E132C2" w:rsidR="00D72C27" w:rsidRPr="005C240A" w:rsidRDefault="00D72C27" w:rsidP="00D72C27">
            <w:pPr>
              <w:ind w:left="0" w:firstLine="0"/>
              <w:rPr>
                <w:color w:val="C00000"/>
              </w:rPr>
            </w:pPr>
            <w:r w:rsidRPr="005C240A">
              <w:rPr>
                <w:color w:val="C00000"/>
              </w:rPr>
              <w:t>Methodological quality assessment was performed by using criteria developed for prevalence studies based on Leboeuf-Yde and Laurit</w:t>
            </w:r>
            <w:r w:rsidR="00905BC8">
              <w:rPr>
                <w:color w:val="C00000"/>
              </w:rPr>
              <w:t>sen.</w:t>
            </w:r>
            <w:r w:rsidRPr="005C240A">
              <w:rPr>
                <w:color w:val="C00000"/>
              </w:rPr>
              <w:t xml:space="preserve"> Criteria relate to the representativeness of the sample (three items); quality of the data (three items); description of the methods and results (three items); and deﬁnition of pain prevalence (one item). Weighting factors were introduced for each criterion. In the previous review,</w:t>
            </w:r>
            <w:r w:rsidR="00C41042">
              <w:rPr>
                <w:color w:val="C00000"/>
              </w:rPr>
              <w:t xml:space="preserve"> </w:t>
            </w:r>
            <w:r w:rsidRPr="005C240A">
              <w:rPr>
                <w:color w:val="C00000"/>
              </w:rPr>
              <w:t xml:space="preserve">7 criteria speciﬁcally for lower back pain were revised and replaced by criteria with an adequate description of the </w:t>
            </w:r>
            <w:r w:rsidRPr="005C240A">
              <w:rPr>
                <w:color w:val="C00000"/>
              </w:rPr>
              <w:lastRenderedPageBreak/>
              <w:t>disease stage and/or condition for cancer. For this review, the quality assessment was further reﬁned by upgrading studies that provided an adequate description of the stage of disease and downgrading studies that relied on either proxy reporting or retrospective medical records</w:t>
            </w:r>
            <w:r w:rsidR="00C41042">
              <w:rPr>
                <w:color w:val="C00000"/>
              </w:rPr>
              <w:t>.</w:t>
            </w:r>
            <w:r w:rsidRPr="005C240A">
              <w:rPr>
                <w:color w:val="C00000"/>
              </w:rPr>
              <w:t xml:space="preserve"> Differences in quality assessments were resolved using a discussion and consensus approach. Articles with a predeﬁned quality score of &lt;=15 points, which equals 75% of the maximum 20 points,</w:t>
            </w:r>
            <w:r w:rsidR="00C41042">
              <w:rPr>
                <w:color w:val="C00000"/>
              </w:rPr>
              <w:t xml:space="preserve"> </w:t>
            </w:r>
            <w:r w:rsidRPr="005C240A">
              <w:rPr>
                <w:color w:val="C00000"/>
              </w:rPr>
              <w:t>12 were accepted for inclusion in the meta-analyses.</w:t>
            </w:r>
          </w:p>
          <w:p w14:paraId="43917E1D" w14:textId="77777777" w:rsidR="00D72C27" w:rsidRPr="005C240A" w:rsidRDefault="00D72C27" w:rsidP="00685C74">
            <w:pPr>
              <w:ind w:left="0" w:firstLine="0"/>
              <w:rPr>
                <w:color w:val="C00000"/>
              </w:rPr>
            </w:pPr>
          </w:p>
          <w:p w14:paraId="5AF05EBD" w14:textId="6EE34704" w:rsidR="00905BC8" w:rsidRPr="005C240A" w:rsidRDefault="00D72C27" w:rsidP="00D72C27">
            <w:pPr>
              <w:ind w:left="0" w:firstLine="0"/>
              <w:rPr>
                <w:color w:val="C00000"/>
              </w:rPr>
            </w:pPr>
            <w:r w:rsidRPr="006B3261">
              <w:rPr>
                <w:color w:val="C00000"/>
              </w:rPr>
              <w:t xml:space="preserve">To see </w:t>
            </w:r>
            <w:r w:rsidR="00905BC8" w:rsidRPr="006B3261">
              <w:rPr>
                <w:color w:val="C00000"/>
              </w:rPr>
              <w:t>the methodological quality criteria for prevalence studies go to table 1</w:t>
            </w:r>
            <w:r w:rsidRPr="006B3261">
              <w:rPr>
                <w:color w:val="C00000"/>
              </w:rPr>
              <w:t>: Page 1071</w:t>
            </w:r>
            <w:r w:rsidR="00C41042">
              <w:rPr>
                <w:color w:val="C00000"/>
              </w:rPr>
              <w:t>.</w:t>
            </w:r>
          </w:p>
          <w:p w14:paraId="37C3FFC1" w14:textId="3638FEBE" w:rsidR="00D72C27" w:rsidRPr="005C240A" w:rsidRDefault="00D72C27" w:rsidP="00685C74">
            <w:pPr>
              <w:ind w:left="0" w:firstLine="0"/>
              <w:rPr>
                <w:color w:val="C00000"/>
              </w:rPr>
            </w:pPr>
          </w:p>
        </w:tc>
      </w:tr>
      <w:tr w:rsidR="009D1FEE" w14:paraId="4C4DDFB4" w14:textId="77777777" w:rsidTr="006B3261">
        <w:tc>
          <w:tcPr>
            <w:tcW w:w="3415" w:type="dxa"/>
          </w:tcPr>
          <w:p w14:paraId="686659F5" w14:textId="77777777" w:rsidR="009D1FEE" w:rsidRDefault="009D1FEE" w:rsidP="00685C74">
            <w:pPr>
              <w:ind w:left="0" w:firstLine="0"/>
            </w:pPr>
            <w:r>
              <w:lastRenderedPageBreak/>
              <w:t xml:space="preserve">Estimates of benefit and consistency across studies </w:t>
            </w:r>
          </w:p>
        </w:tc>
        <w:tc>
          <w:tcPr>
            <w:tcW w:w="5783" w:type="dxa"/>
          </w:tcPr>
          <w:p w14:paraId="79AA54BC" w14:textId="1F4631D6" w:rsidR="00D72C27" w:rsidRPr="005C240A" w:rsidRDefault="00D72C27" w:rsidP="00D72C27">
            <w:pPr>
              <w:ind w:left="0" w:firstLine="0"/>
              <w:rPr>
                <w:color w:val="C00000"/>
              </w:rPr>
            </w:pPr>
            <w:r w:rsidRPr="005C240A">
              <w:rPr>
                <w:color w:val="C00000"/>
              </w:rPr>
              <w:t>Pooled prevalence rates, precision (95% CI), and statistical signiﬁcance (deﬁned as P &lt; 0.05) were determined for each group with reference to pain and pain severity. The reciprocal of the variance from individual studies was used as a weighting factor, which relates closely to the sample size. This weighting factor was chosen to reﬂect the amount of informa</w:t>
            </w:r>
            <w:r w:rsidR="00C41042">
              <w:rPr>
                <w:color w:val="C00000"/>
              </w:rPr>
              <w:t xml:space="preserve">tion that each study contained. </w:t>
            </w:r>
            <w:r w:rsidRPr="005C240A">
              <w:rPr>
                <w:color w:val="C00000"/>
              </w:rPr>
              <w:t xml:space="preserve"> A test for homogeneity was carried out to investigate whether the variation in prevalence rates between studies was more than could be attributed to chance alone. In case this test appeared to be signiﬁcant, the extra variation was incorporated into the analysis using a random-effects model. To examine whether pooled prevalence rates for pain were signiﬁcantly different between groups, meta-regression analyses were performed.</w:t>
            </w:r>
          </w:p>
          <w:p w14:paraId="39960BC2" w14:textId="77777777" w:rsidR="009D1FEE" w:rsidRPr="005C240A" w:rsidRDefault="009D1FEE" w:rsidP="00685C74">
            <w:pPr>
              <w:ind w:left="0" w:firstLine="0"/>
              <w:rPr>
                <w:color w:val="C00000"/>
              </w:rPr>
            </w:pPr>
          </w:p>
        </w:tc>
      </w:tr>
      <w:tr w:rsidR="009D1FEE" w14:paraId="74188CC0" w14:textId="77777777" w:rsidTr="006B3261">
        <w:tc>
          <w:tcPr>
            <w:tcW w:w="3415" w:type="dxa"/>
          </w:tcPr>
          <w:p w14:paraId="628BC824" w14:textId="77777777" w:rsidR="009D1FEE" w:rsidRDefault="009D1FEE" w:rsidP="00685C74">
            <w:pPr>
              <w:ind w:left="0" w:firstLine="0"/>
            </w:pPr>
            <w:r>
              <w:t>What harms were identified?</w:t>
            </w:r>
          </w:p>
        </w:tc>
        <w:tc>
          <w:tcPr>
            <w:tcW w:w="5783" w:type="dxa"/>
          </w:tcPr>
          <w:p w14:paraId="5FC024D7" w14:textId="77777777" w:rsidR="009D1FEE" w:rsidRPr="005C240A" w:rsidRDefault="00D72C27" w:rsidP="00685C74">
            <w:pPr>
              <w:ind w:left="0" w:firstLine="0"/>
              <w:rPr>
                <w:color w:val="C00000"/>
              </w:rPr>
            </w:pPr>
            <w:r w:rsidRPr="005C240A">
              <w:rPr>
                <w:color w:val="C00000"/>
              </w:rPr>
              <w:t>Not Applicable</w:t>
            </w:r>
          </w:p>
          <w:p w14:paraId="2789FF6C" w14:textId="5CD12D35" w:rsidR="00D72C27" w:rsidRPr="005C240A" w:rsidRDefault="00D72C27" w:rsidP="00685C74">
            <w:pPr>
              <w:ind w:left="0" w:firstLine="0"/>
              <w:rPr>
                <w:color w:val="C00000"/>
              </w:rPr>
            </w:pPr>
          </w:p>
        </w:tc>
      </w:tr>
      <w:tr w:rsidR="009D1FEE" w14:paraId="36257B4A" w14:textId="77777777" w:rsidTr="006B3261">
        <w:tc>
          <w:tcPr>
            <w:tcW w:w="3415" w:type="dxa"/>
          </w:tcPr>
          <w:p w14:paraId="6CDC9CA1" w14:textId="77777777" w:rsidR="009D1FEE" w:rsidRDefault="009D1FEE" w:rsidP="00685C74">
            <w:pPr>
              <w:ind w:left="0" w:firstLine="0"/>
            </w:pPr>
            <w:r>
              <w:t>Identify any new studies conducted since the SR. Do the new studies change the conclusions from the SR?</w:t>
            </w:r>
          </w:p>
        </w:tc>
        <w:tc>
          <w:tcPr>
            <w:tcW w:w="5783" w:type="dxa"/>
          </w:tcPr>
          <w:p w14:paraId="6671C87E" w14:textId="7B4E19ED" w:rsidR="009D1FEE" w:rsidRPr="005C240A" w:rsidRDefault="00D72C27" w:rsidP="00685C74">
            <w:pPr>
              <w:ind w:left="0" w:firstLine="0"/>
              <w:rPr>
                <w:color w:val="C00000"/>
              </w:rPr>
            </w:pPr>
            <w:r w:rsidRPr="005C240A">
              <w:rPr>
                <w:color w:val="C00000"/>
              </w:rPr>
              <w:t xml:space="preserve">None </w:t>
            </w:r>
          </w:p>
        </w:tc>
      </w:tr>
    </w:tbl>
    <w:p w14:paraId="41994228" w14:textId="602BA7DE" w:rsidR="009D1FEE" w:rsidRDefault="009D1FEE" w:rsidP="002E2177">
      <w:pPr>
        <w:ind w:left="0" w:firstLine="0"/>
      </w:pPr>
    </w:p>
    <w:p w14:paraId="05D3E9C9" w14:textId="52616984" w:rsidR="009D1FEE" w:rsidRDefault="009D1FEE" w:rsidP="002E2177">
      <w:pPr>
        <w:ind w:left="0" w:firstLine="0"/>
      </w:pPr>
    </w:p>
    <w:tbl>
      <w:tblPr>
        <w:tblStyle w:val="TableGrid"/>
        <w:tblW w:w="0" w:type="auto"/>
        <w:tblLook w:val="04A0" w:firstRow="1" w:lastRow="0" w:firstColumn="1" w:lastColumn="0" w:noHBand="0" w:noVBand="1"/>
      </w:tblPr>
      <w:tblGrid>
        <w:gridCol w:w="3415"/>
        <w:gridCol w:w="5783"/>
      </w:tblGrid>
      <w:tr w:rsidR="009D1FEE" w14:paraId="465F0424" w14:textId="77777777" w:rsidTr="00C41042">
        <w:tc>
          <w:tcPr>
            <w:tcW w:w="3415" w:type="dxa"/>
          </w:tcPr>
          <w:p w14:paraId="65700F72" w14:textId="77777777" w:rsidR="009D1FEE" w:rsidRPr="00AB4ECE" w:rsidRDefault="009D1FEE" w:rsidP="00685C74">
            <w:pPr>
              <w:ind w:left="0" w:firstLine="0"/>
              <w:rPr>
                <w:b/>
              </w:rPr>
            </w:pPr>
            <w:r w:rsidRPr="00AB4ECE">
              <w:rPr>
                <w:b/>
              </w:rPr>
              <w:t>Source of Systematic Review:</w:t>
            </w:r>
          </w:p>
          <w:p w14:paraId="170D82ED" w14:textId="77777777" w:rsidR="009D1FEE" w:rsidRPr="00AB4ECE" w:rsidRDefault="009D1FEE" w:rsidP="00685C74">
            <w:pPr>
              <w:pStyle w:val="ListParagraph"/>
              <w:numPr>
                <w:ilvl w:val="0"/>
                <w:numId w:val="9"/>
              </w:numPr>
              <w:rPr>
                <w:b/>
              </w:rPr>
            </w:pPr>
            <w:r w:rsidRPr="00AB4ECE">
              <w:rPr>
                <w:b/>
              </w:rPr>
              <w:t>Title</w:t>
            </w:r>
          </w:p>
          <w:p w14:paraId="7C6470E5" w14:textId="77777777" w:rsidR="009D1FEE" w:rsidRPr="00AB4ECE" w:rsidRDefault="009D1FEE" w:rsidP="00685C74">
            <w:pPr>
              <w:pStyle w:val="ListParagraph"/>
              <w:numPr>
                <w:ilvl w:val="0"/>
                <w:numId w:val="9"/>
              </w:numPr>
              <w:rPr>
                <w:b/>
              </w:rPr>
            </w:pPr>
            <w:r w:rsidRPr="00AB4ECE">
              <w:rPr>
                <w:b/>
              </w:rPr>
              <w:t>Author</w:t>
            </w:r>
          </w:p>
          <w:p w14:paraId="344C073D" w14:textId="77777777" w:rsidR="009D1FEE" w:rsidRPr="00AB4ECE" w:rsidRDefault="009D1FEE" w:rsidP="00685C74">
            <w:pPr>
              <w:pStyle w:val="ListParagraph"/>
              <w:numPr>
                <w:ilvl w:val="0"/>
                <w:numId w:val="9"/>
              </w:numPr>
              <w:rPr>
                <w:b/>
              </w:rPr>
            </w:pPr>
            <w:r w:rsidRPr="00AB4ECE">
              <w:rPr>
                <w:b/>
              </w:rPr>
              <w:t>Date</w:t>
            </w:r>
          </w:p>
          <w:p w14:paraId="63BE8759" w14:textId="77777777" w:rsidR="009D1FEE" w:rsidRPr="00AB4ECE" w:rsidRDefault="009D1FEE" w:rsidP="00685C74">
            <w:pPr>
              <w:pStyle w:val="ListParagraph"/>
              <w:numPr>
                <w:ilvl w:val="0"/>
                <w:numId w:val="9"/>
              </w:numPr>
              <w:rPr>
                <w:b/>
              </w:rPr>
            </w:pPr>
            <w:r w:rsidRPr="00AB4ECE">
              <w:rPr>
                <w:b/>
              </w:rPr>
              <w:t>Citation, including page number</w:t>
            </w:r>
          </w:p>
          <w:p w14:paraId="1F5B5985" w14:textId="77777777" w:rsidR="009D1FEE" w:rsidRPr="00AB4ECE" w:rsidRDefault="009D1FEE" w:rsidP="00685C74">
            <w:pPr>
              <w:pStyle w:val="ListParagraph"/>
              <w:numPr>
                <w:ilvl w:val="0"/>
                <w:numId w:val="9"/>
              </w:numPr>
              <w:rPr>
                <w:b/>
              </w:rPr>
            </w:pPr>
            <w:r w:rsidRPr="00AB4ECE">
              <w:rPr>
                <w:b/>
              </w:rPr>
              <w:t>URL</w:t>
            </w:r>
          </w:p>
        </w:tc>
        <w:tc>
          <w:tcPr>
            <w:tcW w:w="5783" w:type="dxa"/>
          </w:tcPr>
          <w:p w14:paraId="09845F29" w14:textId="77777777" w:rsidR="008D1211" w:rsidRPr="00023ADE" w:rsidRDefault="008D1211" w:rsidP="008D1211">
            <w:pPr>
              <w:ind w:left="0" w:firstLine="0"/>
              <w:rPr>
                <w:rFonts w:cstheme="minorHAnsi"/>
                <w:color w:val="000000" w:themeColor="text1"/>
                <w:shd w:val="clear" w:color="auto" w:fill="FFFFFF"/>
              </w:rPr>
            </w:pPr>
            <w:r w:rsidRPr="008D1211">
              <w:rPr>
                <w:rFonts w:cstheme="minorHAnsi"/>
                <w:color w:val="C00000"/>
                <w:shd w:val="clear" w:color="auto" w:fill="FFFFFF"/>
              </w:rPr>
              <w:t>Management of Cancer Pain: ESMO Clinical Practice Guidelines.</w:t>
            </w:r>
            <w:r w:rsidRPr="008D1211">
              <w:rPr>
                <w:rFonts w:cstheme="minorHAnsi"/>
                <w:i/>
                <w:iCs/>
                <w:color w:val="C00000"/>
                <w:shd w:val="clear" w:color="auto" w:fill="FFFFFF"/>
              </w:rPr>
              <w:t> C. I. Ripamonti, D. Santini, E. Maranzano, M. Berti, F. Roila</w:t>
            </w:r>
            <w:r w:rsidRPr="008D1211">
              <w:rPr>
                <w:rFonts w:cstheme="minorHAnsi"/>
                <w:color w:val="C00000"/>
                <w:shd w:val="clear" w:color="auto" w:fill="FFFFFF"/>
              </w:rPr>
              <w:t xml:space="preserve"> . Ann Oncol 2012; 23 (Suppl 7): vii39-vii154.</w:t>
            </w:r>
            <w:r w:rsidRPr="00023ADE">
              <w:rPr>
                <w:rFonts w:cstheme="minorHAnsi"/>
                <w:color w:val="3D3D3D"/>
              </w:rPr>
              <w:br/>
            </w:r>
          </w:p>
          <w:p w14:paraId="0E860448" w14:textId="364365F0" w:rsidR="009D1FEE" w:rsidRPr="00AB4ECE" w:rsidRDefault="009933B7" w:rsidP="008D1211">
            <w:pPr>
              <w:ind w:left="0" w:firstLine="0"/>
              <w:rPr>
                <w:b/>
              </w:rPr>
            </w:pPr>
            <w:hyperlink r:id="rId19" w:history="1">
              <w:r w:rsidR="008D1211" w:rsidRPr="00023ADE">
                <w:rPr>
                  <w:rStyle w:val="Hyperlink"/>
                  <w:rFonts w:cstheme="minorHAnsi"/>
                  <w:b/>
                </w:rPr>
                <w:t>http://www.esmo.org/Guidelines/Supportive-and-Palliative-Care/Management-of-Cancer-Pain</w:t>
              </w:r>
            </w:hyperlink>
          </w:p>
        </w:tc>
      </w:tr>
      <w:tr w:rsidR="009D1FEE" w14:paraId="51F5E5D9" w14:textId="77777777" w:rsidTr="00C41042">
        <w:tc>
          <w:tcPr>
            <w:tcW w:w="3415" w:type="dxa"/>
          </w:tcPr>
          <w:p w14:paraId="462EA594" w14:textId="77777777" w:rsidR="009D1FEE" w:rsidRDefault="009D1FEE" w:rsidP="00685C74">
            <w:pPr>
              <w:ind w:left="0" w:firstLine="0"/>
            </w:pPr>
            <w:r>
              <w:lastRenderedPageBreak/>
              <w:t>Quote the guideline or recommendation verbatim about the process, structure or intermediate outcome being measured. If not a guideline, summarize the conclusions from the SR.</w:t>
            </w:r>
          </w:p>
        </w:tc>
        <w:tc>
          <w:tcPr>
            <w:tcW w:w="5783" w:type="dxa"/>
          </w:tcPr>
          <w:p w14:paraId="3EC7FB63" w14:textId="6FF125E2" w:rsidR="00905BC8" w:rsidRDefault="00905BC8" w:rsidP="008D1211">
            <w:pPr>
              <w:pStyle w:val="ListParagraph"/>
              <w:numPr>
                <w:ilvl w:val="0"/>
                <w:numId w:val="16"/>
              </w:numPr>
              <w:rPr>
                <w:color w:val="C00000"/>
              </w:rPr>
            </w:pPr>
            <w:r w:rsidRPr="00905BC8">
              <w:rPr>
                <w:color w:val="C00000"/>
              </w:rPr>
              <w:t>Paracetamol and/or a NSAID are effective for treating all intensities of pain, at least in the short term and unless contraindicated [I, A].</w:t>
            </w:r>
            <w:r w:rsidR="00D40E5E">
              <w:rPr>
                <w:color w:val="C00000"/>
              </w:rPr>
              <w:t xml:space="preserve"> (vii141)</w:t>
            </w:r>
          </w:p>
          <w:p w14:paraId="4EABAFD3" w14:textId="77777777" w:rsidR="006D34A2" w:rsidRDefault="006D34A2" w:rsidP="006D34A2">
            <w:pPr>
              <w:pStyle w:val="ListParagraph"/>
              <w:ind w:left="360" w:firstLine="0"/>
              <w:rPr>
                <w:color w:val="C00000"/>
              </w:rPr>
            </w:pPr>
          </w:p>
          <w:p w14:paraId="23BBB836" w14:textId="4CBCF4BE" w:rsidR="008D1211" w:rsidRDefault="008D1211" w:rsidP="008D1211">
            <w:pPr>
              <w:pStyle w:val="ListParagraph"/>
              <w:numPr>
                <w:ilvl w:val="0"/>
                <w:numId w:val="16"/>
              </w:numPr>
              <w:rPr>
                <w:color w:val="C00000"/>
              </w:rPr>
            </w:pPr>
            <w:r w:rsidRPr="008D1211">
              <w:rPr>
                <w:color w:val="C00000"/>
              </w:rPr>
              <w:t>Patients should be informed about pain and pain management and be encouraged to take an active role in their pain management [II, B].</w:t>
            </w:r>
            <w:r w:rsidR="00D40E5E">
              <w:rPr>
                <w:color w:val="C00000"/>
              </w:rPr>
              <w:t xml:space="preserve"> (vii141) </w:t>
            </w:r>
          </w:p>
          <w:p w14:paraId="6BD6591D" w14:textId="77777777" w:rsidR="00905BC8" w:rsidRPr="008D1211" w:rsidRDefault="00905BC8" w:rsidP="00905BC8">
            <w:pPr>
              <w:pStyle w:val="ListParagraph"/>
              <w:ind w:left="360" w:firstLine="0"/>
              <w:rPr>
                <w:color w:val="C00000"/>
              </w:rPr>
            </w:pPr>
          </w:p>
          <w:p w14:paraId="729E87B3" w14:textId="25E5E16A" w:rsidR="00905BC8" w:rsidRDefault="00905BC8" w:rsidP="00905BC8">
            <w:pPr>
              <w:pStyle w:val="ListParagraph"/>
              <w:numPr>
                <w:ilvl w:val="0"/>
                <w:numId w:val="16"/>
              </w:numPr>
              <w:rPr>
                <w:color w:val="C00000"/>
              </w:rPr>
            </w:pPr>
            <w:r w:rsidRPr="00905BC8">
              <w:rPr>
                <w:color w:val="C00000"/>
              </w:rPr>
              <w:t>The assessment of all components of suffering such as psychosocial distress should be considered and evaluated [II, B].</w:t>
            </w:r>
            <w:r w:rsidR="00D40E5E">
              <w:rPr>
                <w:color w:val="C00000"/>
              </w:rPr>
              <w:t xml:space="preserve"> (vii140)</w:t>
            </w:r>
          </w:p>
          <w:p w14:paraId="5B4B3A8A" w14:textId="77777777" w:rsidR="00905BC8" w:rsidRPr="00905BC8" w:rsidRDefault="00905BC8" w:rsidP="00905BC8">
            <w:pPr>
              <w:pStyle w:val="ListParagraph"/>
              <w:rPr>
                <w:color w:val="C00000"/>
              </w:rPr>
            </w:pPr>
          </w:p>
          <w:p w14:paraId="0731DA3F" w14:textId="762529B2" w:rsidR="00905BC8" w:rsidRDefault="00905BC8" w:rsidP="00905BC8">
            <w:pPr>
              <w:pStyle w:val="ListParagraph"/>
              <w:numPr>
                <w:ilvl w:val="0"/>
                <w:numId w:val="16"/>
              </w:numPr>
              <w:rPr>
                <w:color w:val="C00000"/>
              </w:rPr>
            </w:pPr>
            <w:r w:rsidRPr="00905BC8">
              <w:rPr>
                <w:color w:val="C00000"/>
              </w:rPr>
              <w:t>The analgesic treatment should start with drugs indicated by the WHO analgesic ladder appropriate for the severity of pain [II, B].</w:t>
            </w:r>
            <w:r w:rsidR="00C41042">
              <w:rPr>
                <w:color w:val="C00000"/>
              </w:rPr>
              <w:t xml:space="preserve"> (vii142)</w:t>
            </w:r>
          </w:p>
          <w:p w14:paraId="7C36072E" w14:textId="77777777" w:rsidR="00905BC8" w:rsidRDefault="00905BC8" w:rsidP="00905BC8">
            <w:pPr>
              <w:pStyle w:val="ListParagraph"/>
              <w:ind w:left="360" w:firstLine="0"/>
              <w:rPr>
                <w:color w:val="C00000"/>
              </w:rPr>
            </w:pPr>
          </w:p>
          <w:p w14:paraId="7829975A" w14:textId="33D92B39" w:rsidR="008D1211" w:rsidRPr="008D1211" w:rsidRDefault="008D1211" w:rsidP="008D1211">
            <w:pPr>
              <w:pStyle w:val="ListParagraph"/>
              <w:numPr>
                <w:ilvl w:val="0"/>
                <w:numId w:val="16"/>
              </w:numPr>
              <w:rPr>
                <w:color w:val="C00000"/>
              </w:rPr>
            </w:pPr>
            <w:r w:rsidRPr="008D1211">
              <w:rPr>
                <w:color w:val="C00000"/>
              </w:rPr>
              <w:t>The opioid of ﬁrst choice for moderate to severe cancer pain is oral morphine [IV, D]</w:t>
            </w:r>
            <w:r w:rsidR="00D40E5E">
              <w:rPr>
                <w:color w:val="C00000"/>
              </w:rPr>
              <w:t xml:space="preserve"> </w:t>
            </w:r>
            <w:r w:rsidR="00C41042">
              <w:rPr>
                <w:color w:val="C00000"/>
              </w:rPr>
              <w:t>(vii</w:t>
            </w:r>
            <w:r w:rsidR="00D40E5E">
              <w:rPr>
                <w:color w:val="C00000"/>
              </w:rPr>
              <w:t>143)</w:t>
            </w:r>
          </w:p>
          <w:p w14:paraId="32ADFA5B" w14:textId="09DD5897" w:rsidR="008D1211" w:rsidRPr="00E10E29" w:rsidRDefault="008D1211" w:rsidP="00E10E29">
            <w:pPr>
              <w:ind w:hanging="44"/>
              <w:rPr>
                <w:color w:val="C00000"/>
              </w:rPr>
            </w:pPr>
            <w:r w:rsidRPr="008D1211">
              <w:rPr>
                <w:color w:val="C00000"/>
              </w:rPr>
              <w:t xml:space="preserve"> Although the oral route of administration is advocated, patients presenting with severe pain that needs urgent relief should be treated and titrated with parenteral opioids, usually administered by the subcutaneous (s.c.) or intravenous (i.v.) route.</w:t>
            </w:r>
            <w:r w:rsidR="00D40E5E">
              <w:rPr>
                <w:color w:val="C00000"/>
              </w:rPr>
              <w:t xml:space="preserve"> </w:t>
            </w:r>
          </w:p>
          <w:p w14:paraId="06930A11" w14:textId="77777777" w:rsidR="009D1FEE" w:rsidRDefault="009D1FEE" w:rsidP="00685C74">
            <w:pPr>
              <w:ind w:left="0" w:firstLine="0"/>
            </w:pPr>
          </w:p>
        </w:tc>
      </w:tr>
      <w:tr w:rsidR="009D1FEE" w14:paraId="119BA738" w14:textId="77777777" w:rsidTr="00C41042">
        <w:tc>
          <w:tcPr>
            <w:tcW w:w="3415" w:type="dxa"/>
          </w:tcPr>
          <w:p w14:paraId="617F8E19" w14:textId="77777777" w:rsidR="009D1FEE" w:rsidRDefault="009D1FEE" w:rsidP="00685C74">
            <w:pPr>
              <w:ind w:left="0" w:firstLine="0"/>
            </w:pPr>
            <w:r>
              <w:t xml:space="preserve">Grade assigned to the </w:t>
            </w:r>
            <w:r w:rsidRPr="004E7215">
              <w:rPr>
                <w:b/>
              </w:rPr>
              <w:t>evidence</w:t>
            </w:r>
            <w:r>
              <w:t xml:space="preserve"> associated with the recommendation with the definition of the grade</w:t>
            </w:r>
          </w:p>
        </w:tc>
        <w:tc>
          <w:tcPr>
            <w:tcW w:w="5783" w:type="dxa"/>
          </w:tcPr>
          <w:p w14:paraId="5BB8440E" w14:textId="26765B11" w:rsidR="006D34A2" w:rsidRDefault="006D34A2" w:rsidP="008D1211">
            <w:pPr>
              <w:pStyle w:val="ListParagraph"/>
              <w:numPr>
                <w:ilvl w:val="0"/>
                <w:numId w:val="14"/>
              </w:numPr>
              <w:rPr>
                <w:color w:val="C00000"/>
              </w:rPr>
            </w:pPr>
            <w:r>
              <w:rPr>
                <w:color w:val="C00000"/>
              </w:rPr>
              <w:t>Level of Evidence [I]</w:t>
            </w:r>
          </w:p>
          <w:p w14:paraId="24DFDB92" w14:textId="00E13B9A" w:rsidR="008D1211" w:rsidRDefault="008D1211" w:rsidP="008D1211">
            <w:pPr>
              <w:pStyle w:val="ListParagraph"/>
              <w:numPr>
                <w:ilvl w:val="0"/>
                <w:numId w:val="14"/>
              </w:numPr>
              <w:rPr>
                <w:color w:val="C00000"/>
              </w:rPr>
            </w:pPr>
            <w:r w:rsidRPr="008D1211">
              <w:rPr>
                <w:color w:val="C00000"/>
              </w:rPr>
              <w:t xml:space="preserve">Level of Evidence [II] </w:t>
            </w:r>
          </w:p>
          <w:p w14:paraId="6888960B" w14:textId="0ADADD94" w:rsidR="00905BC8" w:rsidRDefault="00905BC8" w:rsidP="00905BC8">
            <w:pPr>
              <w:pStyle w:val="ListParagraph"/>
              <w:numPr>
                <w:ilvl w:val="0"/>
                <w:numId w:val="14"/>
              </w:numPr>
              <w:rPr>
                <w:color w:val="C00000"/>
              </w:rPr>
            </w:pPr>
            <w:r w:rsidRPr="008D1211">
              <w:rPr>
                <w:color w:val="C00000"/>
              </w:rPr>
              <w:t xml:space="preserve">Level of Evidence [II] </w:t>
            </w:r>
          </w:p>
          <w:p w14:paraId="09733D6D" w14:textId="75482210" w:rsidR="00905BC8" w:rsidRPr="00905BC8" w:rsidRDefault="00905BC8" w:rsidP="00905BC8">
            <w:pPr>
              <w:pStyle w:val="ListParagraph"/>
              <w:numPr>
                <w:ilvl w:val="0"/>
                <w:numId w:val="14"/>
              </w:numPr>
              <w:rPr>
                <w:color w:val="C00000"/>
              </w:rPr>
            </w:pPr>
            <w:r w:rsidRPr="008D1211">
              <w:rPr>
                <w:color w:val="C00000"/>
              </w:rPr>
              <w:t xml:space="preserve">Level of Evidence [II] </w:t>
            </w:r>
          </w:p>
          <w:p w14:paraId="757B2DDE" w14:textId="7E57CF7B" w:rsidR="009D1FEE" w:rsidRDefault="008D1211" w:rsidP="008D1211">
            <w:pPr>
              <w:pStyle w:val="ListParagraph"/>
              <w:numPr>
                <w:ilvl w:val="0"/>
                <w:numId w:val="14"/>
              </w:numPr>
            </w:pPr>
            <w:r w:rsidRPr="008D1211">
              <w:rPr>
                <w:color w:val="C00000"/>
              </w:rPr>
              <w:t>Level of Evidence [IV]</w:t>
            </w:r>
          </w:p>
        </w:tc>
      </w:tr>
      <w:tr w:rsidR="009D1FEE" w14:paraId="307ACA34" w14:textId="77777777" w:rsidTr="00C41042">
        <w:tc>
          <w:tcPr>
            <w:tcW w:w="3415" w:type="dxa"/>
          </w:tcPr>
          <w:p w14:paraId="1B6AD5B4" w14:textId="77777777" w:rsidR="009D1FEE" w:rsidRDefault="009D1FEE" w:rsidP="00685C74">
            <w:pPr>
              <w:ind w:left="0" w:firstLine="0"/>
            </w:pPr>
            <w:r>
              <w:t>Provide all other grades and definitions from the evidence grading system</w:t>
            </w:r>
          </w:p>
        </w:tc>
        <w:tc>
          <w:tcPr>
            <w:tcW w:w="5783" w:type="dxa"/>
          </w:tcPr>
          <w:p w14:paraId="66547073" w14:textId="77777777" w:rsidR="008D1211" w:rsidRPr="008D1211" w:rsidRDefault="008D1211" w:rsidP="008D1211">
            <w:pPr>
              <w:rPr>
                <w:color w:val="C00000"/>
                <w:u w:val="single"/>
              </w:rPr>
            </w:pPr>
            <w:r w:rsidRPr="008D1211">
              <w:rPr>
                <w:color w:val="C00000"/>
                <w:u w:val="single"/>
              </w:rPr>
              <w:t xml:space="preserve">Level of Evidence: </w:t>
            </w:r>
          </w:p>
          <w:p w14:paraId="506ACF22" w14:textId="77777777" w:rsidR="008D1211" w:rsidRPr="008D1211" w:rsidRDefault="008D1211" w:rsidP="008D1211">
            <w:pPr>
              <w:rPr>
                <w:color w:val="C00000"/>
              </w:rPr>
            </w:pPr>
          </w:p>
          <w:p w14:paraId="2C991FA6" w14:textId="77777777" w:rsidR="008D1211" w:rsidRPr="008D1211" w:rsidRDefault="008D1211" w:rsidP="008D1211">
            <w:pPr>
              <w:rPr>
                <w:color w:val="C00000"/>
              </w:rPr>
            </w:pPr>
            <w:r w:rsidRPr="008D1211">
              <w:rPr>
                <w:color w:val="C00000"/>
              </w:rPr>
              <w:t>I      Evidence from at least one large randomised, controlled trial of good methodological quality (low potential for bias) or meta-analyses of well- conducted randomised  trials without heterogeneity</w:t>
            </w:r>
          </w:p>
          <w:p w14:paraId="095FE40C" w14:textId="77777777" w:rsidR="008D1211" w:rsidRPr="008D1211" w:rsidRDefault="008D1211" w:rsidP="008D1211">
            <w:pPr>
              <w:rPr>
                <w:color w:val="C00000"/>
              </w:rPr>
            </w:pPr>
            <w:r w:rsidRPr="008D1211">
              <w:rPr>
                <w:color w:val="C00000"/>
              </w:rPr>
              <w:t>II     Small randomised trials or large randomised trials with a suspicion of bias (lower methodological quality) or meta-analyses of such trials or of trials with demonstrated heterogeneity</w:t>
            </w:r>
          </w:p>
          <w:p w14:paraId="3EBC5170" w14:textId="77777777" w:rsidR="008D1211" w:rsidRPr="008D1211" w:rsidRDefault="008D1211" w:rsidP="008D1211">
            <w:pPr>
              <w:rPr>
                <w:color w:val="C00000"/>
              </w:rPr>
            </w:pPr>
            <w:r w:rsidRPr="008D1211">
              <w:rPr>
                <w:color w:val="C00000"/>
              </w:rPr>
              <w:t>III    Prospective cohort studies</w:t>
            </w:r>
          </w:p>
          <w:p w14:paraId="598D0E8D" w14:textId="77777777" w:rsidR="008D1211" w:rsidRPr="008D1211" w:rsidRDefault="008D1211" w:rsidP="008D1211">
            <w:pPr>
              <w:rPr>
                <w:color w:val="C00000"/>
              </w:rPr>
            </w:pPr>
            <w:r w:rsidRPr="008D1211">
              <w:rPr>
                <w:color w:val="C00000"/>
              </w:rPr>
              <w:t>IV    Retrospective cohort studies or case–control studies</w:t>
            </w:r>
          </w:p>
          <w:p w14:paraId="13742166" w14:textId="77777777" w:rsidR="008D1211" w:rsidRPr="008D1211" w:rsidRDefault="008D1211" w:rsidP="008D1211">
            <w:pPr>
              <w:rPr>
                <w:color w:val="C00000"/>
              </w:rPr>
            </w:pPr>
            <w:r w:rsidRPr="008D1211">
              <w:rPr>
                <w:color w:val="C00000"/>
              </w:rPr>
              <w:t>V     Studies without control group, case reports, expert opinions</w:t>
            </w:r>
          </w:p>
          <w:p w14:paraId="6C95235E" w14:textId="77777777" w:rsidR="009D1FEE" w:rsidRDefault="009D1FEE" w:rsidP="00685C74">
            <w:pPr>
              <w:ind w:left="0" w:firstLine="0"/>
            </w:pPr>
          </w:p>
        </w:tc>
      </w:tr>
      <w:tr w:rsidR="009D1FEE" w14:paraId="15F0CFBC" w14:textId="77777777" w:rsidTr="00C41042">
        <w:tc>
          <w:tcPr>
            <w:tcW w:w="3415" w:type="dxa"/>
          </w:tcPr>
          <w:p w14:paraId="71AC0CDF" w14:textId="77777777" w:rsidR="009D1FEE" w:rsidRDefault="009D1FEE" w:rsidP="00685C74">
            <w:pPr>
              <w:ind w:left="0" w:firstLine="0"/>
            </w:pPr>
            <w:r>
              <w:lastRenderedPageBreak/>
              <w:t xml:space="preserve">Grade assigned to the </w:t>
            </w:r>
            <w:r w:rsidRPr="004E7215">
              <w:rPr>
                <w:b/>
              </w:rPr>
              <w:t>recommendation</w:t>
            </w:r>
            <w:r>
              <w:t xml:space="preserve"> with definition of the grade</w:t>
            </w:r>
          </w:p>
        </w:tc>
        <w:tc>
          <w:tcPr>
            <w:tcW w:w="5783" w:type="dxa"/>
          </w:tcPr>
          <w:p w14:paraId="55131F6A" w14:textId="0FFE1665" w:rsidR="006D34A2" w:rsidRDefault="006D34A2" w:rsidP="008D1211">
            <w:pPr>
              <w:pStyle w:val="ListParagraph"/>
              <w:numPr>
                <w:ilvl w:val="0"/>
                <w:numId w:val="15"/>
              </w:numPr>
              <w:rPr>
                <w:color w:val="C00000"/>
              </w:rPr>
            </w:pPr>
            <w:r>
              <w:rPr>
                <w:color w:val="C00000"/>
              </w:rPr>
              <w:t>Grade of Recommendation [A]</w:t>
            </w:r>
          </w:p>
          <w:p w14:paraId="6D5AD670" w14:textId="0CEC01F1" w:rsidR="009D1FEE" w:rsidRDefault="008D1211" w:rsidP="008D1211">
            <w:pPr>
              <w:pStyle w:val="ListParagraph"/>
              <w:numPr>
                <w:ilvl w:val="0"/>
                <w:numId w:val="15"/>
              </w:numPr>
              <w:rPr>
                <w:color w:val="C00000"/>
              </w:rPr>
            </w:pPr>
            <w:r w:rsidRPr="008D1211">
              <w:rPr>
                <w:color w:val="C00000"/>
              </w:rPr>
              <w:t>Grade of Recommendation [B]</w:t>
            </w:r>
          </w:p>
          <w:p w14:paraId="15A26AF2" w14:textId="77777777" w:rsidR="00905BC8" w:rsidRDefault="00905BC8" w:rsidP="00905BC8">
            <w:pPr>
              <w:pStyle w:val="ListParagraph"/>
              <w:numPr>
                <w:ilvl w:val="0"/>
                <w:numId w:val="15"/>
              </w:numPr>
              <w:rPr>
                <w:color w:val="C00000"/>
              </w:rPr>
            </w:pPr>
            <w:r w:rsidRPr="008D1211">
              <w:rPr>
                <w:color w:val="C00000"/>
              </w:rPr>
              <w:t>Grade of Recommendation [B]</w:t>
            </w:r>
          </w:p>
          <w:p w14:paraId="06EB9801" w14:textId="52892FA5" w:rsidR="00905BC8" w:rsidRPr="00905BC8" w:rsidRDefault="00905BC8" w:rsidP="00905BC8">
            <w:pPr>
              <w:pStyle w:val="ListParagraph"/>
              <w:numPr>
                <w:ilvl w:val="0"/>
                <w:numId w:val="15"/>
              </w:numPr>
              <w:rPr>
                <w:color w:val="C00000"/>
              </w:rPr>
            </w:pPr>
            <w:r w:rsidRPr="008D1211">
              <w:rPr>
                <w:color w:val="C00000"/>
              </w:rPr>
              <w:t>Grade of Recommendation [B]</w:t>
            </w:r>
          </w:p>
          <w:p w14:paraId="7076BB00" w14:textId="0541A4CC" w:rsidR="008D1211" w:rsidRDefault="008D1211" w:rsidP="008D1211">
            <w:pPr>
              <w:pStyle w:val="ListParagraph"/>
              <w:numPr>
                <w:ilvl w:val="0"/>
                <w:numId w:val="15"/>
              </w:numPr>
            </w:pPr>
            <w:r w:rsidRPr="008D1211">
              <w:rPr>
                <w:color w:val="C00000"/>
              </w:rPr>
              <w:t>Grade of Recommendation [D]</w:t>
            </w:r>
          </w:p>
        </w:tc>
      </w:tr>
      <w:tr w:rsidR="009D1FEE" w14:paraId="1BB15C59" w14:textId="77777777" w:rsidTr="00C41042">
        <w:tc>
          <w:tcPr>
            <w:tcW w:w="3415" w:type="dxa"/>
          </w:tcPr>
          <w:p w14:paraId="525E25F4" w14:textId="77777777" w:rsidR="009D1FEE" w:rsidRDefault="009D1FEE" w:rsidP="00685C74">
            <w:pPr>
              <w:ind w:left="0" w:firstLine="0"/>
            </w:pPr>
            <w:r>
              <w:t>Provide all other grades and definitions from the recommendation grading system</w:t>
            </w:r>
          </w:p>
        </w:tc>
        <w:tc>
          <w:tcPr>
            <w:tcW w:w="5783" w:type="dxa"/>
          </w:tcPr>
          <w:p w14:paraId="40E0C961" w14:textId="77777777" w:rsidR="008D1211" w:rsidRPr="00DC7140" w:rsidRDefault="008D1211" w:rsidP="008D1211">
            <w:pPr>
              <w:ind w:left="0" w:firstLine="0"/>
              <w:rPr>
                <w:color w:val="C00000"/>
              </w:rPr>
            </w:pPr>
            <w:r w:rsidRPr="00DC7140">
              <w:rPr>
                <w:color w:val="C00000"/>
                <w:u w:val="single"/>
              </w:rPr>
              <w:t>Grades of recommendation</w:t>
            </w:r>
            <w:r w:rsidRPr="00DC7140">
              <w:rPr>
                <w:color w:val="C00000"/>
              </w:rPr>
              <w:t>:</w:t>
            </w:r>
          </w:p>
          <w:p w14:paraId="0A9A52A7" w14:textId="77777777" w:rsidR="008D1211" w:rsidRPr="00DC7140" w:rsidRDefault="008D1211" w:rsidP="008D1211">
            <w:pPr>
              <w:ind w:left="0" w:firstLine="0"/>
              <w:rPr>
                <w:color w:val="C00000"/>
              </w:rPr>
            </w:pPr>
          </w:p>
          <w:p w14:paraId="5D617DEC" w14:textId="77777777" w:rsidR="008D1211" w:rsidRPr="00DC7140" w:rsidRDefault="008D1211" w:rsidP="008D1211">
            <w:pPr>
              <w:ind w:left="0" w:firstLine="0"/>
              <w:rPr>
                <w:color w:val="C00000"/>
              </w:rPr>
            </w:pPr>
            <w:r w:rsidRPr="00DC7140">
              <w:rPr>
                <w:color w:val="C00000"/>
              </w:rPr>
              <w:t>A     Strong evidence for efficacy with a substantial clinical benefit, strongly recommended</w:t>
            </w:r>
          </w:p>
          <w:p w14:paraId="0028BBDA" w14:textId="77777777" w:rsidR="008D1211" w:rsidRPr="00DC7140" w:rsidRDefault="008D1211" w:rsidP="008D1211">
            <w:pPr>
              <w:ind w:left="0" w:firstLine="0"/>
              <w:rPr>
                <w:color w:val="C00000"/>
              </w:rPr>
            </w:pPr>
            <w:r w:rsidRPr="00DC7140">
              <w:rPr>
                <w:color w:val="C00000"/>
              </w:rPr>
              <w:t>B     Strong or moderate evidence for efficacy but with  a limited clinical benefit, generally recommended</w:t>
            </w:r>
          </w:p>
          <w:p w14:paraId="35BB4A00" w14:textId="77777777" w:rsidR="008D1211" w:rsidRPr="00DC7140" w:rsidRDefault="008D1211" w:rsidP="008D1211">
            <w:pPr>
              <w:ind w:left="0" w:firstLine="0"/>
              <w:rPr>
                <w:color w:val="C00000"/>
              </w:rPr>
            </w:pPr>
            <w:r w:rsidRPr="00DC7140">
              <w:rPr>
                <w:color w:val="C00000"/>
              </w:rPr>
              <w:t>C     Insufficient evidence for efficacy or benefit does not outweigh the risk or the disadvantages (adverse events, costs, ...), optional</w:t>
            </w:r>
          </w:p>
          <w:p w14:paraId="6D12B77E" w14:textId="77777777" w:rsidR="008D1211" w:rsidRPr="00DC7140" w:rsidRDefault="008D1211" w:rsidP="008D1211">
            <w:pPr>
              <w:ind w:left="0" w:firstLine="0"/>
              <w:rPr>
                <w:color w:val="C00000"/>
              </w:rPr>
            </w:pPr>
            <w:r w:rsidRPr="00DC7140">
              <w:rPr>
                <w:color w:val="C00000"/>
              </w:rPr>
              <w:t>D     Moderate evidence against efficacy or for adverse outcome, generally not recommended</w:t>
            </w:r>
          </w:p>
          <w:p w14:paraId="00E2E680" w14:textId="02164EAB" w:rsidR="009D1FEE" w:rsidRPr="00DC7140" w:rsidRDefault="008D1211" w:rsidP="008D1211">
            <w:pPr>
              <w:ind w:left="0" w:firstLine="0"/>
              <w:rPr>
                <w:color w:val="C00000"/>
              </w:rPr>
            </w:pPr>
            <w:r w:rsidRPr="00DC7140">
              <w:rPr>
                <w:color w:val="C00000"/>
              </w:rPr>
              <w:t>E      Strong evidence against efficacy or for adverse outcome, never Recommended</w:t>
            </w:r>
          </w:p>
        </w:tc>
      </w:tr>
      <w:tr w:rsidR="009D1FEE" w14:paraId="2BCB73ED" w14:textId="77777777" w:rsidTr="00C41042">
        <w:tc>
          <w:tcPr>
            <w:tcW w:w="3415" w:type="dxa"/>
          </w:tcPr>
          <w:p w14:paraId="7E307D60" w14:textId="77777777" w:rsidR="009D1FEE" w:rsidRDefault="009D1FEE" w:rsidP="00685C74">
            <w:pPr>
              <w:ind w:left="0" w:firstLine="0"/>
            </w:pPr>
            <w:r>
              <w:t>Body of evidence:</w:t>
            </w:r>
          </w:p>
          <w:p w14:paraId="2546B650" w14:textId="77777777" w:rsidR="009D1FEE" w:rsidRDefault="009D1FEE" w:rsidP="00685C74">
            <w:pPr>
              <w:pStyle w:val="ListParagraph"/>
              <w:numPr>
                <w:ilvl w:val="0"/>
                <w:numId w:val="10"/>
              </w:numPr>
            </w:pPr>
            <w:r>
              <w:t>Quantity – how many studies?</w:t>
            </w:r>
          </w:p>
          <w:p w14:paraId="24CCE29F" w14:textId="77777777" w:rsidR="009D1FEE" w:rsidRDefault="009D1FEE" w:rsidP="00685C74">
            <w:pPr>
              <w:pStyle w:val="ListParagraph"/>
              <w:numPr>
                <w:ilvl w:val="0"/>
                <w:numId w:val="10"/>
              </w:numPr>
            </w:pPr>
            <w:r>
              <w:t>Quality – what type of studies?</w:t>
            </w:r>
          </w:p>
        </w:tc>
        <w:tc>
          <w:tcPr>
            <w:tcW w:w="5783" w:type="dxa"/>
          </w:tcPr>
          <w:p w14:paraId="440BA946" w14:textId="77777777" w:rsidR="00DC7140" w:rsidRPr="00DC7140" w:rsidRDefault="00DC7140" w:rsidP="00685C74">
            <w:pPr>
              <w:ind w:left="0" w:firstLine="0"/>
              <w:rPr>
                <w:color w:val="C00000"/>
              </w:rPr>
            </w:pPr>
            <w:r w:rsidRPr="00DC7140">
              <w:rPr>
                <w:color w:val="C00000"/>
              </w:rPr>
              <w:t xml:space="preserve">17 clinical trials/22 systematic reviews are cited in the ESMO guideline. </w:t>
            </w:r>
          </w:p>
          <w:p w14:paraId="35871EEF" w14:textId="77777777" w:rsidR="00DC7140" w:rsidRPr="00DC7140" w:rsidRDefault="00DC7140" w:rsidP="00685C74">
            <w:pPr>
              <w:ind w:left="0" w:firstLine="0"/>
              <w:rPr>
                <w:color w:val="C00000"/>
              </w:rPr>
            </w:pPr>
          </w:p>
          <w:p w14:paraId="44605CA5" w14:textId="34B36D48" w:rsidR="00DC7140" w:rsidRPr="00DC7140" w:rsidRDefault="00DC7140" w:rsidP="00685C74">
            <w:pPr>
              <w:ind w:left="0" w:firstLine="0"/>
              <w:rPr>
                <w:color w:val="C00000"/>
              </w:rPr>
            </w:pPr>
            <w:r w:rsidRPr="00DC7140">
              <w:rPr>
                <w:color w:val="C00000"/>
              </w:rPr>
              <w:t xml:space="preserve">The ESMO guideline does not summarize the quality of different randomized clinical trials nor the systematic reviews. </w:t>
            </w:r>
          </w:p>
          <w:p w14:paraId="631EB325" w14:textId="2641C647" w:rsidR="009D1FEE" w:rsidRPr="00DC7140" w:rsidRDefault="009D1FEE" w:rsidP="00685C74">
            <w:pPr>
              <w:ind w:left="0" w:firstLine="0"/>
              <w:rPr>
                <w:color w:val="C00000"/>
              </w:rPr>
            </w:pPr>
          </w:p>
        </w:tc>
      </w:tr>
      <w:tr w:rsidR="009D1FEE" w14:paraId="0D7E8DB1" w14:textId="77777777" w:rsidTr="00C41042">
        <w:tc>
          <w:tcPr>
            <w:tcW w:w="3415" w:type="dxa"/>
          </w:tcPr>
          <w:p w14:paraId="372B0AA3" w14:textId="77777777" w:rsidR="009D1FEE" w:rsidRDefault="009D1FEE" w:rsidP="00685C74">
            <w:pPr>
              <w:ind w:left="0" w:firstLine="0"/>
            </w:pPr>
            <w:r>
              <w:t xml:space="preserve">Estimates of benefit and consistency across studies </w:t>
            </w:r>
          </w:p>
        </w:tc>
        <w:tc>
          <w:tcPr>
            <w:tcW w:w="5783" w:type="dxa"/>
          </w:tcPr>
          <w:p w14:paraId="0943EA42" w14:textId="409A5248" w:rsidR="009D1FEE" w:rsidRDefault="001275C4" w:rsidP="00685C74">
            <w:pPr>
              <w:ind w:left="0" w:firstLine="0"/>
            </w:pPr>
            <w:r w:rsidRPr="001275C4">
              <w:rPr>
                <w:color w:val="C00000"/>
              </w:rPr>
              <w:t xml:space="preserve">Not Available </w:t>
            </w:r>
          </w:p>
        </w:tc>
      </w:tr>
      <w:tr w:rsidR="009D1FEE" w14:paraId="6657AB08" w14:textId="77777777" w:rsidTr="00C41042">
        <w:tc>
          <w:tcPr>
            <w:tcW w:w="3415" w:type="dxa"/>
          </w:tcPr>
          <w:p w14:paraId="4B0E7D1E" w14:textId="77777777" w:rsidR="009D1FEE" w:rsidRDefault="009D1FEE" w:rsidP="00685C74">
            <w:pPr>
              <w:ind w:left="0" w:firstLine="0"/>
            </w:pPr>
            <w:r>
              <w:t>What harms were identified?</w:t>
            </w:r>
          </w:p>
        </w:tc>
        <w:tc>
          <w:tcPr>
            <w:tcW w:w="5783" w:type="dxa"/>
          </w:tcPr>
          <w:p w14:paraId="05E2BC1F" w14:textId="4FAF2300" w:rsidR="009D1FEE" w:rsidRPr="008D1211" w:rsidRDefault="008D1211" w:rsidP="00685C74">
            <w:pPr>
              <w:ind w:left="0" w:firstLine="0"/>
              <w:rPr>
                <w:color w:val="C00000"/>
              </w:rPr>
            </w:pPr>
            <w:r w:rsidRPr="008D1211">
              <w:rPr>
                <w:color w:val="C00000"/>
              </w:rPr>
              <w:t>Many patients develop adverse effects such as constipation, nausea/vomiting, urinary retention, pruritus and central nervous system (CNS) toxicity (drowsiness, cognitive impairment, confusion, hallucinations, myoclonic jerks and—rarely—opioid-induced hyperalgesia/allodynia). Sometimes, the reduction of the opioid dose may reduce the incidence and/or severity of adverse events. This may be achieved by using a coanalgesic or an alternative approach such as a nerve block or radiotherapy (RT). Other strategi</w:t>
            </w:r>
            <w:r w:rsidR="005C240A">
              <w:rPr>
                <w:color w:val="C00000"/>
              </w:rPr>
              <w:t xml:space="preserve">es include the continued use of </w:t>
            </w:r>
            <w:r w:rsidRPr="008D1211">
              <w:rPr>
                <w:color w:val="C00000"/>
              </w:rPr>
              <w:t>antiemetics for naus</w:t>
            </w:r>
            <w:r w:rsidR="005C240A">
              <w:rPr>
                <w:color w:val="C00000"/>
              </w:rPr>
              <w:t xml:space="preserve">ea, laxatives for constipation, </w:t>
            </w:r>
            <w:r w:rsidRPr="008D1211">
              <w:rPr>
                <w:color w:val="C00000"/>
              </w:rPr>
              <w:t xml:space="preserve">major tranquilizers for confusion and psychostimulants for drowsiness. However, since some of the side effects may be caused by a Dose reduction or opioid switching is a potential effective way to manage delirium, hallucination, myoclonus and hyperalgesia. Treatment of opioid-related constipation: there is a strong recommendation to routinely prescribe laxatives for prophylaxis and management of opioid-induced constipation. Methylnaltrexone administered by subcutaneous injection </w:t>
            </w:r>
            <w:r w:rsidRPr="008D1211">
              <w:rPr>
                <w:color w:val="C00000"/>
              </w:rPr>
              <w:lastRenderedPageBreak/>
              <w:t>should be used in the treatment of opioid-related constipation resistant to traditional laxatives.</w:t>
            </w:r>
          </w:p>
        </w:tc>
      </w:tr>
      <w:tr w:rsidR="009D1FEE" w14:paraId="07686C54" w14:textId="77777777" w:rsidTr="00C41042">
        <w:tc>
          <w:tcPr>
            <w:tcW w:w="3415" w:type="dxa"/>
          </w:tcPr>
          <w:p w14:paraId="4C492D78" w14:textId="77777777" w:rsidR="009D1FEE" w:rsidRDefault="009D1FEE" w:rsidP="00685C74">
            <w:pPr>
              <w:ind w:left="0" w:firstLine="0"/>
            </w:pPr>
            <w:r>
              <w:lastRenderedPageBreak/>
              <w:t>Identify any new studies conducted since the SR. Do the new studies change the conclusions from the SR?</w:t>
            </w:r>
          </w:p>
        </w:tc>
        <w:tc>
          <w:tcPr>
            <w:tcW w:w="5783" w:type="dxa"/>
          </w:tcPr>
          <w:p w14:paraId="2E622D16" w14:textId="6BBEDD69" w:rsidR="009D1FEE" w:rsidRPr="008D1211" w:rsidRDefault="008D1211" w:rsidP="00685C74">
            <w:pPr>
              <w:ind w:left="0" w:firstLine="0"/>
              <w:rPr>
                <w:color w:val="C00000"/>
              </w:rPr>
            </w:pPr>
            <w:r w:rsidRPr="008D1211">
              <w:rPr>
                <w:color w:val="C00000"/>
              </w:rPr>
              <w:t xml:space="preserve">Not Applicable </w:t>
            </w:r>
          </w:p>
        </w:tc>
      </w:tr>
    </w:tbl>
    <w:p w14:paraId="7E19D6E6" w14:textId="61769E6E" w:rsidR="009D1FEE" w:rsidRDefault="009D1FEE" w:rsidP="002E2177">
      <w:pPr>
        <w:ind w:left="0" w:firstLine="0"/>
      </w:pPr>
    </w:p>
    <w:p w14:paraId="1EA8D0C8" w14:textId="4460FAB1" w:rsidR="009D1FEE" w:rsidRDefault="009D1FEE" w:rsidP="002E2177">
      <w:pPr>
        <w:ind w:left="0" w:firstLine="0"/>
      </w:pPr>
    </w:p>
    <w:p w14:paraId="577E2FBE" w14:textId="77777777" w:rsidR="009D1FEE" w:rsidRPr="003B1CC5" w:rsidRDefault="009D1FEE"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2BA67DBC" w:rsidR="000E5C93" w:rsidRDefault="000E5C93" w:rsidP="002E2177">
      <w:pPr>
        <w:ind w:left="0" w:firstLine="0"/>
        <w:rPr>
          <w:b/>
        </w:rPr>
      </w:pPr>
    </w:p>
    <w:p w14:paraId="2D325882" w14:textId="758B9E13" w:rsidR="008D1211" w:rsidRPr="008D1211" w:rsidRDefault="008D1211" w:rsidP="002E2177">
      <w:pPr>
        <w:ind w:left="0" w:firstLine="0"/>
      </w:pPr>
      <w:r w:rsidRPr="008D1211">
        <w:t xml:space="preserve">Not Applicable </w:t>
      </w:r>
    </w:p>
    <w:p w14:paraId="083C299B" w14:textId="77777777" w:rsidR="008D1211" w:rsidRDefault="008D1211"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4B12FFBB" w14:textId="77777777" w:rsidR="008D1211" w:rsidRPr="008D1211" w:rsidRDefault="008D1211" w:rsidP="008D1211">
      <w:pPr>
        <w:ind w:left="0" w:firstLine="0"/>
      </w:pPr>
      <w:r w:rsidRPr="008D1211">
        <w:t xml:space="preserve">Not Applicable </w:t>
      </w:r>
    </w:p>
    <w:p w14:paraId="55B8DA9C" w14:textId="77777777" w:rsidR="00837121" w:rsidRPr="003B1CC5" w:rsidRDefault="00837121" w:rsidP="002E2177">
      <w:pPr>
        <w:ind w:left="0" w:firstLine="0"/>
      </w:pPr>
    </w:p>
    <w:p w14:paraId="55B8DA9D" w14:textId="54C07DD3"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54496035" w14:textId="77777777" w:rsidR="008D1211" w:rsidRDefault="008D1211" w:rsidP="008D1211">
      <w:pPr>
        <w:ind w:left="0" w:firstLine="0"/>
      </w:pPr>
    </w:p>
    <w:p w14:paraId="4AFA196B" w14:textId="347A5631" w:rsidR="008D1211" w:rsidRPr="008D1211" w:rsidRDefault="008D1211" w:rsidP="008D1211">
      <w:pPr>
        <w:ind w:left="0" w:firstLine="0"/>
      </w:pPr>
      <w:r w:rsidRPr="008D1211">
        <w:t xml:space="preserve">Not Applicable </w:t>
      </w:r>
    </w:p>
    <w:p w14:paraId="77A7DF9D" w14:textId="77777777" w:rsidR="008D1211" w:rsidRPr="001B772D" w:rsidRDefault="008D1211" w:rsidP="002E2177">
      <w:pPr>
        <w:ind w:left="0" w:firstLine="0"/>
      </w:pPr>
    </w:p>
    <w:sectPr w:rsidR="008D121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MS Mincho"/>
    <w:panose1 w:val="020B0604020202020204"/>
    <w:charset w:val="80"/>
    <w:family w:val="swiss"/>
    <w:pitch w:val="variable"/>
    <w:sig w:usb0="00000000"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6E122A9E"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933B7">
      <w:rPr>
        <w:noProof/>
      </w:rPr>
      <w:t>8</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3BFF"/>
    <w:multiLevelType w:val="hybridMultilevel"/>
    <w:tmpl w:val="32044744"/>
    <w:lvl w:ilvl="0" w:tplc="72687D8C">
      <w:start w:val="1"/>
      <w:numFmt w:val="decimal"/>
      <w:lvlText w:val="%1."/>
      <w:lvlJc w:val="left"/>
      <w:pPr>
        <w:ind w:left="360" w:hanging="360"/>
      </w:pPr>
      <w:rPr>
        <w:rFonts w:hint="default"/>
        <w:color w:val="C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012A70"/>
    <w:multiLevelType w:val="hybridMultilevel"/>
    <w:tmpl w:val="C5FA8ADC"/>
    <w:lvl w:ilvl="0" w:tplc="04090001">
      <w:start w:val="1"/>
      <w:numFmt w:val="bullet"/>
      <w:lvlText w:val=""/>
      <w:lvlJc w:val="left"/>
      <w:pPr>
        <w:ind w:left="720" w:hanging="360"/>
      </w:pPr>
      <w:rPr>
        <w:rFonts w:ascii="Symbol" w:hAnsi="Symbol" w:hint="default"/>
      </w:rPr>
    </w:lvl>
    <w:lvl w:ilvl="1" w:tplc="CC0C8316">
      <w:numFmt w:val="bullet"/>
      <w:lvlText w:val=""/>
      <w:lvlJc w:val="left"/>
      <w:pPr>
        <w:ind w:left="1440" w:hanging="360"/>
      </w:pPr>
      <w:rPr>
        <w:rFonts w:ascii="Wingdings" w:eastAsiaTheme="minorHAnsi" w:hAnsi="Wingdings" w:cstheme="minorHAnsi" w:hint="default"/>
        <w:color w:val="C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4AF546D"/>
    <w:multiLevelType w:val="hybridMultilevel"/>
    <w:tmpl w:val="9B1055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E36668"/>
    <w:multiLevelType w:val="hybridMultilevel"/>
    <w:tmpl w:val="57D61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156AEE"/>
    <w:multiLevelType w:val="hybridMultilevel"/>
    <w:tmpl w:val="EB6C3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C72443"/>
    <w:multiLevelType w:val="hybridMultilevel"/>
    <w:tmpl w:val="9A44B88C"/>
    <w:lvl w:ilvl="0" w:tplc="62247154">
      <w:start w:val="1"/>
      <w:numFmt w:val="decimal"/>
      <w:lvlText w:val="%1."/>
      <w:lvlJc w:val="left"/>
      <w:pPr>
        <w:ind w:left="360" w:hanging="360"/>
      </w:pPr>
      <w:rPr>
        <w:rFonts w:hint="default"/>
        <w:color w:val="C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9"/>
  </w:num>
  <w:num w:numId="3">
    <w:abstractNumId w:val="2"/>
  </w:num>
  <w:num w:numId="4">
    <w:abstractNumId w:val="3"/>
  </w:num>
  <w:num w:numId="5">
    <w:abstractNumId w:val="5"/>
  </w:num>
  <w:num w:numId="6">
    <w:abstractNumId w:val="4"/>
  </w:num>
  <w:num w:numId="7">
    <w:abstractNumId w:val="13"/>
  </w:num>
  <w:num w:numId="8">
    <w:abstractNumId w:val="11"/>
  </w:num>
  <w:num w:numId="9">
    <w:abstractNumId w:val="14"/>
  </w:num>
  <w:num w:numId="10">
    <w:abstractNumId w:val="1"/>
  </w:num>
  <w:num w:numId="11">
    <w:abstractNumId w:val="8"/>
  </w:num>
  <w:num w:numId="12">
    <w:abstractNumId w:val="15"/>
  </w:num>
  <w:num w:numId="13">
    <w:abstractNumId w:val="6"/>
  </w:num>
  <w:num w:numId="14">
    <w:abstractNumId w:val="16"/>
  </w:num>
  <w:num w:numId="15">
    <w:abstractNumId w:val="0"/>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275C4"/>
    <w:rsid w:val="00132070"/>
    <w:rsid w:val="00141875"/>
    <w:rsid w:val="0014347E"/>
    <w:rsid w:val="00150CC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73E74"/>
    <w:rsid w:val="004922E4"/>
    <w:rsid w:val="00496AF8"/>
    <w:rsid w:val="004A575D"/>
    <w:rsid w:val="004B65C6"/>
    <w:rsid w:val="004D1DC7"/>
    <w:rsid w:val="004E1EE8"/>
    <w:rsid w:val="004E7215"/>
    <w:rsid w:val="004F7D7E"/>
    <w:rsid w:val="00500B0C"/>
    <w:rsid w:val="00537150"/>
    <w:rsid w:val="00540984"/>
    <w:rsid w:val="00543851"/>
    <w:rsid w:val="0055559D"/>
    <w:rsid w:val="005569AE"/>
    <w:rsid w:val="005857F8"/>
    <w:rsid w:val="005B0D18"/>
    <w:rsid w:val="005B12C3"/>
    <w:rsid w:val="005B409D"/>
    <w:rsid w:val="005C240A"/>
    <w:rsid w:val="005D0FDB"/>
    <w:rsid w:val="005D25E9"/>
    <w:rsid w:val="005D6D59"/>
    <w:rsid w:val="0061327A"/>
    <w:rsid w:val="00617390"/>
    <w:rsid w:val="00623420"/>
    <w:rsid w:val="00634768"/>
    <w:rsid w:val="0063596F"/>
    <w:rsid w:val="006709EB"/>
    <w:rsid w:val="00672824"/>
    <w:rsid w:val="00676BD4"/>
    <w:rsid w:val="00680933"/>
    <w:rsid w:val="0068184A"/>
    <w:rsid w:val="006920BA"/>
    <w:rsid w:val="006A0249"/>
    <w:rsid w:val="006A6B42"/>
    <w:rsid w:val="006B3261"/>
    <w:rsid w:val="006B5C51"/>
    <w:rsid w:val="006C7F30"/>
    <w:rsid w:val="006D34A2"/>
    <w:rsid w:val="006D43FF"/>
    <w:rsid w:val="006E6FDD"/>
    <w:rsid w:val="006F137B"/>
    <w:rsid w:val="006F4B7F"/>
    <w:rsid w:val="006F760B"/>
    <w:rsid w:val="00701CC3"/>
    <w:rsid w:val="00711265"/>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D1211"/>
    <w:rsid w:val="008F1DC6"/>
    <w:rsid w:val="008F6F51"/>
    <w:rsid w:val="00905BC8"/>
    <w:rsid w:val="00905C5B"/>
    <w:rsid w:val="00923295"/>
    <w:rsid w:val="00925F11"/>
    <w:rsid w:val="00935265"/>
    <w:rsid w:val="0094689F"/>
    <w:rsid w:val="009477D6"/>
    <w:rsid w:val="00953ED3"/>
    <w:rsid w:val="00965FF6"/>
    <w:rsid w:val="009846D6"/>
    <w:rsid w:val="0098657F"/>
    <w:rsid w:val="009933B7"/>
    <w:rsid w:val="009A3236"/>
    <w:rsid w:val="009B5A93"/>
    <w:rsid w:val="009B5BEA"/>
    <w:rsid w:val="009C291F"/>
    <w:rsid w:val="009D1FEE"/>
    <w:rsid w:val="009E37BD"/>
    <w:rsid w:val="009E6B86"/>
    <w:rsid w:val="00A03301"/>
    <w:rsid w:val="00A12762"/>
    <w:rsid w:val="00A13867"/>
    <w:rsid w:val="00A26FED"/>
    <w:rsid w:val="00A421D4"/>
    <w:rsid w:val="00A44FF0"/>
    <w:rsid w:val="00A50E55"/>
    <w:rsid w:val="00A67EB1"/>
    <w:rsid w:val="00A75F13"/>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042"/>
    <w:rsid w:val="00C41794"/>
    <w:rsid w:val="00C46677"/>
    <w:rsid w:val="00C5180E"/>
    <w:rsid w:val="00C54E40"/>
    <w:rsid w:val="00C55F56"/>
    <w:rsid w:val="00C57BA4"/>
    <w:rsid w:val="00C613EB"/>
    <w:rsid w:val="00C71C1A"/>
    <w:rsid w:val="00C84623"/>
    <w:rsid w:val="00CB06C9"/>
    <w:rsid w:val="00CB1E41"/>
    <w:rsid w:val="00CB271C"/>
    <w:rsid w:val="00CB3761"/>
    <w:rsid w:val="00CC0F87"/>
    <w:rsid w:val="00CE4F96"/>
    <w:rsid w:val="00CF0AB1"/>
    <w:rsid w:val="00CF4B9B"/>
    <w:rsid w:val="00CF55E6"/>
    <w:rsid w:val="00CF772F"/>
    <w:rsid w:val="00D048DB"/>
    <w:rsid w:val="00D14F0B"/>
    <w:rsid w:val="00D178CA"/>
    <w:rsid w:val="00D3311C"/>
    <w:rsid w:val="00D40E5E"/>
    <w:rsid w:val="00D53405"/>
    <w:rsid w:val="00D5457B"/>
    <w:rsid w:val="00D72995"/>
    <w:rsid w:val="00D72C27"/>
    <w:rsid w:val="00D73685"/>
    <w:rsid w:val="00DA7FA2"/>
    <w:rsid w:val="00DC2D8D"/>
    <w:rsid w:val="00DC7140"/>
    <w:rsid w:val="00DC7F67"/>
    <w:rsid w:val="00DE1F5D"/>
    <w:rsid w:val="00DE50D8"/>
    <w:rsid w:val="00DF278A"/>
    <w:rsid w:val="00E10E29"/>
    <w:rsid w:val="00E1664B"/>
    <w:rsid w:val="00E30D12"/>
    <w:rsid w:val="00E3394E"/>
    <w:rsid w:val="00E35241"/>
    <w:rsid w:val="00E40B65"/>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EF571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unhideWhenUsed/>
    <w:qFormat/>
    <w:rsid w:val="00D72C2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eading4Char">
    <w:name w:val="Heading 4 Char"/>
    <w:basedOn w:val="DefaultParagraphFont"/>
    <w:link w:val="Heading4"/>
    <w:uiPriority w:val="9"/>
    <w:rsid w:val="00D72C27"/>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jpsmjournal.com/article/S0885-3924(16)30048-3/fulltex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jamanetwork.com/journals/jamainternalmedicine/fullarticle/486669" TargetMode="External"/><Relationship Id="rId2" Type="http://schemas.openxmlformats.org/officeDocument/2006/relationships/customXml" Target="../customXml/item2.xml"/><Relationship Id="rId16" Type="http://schemas.openxmlformats.org/officeDocument/2006/relationships/hyperlink" Target="https://www.nccn.org/professionals/physician_gls/pdf/pai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www.esmo.org/Guidelines/Supportive-and-Palliative-Care/Management-of-Cancer-Pa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82B151534EE4AE5964DBD86504A7956"/>
        <w:category>
          <w:name w:val="General"/>
          <w:gallery w:val="placeholder"/>
        </w:category>
        <w:types>
          <w:type w:val="bbPlcHdr"/>
        </w:types>
        <w:behaviors>
          <w:behavior w:val="content"/>
        </w:behaviors>
        <w:guid w:val="{84C844F0-FC6A-4763-953E-965B1FB67726}"/>
      </w:docPartPr>
      <w:docPartBody>
        <w:p w:rsidR="00A02532" w:rsidRDefault="00041122" w:rsidP="00041122">
          <w:pPr>
            <w:pStyle w:val="582B151534EE4AE5964DBD86504A7956"/>
          </w:pPr>
          <w:r w:rsidRPr="003B1CC5">
            <w:rPr>
              <w:rStyle w:val="PlaceholderText"/>
            </w:rPr>
            <w:t>Click here to enter NQF number</w:t>
          </w:r>
        </w:p>
      </w:docPartBody>
    </w:docPart>
    <w:docPart>
      <w:docPartPr>
        <w:name w:val="3A3B08254E984359A97B3D82A9D84371"/>
        <w:category>
          <w:name w:val="General"/>
          <w:gallery w:val="placeholder"/>
        </w:category>
        <w:types>
          <w:type w:val="bbPlcHdr"/>
        </w:types>
        <w:behaviors>
          <w:behavior w:val="content"/>
        </w:behaviors>
        <w:guid w:val="{25D48B54-AFB5-479B-B8A2-27FEEFF841DF}"/>
      </w:docPartPr>
      <w:docPartBody>
        <w:p w:rsidR="00A02532" w:rsidRDefault="00041122" w:rsidP="00041122">
          <w:pPr>
            <w:pStyle w:val="3A3B08254E984359A97B3D82A9D84371"/>
          </w:pPr>
          <w:r w:rsidRPr="003B1CC5">
            <w:rPr>
              <w:rStyle w:val="PlaceholderText"/>
              <w:rFonts w:cstheme="minorHAnsi"/>
              <w:color w:val="A6A6A6" w:themeColor="background1" w:themeShade="A6"/>
            </w:rPr>
            <w:t>Click here to enter measure title</w:t>
          </w:r>
        </w:p>
      </w:docPartBody>
    </w:docPart>
    <w:docPart>
      <w:docPartPr>
        <w:name w:val="1897D90F416E456FBE2AD32BFD19F8B1"/>
        <w:category>
          <w:name w:val="General"/>
          <w:gallery w:val="placeholder"/>
        </w:category>
        <w:types>
          <w:type w:val="bbPlcHdr"/>
        </w:types>
        <w:behaviors>
          <w:behavior w:val="content"/>
        </w:behaviors>
        <w:guid w:val="{98DF28A4-4D61-4358-AF73-0678BA86A92F}"/>
      </w:docPartPr>
      <w:docPartBody>
        <w:p w:rsidR="00A02532" w:rsidRDefault="00041122" w:rsidP="00041122">
          <w:pPr>
            <w:pStyle w:val="1897D90F416E456FBE2AD32BFD19F8B1"/>
          </w:pPr>
          <w:bookmarkStart w:id="0" w:name="_GoBack"/>
          <w:r w:rsidRPr="00A25024">
            <w:rPr>
              <w:rStyle w:val="PlaceholderText"/>
              <w:rFonts w:cstheme="minorHAnsi"/>
              <w:color w:val="A6A6A6" w:themeColor="background1" w:themeShade="A6"/>
            </w:rPr>
            <w:t>Click here to enter measure title</w:t>
          </w:r>
          <w:bookmarkEnd w:id="0"/>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MS Mincho"/>
    <w:panose1 w:val="020B0604020202020204"/>
    <w:charset w:val="80"/>
    <w:family w:val="swiss"/>
    <w:pitch w:val="variable"/>
    <w:sig w:usb0="00000000"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41122"/>
    <w:rsid w:val="00160241"/>
    <w:rsid w:val="001F47A0"/>
    <w:rsid w:val="002B5F47"/>
    <w:rsid w:val="003A1E4B"/>
    <w:rsid w:val="00455EB5"/>
    <w:rsid w:val="00461C1C"/>
    <w:rsid w:val="004E2027"/>
    <w:rsid w:val="005F21F3"/>
    <w:rsid w:val="008F6A9B"/>
    <w:rsid w:val="00A02532"/>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1122"/>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82B151534EE4AE5964DBD86504A7956">
    <w:name w:val="582B151534EE4AE5964DBD86504A7956"/>
    <w:rsid w:val="00041122"/>
    <w:pPr>
      <w:spacing w:after="160" w:line="259" w:lineRule="auto"/>
    </w:pPr>
  </w:style>
  <w:style w:type="paragraph" w:customStyle="1" w:styleId="3A3B08254E984359A97B3D82A9D84371">
    <w:name w:val="3A3B08254E984359A97B3D82A9D84371"/>
    <w:rsid w:val="00041122"/>
    <w:pPr>
      <w:spacing w:after="160" w:line="259" w:lineRule="auto"/>
    </w:pPr>
  </w:style>
  <w:style w:type="paragraph" w:customStyle="1" w:styleId="1897D90F416E456FBE2AD32BFD19F8B1">
    <w:name w:val="1897D90F416E456FBE2AD32BFD19F8B1"/>
    <w:rsid w:val="000411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pia_rule xmlns="2092472d-b0ba-44c3-9af1-5ee06e60b732" xsi:nil="true"/>
    <_spia_type xmlns="2092472d-b0ba-44c3-9af1-5ee06e60b732" xsi:nil="true"/>
    <_spia_result xmlns="2092472d-b0ba-44c3-9af1-5ee06e60b7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07D0C86BB5124AAE0A00EDD783FB60" ma:contentTypeVersion="3" ma:contentTypeDescription="Create a new document." ma:contentTypeScope="" ma:versionID="152cdb62d86fe42774af83033b692c02">
  <xsd:schema xmlns:xsd="http://www.w3.org/2001/XMLSchema" xmlns:xs="http://www.w3.org/2001/XMLSchema" xmlns:p="http://schemas.microsoft.com/office/2006/metadata/properties" xmlns:ns2="2092472d-b0ba-44c3-9af1-5ee06e60b732" targetNamespace="http://schemas.microsoft.com/office/2006/metadata/properties" ma:root="true" ma:fieldsID="c7a02d7d95ff876ad6982c0e0028cd11" ns2:_="">
    <xsd:import namespace="2092472d-b0ba-44c3-9af1-5ee06e60b732"/>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2472d-b0ba-44c3-9af1-5ee06e60b732"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openxmlformats.org/package/2006/metadata/core-properties"/>
    <ds:schemaRef ds:uri="http://schemas.microsoft.com/office/2006/documentManagement/types"/>
    <ds:schemaRef ds:uri="http://schemas.microsoft.com/office/infopath/2007/PartnerControls"/>
    <ds:schemaRef ds:uri="2092472d-b0ba-44c3-9af1-5ee06e60b732"/>
    <ds:schemaRef ds:uri="http://purl.org/dc/terms/"/>
    <ds:schemaRef ds:uri="http://schemas.microsoft.com/office/2006/metadata/properti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8B876351-7961-4D9D-906A-DBDC733CB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92472d-b0ba-44c3-9af1-5ee06e60b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167928-2AB4-4CDC-9431-11512AC01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4335</Words>
  <Characters>24713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Penelope Solis</cp:lastModifiedBy>
  <cp:revision>3</cp:revision>
  <cp:lastPrinted>2018-01-23T14:33:00Z</cp:lastPrinted>
  <dcterms:created xsi:type="dcterms:W3CDTF">2018-01-24T00:53:00Z</dcterms:created>
  <dcterms:modified xsi:type="dcterms:W3CDTF">2018-01-30T14:25:00Z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0x010100D207D0C86BB5124AAE0A00EDD783FB60</vt:lpwstr>
  </property>
</Properties>
</file>