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1FFB9A70"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DA0905">
            <w:rPr>
              <w:rStyle w:val="Style1"/>
            </w:rPr>
            <w:t>0383</w:t>
          </w:r>
        </w:sdtContent>
      </w:sdt>
    </w:p>
    <w:p w14:paraId="0CABCF56" w14:textId="09255090"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Fonts w:cstheme="minorHAnsi"/>
                <w:color w:val="0000FF"/>
              </w:rPr>
              <w:id w:val="-248585208"/>
              <w:placeholder>
                <w:docPart w:val="E745C4120A58422F9EA91068C16E262B"/>
              </w:placeholder>
            </w:sdtPr>
            <w:sdtEndPr>
              <w:rPr>
                <w:noProof/>
                <w:color w:val="auto"/>
              </w:rPr>
            </w:sdtEndPr>
            <w:sdtContent>
              <w:r w:rsidR="00DA0905" w:rsidRPr="00DA0905">
                <w:rPr>
                  <w:rFonts w:cstheme="minorHAnsi"/>
                  <w:color w:val="0000FF"/>
                </w:rPr>
                <w:t>Oncology: Medical and Radiation: Plan of Care for Pain</w:t>
              </w:r>
            </w:sdtContent>
          </w:sdt>
          <w:r w:rsidR="00DA0905">
            <w:rPr>
              <w:rFonts w:cstheme="minorHAnsi"/>
              <w:noProof/>
            </w:rPr>
            <w:t xml:space="preserve"> </w:t>
          </w:r>
        </w:sdtContent>
      </w:sdt>
    </w:p>
    <w:p w14:paraId="0CABCF57" w14:textId="75B5E6E0"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7-31T00:00:00Z">
            <w:dateFormat w:val="M/d/yyyy"/>
            <w:lid w:val="en-US"/>
            <w:storeMappedDataAs w:val="dateTime"/>
            <w:calendar w:val="gregorian"/>
          </w:date>
        </w:sdtPr>
        <w:sdtEndPr>
          <w:rPr>
            <w:rStyle w:val="DefaultParagraphFont"/>
            <w:noProof/>
            <w:color w:val="auto"/>
            <w:u w:val="none"/>
          </w:rPr>
        </w:sdtEndPr>
        <w:sdtContent>
          <w:r w:rsidR="00DA0905">
            <w:rPr>
              <w:rStyle w:val="Style2"/>
              <w:rFonts w:cstheme="minorHAnsi"/>
            </w:rPr>
            <w:t>7/31/2019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231DAB"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231DAB"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231DAB"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231DAB"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311731D9" w:rsidR="000B7D57" w:rsidRPr="00C775CE" w:rsidRDefault="00231DAB"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231DAB"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231DAB"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w:t>
            </w:r>
            <w:proofErr w:type="gramStart"/>
            <w:r w:rsidR="00651D44" w:rsidRPr="00651D44">
              <w:rPr>
                <w:rFonts w:cstheme="minorHAnsi"/>
              </w:rPr>
              <w:t>sufficient</w:t>
            </w:r>
            <w:proofErr w:type="gramEnd"/>
            <w:r w:rsidR="00651D44" w:rsidRPr="00651D44">
              <w:rPr>
                <w:rFonts w:cstheme="minorHAnsi"/>
              </w:rPr>
              <w:t xml:space="preserve">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proofErr w:type="gramStart"/>
            <w:r w:rsidRPr="00A831B4">
              <w:rPr>
                <w:rFonts w:cstheme="minorHAnsi"/>
                <w:sz w:val="20"/>
                <w:szCs w:val="20"/>
              </w:rPr>
              <w:t>include, but</w:t>
            </w:r>
            <w:proofErr w:type="gramEnd"/>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proofErr w:type="gramStart"/>
            <w:r w:rsidR="00145149" w:rsidRPr="00A831B4">
              <w:rPr>
                <w:rFonts w:cstheme="minorHAnsi"/>
                <w:sz w:val="20"/>
                <w:szCs w:val="20"/>
              </w:rPr>
              <w:t>received  smoking</w:t>
            </w:r>
            <w:proofErr w:type="gramEnd"/>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6D04392B" w:rsidR="00A01494" w:rsidRPr="00A01494" w:rsidRDefault="00231DAB"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05CCAA0" w:rsidR="00A01494" w:rsidRPr="00A01494" w:rsidRDefault="00231DAB"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231DAB"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231DAB"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D0A10C9" w:rsidR="00A01494" w:rsidRPr="000F1B7A" w:rsidRDefault="00231DAB"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60F4DE7A" w:rsidR="00A01494" w:rsidRPr="000F1B7A" w:rsidRDefault="00231DAB"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231DAB"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231DAB"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231DAB"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231DAB"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231DAB"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231DAB"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300D8968"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94EB0C0" w14:textId="77777777" w:rsidR="00DA0905" w:rsidRPr="004C04BA" w:rsidRDefault="00DA0905" w:rsidP="00DA0905">
      <w:pPr>
        <w:adjustRightInd w:val="0"/>
        <w:ind w:left="580"/>
        <w:rPr>
          <w:color w:val="FF0000"/>
          <w:szCs w:val="20"/>
          <w:u w:val="single"/>
        </w:rPr>
      </w:pPr>
      <w:r w:rsidRPr="004C04BA">
        <w:rPr>
          <w:color w:val="FF0000"/>
          <w:szCs w:val="20"/>
          <w:u w:val="single"/>
        </w:rPr>
        <w:t>2019 Submission</w:t>
      </w:r>
    </w:p>
    <w:p w14:paraId="7ADF81F3" w14:textId="77777777" w:rsidR="00DA0905" w:rsidRPr="004C04BA" w:rsidRDefault="00DA0905" w:rsidP="00DA0905">
      <w:pPr>
        <w:adjustRightInd w:val="0"/>
        <w:ind w:left="580"/>
        <w:rPr>
          <w:color w:val="FF0000"/>
          <w:szCs w:val="20"/>
        </w:rPr>
      </w:pPr>
      <w:r w:rsidRPr="004C04BA">
        <w:rPr>
          <w:color w:val="FF0000"/>
          <w:szCs w:val="20"/>
        </w:rPr>
        <w:t>The data source is 201</w:t>
      </w:r>
      <w:r>
        <w:rPr>
          <w:color w:val="FF0000"/>
          <w:szCs w:val="20"/>
        </w:rPr>
        <w:t>5-2017</w:t>
      </w:r>
      <w:r w:rsidRPr="004C04BA">
        <w:rPr>
          <w:color w:val="FF0000"/>
          <w:szCs w:val="20"/>
        </w:rPr>
        <w:t xml:space="preserve"> Registry data from the PQRS</w:t>
      </w:r>
      <w:r>
        <w:rPr>
          <w:color w:val="FF0000"/>
          <w:szCs w:val="20"/>
        </w:rPr>
        <w:t xml:space="preserve">/MIPS </w:t>
      </w:r>
      <w:r w:rsidRPr="004C04BA">
        <w:rPr>
          <w:color w:val="FF0000"/>
          <w:szCs w:val="20"/>
        </w:rPr>
        <w:t>program, provided by the Center for Medicare &amp; Medicaid Services (CMS).</w:t>
      </w:r>
    </w:p>
    <w:p w14:paraId="6B893D10" w14:textId="77777777" w:rsidR="00DA0905" w:rsidRDefault="00DA0905" w:rsidP="00DA0905">
      <w:pPr>
        <w:adjustRightInd w:val="0"/>
        <w:ind w:left="580"/>
        <w:rPr>
          <w:color w:val="0000FF"/>
          <w:szCs w:val="20"/>
          <w:u w:val="single"/>
        </w:rPr>
      </w:pPr>
      <w:r>
        <w:rPr>
          <w:color w:val="0000FF"/>
          <w:szCs w:val="20"/>
          <w:u w:val="single"/>
        </w:rPr>
        <w:t>2015 Submission</w:t>
      </w:r>
    </w:p>
    <w:p w14:paraId="0AF87D56" w14:textId="77777777" w:rsidR="00DA0905" w:rsidRDefault="00DA0905" w:rsidP="00DA0905">
      <w:pPr>
        <w:tabs>
          <w:tab w:val="left" w:pos="972"/>
        </w:tabs>
        <w:ind w:left="579" w:right="609"/>
        <w:rPr>
          <w:rFonts w:ascii="Calibri" w:eastAsia="Calibri" w:hAnsi="Calibri" w:cs="Calibri"/>
          <w:color w:val="0000FF"/>
          <w:lang w:bidi="en-US"/>
        </w:rPr>
      </w:pPr>
      <w:r>
        <w:rPr>
          <w:color w:val="0000FF"/>
        </w:rPr>
        <w:t>Data reported are from the Fall 2011 PCPI Testing Project (reflecting data submitted August- November 2011), which are consistent with the measure specifications</w:t>
      </w:r>
    </w:p>
    <w:p w14:paraId="125D1DD8" w14:textId="77777777" w:rsidR="00DA0905" w:rsidRDefault="00DA0905" w:rsidP="00DB3627">
      <w:pPr>
        <w:autoSpaceDE w:val="0"/>
        <w:autoSpaceDN w:val="0"/>
        <w:adjustRightInd w:val="0"/>
        <w:spacing w:after="0" w:line="240" w:lineRule="auto"/>
        <w:rPr>
          <w:rFonts w:cstheme="minorHAnsi"/>
          <w:bCs/>
        </w:rPr>
      </w:pPr>
    </w:p>
    <w:p w14:paraId="0CABCFAF" w14:textId="77777777" w:rsidR="009E1846" w:rsidRDefault="009E1846" w:rsidP="00DB3627">
      <w:pPr>
        <w:autoSpaceDE w:val="0"/>
        <w:autoSpaceDN w:val="0"/>
        <w:adjustRightInd w:val="0"/>
        <w:spacing w:after="0" w:line="240" w:lineRule="auto"/>
        <w:rPr>
          <w:rFonts w:cstheme="minorHAnsi"/>
          <w:b/>
        </w:rPr>
      </w:pPr>
    </w:p>
    <w:p w14:paraId="0CABCFB0" w14:textId="6C2360D9"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ascii="Calibri" w:hAnsi="Calibri" w:cs="Calibri"/>
            <w:color w:val="0000FF"/>
          </w:rPr>
          <w:id w:val="950514773"/>
          <w:text/>
        </w:sdtPr>
        <w:sdtEndPr/>
        <w:sdtContent>
          <w:r w:rsidR="008759AC" w:rsidRPr="008759AC">
            <w:rPr>
              <w:rFonts w:ascii="Calibri" w:hAnsi="Calibri" w:cs="Calibri"/>
              <w:color w:val="0000FF"/>
            </w:rPr>
            <w:t>1/1/2015-12/31/2017</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231DAB"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231DAB"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364887D1" w:rsidR="000414E8" w:rsidRPr="00A01494" w:rsidRDefault="00231DAB"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6D3A631B" w:rsidR="000414E8" w:rsidRPr="00A01494" w:rsidRDefault="00231DAB"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231DAB"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231DAB"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231DAB"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231DAB"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231DAB"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231DAB"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DE8DA03"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6900AA63" w14:textId="73AFC5BE" w:rsidR="00DA0905" w:rsidRDefault="00DA0905" w:rsidP="00DB3627">
      <w:pPr>
        <w:autoSpaceDE w:val="0"/>
        <w:autoSpaceDN w:val="0"/>
        <w:adjustRightInd w:val="0"/>
        <w:spacing w:after="0" w:line="240" w:lineRule="auto"/>
        <w:rPr>
          <w:rFonts w:cstheme="minorHAnsi"/>
          <w:bCs/>
        </w:rPr>
      </w:pPr>
    </w:p>
    <w:p w14:paraId="0E49FCA9" w14:textId="77777777" w:rsidR="00DA0905" w:rsidRPr="004C04BA" w:rsidRDefault="00DA0905" w:rsidP="00DA0905">
      <w:pPr>
        <w:pStyle w:val="ListParagraph"/>
        <w:rPr>
          <w:rFonts w:cstheme="minorHAnsi"/>
          <w:color w:val="FF0000"/>
          <w:u w:val="single"/>
        </w:rPr>
      </w:pPr>
      <w:r w:rsidRPr="004C04BA">
        <w:rPr>
          <w:rFonts w:cstheme="minorHAnsi"/>
          <w:color w:val="FF0000"/>
          <w:u w:val="single"/>
        </w:rPr>
        <w:t>2019 Submission</w:t>
      </w:r>
    </w:p>
    <w:p w14:paraId="476E9FAF" w14:textId="759C6FA4" w:rsidR="00DA0905" w:rsidRPr="00680098" w:rsidRDefault="00DA0905" w:rsidP="00DA0905">
      <w:pPr>
        <w:widowControl w:val="0"/>
        <w:autoSpaceDE w:val="0"/>
        <w:autoSpaceDN w:val="0"/>
        <w:spacing w:after="0"/>
        <w:ind w:left="720"/>
        <w:rPr>
          <w:rFonts w:eastAsia="Calibri" w:cstheme="minorHAnsi"/>
          <w:color w:val="FF0000"/>
          <w:lang w:bidi="en-US"/>
        </w:rPr>
      </w:pPr>
      <w:r w:rsidRPr="00680098">
        <w:rPr>
          <w:rFonts w:eastAsia="Calibri" w:cstheme="minorHAnsi"/>
          <w:color w:val="FF0000"/>
          <w:lang w:bidi="en-US"/>
        </w:rPr>
        <w:t xml:space="preserve">Testing to identify </w:t>
      </w:r>
      <w:r>
        <w:rPr>
          <w:rFonts w:eastAsia="Calibri" w:cstheme="minorHAnsi"/>
          <w:color w:val="FF0000"/>
          <w:lang w:bidi="en-US"/>
        </w:rPr>
        <w:t xml:space="preserve">reliability and </w:t>
      </w:r>
      <w:r w:rsidRPr="00680098">
        <w:rPr>
          <w:rFonts w:eastAsia="Calibri" w:cstheme="minorHAnsi"/>
          <w:color w:val="FF0000"/>
          <w:lang w:bidi="en-US"/>
        </w:rPr>
        <w:t xml:space="preserve">statistically significant and meaningful differences in performance </w:t>
      </w:r>
      <w:r>
        <w:rPr>
          <w:rFonts w:eastAsia="Calibri" w:cstheme="minorHAnsi"/>
          <w:color w:val="FF0000"/>
          <w:lang w:bidi="en-US"/>
        </w:rPr>
        <w:t xml:space="preserve">analysis </w:t>
      </w:r>
      <w:r w:rsidRPr="00680098">
        <w:rPr>
          <w:rFonts w:eastAsia="Calibri" w:cstheme="minorHAnsi"/>
          <w:color w:val="FF0000"/>
          <w:lang w:bidi="en-US"/>
        </w:rPr>
        <w:t xml:space="preserve">was conducted using 2015-2016 PQRS/2017 MIPS performance from a registry data set provided from CMS.  Practices were identified by unique number of TINs. The 2015-2017 data set was from 366 unique TINs including </w:t>
      </w:r>
      <w:r w:rsidRPr="00680098">
        <w:rPr>
          <w:rFonts w:cstheme="minorHAnsi"/>
          <w:color w:val="FF0000"/>
        </w:rPr>
        <w:t>108,765 patients</w:t>
      </w:r>
      <w:r w:rsidRPr="00680098">
        <w:rPr>
          <w:rFonts w:eastAsia="Calibri" w:cstheme="minorHAnsi"/>
          <w:color w:val="FF0000"/>
          <w:lang w:bidi="en-US"/>
        </w:rPr>
        <w:t xml:space="preserve">.  Additional descriptive characteristics of the measured entities, such as size and location type, are unknown.  Entities submitted data for inclusion in this data set according to the eligibility and reporting requirements for PQRS/MIPS during the 2015-2017 program years.  We were unable to determine from our rolled-up data sample the number of clinicians who reported to </w:t>
      </w:r>
      <w:r w:rsidR="008759AC">
        <w:rPr>
          <w:rFonts w:eastAsia="Calibri" w:cstheme="minorHAnsi"/>
          <w:color w:val="FF0000"/>
          <w:lang w:bidi="en-US"/>
        </w:rPr>
        <w:t>PQRS/</w:t>
      </w:r>
      <w:r w:rsidRPr="00680098">
        <w:rPr>
          <w:rFonts w:eastAsia="Calibri" w:cstheme="minorHAnsi"/>
          <w:color w:val="FF0000"/>
          <w:lang w:bidi="en-US"/>
        </w:rPr>
        <w:t>MIPS as an individual or a group; therefore, this measure should be considered for endorsement at the group/practice level, with a potential group size as n of 1 or group of 1.</w:t>
      </w:r>
    </w:p>
    <w:p w14:paraId="79F0D091" w14:textId="77777777" w:rsidR="00DA0905" w:rsidRDefault="00DA0905" w:rsidP="00DA0905">
      <w:pPr>
        <w:pStyle w:val="ListParagraph"/>
        <w:rPr>
          <w:color w:val="FF0000"/>
          <w:szCs w:val="20"/>
        </w:rPr>
      </w:pPr>
    </w:p>
    <w:p w14:paraId="267E3C45" w14:textId="6F4E205C" w:rsidR="00DA0905" w:rsidRDefault="00DA0905" w:rsidP="008759AC">
      <w:pPr>
        <w:pStyle w:val="ListParagraph"/>
        <w:rPr>
          <w:color w:val="FF0000"/>
          <w:szCs w:val="20"/>
        </w:rPr>
      </w:pPr>
      <w:r>
        <w:rPr>
          <w:color w:val="FF0000"/>
          <w:szCs w:val="20"/>
        </w:rPr>
        <w:t xml:space="preserve"> For validity testing we</w:t>
      </w:r>
      <w:r w:rsidRPr="004C04BA">
        <w:rPr>
          <w:color w:val="FF0000"/>
          <w:szCs w:val="20"/>
        </w:rPr>
        <w:t xml:space="preserve"> received data from 371 physicians reporting on this measure through the registry option for CMS’s PQRS in 2016.  Of those, 251 physicians had all the required data elements and met the minimum number of quality reporting events (10) for a total of 44,795 quality events. For this measure, 73 percent of physicians are included in the analysis, and the average number of quality reporting events are 179 for the remaining 44,795 events. The range of quality reporting events for 251 physicians included is from 10 to 3,811. The average number of quality reporting events for the remaining 27 percent of physicians that aren’t included is 4.</w:t>
      </w:r>
      <w:r>
        <w:rPr>
          <w:color w:val="FF0000"/>
          <w:szCs w:val="20"/>
        </w:rPr>
        <w:t xml:space="preserve"> </w:t>
      </w:r>
    </w:p>
    <w:p w14:paraId="53DAE4A1" w14:textId="77777777" w:rsidR="00DA0905" w:rsidRDefault="00DA0905" w:rsidP="00DA0905">
      <w:pPr>
        <w:pStyle w:val="ListParagraph"/>
        <w:rPr>
          <w:color w:val="FF0000"/>
          <w:szCs w:val="20"/>
        </w:rPr>
      </w:pPr>
    </w:p>
    <w:p w14:paraId="0F81CBDC" w14:textId="77777777" w:rsidR="00DA0905" w:rsidRDefault="00DA0905" w:rsidP="00DA0905">
      <w:pPr>
        <w:pStyle w:val="ListParagraph"/>
        <w:tabs>
          <w:tab w:val="left" w:pos="972"/>
        </w:tabs>
        <w:ind w:left="580" w:right="1046"/>
        <w:rPr>
          <w:rFonts w:cstheme="minorHAnsi"/>
          <w:b/>
          <w:color w:val="0000FF"/>
          <w:u w:val="single"/>
        </w:rPr>
      </w:pPr>
      <w:r>
        <w:rPr>
          <w:rFonts w:cstheme="minorHAnsi"/>
          <w:b/>
          <w:color w:val="0000FF"/>
          <w:u w:val="single"/>
        </w:rPr>
        <w:t>2015 Submission</w:t>
      </w:r>
    </w:p>
    <w:p w14:paraId="01766276" w14:textId="77777777" w:rsidR="00DA0905" w:rsidRDefault="00DA0905" w:rsidP="00DA0905">
      <w:pPr>
        <w:tabs>
          <w:tab w:val="left" w:pos="330"/>
        </w:tabs>
        <w:ind w:left="580"/>
        <w:rPr>
          <w:rFonts w:eastAsia="MS Mincho" w:cstheme="minorHAnsi"/>
          <w:color w:val="0000FF"/>
          <w:lang w:eastAsia="ja-JP"/>
        </w:rPr>
      </w:pPr>
      <w:bookmarkStart w:id="12" w:name="_Hlk502922696"/>
      <w:r>
        <w:rPr>
          <w:rFonts w:eastAsia="MS Mincho" w:cstheme="minorHAnsi"/>
          <w:color w:val="0000FF"/>
          <w:lang w:eastAsia="ja-JP"/>
        </w:rPr>
        <w:t>Data abstracted from patient records were used to calculate inter-rater reliability for the measure.</w:t>
      </w:r>
    </w:p>
    <w:bookmarkEnd w:id="12"/>
    <w:p w14:paraId="35ABEA70" w14:textId="77777777" w:rsidR="00DA0905" w:rsidRDefault="00DA0905" w:rsidP="00DA0905">
      <w:pPr>
        <w:ind w:left="580"/>
        <w:rPr>
          <w:rFonts w:eastAsia="Calibri" w:cstheme="minorHAnsi"/>
          <w:color w:val="0000FF"/>
          <w:lang w:bidi="en-US"/>
        </w:rPr>
      </w:pPr>
      <w:r>
        <w:rPr>
          <w:rFonts w:cstheme="minorHAnsi"/>
          <w:color w:val="0000FF"/>
        </w:rPr>
        <w:t>PCPI Testing Project</w:t>
      </w:r>
    </w:p>
    <w:p w14:paraId="1F4D8C8E" w14:textId="77777777" w:rsidR="00DA0905" w:rsidRDefault="00DA0905" w:rsidP="00DA0905">
      <w:pPr>
        <w:ind w:left="580"/>
        <w:rPr>
          <w:rFonts w:cstheme="minorHAnsi"/>
          <w:color w:val="0000FF"/>
        </w:rPr>
      </w:pPr>
      <w:r>
        <w:rPr>
          <w:rFonts w:cstheme="minorHAnsi"/>
          <w:color w:val="0000FF"/>
        </w:rPr>
        <w:t xml:space="preserve">Five practice sites representing various types, locations and sizes were identified to participate in testing the PCPI/ASCO/ASTRO-developed measures. </w:t>
      </w:r>
    </w:p>
    <w:p w14:paraId="7D15D58F" w14:textId="77777777" w:rsidR="00DA0905" w:rsidRDefault="00DA0905" w:rsidP="00DA0905">
      <w:pPr>
        <w:pStyle w:val="ListParagraph"/>
        <w:widowControl w:val="0"/>
        <w:numPr>
          <w:ilvl w:val="1"/>
          <w:numId w:val="30"/>
        </w:numPr>
        <w:autoSpaceDE w:val="0"/>
        <w:autoSpaceDN w:val="0"/>
        <w:spacing w:after="0" w:line="240" w:lineRule="auto"/>
        <w:ind w:left="1390"/>
        <w:contextualSpacing w:val="0"/>
        <w:rPr>
          <w:rFonts w:cstheme="minorHAnsi"/>
          <w:color w:val="0000FF"/>
        </w:rPr>
      </w:pPr>
      <w:r>
        <w:rPr>
          <w:rFonts w:cstheme="minorHAnsi"/>
          <w:color w:val="0000FF"/>
        </w:rPr>
        <w:t>Site A: hospital, multi-practice sites in urban, rural and suburban settings; 21 physicians; average 9600 oncology/prostate cancer patient visits per month for MD/NP assessment, chemotherapy; submitted PQRS claims for one measure and utilized a full-fledged EHR.</w:t>
      </w:r>
    </w:p>
    <w:p w14:paraId="49AED512" w14:textId="77777777" w:rsidR="00DA0905" w:rsidRDefault="00DA0905" w:rsidP="00DA0905">
      <w:pPr>
        <w:pStyle w:val="ListParagraph"/>
        <w:widowControl w:val="0"/>
        <w:numPr>
          <w:ilvl w:val="1"/>
          <w:numId w:val="30"/>
        </w:numPr>
        <w:autoSpaceDE w:val="0"/>
        <w:autoSpaceDN w:val="0"/>
        <w:spacing w:after="0" w:line="240" w:lineRule="auto"/>
        <w:ind w:left="1390"/>
        <w:contextualSpacing w:val="0"/>
        <w:rPr>
          <w:rFonts w:cstheme="minorHAnsi"/>
          <w:color w:val="0000FF"/>
        </w:rPr>
      </w:pPr>
      <w:r>
        <w:rPr>
          <w:rFonts w:cstheme="minorHAnsi"/>
          <w:color w:val="0000FF"/>
        </w:rPr>
        <w:t>Site B: physician owned private practice, suburban setting; 4 physicians; average 48 oncology/prostate cancer patients seen per day; submitted PQRS claims for one measure and utilized paper medical records.</w:t>
      </w:r>
    </w:p>
    <w:p w14:paraId="5330F2C6" w14:textId="77777777" w:rsidR="00DA0905" w:rsidRDefault="00DA0905" w:rsidP="00DA0905">
      <w:pPr>
        <w:pStyle w:val="ListParagraph"/>
        <w:widowControl w:val="0"/>
        <w:numPr>
          <w:ilvl w:val="1"/>
          <w:numId w:val="30"/>
        </w:numPr>
        <w:autoSpaceDE w:val="0"/>
        <w:autoSpaceDN w:val="0"/>
        <w:spacing w:after="0" w:line="240" w:lineRule="auto"/>
        <w:ind w:left="1390"/>
        <w:contextualSpacing w:val="0"/>
        <w:rPr>
          <w:rFonts w:cstheme="minorHAnsi"/>
          <w:color w:val="0000FF"/>
        </w:rPr>
      </w:pPr>
      <w:r>
        <w:rPr>
          <w:rFonts w:cstheme="minorHAnsi"/>
          <w:color w:val="0000FF"/>
        </w:rPr>
        <w:t xml:space="preserve">Site C: physician owned private practice, urban setting; 41 physicians; average 2500 oncology/prostate cancer patients seen per month; submitted PQRS claims for two </w:t>
      </w:r>
      <w:r>
        <w:rPr>
          <w:rFonts w:cstheme="minorHAnsi"/>
          <w:color w:val="0000FF"/>
        </w:rPr>
        <w:lastRenderedPageBreak/>
        <w:t>measures and utilized a full-fledged EHR.</w:t>
      </w:r>
    </w:p>
    <w:p w14:paraId="17DE6A9A" w14:textId="77777777" w:rsidR="00DA0905" w:rsidRDefault="00DA0905" w:rsidP="00DA0905">
      <w:pPr>
        <w:pStyle w:val="ListParagraph"/>
        <w:widowControl w:val="0"/>
        <w:numPr>
          <w:ilvl w:val="1"/>
          <w:numId w:val="30"/>
        </w:numPr>
        <w:autoSpaceDE w:val="0"/>
        <w:autoSpaceDN w:val="0"/>
        <w:spacing w:after="0" w:line="240" w:lineRule="auto"/>
        <w:ind w:left="1390"/>
        <w:contextualSpacing w:val="0"/>
        <w:rPr>
          <w:rFonts w:cstheme="minorHAnsi"/>
          <w:color w:val="0000FF"/>
        </w:rPr>
      </w:pPr>
      <w:r>
        <w:rPr>
          <w:rFonts w:cstheme="minorHAnsi"/>
          <w:color w:val="0000FF"/>
        </w:rPr>
        <w:t>Site D: academic, suburban setting; 9 physicians; average 240 oncology/prostate cancer patients seen per month; submitted PQRS claims for one measure and utilized paper and EHR.</w:t>
      </w:r>
    </w:p>
    <w:p w14:paraId="4AAC5329" w14:textId="77777777" w:rsidR="00DA0905" w:rsidRDefault="00DA0905" w:rsidP="00DA0905">
      <w:pPr>
        <w:pStyle w:val="ListParagraph"/>
        <w:widowControl w:val="0"/>
        <w:numPr>
          <w:ilvl w:val="1"/>
          <w:numId w:val="30"/>
        </w:numPr>
        <w:autoSpaceDE w:val="0"/>
        <w:autoSpaceDN w:val="0"/>
        <w:spacing w:after="0" w:line="240" w:lineRule="auto"/>
        <w:ind w:left="1390"/>
        <w:contextualSpacing w:val="0"/>
        <w:rPr>
          <w:rFonts w:cstheme="minorHAnsi"/>
          <w:color w:val="0000FF"/>
        </w:rPr>
      </w:pPr>
      <w:r>
        <w:rPr>
          <w:rFonts w:cstheme="minorHAnsi"/>
          <w:color w:val="0000FF"/>
        </w:rPr>
        <w:t>Site E: academic, urban setting; 14 physicians; average 250 oncology/prostate cancer patients seen per month; collected PQRS data on 3 measures and utilized a full-fledged EHR.</w:t>
      </w:r>
    </w:p>
    <w:p w14:paraId="4FFF3518" w14:textId="77777777" w:rsidR="00DA0905" w:rsidRDefault="00DA0905" w:rsidP="00DA0905">
      <w:pPr>
        <w:pStyle w:val="ListParagraph"/>
        <w:widowControl w:val="0"/>
        <w:numPr>
          <w:ilvl w:val="1"/>
          <w:numId w:val="30"/>
        </w:numPr>
        <w:autoSpaceDE w:val="0"/>
        <w:autoSpaceDN w:val="0"/>
        <w:spacing w:after="0" w:line="240" w:lineRule="auto"/>
        <w:ind w:left="860"/>
        <w:contextualSpacing w:val="0"/>
        <w:rPr>
          <w:rFonts w:cstheme="minorHAnsi"/>
          <w:color w:val="0000FF"/>
        </w:rPr>
      </w:pPr>
      <w:r>
        <w:rPr>
          <w:rFonts w:cstheme="minorHAnsi"/>
          <w:color w:val="0000FF"/>
        </w:rPr>
        <w:t xml:space="preserve">The measurement period (data collected from patients seen) was 1/1/2010 through 12/31/2010. </w:t>
      </w:r>
    </w:p>
    <w:p w14:paraId="0CA4B476" w14:textId="77777777" w:rsidR="00DA0905" w:rsidRDefault="00DA0905" w:rsidP="00DA0905">
      <w:pPr>
        <w:pStyle w:val="ListParagraph"/>
        <w:widowControl w:val="0"/>
        <w:numPr>
          <w:ilvl w:val="1"/>
          <w:numId w:val="30"/>
        </w:numPr>
        <w:autoSpaceDE w:val="0"/>
        <w:autoSpaceDN w:val="0"/>
        <w:spacing w:after="0" w:line="240" w:lineRule="auto"/>
        <w:ind w:left="860"/>
        <w:contextualSpacing w:val="0"/>
        <w:rPr>
          <w:rFonts w:cstheme="minorHAnsi"/>
          <w:color w:val="0000FF"/>
        </w:rPr>
      </w:pPr>
      <w:r>
        <w:rPr>
          <w:rFonts w:cstheme="minorHAnsi"/>
          <w:color w:val="0000FF"/>
        </w:rPr>
        <w:t>Chart abstraction was performed between 8/8/2011 and 11/3/2011.</w:t>
      </w:r>
    </w:p>
    <w:p w14:paraId="3941F339" w14:textId="77777777" w:rsidR="00DA0905" w:rsidRDefault="00DA0905" w:rsidP="00DB3627">
      <w:pPr>
        <w:autoSpaceDE w:val="0"/>
        <w:autoSpaceDN w:val="0"/>
        <w:adjustRightInd w:val="0"/>
        <w:spacing w:after="0" w:line="240" w:lineRule="auto"/>
        <w:rPr>
          <w:rFonts w:cstheme="minorHAnsi"/>
          <w:bCs/>
        </w:rPr>
      </w:pP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2CA8B399" w14:textId="77777777" w:rsidR="00DA0905"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EFEB039" w14:textId="77777777" w:rsidR="00DA0905" w:rsidRDefault="00DA0905" w:rsidP="008759AC">
      <w:pPr>
        <w:spacing w:after="0"/>
        <w:ind w:left="900"/>
        <w:rPr>
          <w:rFonts w:cstheme="minorHAnsi"/>
          <w:color w:val="FF0000"/>
          <w:u w:val="single"/>
        </w:rPr>
      </w:pPr>
      <w:r w:rsidRPr="004C04BA">
        <w:rPr>
          <w:rFonts w:cstheme="minorHAnsi"/>
          <w:color w:val="FF0000"/>
          <w:u w:val="single"/>
        </w:rPr>
        <w:t>2019 Submission</w:t>
      </w:r>
    </w:p>
    <w:p w14:paraId="6BBB6B06" w14:textId="77777777" w:rsidR="00DA0905" w:rsidRPr="00E95184" w:rsidRDefault="00DA0905" w:rsidP="008759AC">
      <w:pPr>
        <w:spacing w:after="0"/>
        <w:ind w:left="900"/>
        <w:rPr>
          <w:rFonts w:cstheme="minorHAnsi"/>
          <w:color w:val="FF0000"/>
        </w:rPr>
      </w:pPr>
      <w:r w:rsidRPr="00E95184">
        <w:rPr>
          <w:rFonts w:cstheme="minorHAnsi"/>
          <w:color w:val="FF0000"/>
        </w:rPr>
        <w:t>There were 108,765 patients included in reliability</w:t>
      </w:r>
      <w:r>
        <w:rPr>
          <w:rFonts w:cstheme="minorHAnsi"/>
          <w:color w:val="FF0000"/>
        </w:rPr>
        <w:t xml:space="preserve"> testing</w:t>
      </w:r>
      <w:r w:rsidRPr="00E95184">
        <w:rPr>
          <w:rFonts w:cstheme="minorHAnsi"/>
          <w:color w:val="FF0000"/>
        </w:rPr>
        <w:t xml:space="preserve"> </w:t>
      </w:r>
      <w:r>
        <w:rPr>
          <w:rFonts w:cstheme="minorHAnsi"/>
          <w:color w:val="FF0000"/>
        </w:rPr>
        <w:t xml:space="preserve">and </w:t>
      </w:r>
      <w:r w:rsidRPr="007F08A6">
        <w:rPr>
          <w:rFonts w:cstheme="minorHAnsi"/>
          <w:bCs/>
          <w:color w:val="FF0000"/>
        </w:rPr>
        <w:t>statistically significant and clinically/practically meaningful differences in performance measure scores</w:t>
      </w:r>
      <w:r w:rsidRPr="007F08A6">
        <w:rPr>
          <w:rFonts w:cstheme="minorHAnsi"/>
          <w:b/>
          <w:bCs/>
          <w:color w:val="FF0000"/>
        </w:rPr>
        <w:t xml:space="preserve"> </w:t>
      </w:r>
      <w:r w:rsidRPr="00E95184">
        <w:rPr>
          <w:rFonts w:cstheme="minorHAnsi"/>
          <w:color w:val="FF0000"/>
        </w:rPr>
        <w:t>analysis. These were the eligible patients that were associated with the TIN.</w:t>
      </w:r>
    </w:p>
    <w:p w14:paraId="1005A9BD" w14:textId="77777777" w:rsidR="00DA0905" w:rsidRPr="00E95184" w:rsidRDefault="00DA0905" w:rsidP="00DA0905">
      <w:pPr>
        <w:spacing w:after="0"/>
        <w:ind w:left="1152"/>
        <w:rPr>
          <w:rFonts w:cstheme="minorHAnsi"/>
          <w:color w:val="FF0000"/>
        </w:rPr>
      </w:pPr>
    </w:p>
    <w:p w14:paraId="444D6225" w14:textId="77777777" w:rsidR="00DA0905" w:rsidRDefault="00DA0905" w:rsidP="00DA0905">
      <w:pPr>
        <w:adjustRightInd w:val="0"/>
        <w:spacing w:after="0"/>
        <w:ind w:left="932" w:firstLine="4"/>
        <w:rPr>
          <w:color w:val="FF0000"/>
          <w:szCs w:val="20"/>
        </w:rPr>
      </w:pPr>
      <w:r w:rsidRPr="004C04BA">
        <w:rPr>
          <w:color w:val="FF0000"/>
          <w:szCs w:val="20"/>
        </w:rPr>
        <w:t xml:space="preserve">There were 44,795 patients included in </w:t>
      </w:r>
      <w:r>
        <w:rPr>
          <w:color w:val="FF0000"/>
          <w:szCs w:val="20"/>
        </w:rPr>
        <w:t>validity</w:t>
      </w:r>
      <w:r w:rsidRPr="004C04BA">
        <w:rPr>
          <w:color w:val="FF0000"/>
          <w:szCs w:val="20"/>
        </w:rPr>
        <w:t xml:space="preserve"> testing and analysis.  These were the patients that were associated with physicians who had 10 or more patients eligible for this measure.</w:t>
      </w:r>
    </w:p>
    <w:p w14:paraId="67BAFEE7" w14:textId="77777777" w:rsidR="00DA0905" w:rsidRDefault="00DA0905" w:rsidP="00DA0905">
      <w:pPr>
        <w:adjustRightInd w:val="0"/>
        <w:spacing w:after="0"/>
        <w:ind w:left="1152"/>
        <w:rPr>
          <w:color w:val="FF0000"/>
          <w:szCs w:val="20"/>
        </w:rPr>
      </w:pPr>
    </w:p>
    <w:p w14:paraId="0BD1DF7A" w14:textId="77777777" w:rsidR="00DA0905" w:rsidRDefault="00DA0905" w:rsidP="00DA0905">
      <w:pPr>
        <w:adjustRightInd w:val="0"/>
        <w:spacing w:after="0"/>
        <w:ind w:left="936"/>
        <w:rPr>
          <w:rFonts w:ascii="Calibri" w:eastAsia="Calibri" w:hAnsi="Calibri" w:cs="Calibri"/>
          <w:color w:val="0000FF"/>
          <w:u w:val="single"/>
          <w:lang w:bidi="en-US"/>
        </w:rPr>
      </w:pPr>
      <w:bookmarkStart w:id="13" w:name="_Hlk14030306"/>
      <w:r>
        <w:rPr>
          <w:color w:val="0000FF"/>
          <w:u w:val="single"/>
        </w:rPr>
        <w:t>2015 Submission</w:t>
      </w:r>
    </w:p>
    <w:bookmarkEnd w:id="13"/>
    <w:p w14:paraId="0D7712F5" w14:textId="73EA185C" w:rsidR="00DA0905" w:rsidRDefault="008759AC" w:rsidP="00DA0905">
      <w:pPr>
        <w:pStyle w:val="ListParagraph"/>
        <w:widowControl w:val="0"/>
        <w:numPr>
          <w:ilvl w:val="0"/>
          <w:numId w:val="31"/>
        </w:numPr>
        <w:autoSpaceDE w:val="0"/>
        <w:autoSpaceDN w:val="0"/>
        <w:spacing w:after="0" w:line="240" w:lineRule="auto"/>
        <w:ind w:left="1296"/>
        <w:contextualSpacing w:val="0"/>
        <w:rPr>
          <w:rFonts w:cstheme="minorHAnsi"/>
          <w:color w:val="0000FF"/>
          <w:sz w:val="20"/>
          <w:szCs w:val="20"/>
        </w:rPr>
      </w:pPr>
      <w:r>
        <w:rPr>
          <w:rFonts w:cstheme="minorHAnsi"/>
          <w:color w:val="0000FF"/>
        </w:rPr>
        <w:t xml:space="preserve"> </w:t>
      </w:r>
      <w:r w:rsidR="00DA0905">
        <w:rPr>
          <w:rFonts w:cstheme="minorHAnsi"/>
          <w:color w:val="0000FF"/>
        </w:rPr>
        <w:t>patient visits were reviewed</w:t>
      </w:r>
    </w:p>
    <w:p w14:paraId="0CABCFC9" w14:textId="4C7B2E36"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CA" w14:textId="45BFF5B2"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54C9E38B" w14:textId="77777777" w:rsidR="00DA0905" w:rsidRPr="00DA0905" w:rsidRDefault="00DA0905" w:rsidP="00DA0905">
      <w:pPr>
        <w:adjustRightInd w:val="0"/>
        <w:spacing w:line="240" w:lineRule="auto"/>
        <w:ind w:left="1152" w:hanging="216"/>
        <w:rPr>
          <w:color w:val="FF0000"/>
          <w:szCs w:val="20"/>
          <w:u w:val="single"/>
        </w:rPr>
      </w:pPr>
      <w:r w:rsidRPr="00DA0905">
        <w:rPr>
          <w:color w:val="FF0000"/>
          <w:szCs w:val="20"/>
          <w:u w:val="single"/>
        </w:rPr>
        <w:t>2019 Submission</w:t>
      </w:r>
    </w:p>
    <w:p w14:paraId="1509093E" w14:textId="77777777" w:rsidR="008759AC" w:rsidRDefault="00DA0905" w:rsidP="008759AC">
      <w:pPr>
        <w:spacing w:after="0" w:line="240" w:lineRule="auto"/>
        <w:ind w:left="1152" w:hanging="216"/>
        <w:rPr>
          <w:rFonts w:cstheme="minorHAnsi"/>
          <w:bCs/>
          <w:color w:val="FF0000"/>
        </w:rPr>
      </w:pPr>
      <w:r w:rsidRPr="00DA0905">
        <w:rPr>
          <w:color w:val="FF0000"/>
          <w:szCs w:val="20"/>
        </w:rPr>
        <w:t xml:space="preserve">CMS PQRS/MIPS data from 2015-2017 was used for reliability testing and </w:t>
      </w:r>
      <w:r w:rsidRPr="00DA0905">
        <w:rPr>
          <w:rFonts w:cstheme="minorHAnsi"/>
          <w:bCs/>
          <w:color w:val="FF0000"/>
        </w:rPr>
        <w:t xml:space="preserve">statistically </w:t>
      </w:r>
    </w:p>
    <w:p w14:paraId="42811933" w14:textId="77777777" w:rsidR="008759AC" w:rsidRDefault="008759AC" w:rsidP="008759AC">
      <w:pPr>
        <w:spacing w:after="0" w:line="240" w:lineRule="auto"/>
        <w:ind w:left="1152" w:hanging="216"/>
        <w:rPr>
          <w:rFonts w:cstheme="minorHAnsi"/>
          <w:bCs/>
          <w:color w:val="FF0000"/>
        </w:rPr>
      </w:pPr>
      <w:r>
        <w:rPr>
          <w:color w:val="FF0000"/>
          <w:szCs w:val="20"/>
        </w:rPr>
        <w:t>s</w:t>
      </w:r>
      <w:r w:rsidR="00DA0905" w:rsidRPr="00DA0905">
        <w:rPr>
          <w:rFonts w:cstheme="minorHAnsi"/>
          <w:bCs/>
          <w:color w:val="FF0000"/>
        </w:rPr>
        <w:t>ignificant and clinically/practically meaningful differences in performance measure scores</w:t>
      </w:r>
    </w:p>
    <w:p w14:paraId="602B3F2F" w14:textId="0D175E2C" w:rsidR="00DA0905" w:rsidRDefault="00DA0905" w:rsidP="008759AC">
      <w:pPr>
        <w:spacing w:after="0" w:line="240" w:lineRule="auto"/>
        <w:ind w:left="1152" w:hanging="216"/>
        <w:rPr>
          <w:color w:val="FF0000"/>
          <w:szCs w:val="20"/>
        </w:rPr>
      </w:pPr>
      <w:r w:rsidRPr="00DA0905">
        <w:rPr>
          <w:rFonts w:cstheme="minorHAnsi"/>
          <w:bCs/>
          <w:color w:val="FF0000"/>
        </w:rPr>
        <w:t>analysis</w:t>
      </w:r>
      <w:r w:rsidRPr="00DA0905">
        <w:rPr>
          <w:color w:val="FF0000"/>
          <w:szCs w:val="20"/>
        </w:rPr>
        <w:t>. For validity testing, a subset of PQRS 2016 data from CMS was used.</w:t>
      </w:r>
    </w:p>
    <w:p w14:paraId="548481A5" w14:textId="77777777" w:rsidR="008759AC" w:rsidRPr="00DA0905" w:rsidRDefault="008759AC" w:rsidP="008759AC">
      <w:pPr>
        <w:spacing w:after="0" w:line="240" w:lineRule="auto"/>
        <w:ind w:left="1152" w:hanging="216"/>
        <w:rPr>
          <w:color w:val="FF0000"/>
          <w:szCs w:val="20"/>
        </w:rPr>
      </w:pPr>
    </w:p>
    <w:p w14:paraId="7623D94B" w14:textId="77777777" w:rsidR="00DA0905" w:rsidRPr="00DA0905" w:rsidRDefault="00DA0905" w:rsidP="00DA0905">
      <w:pPr>
        <w:spacing w:line="240" w:lineRule="auto"/>
        <w:ind w:left="1153" w:hanging="216"/>
        <w:rPr>
          <w:rFonts w:ascii="Calibri" w:eastAsia="Calibri" w:hAnsi="Calibri" w:cs="Calibri"/>
          <w:color w:val="0000FF"/>
          <w:u w:val="single"/>
          <w:lang w:bidi="en-US"/>
        </w:rPr>
      </w:pPr>
      <w:r w:rsidRPr="00DA0905">
        <w:rPr>
          <w:color w:val="0000FF"/>
          <w:u w:val="single"/>
        </w:rPr>
        <w:t>2015 Submission</w:t>
      </w:r>
    </w:p>
    <w:p w14:paraId="4A0D4EC7" w14:textId="77777777" w:rsidR="008759AC" w:rsidRDefault="00DA0905" w:rsidP="008759AC">
      <w:pPr>
        <w:tabs>
          <w:tab w:val="left" w:pos="330"/>
        </w:tabs>
        <w:spacing w:after="0" w:line="240" w:lineRule="auto"/>
        <w:ind w:left="1152" w:hanging="216"/>
        <w:rPr>
          <w:iCs/>
          <w:color w:val="0000FF"/>
        </w:rPr>
      </w:pPr>
      <w:r w:rsidRPr="00DA0905">
        <w:rPr>
          <w:iCs/>
          <w:color w:val="0000FF"/>
        </w:rPr>
        <w:t xml:space="preserve">Five practice sites representing various types, locations and sizes were identified to </w:t>
      </w:r>
    </w:p>
    <w:p w14:paraId="58540FAD" w14:textId="7B9401AE" w:rsidR="00DA0905" w:rsidRPr="00DA0905" w:rsidRDefault="008759AC" w:rsidP="00DA0905">
      <w:pPr>
        <w:tabs>
          <w:tab w:val="left" w:pos="330"/>
        </w:tabs>
        <w:spacing w:line="240" w:lineRule="auto"/>
        <w:ind w:left="1152" w:hanging="216"/>
        <w:rPr>
          <w:iCs/>
          <w:color w:val="0000FF"/>
        </w:rPr>
      </w:pPr>
      <w:r>
        <w:rPr>
          <w:iCs/>
          <w:color w:val="0000FF"/>
        </w:rPr>
        <w:t>p</w:t>
      </w:r>
      <w:r w:rsidR="00DA0905" w:rsidRPr="00DA0905">
        <w:rPr>
          <w:iCs/>
          <w:color w:val="0000FF"/>
        </w:rPr>
        <w:t xml:space="preserve">articipate in testing the PCPI/ASCO/ASTRO-developed measures. </w:t>
      </w:r>
      <w:r w:rsidR="00DA0905" w:rsidRPr="00DA0905">
        <w:rPr>
          <w:iCs/>
          <w:color w:val="0000FF"/>
        </w:rPr>
        <w:tab/>
      </w:r>
    </w:p>
    <w:p w14:paraId="2BEA3C63" w14:textId="77777777" w:rsidR="00DA0905" w:rsidRPr="00DA0905" w:rsidRDefault="00DA0905" w:rsidP="00DA0905">
      <w:pPr>
        <w:numPr>
          <w:ilvl w:val="0"/>
          <w:numId w:val="32"/>
        </w:numPr>
        <w:tabs>
          <w:tab w:val="left" w:pos="330"/>
          <w:tab w:val="num" w:pos="1623"/>
        </w:tabs>
        <w:autoSpaceDN w:val="0"/>
        <w:spacing w:after="0" w:line="240" w:lineRule="auto"/>
        <w:ind w:left="1623"/>
        <w:rPr>
          <w:iCs/>
          <w:color w:val="0000FF"/>
        </w:rPr>
      </w:pPr>
      <w:r w:rsidRPr="00DA0905">
        <w:rPr>
          <w:iCs/>
          <w:color w:val="0000FF"/>
        </w:rPr>
        <w:t>Site A: hospital, multi-practice sites in urban, rural and suburban settings; 21 physicians; average 9600 oncology/prostate cancer patient visits per month for MD/NP assessment, chemotherapy; submitted PQRS claims for one measure and utilized a full-fledged EHR.</w:t>
      </w:r>
    </w:p>
    <w:p w14:paraId="541B61F4" w14:textId="77777777" w:rsidR="00DA0905" w:rsidRPr="00DA0905" w:rsidRDefault="00DA0905" w:rsidP="00DA0905">
      <w:pPr>
        <w:numPr>
          <w:ilvl w:val="0"/>
          <w:numId w:val="32"/>
        </w:numPr>
        <w:tabs>
          <w:tab w:val="left" w:pos="330"/>
          <w:tab w:val="num" w:pos="1623"/>
        </w:tabs>
        <w:autoSpaceDN w:val="0"/>
        <w:spacing w:after="0" w:line="240" w:lineRule="auto"/>
        <w:ind w:left="1623"/>
        <w:rPr>
          <w:iCs/>
          <w:color w:val="0000FF"/>
        </w:rPr>
      </w:pPr>
      <w:r w:rsidRPr="00DA0905">
        <w:rPr>
          <w:iCs/>
          <w:color w:val="0000FF"/>
        </w:rPr>
        <w:lastRenderedPageBreak/>
        <w:t>Site B: physician owned private practice, suburban setting; 4 physicians; average 48 oncology/prostate cancer patients seen per day; submitted PQRS claims for one measure and utilized paper medical records.</w:t>
      </w:r>
    </w:p>
    <w:p w14:paraId="3989AC20" w14:textId="77777777" w:rsidR="00DA0905" w:rsidRPr="00DA0905" w:rsidRDefault="00DA0905" w:rsidP="00DA0905">
      <w:pPr>
        <w:numPr>
          <w:ilvl w:val="0"/>
          <w:numId w:val="32"/>
        </w:numPr>
        <w:tabs>
          <w:tab w:val="left" w:pos="330"/>
          <w:tab w:val="num" w:pos="1623"/>
        </w:tabs>
        <w:autoSpaceDN w:val="0"/>
        <w:spacing w:after="0" w:line="240" w:lineRule="auto"/>
        <w:ind w:left="1623"/>
        <w:rPr>
          <w:iCs/>
          <w:color w:val="0000FF"/>
        </w:rPr>
      </w:pPr>
      <w:r w:rsidRPr="00DA0905">
        <w:rPr>
          <w:iCs/>
          <w:color w:val="0000FF"/>
        </w:rPr>
        <w:t>Site C: physician owned private practice, urban setting; 41 physicians; average 2500 oncology/prostate cancer patients seen per month; submitted PQRS claims for two measures and utilized a full-fledged EHR.</w:t>
      </w:r>
    </w:p>
    <w:p w14:paraId="719D2356" w14:textId="77777777" w:rsidR="00DA0905" w:rsidRPr="00DA0905" w:rsidRDefault="00DA0905" w:rsidP="00DA0905">
      <w:pPr>
        <w:numPr>
          <w:ilvl w:val="0"/>
          <w:numId w:val="32"/>
        </w:numPr>
        <w:tabs>
          <w:tab w:val="left" w:pos="330"/>
          <w:tab w:val="num" w:pos="1260"/>
        </w:tabs>
        <w:autoSpaceDN w:val="0"/>
        <w:spacing w:after="0" w:line="240" w:lineRule="auto"/>
        <w:ind w:left="1620"/>
        <w:rPr>
          <w:iCs/>
          <w:color w:val="0000FF"/>
        </w:rPr>
      </w:pPr>
      <w:r w:rsidRPr="00DA0905">
        <w:rPr>
          <w:iCs/>
          <w:color w:val="0000FF"/>
        </w:rPr>
        <w:t>Site D: academic, suburban setting; 9 physicians; average 240 oncology/prostate cancer patients seen per month; submitted PQRS claims for one measure and utilized paper and EHR.</w:t>
      </w:r>
    </w:p>
    <w:p w14:paraId="346180AC" w14:textId="77777777" w:rsidR="00DA0905" w:rsidRPr="00DA0905" w:rsidRDefault="00DA0905" w:rsidP="00DA0905">
      <w:pPr>
        <w:numPr>
          <w:ilvl w:val="0"/>
          <w:numId w:val="32"/>
        </w:numPr>
        <w:tabs>
          <w:tab w:val="left" w:pos="330"/>
          <w:tab w:val="num" w:pos="1260"/>
        </w:tabs>
        <w:autoSpaceDN w:val="0"/>
        <w:spacing w:after="0" w:line="240" w:lineRule="auto"/>
        <w:ind w:left="1620"/>
        <w:rPr>
          <w:iCs/>
          <w:color w:val="0000FF"/>
        </w:rPr>
      </w:pPr>
      <w:r w:rsidRPr="00DA0905">
        <w:rPr>
          <w:iCs/>
          <w:color w:val="0000FF"/>
        </w:rPr>
        <w:t>Site E: academic, urban setting; 14 physicians; average 250 oncology/prostate cancer patients seen per month; collected PQRS data on 3 measures and utilized a full-fledged EHR.</w:t>
      </w:r>
    </w:p>
    <w:p w14:paraId="704193B7" w14:textId="77777777" w:rsidR="00DA0905" w:rsidRDefault="00DA0905" w:rsidP="00E37E1B">
      <w:pPr>
        <w:autoSpaceDE w:val="0"/>
        <w:autoSpaceDN w:val="0"/>
        <w:adjustRightInd w:val="0"/>
        <w:spacing w:after="0" w:line="240" w:lineRule="auto"/>
        <w:rPr>
          <w:rFonts w:cstheme="minorHAnsi"/>
          <w:bCs/>
        </w:rPr>
      </w:pP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14AA036D"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424E606A" w14:textId="77777777" w:rsidR="00DA0905" w:rsidRPr="004C04BA" w:rsidRDefault="00DA0905" w:rsidP="00DA0905">
      <w:pPr>
        <w:adjustRightInd w:val="0"/>
        <w:ind w:left="579"/>
        <w:rPr>
          <w:color w:val="FF0000"/>
          <w:szCs w:val="20"/>
          <w:u w:val="single"/>
        </w:rPr>
      </w:pPr>
      <w:r w:rsidRPr="004C04BA">
        <w:rPr>
          <w:color w:val="FF0000"/>
          <w:szCs w:val="20"/>
          <w:u w:val="single"/>
        </w:rPr>
        <w:t>2019 Submission</w:t>
      </w:r>
    </w:p>
    <w:p w14:paraId="53D59B26" w14:textId="77777777" w:rsidR="00DA0905" w:rsidRPr="004C04BA" w:rsidRDefault="00DA0905" w:rsidP="00DA0905">
      <w:pPr>
        <w:ind w:left="579"/>
        <w:rPr>
          <w:color w:val="FF0000"/>
          <w:szCs w:val="20"/>
          <w:u w:val="single"/>
        </w:rPr>
      </w:pPr>
      <w:r w:rsidRPr="004C04BA">
        <w:rPr>
          <w:color w:val="FF0000"/>
          <w:szCs w:val="20"/>
        </w:rPr>
        <w:t>Patient-level socio-demographic (SDS) variables were not captured as part of the testing.</w:t>
      </w:r>
    </w:p>
    <w:p w14:paraId="44ADD613" w14:textId="77777777" w:rsidR="00DA0905" w:rsidRDefault="00DA0905" w:rsidP="00DA0905">
      <w:pPr>
        <w:ind w:left="580"/>
        <w:rPr>
          <w:rFonts w:cstheme="minorHAnsi"/>
          <w:b/>
          <w:color w:val="0000FF"/>
          <w:u w:val="single"/>
        </w:rPr>
      </w:pPr>
      <w:r>
        <w:rPr>
          <w:rFonts w:cstheme="minorHAnsi"/>
          <w:b/>
          <w:color w:val="0000FF"/>
          <w:u w:val="single"/>
        </w:rPr>
        <w:t>2015 Submission</w:t>
      </w:r>
    </w:p>
    <w:p w14:paraId="5BFA6580" w14:textId="77777777" w:rsidR="00DA0905" w:rsidRDefault="00DA0905" w:rsidP="00DA0905">
      <w:pPr>
        <w:ind w:left="579"/>
        <w:rPr>
          <w:rFonts w:cstheme="minorHAnsi"/>
          <w:color w:val="0000FF"/>
        </w:rPr>
      </w:pPr>
      <w:r>
        <w:rPr>
          <w:rFonts w:cstheme="minorHAnsi"/>
          <w:color w:val="0000FF"/>
        </w:rPr>
        <w:t>We encourage the results of this measure to be stratified by race, ethnicity, gender, and primary language, and have included these variables as recommended data elements to be collected.</w:t>
      </w:r>
    </w:p>
    <w:p w14:paraId="3014CE18" w14:textId="77777777" w:rsidR="00DA0905" w:rsidRDefault="00DA0905" w:rsidP="00DA0905">
      <w:pPr>
        <w:ind w:left="579"/>
        <w:rPr>
          <w:rFonts w:cstheme="minorHAnsi"/>
          <w:color w:val="0000FF"/>
        </w:rPr>
      </w:pPr>
      <w:r>
        <w:rPr>
          <w:rFonts w:cstheme="minorHAnsi"/>
          <w:color w:val="0000FF"/>
        </w:rPr>
        <w:t>The PCPI advocates that performance measure data should, where possible, be stratified by race, ethnicity, and primary language to assess disparities and initiate subsequent quality improvement activities addressing identified disparities, consistent with recent national efforts to standardize the collection of race and ethnicity data. A 2008 NQF report endorsed 45 practices including stratification by the aforementioned variables.(1) A 2009 IOM report “recommends collection of the existing Office of Management and Budget (OMB) race and Hispanic ethnicity categories as well as more fine-grained categories of ethnicity(referred to as granular ethnicity and based on one’s ancestry) and language need (a rating of spoken English language proficiency of less than very well and one’s preferred language for health-related encounters).”(2)</w:t>
      </w:r>
    </w:p>
    <w:p w14:paraId="29334C75" w14:textId="77777777" w:rsidR="00DA0905" w:rsidRDefault="00DA0905" w:rsidP="00DA0905">
      <w:pPr>
        <w:ind w:left="579"/>
        <w:rPr>
          <w:rFonts w:cstheme="minorHAnsi"/>
          <w:color w:val="0000FF"/>
        </w:rPr>
      </w:pPr>
      <w:r>
        <w:rPr>
          <w:rFonts w:cstheme="minorHAnsi"/>
          <w:color w:val="0000FF"/>
        </w:rPr>
        <w:t>References:</w:t>
      </w:r>
    </w:p>
    <w:p w14:paraId="3008E0E6" w14:textId="77777777" w:rsidR="00DA0905" w:rsidRDefault="00DA0905" w:rsidP="00DA0905">
      <w:pPr>
        <w:pStyle w:val="ListParagraph"/>
        <w:widowControl w:val="0"/>
        <w:numPr>
          <w:ilvl w:val="0"/>
          <w:numId w:val="33"/>
        </w:numPr>
        <w:autoSpaceDE w:val="0"/>
        <w:autoSpaceDN w:val="0"/>
        <w:spacing w:after="0" w:line="240" w:lineRule="auto"/>
        <w:contextualSpacing w:val="0"/>
        <w:rPr>
          <w:rFonts w:cstheme="minorHAnsi"/>
          <w:color w:val="0000FF"/>
        </w:rPr>
      </w:pPr>
      <w:r>
        <w:rPr>
          <w:rFonts w:cstheme="minorHAnsi"/>
          <w:color w:val="0000FF"/>
        </w:rPr>
        <w:t>National Quality Forum Issue Brief (No.10). Closing the Disparities Gap in Healthcare Quality with Performance Measurement and Public Reporting. Washington, DC: NQF, August 2008.</w:t>
      </w:r>
    </w:p>
    <w:p w14:paraId="5FA89A77" w14:textId="77777777" w:rsidR="00DA0905" w:rsidRDefault="00DA0905" w:rsidP="00DA0905">
      <w:pPr>
        <w:pStyle w:val="ListParagraph"/>
        <w:widowControl w:val="0"/>
        <w:numPr>
          <w:ilvl w:val="0"/>
          <w:numId w:val="33"/>
        </w:numPr>
        <w:autoSpaceDE w:val="0"/>
        <w:autoSpaceDN w:val="0"/>
        <w:spacing w:after="0" w:line="240" w:lineRule="auto"/>
        <w:contextualSpacing w:val="0"/>
        <w:rPr>
          <w:rFonts w:cstheme="minorHAnsi"/>
          <w:color w:val="0000FF"/>
        </w:rPr>
      </w:pPr>
      <w:r>
        <w:rPr>
          <w:rFonts w:cstheme="minorHAnsi"/>
          <w:color w:val="0000FF"/>
        </w:rPr>
        <w:t xml:space="preserve">Race, Ethnicity, and Language Data: Standardization for Health Care Quality Improvement. March 2010. AHRQ Publication No. 10-0058-EF. Agency for Healthcare Research and Quality, Rockville, MD. Available at: </w:t>
      </w:r>
    </w:p>
    <w:p w14:paraId="623AA8EF" w14:textId="77777777" w:rsidR="00DA0905" w:rsidRDefault="00DA0905" w:rsidP="00DA0905">
      <w:pPr>
        <w:pStyle w:val="BodyText"/>
        <w:ind w:left="1158" w:right="585"/>
        <w:rPr>
          <w:rFonts w:asciiTheme="minorHAnsi" w:hAnsiTheme="minorHAnsi" w:cstheme="minorHAnsi"/>
          <w:color w:val="0000FF"/>
        </w:rPr>
      </w:pPr>
      <w:r>
        <w:rPr>
          <w:rFonts w:asciiTheme="minorHAnsi" w:hAnsiTheme="minorHAnsi" w:cstheme="minorHAnsi"/>
          <w:color w:val="0000FF"/>
        </w:rPr>
        <w:t>http://www.ahrq.gov/research/iomracereport. Accessed May 25, 2010.</w:t>
      </w:r>
    </w:p>
    <w:p w14:paraId="59523880" w14:textId="77777777" w:rsidR="00DA0905" w:rsidRDefault="00DA0905"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lastRenderedPageBreak/>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 xml:space="preserve">check critical data </w:t>
      </w:r>
      <w:proofErr w:type="gramStart"/>
      <w:r w:rsidR="00C867F0">
        <w:rPr>
          <w:rFonts w:cstheme="minorHAnsi"/>
          <w:bCs/>
          <w:i/>
        </w:rPr>
        <w:t>elements</w:t>
      </w:r>
      <w:proofErr w:type="gramEnd"/>
      <w:r w:rsidR="00C867F0">
        <w:rPr>
          <w:rFonts w:cstheme="minorHAnsi"/>
          <w:bCs/>
          <w:i/>
        </w:rPr>
        <w:t>;</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26ED534D" w14:textId="77777777" w:rsidR="00DA090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p>
    <w:p w14:paraId="3EF6721B" w14:textId="77777777" w:rsidR="00DA0905" w:rsidRPr="00DA0905" w:rsidRDefault="00DA0905" w:rsidP="00DA0905">
      <w:pPr>
        <w:pStyle w:val="ListParagraph"/>
        <w:ind w:left="939"/>
        <w:rPr>
          <w:color w:val="FF0000"/>
        </w:rPr>
      </w:pPr>
    </w:p>
    <w:p w14:paraId="0CABCFD1" w14:textId="35E4A73B" w:rsidR="001969C5" w:rsidRDefault="001F7A20" w:rsidP="008C54A9">
      <w:pPr>
        <w:autoSpaceDE w:val="0"/>
        <w:autoSpaceDN w:val="0"/>
        <w:adjustRightInd w:val="0"/>
        <w:spacing w:after="0" w:line="240" w:lineRule="auto"/>
        <w:rPr>
          <w:rFonts w:cstheme="minorHAnsi"/>
          <w:bCs/>
        </w:rPr>
      </w:pPr>
      <w:r>
        <w:rPr>
          <w:rFonts w:cstheme="minorHAnsi"/>
          <w:b/>
          <w:bCs/>
        </w:rPr>
        <w:t>2a2.</w:t>
      </w:r>
      <w:r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2F11C86" w14:textId="77777777" w:rsidR="00DA0905" w:rsidRDefault="00DA0905" w:rsidP="00DA0905">
      <w:pPr>
        <w:ind w:left="579"/>
        <w:rPr>
          <w:rFonts w:eastAsiaTheme="minorHAnsi"/>
          <w:color w:val="FF0000"/>
          <w:u w:val="single"/>
        </w:rPr>
      </w:pPr>
      <w:r>
        <w:rPr>
          <w:color w:val="FF0000"/>
          <w:u w:val="single"/>
        </w:rPr>
        <w:t>2019 Submission:</w:t>
      </w:r>
    </w:p>
    <w:p w14:paraId="56E02109" w14:textId="77777777" w:rsidR="00DA0905" w:rsidRDefault="00DA0905" w:rsidP="00DA0905">
      <w:pPr>
        <w:ind w:left="579"/>
        <w:rPr>
          <w:color w:val="FF0000"/>
        </w:rPr>
      </w:pPr>
      <w:r>
        <w:rPr>
          <w:color w:val="FF0000"/>
        </w:rPr>
        <w:t>Reliability of the computed measure score was measured as the ratio of signal to noise. The signal in this case is the proportion of the variability in measured performance that can be explained by real differences in physician performance and the noise is the total variability in measured performance.  Reliability at the level of the specific physician is given by:</w:t>
      </w:r>
    </w:p>
    <w:p w14:paraId="6F6046BC" w14:textId="77777777" w:rsidR="00DA0905" w:rsidRDefault="00DA0905" w:rsidP="00DA0905">
      <w:pPr>
        <w:ind w:left="579"/>
        <w:rPr>
          <w:color w:val="FF0000"/>
        </w:rPr>
      </w:pPr>
      <w:r>
        <w:rPr>
          <w:color w:val="FF0000"/>
        </w:rPr>
        <w:t>Reliability = Variance (facility-to-facility) / [Variance (facility-to-facility) + Variance (facility-specific-error]</w:t>
      </w:r>
    </w:p>
    <w:p w14:paraId="5B868CC9" w14:textId="77777777" w:rsidR="00DA0905" w:rsidRDefault="00DA0905" w:rsidP="00DA0905">
      <w:pPr>
        <w:ind w:left="579"/>
        <w:rPr>
          <w:color w:val="FF0000"/>
        </w:rPr>
      </w:pPr>
      <w:r>
        <w:rPr>
          <w:color w:val="FF0000"/>
        </w:rPr>
        <w:t>Reliability is the ratio of the facility-to-facility variance divided by the sum of the facility-to-facility variance plus the error variance specific to a facility.  A reliability of zero implies that all the variability in a measure is attributable to measurement error. A reliability of one implies that all the variability is attributable to real differences in practice performance.</w:t>
      </w:r>
    </w:p>
    <w:p w14:paraId="53D3E9D6" w14:textId="77777777" w:rsidR="00DA0905" w:rsidRDefault="00DA0905" w:rsidP="00DA0905">
      <w:pPr>
        <w:ind w:left="579"/>
        <w:rPr>
          <w:color w:val="FF0000"/>
        </w:rPr>
      </w:pPr>
      <w:r>
        <w:rPr>
          <w:color w:val="FF0000"/>
        </w:rPr>
        <w:t>Reliability testing was performed by using a beta-binomial model. The beta-binomial model assumes the practice performance score is a binomial random variable conditional on the practice’s true value that comes from the beta distribution. The beta distribution is usually defined by two parameters, alpha and beta. Alpha and beta can be thought of as intermediate calculations to get to the needed variance estimates. </w:t>
      </w:r>
    </w:p>
    <w:p w14:paraId="03BEA963" w14:textId="77777777" w:rsidR="00DA0905" w:rsidRDefault="00DA0905" w:rsidP="00DA0905">
      <w:pPr>
        <w:ind w:left="579"/>
        <w:rPr>
          <w:color w:val="FF0000"/>
        </w:rPr>
      </w:pPr>
      <w:r>
        <w:rPr>
          <w:color w:val="FF0000"/>
        </w:rPr>
        <w:t xml:space="preserve">To assess signal-to-noise, we employed the beta-binomial model as described by JL Adams (1). Each facility provided numerators and denominators in accordance with the measure specification. Through the estimation of the beta-binomial parameters (often referred to as alpha and beta) as described by Adams (1), we estimated the facility-to-facility variance and the within-facility variance (simply the binomial variance for each facility). </w:t>
      </w:r>
    </w:p>
    <w:p w14:paraId="4474EAFE" w14:textId="77777777" w:rsidR="00DA0905" w:rsidRDefault="00DA0905" w:rsidP="00DA0905">
      <w:pPr>
        <w:ind w:left="579"/>
        <w:rPr>
          <w:color w:val="FF0000"/>
          <w:vertAlign w:val="superscript"/>
        </w:rPr>
      </w:pPr>
      <w:r>
        <w:rPr>
          <w:color w:val="FF0000"/>
        </w:rPr>
        <w:t xml:space="preserve">A reliability equal to zero implies that all the variability in a measure is attributable to measurement error. A reliability equal to one implies that all the variability is attributable to real differences in practice performance. A reliability of 0.70 – 0.80 is generally considered the acceptable threshold for reliability, 0.80 – 0.90 is considered high reliability, and 0.90 – 1.0 is considered very high. </w:t>
      </w:r>
      <w:r>
        <w:rPr>
          <w:color w:val="FF0000"/>
          <w:vertAlign w:val="superscript"/>
        </w:rPr>
        <w:t>1</w:t>
      </w:r>
    </w:p>
    <w:p w14:paraId="5467FCAC" w14:textId="77777777" w:rsidR="00DA0905" w:rsidRPr="00DA0905" w:rsidRDefault="00DA0905" w:rsidP="00DA0905">
      <w:pPr>
        <w:pStyle w:val="ListParagraph"/>
        <w:numPr>
          <w:ilvl w:val="0"/>
          <w:numId w:val="34"/>
        </w:numPr>
        <w:rPr>
          <w:color w:val="FF0000"/>
        </w:rPr>
      </w:pPr>
      <w:r w:rsidRPr="00DA0905">
        <w:rPr>
          <w:color w:val="FF0000"/>
        </w:rPr>
        <w:lastRenderedPageBreak/>
        <w:t xml:space="preserve">Adams JL, Mehrotra A, McGlynn EA, Estimating Reliability and Misclassification in Physician Profiling, Santa Monica, CA: RAND Corporation, 2010. </w:t>
      </w:r>
      <w:hyperlink r:id="rId12" w:history="1">
        <w:r>
          <w:rPr>
            <w:rStyle w:val="Hyperlink"/>
          </w:rPr>
          <w:t>www.rand.org/pubs/technical_reports/TR863</w:t>
        </w:r>
      </w:hyperlink>
      <w:r w:rsidRPr="00DA0905">
        <w:rPr>
          <w:color w:val="FF0000"/>
        </w:rPr>
        <w:t>. (Accessed on February 24, 2012.)</w:t>
      </w:r>
    </w:p>
    <w:p w14:paraId="345529A1" w14:textId="77777777" w:rsidR="00DA0905" w:rsidRDefault="00DA0905" w:rsidP="00DA0905">
      <w:pPr>
        <w:ind w:left="360"/>
        <w:rPr>
          <w:rFonts w:cstheme="minorHAnsi"/>
          <w:b/>
          <w:color w:val="0000FF"/>
          <w:u w:val="single"/>
        </w:rPr>
      </w:pPr>
      <w:r>
        <w:rPr>
          <w:rFonts w:cstheme="minorHAnsi"/>
          <w:b/>
          <w:color w:val="0000FF"/>
          <w:u w:val="single"/>
        </w:rPr>
        <w:t>2015 Submission</w:t>
      </w:r>
    </w:p>
    <w:p w14:paraId="422AC27B" w14:textId="77777777" w:rsidR="00DA0905" w:rsidRPr="00A75A64" w:rsidRDefault="00DA0905" w:rsidP="00DA0905">
      <w:pPr>
        <w:pStyle w:val="ListParagraph"/>
        <w:numPr>
          <w:ilvl w:val="0"/>
          <w:numId w:val="35"/>
        </w:numPr>
        <w:spacing w:line="240" w:lineRule="auto"/>
        <w:rPr>
          <w:rFonts w:cstheme="minorHAnsi"/>
          <w:color w:val="0000FF"/>
        </w:rPr>
      </w:pPr>
      <w:r w:rsidRPr="00A75A64">
        <w:rPr>
          <w:rFonts w:cstheme="minorHAnsi"/>
          <w:color w:val="0000FF"/>
        </w:rPr>
        <w:t>PCPI Testing Project</w:t>
      </w:r>
    </w:p>
    <w:p w14:paraId="7D73BCF9" w14:textId="77777777" w:rsidR="00DA0905" w:rsidRPr="00A75A64" w:rsidRDefault="00DA0905" w:rsidP="00DA0905">
      <w:pPr>
        <w:pStyle w:val="ListParagraph"/>
        <w:numPr>
          <w:ilvl w:val="0"/>
          <w:numId w:val="35"/>
        </w:numPr>
        <w:spacing w:line="240" w:lineRule="auto"/>
        <w:rPr>
          <w:rFonts w:cstheme="minorHAnsi"/>
          <w:color w:val="0000FF"/>
        </w:rPr>
      </w:pPr>
      <w:r w:rsidRPr="00A75A64">
        <w:rPr>
          <w:rFonts w:cstheme="minorHAnsi"/>
          <w:color w:val="0000FF"/>
        </w:rPr>
        <w:t>Data abstracted from patient records were used to calculate inter-rater reliability for the measure.</w:t>
      </w:r>
    </w:p>
    <w:p w14:paraId="5C25A9EC" w14:textId="77777777" w:rsidR="00DA0905" w:rsidRPr="00A75A64" w:rsidRDefault="00DA0905" w:rsidP="00DA0905">
      <w:pPr>
        <w:pStyle w:val="ListParagraph"/>
        <w:numPr>
          <w:ilvl w:val="0"/>
          <w:numId w:val="35"/>
        </w:numPr>
        <w:spacing w:line="240" w:lineRule="auto"/>
        <w:rPr>
          <w:rFonts w:cstheme="minorHAnsi"/>
          <w:color w:val="0000FF"/>
        </w:rPr>
      </w:pPr>
      <w:r w:rsidRPr="00A75A64">
        <w:rPr>
          <w:rFonts w:cstheme="minorHAnsi"/>
          <w:color w:val="0000FF"/>
        </w:rPr>
        <w:t>360 patient visits were reviewed.</w:t>
      </w:r>
    </w:p>
    <w:p w14:paraId="2BF49A2D" w14:textId="77777777" w:rsidR="00DA0905" w:rsidRPr="00A75A64" w:rsidRDefault="00DA0905" w:rsidP="00DA0905">
      <w:pPr>
        <w:pStyle w:val="ListParagraph"/>
        <w:numPr>
          <w:ilvl w:val="0"/>
          <w:numId w:val="35"/>
        </w:numPr>
        <w:spacing w:line="240" w:lineRule="auto"/>
        <w:rPr>
          <w:rFonts w:cstheme="minorHAnsi"/>
          <w:color w:val="0000FF"/>
        </w:rPr>
      </w:pPr>
      <w:r w:rsidRPr="00A75A64">
        <w:rPr>
          <w:rFonts w:cstheme="minorHAnsi"/>
          <w:color w:val="0000FF"/>
        </w:rPr>
        <w:t>Data analysis included:</w:t>
      </w:r>
    </w:p>
    <w:p w14:paraId="61CB8936" w14:textId="77777777" w:rsidR="00DA0905" w:rsidRPr="00A75A64" w:rsidRDefault="00DA0905" w:rsidP="00DA0905">
      <w:pPr>
        <w:pStyle w:val="ListParagraph"/>
        <w:numPr>
          <w:ilvl w:val="1"/>
          <w:numId w:val="30"/>
        </w:numPr>
        <w:spacing w:line="240" w:lineRule="auto"/>
        <w:rPr>
          <w:rFonts w:cstheme="minorHAnsi"/>
          <w:color w:val="0000FF"/>
        </w:rPr>
      </w:pPr>
      <w:r w:rsidRPr="00A75A64">
        <w:rPr>
          <w:rFonts w:cstheme="minorHAnsi"/>
          <w:color w:val="0000FF"/>
        </w:rPr>
        <w:t>Percent agreement; and</w:t>
      </w:r>
    </w:p>
    <w:p w14:paraId="585BC6CA" w14:textId="77777777" w:rsidR="00DA0905" w:rsidRPr="00A75A64" w:rsidRDefault="00DA0905" w:rsidP="00DA0905">
      <w:pPr>
        <w:pStyle w:val="ListParagraph"/>
        <w:numPr>
          <w:ilvl w:val="1"/>
          <w:numId w:val="30"/>
        </w:numPr>
        <w:spacing w:before="1" w:line="240" w:lineRule="auto"/>
        <w:ind w:right="657"/>
        <w:rPr>
          <w:rFonts w:cstheme="minorHAnsi"/>
          <w:color w:val="0000FF"/>
        </w:rPr>
      </w:pPr>
      <w:r w:rsidRPr="00A75A64">
        <w:rPr>
          <w:rFonts w:cstheme="minorHAnsi"/>
          <w:color w:val="0000FF"/>
        </w:rPr>
        <w:t>Kappa statistic to adjust for chance agreement</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0647E3A5" w14:textId="53E61BFB" w:rsidR="00DA0905"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3DCC5BE7" w14:textId="63EE8016" w:rsidR="00DA0905" w:rsidRDefault="00DA0905" w:rsidP="008C54A9">
      <w:pPr>
        <w:autoSpaceDE w:val="0"/>
        <w:autoSpaceDN w:val="0"/>
        <w:adjustRightInd w:val="0"/>
        <w:spacing w:after="0" w:line="240" w:lineRule="auto"/>
        <w:rPr>
          <w:rFonts w:cstheme="minorHAnsi"/>
          <w:bCs/>
        </w:rPr>
      </w:pPr>
    </w:p>
    <w:p w14:paraId="42F471B6" w14:textId="77777777" w:rsidR="00DA0905" w:rsidRPr="004C04BA" w:rsidRDefault="00DA0905" w:rsidP="00DA0905">
      <w:pPr>
        <w:adjustRightInd w:val="0"/>
        <w:ind w:left="216"/>
        <w:rPr>
          <w:color w:val="FF0000"/>
          <w:szCs w:val="20"/>
          <w:u w:val="single"/>
        </w:rPr>
      </w:pPr>
      <w:bookmarkStart w:id="14" w:name="_Hlk15498411"/>
      <w:r w:rsidRPr="004C04BA">
        <w:rPr>
          <w:color w:val="FF0000"/>
          <w:szCs w:val="20"/>
          <w:u w:val="single"/>
        </w:rPr>
        <w:t>2019 Submission</w:t>
      </w:r>
    </w:p>
    <w:p w14:paraId="36BB2BD5" w14:textId="77777777" w:rsidR="00DA0905" w:rsidRDefault="00DA0905" w:rsidP="00DA0905">
      <w:pPr>
        <w:adjustRightInd w:val="0"/>
        <w:ind w:left="216"/>
        <w:rPr>
          <w:color w:val="FF0000"/>
          <w:szCs w:val="20"/>
        </w:rPr>
      </w:pPr>
      <w:r w:rsidRPr="004C04BA">
        <w:rPr>
          <w:color w:val="FF0000"/>
          <w:szCs w:val="20"/>
        </w:rPr>
        <w:t xml:space="preserve">The reliability above the minimum level of quality reporting events was </w:t>
      </w:r>
      <w:r>
        <w:rPr>
          <w:color w:val="FF0000"/>
          <w:szCs w:val="20"/>
        </w:rPr>
        <w:t>above 0.95</w:t>
      </w:r>
      <w:r w:rsidRPr="004C04BA">
        <w:rPr>
          <w:color w:val="FF0000"/>
          <w:szCs w:val="20"/>
        </w:rPr>
        <w:t>.</w:t>
      </w:r>
    </w:p>
    <w:p w14:paraId="458D669E" w14:textId="77777777" w:rsidR="00DA0905" w:rsidRDefault="00DA0905" w:rsidP="00DA0905">
      <w:pPr>
        <w:pStyle w:val="ListParagraph"/>
        <w:numPr>
          <w:ilvl w:val="0"/>
          <w:numId w:val="36"/>
        </w:numPr>
        <w:spacing w:after="0" w:line="240" w:lineRule="auto"/>
        <w:rPr>
          <w:color w:val="FF0000"/>
        </w:rPr>
      </w:pPr>
      <w:r w:rsidRPr="00411DCC">
        <w:rPr>
          <w:color w:val="FF0000"/>
        </w:rPr>
        <w:t>Reliability for 0383 (144):</w:t>
      </w:r>
    </w:p>
    <w:p w14:paraId="5CA685E0" w14:textId="77777777" w:rsidR="00DA0905" w:rsidRPr="007562F6" w:rsidRDefault="00DA0905" w:rsidP="00962141">
      <w:pPr>
        <w:pStyle w:val="FirstParagraph"/>
        <w:numPr>
          <w:ilvl w:val="0"/>
          <w:numId w:val="36"/>
        </w:numPr>
        <w:spacing w:after="0"/>
        <w:ind w:left="810" w:hanging="270"/>
        <w:rPr>
          <w:rFonts w:asciiTheme="minorHAnsi" w:hAnsiTheme="minorHAnsi" w:cstheme="minorHAnsi"/>
          <w:color w:val="FF0000"/>
          <w:szCs w:val="22"/>
        </w:rPr>
      </w:pPr>
      <w:r w:rsidRPr="007562F6">
        <w:rPr>
          <w:rFonts w:asciiTheme="minorHAnsi" w:hAnsiTheme="minorHAnsi" w:cstheme="minorHAnsi"/>
          <w:color w:val="FF0000"/>
          <w:szCs w:val="22"/>
        </w:rPr>
        <w:t>Methods: Signal-to-noise analysis using the Beta-Binomial</w:t>
      </w:r>
    </w:p>
    <w:p w14:paraId="7B6AD157" w14:textId="77777777" w:rsidR="00DA0905" w:rsidRPr="007562F6" w:rsidRDefault="00DA0905" w:rsidP="00962141">
      <w:pPr>
        <w:pStyle w:val="BodyText"/>
        <w:numPr>
          <w:ilvl w:val="0"/>
          <w:numId w:val="36"/>
        </w:numPr>
        <w:ind w:left="810" w:hanging="270"/>
        <w:rPr>
          <w:rFonts w:asciiTheme="minorHAnsi" w:hAnsiTheme="minorHAnsi" w:cstheme="minorHAnsi"/>
          <w:color w:val="FF0000"/>
        </w:rPr>
      </w:pPr>
      <w:r w:rsidRPr="007562F6">
        <w:rPr>
          <w:rFonts w:asciiTheme="minorHAnsi" w:hAnsiTheme="minorHAnsi" w:cstheme="minorHAnsi"/>
          <w:color w:val="FF0000"/>
        </w:rPr>
        <w:t>Results:</w:t>
      </w:r>
    </w:p>
    <w:p w14:paraId="4BEDF72F" w14:textId="77777777" w:rsidR="00DA0905" w:rsidRPr="007562F6" w:rsidRDefault="00DA0905" w:rsidP="00962141">
      <w:pPr>
        <w:pStyle w:val="Heading2"/>
        <w:numPr>
          <w:ilvl w:val="2"/>
          <w:numId w:val="36"/>
        </w:numPr>
        <w:ind w:left="1170" w:hanging="270"/>
        <w:rPr>
          <w:rFonts w:asciiTheme="minorHAnsi" w:hAnsiTheme="minorHAnsi" w:cstheme="minorHAnsi"/>
          <w:i/>
          <w:color w:val="FF0000"/>
          <w:sz w:val="22"/>
          <w:szCs w:val="22"/>
        </w:rPr>
      </w:pPr>
      <w:bookmarkStart w:id="15" w:name="facility-level-reliability"/>
      <w:bookmarkEnd w:id="15"/>
      <w:r w:rsidRPr="007562F6">
        <w:rPr>
          <w:rFonts w:asciiTheme="minorHAnsi" w:hAnsiTheme="minorHAnsi" w:cstheme="minorHAnsi"/>
          <w:i/>
          <w:color w:val="FF0000"/>
          <w:sz w:val="22"/>
          <w:szCs w:val="22"/>
        </w:rPr>
        <w:t>Facility-level Reliability</w:t>
      </w:r>
    </w:p>
    <w:tbl>
      <w:tblPr>
        <w:tblpPr w:leftFromText="180" w:rightFromText="180" w:vertAnchor="text" w:horzAnchor="page" w:tblpX="1867" w:tblpY="164"/>
        <w:tblW w:w="3950" w:type="pct"/>
        <w:tblLook w:val="07E0" w:firstRow="1" w:lastRow="1" w:firstColumn="1" w:lastColumn="1" w:noHBand="1" w:noVBand="1"/>
      </w:tblPr>
      <w:tblGrid>
        <w:gridCol w:w="551"/>
        <w:gridCol w:w="830"/>
        <w:gridCol w:w="830"/>
        <w:gridCol w:w="830"/>
        <w:gridCol w:w="1009"/>
        <w:gridCol w:w="901"/>
        <w:gridCol w:w="1008"/>
        <w:gridCol w:w="605"/>
        <w:gridCol w:w="830"/>
      </w:tblGrid>
      <w:tr w:rsidR="00DA0905" w:rsidRPr="007562F6" w14:paraId="0CB57219" w14:textId="77777777" w:rsidTr="00601C7F">
        <w:tc>
          <w:tcPr>
            <w:tcW w:w="0" w:type="auto"/>
            <w:tcBorders>
              <w:bottom w:val="single" w:sz="0" w:space="0" w:color="auto"/>
            </w:tcBorders>
            <w:vAlign w:val="bottom"/>
          </w:tcPr>
          <w:p w14:paraId="0330943A"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N</w:t>
            </w:r>
          </w:p>
        </w:tc>
        <w:tc>
          <w:tcPr>
            <w:tcW w:w="0" w:type="auto"/>
            <w:tcBorders>
              <w:bottom w:val="single" w:sz="0" w:space="0" w:color="auto"/>
            </w:tcBorders>
            <w:vAlign w:val="bottom"/>
          </w:tcPr>
          <w:p w14:paraId="79B339DA"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Alpha</w:t>
            </w:r>
          </w:p>
        </w:tc>
        <w:tc>
          <w:tcPr>
            <w:tcW w:w="0" w:type="auto"/>
            <w:tcBorders>
              <w:bottom w:val="single" w:sz="0" w:space="0" w:color="auto"/>
            </w:tcBorders>
            <w:vAlign w:val="bottom"/>
          </w:tcPr>
          <w:p w14:paraId="6BBF56A8"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Beta</w:t>
            </w:r>
          </w:p>
        </w:tc>
        <w:tc>
          <w:tcPr>
            <w:tcW w:w="0" w:type="auto"/>
            <w:tcBorders>
              <w:bottom w:val="single" w:sz="0" w:space="0" w:color="auto"/>
            </w:tcBorders>
            <w:vAlign w:val="bottom"/>
          </w:tcPr>
          <w:p w14:paraId="266C628B"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Min</w:t>
            </w:r>
          </w:p>
        </w:tc>
        <w:tc>
          <w:tcPr>
            <w:tcW w:w="0" w:type="auto"/>
            <w:tcBorders>
              <w:bottom w:val="single" w:sz="0" w:space="0" w:color="auto"/>
            </w:tcBorders>
            <w:vAlign w:val="bottom"/>
          </w:tcPr>
          <w:p w14:paraId="270D3D8C"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 xml:space="preserve">10th </w:t>
            </w:r>
            <w:proofErr w:type="spellStart"/>
            <w:r w:rsidRPr="007562F6">
              <w:rPr>
                <w:rFonts w:asciiTheme="minorHAnsi" w:hAnsiTheme="minorHAnsi" w:cstheme="minorHAnsi"/>
                <w:color w:val="FF0000"/>
                <w:szCs w:val="22"/>
              </w:rPr>
              <w:t>Pctl</w:t>
            </w:r>
            <w:proofErr w:type="spellEnd"/>
          </w:p>
        </w:tc>
        <w:tc>
          <w:tcPr>
            <w:tcW w:w="0" w:type="auto"/>
            <w:tcBorders>
              <w:bottom w:val="single" w:sz="0" w:space="0" w:color="auto"/>
            </w:tcBorders>
            <w:vAlign w:val="bottom"/>
          </w:tcPr>
          <w:p w14:paraId="41FEEF8A"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Median</w:t>
            </w:r>
          </w:p>
        </w:tc>
        <w:tc>
          <w:tcPr>
            <w:tcW w:w="0" w:type="auto"/>
            <w:tcBorders>
              <w:bottom w:val="single" w:sz="0" w:space="0" w:color="auto"/>
            </w:tcBorders>
            <w:vAlign w:val="bottom"/>
          </w:tcPr>
          <w:p w14:paraId="6C384624"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 xml:space="preserve">90th </w:t>
            </w:r>
            <w:proofErr w:type="spellStart"/>
            <w:r w:rsidRPr="007562F6">
              <w:rPr>
                <w:rFonts w:asciiTheme="minorHAnsi" w:hAnsiTheme="minorHAnsi" w:cstheme="minorHAnsi"/>
                <w:color w:val="FF0000"/>
                <w:szCs w:val="22"/>
              </w:rPr>
              <w:t>Pctl</w:t>
            </w:r>
            <w:proofErr w:type="spellEnd"/>
          </w:p>
        </w:tc>
        <w:tc>
          <w:tcPr>
            <w:tcW w:w="0" w:type="auto"/>
            <w:tcBorders>
              <w:bottom w:val="single" w:sz="0" w:space="0" w:color="auto"/>
            </w:tcBorders>
            <w:vAlign w:val="bottom"/>
          </w:tcPr>
          <w:p w14:paraId="45E7B815"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Max</w:t>
            </w:r>
          </w:p>
        </w:tc>
        <w:tc>
          <w:tcPr>
            <w:tcW w:w="0" w:type="auto"/>
            <w:tcBorders>
              <w:bottom w:val="single" w:sz="0" w:space="0" w:color="auto"/>
            </w:tcBorders>
            <w:vAlign w:val="bottom"/>
          </w:tcPr>
          <w:p w14:paraId="658DD1C5"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Mean</w:t>
            </w:r>
          </w:p>
        </w:tc>
      </w:tr>
      <w:tr w:rsidR="00DA0905" w:rsidRPr="007562F6" w14:paraId="6CCB12F3" w14:textId="77777777" w:rsidTr="00962141">
        <w:trPr>
          <w:trHeight w:val="192"/>
        </w:trPr>
        <w:tc>
          <w:tcPr>
            <w:tcW w:w="0" w:type="auto"/>
            <w:tcBorders>
              <w:bottom w:val="single" w:sz="0" w:space="0" w:color="auto"/>
            </w:tcBorders>
            <w:vAlign w:val="bottom"/>
          </w:tcPr>
          <w:p w14:paraId="27E6E267" w14:textId="77777777" w:rsidR="00DA0905" w:rsidRPr="007562F6" w:rsidRDefault="00DA0905" w:rsidP="00601C7F">
            <w:pPr>
              <w:pStyle w:val="Compact"/>
              <w:jc w:val="center"/>
              <w:rPr>
                <w:rFonts w:asciiTheme="minorHAnsi" w:hAnsiTheme="minorHAnsi" w:cstheme="minorHAnsi"/>
                <w:color w:val="FF0000"/>
                <w:szCs w:val="22"/>
              </w:rPr>
            </w:pPr>
          </w:p>
        </w:tc>
        <w:tc>
          <w:tcPr>
            <w:tcW w:w="0" w:type="auto"/>
            <w:tcBorders>
              <w:bottom w:val="single" w:sz="0" w:space="0" w:color="auto"/>
            </w:tcBorders>
            <w:vAlign w:val="bottom"/>
          </w:tcPr>
          <w:p w14:paraId="5F886188" w14:textId="77777777" w:rsidR="00DA0905" w:rsidRPr="007562F6" w:rsidRDefault="00DA0905" w:rsidP="00601C7F">
            <w:pPr>
              <w:pStyle w:val="Compact"/>
              <w:jc w:val="center"/>
              <w:rPr>
                <w:rFonts w:asciiTheme="minorHAnsi" w:hAnsiTheme="minorHAnsi" w:cstheme="minorHAnsi"/>
                <w:color w:val="FF0000"/>
                <w:szCs w:val="22"/>
              </w:rPr>
            </w:pPr>
          </w:p>
        </w:tc>
        <w:tc>
          <w:tcPr>
            <w:tcW w:w="0" w:type="auto"/>
            <w:tcBorders>
              <w:bottom w:val="single" w:sz="0" w:space="0" w:color="auto"/>
            </w:tcBorders>
            <w:vAlign w:val="bottom"/>
          </w:tcPr>
          <w:p w14:paraId="0E128FA0" w14:textId="77777777" w:rsidR="00DA0905" w:rsidRPr="007562F6" w:rsidRDefault="00DA0905" w:rsidP="00601C7F">
            <w:pPr>
              <w:pStyle w:val="Compact"/>
              <w:jc w:val="center"/>
              <w:rPr>
                <w:rFonts w:asciiTheme="minorHAnsi" w:hAnsiTheme="minorHAnsi" w:cstheme="minorHAnsi"/>
                <w:color w:val="FF0000"/>
                <w:szCs w:val="22"/>
              </w:rPr>
            </w:pPr>
          </w:p>
        </w:tc>
        <w:tc>
          <w:tcPr>
            <w:tcW w:w="0" w:type="auto"/>
            <w:tcBorders>
              <w:bottom w:val="single" w:sz="0" w:space="0" w:color="auto"/>
            </w:tcBorders>
            <w:vAlign w:val="bottom"/>
          </w:tcPr>
          <w:p w14:paraId="791CB235" w14:textId="77777777" w:rsidR="00DA0905" w:rsidRPr="007562F6" w:rsidRDefault="00DA0905" w:rsidP="00601C7F">
            <w:pPr>
              <w:pStyle w:val="Compact"/>
              <w:jc w:val="center"/>
              <w:rPr>
                <w:rFonts w:asciiTheme="minorHAnsi" w:hAnsiTheme="minorHAnsi" w:cstheme="minorHAnsi"/>
                <w:color w:val="FF0000"/>
                <w:szCs w:val="22"/>
              </w:rPr>
            </w:pPr>
          </w:p>
        </w:tc>
        <w:tc>
          <w:tcPr>
            <w:tcW w:w="0" w:type="auto"/>
            <w:tcBorders>
              <w:bottom w:val="single" w:sz="0" w:space="0" w:color="auto"/>
            </w:tcBorders>
            <w:vAlign w:val="bottom"/>
          </w:tcPr>
          <w:p w14:paraId="5CED8739" w14:textId="77777777" w:rsidR="00DA0905" w:rsidRPr="007562F6" w:rsidRDefault="00DA0905" w:rsidP="00601C7F">
            <w:pPr>
              <w:pStyle w:val="Compact"/>
              <w:jc w:val="center"/>
              <w:rPr>
                <w:rFonts w:asciiTheme="minorHAnsi" w:hAnsiTheme="minorHAnsi" w:cstheme="minorHAnsi"/>
                <w:color w:val="FF0000"/>
                <w:szCs w:val="22"/>
              </w:rPr>
            </w:pPr>
          </w:p>
        </w:tc>
        <w:tc>
          <w:tcPr>
            <w:tcW w:w="0" w:type="auto"/>
            <w:tcBorders>
              <w:bottom w:val="single" w:sz="0" w:space="0" w:color="auto"/>
            </w:tcBorders>
            <w:vAlign w:val="bottom"/>
          </w:tcPr>
          <w:p w14:paraId="1F698C2C" w14:textId="77777777" w:rsidR="00DA0905" w:rsidRPr="007562F6" w:rsidRDefault="00DA0905" w:rsidP="00601C7F">
            <w:pPr>
              <w:pStyle w:val="Compact"/>
              <w:jc w:val="center"/>
              <w:rPr>
                <w:rFonts w:asciiTheme="minorHAnsi" w:hAnsiTheme="minorHAnsi" w:cstheme="minorHAnsi"/>
                <w:color w:val="FF0000"/>
                <w:szCs w:val="22"/>
              </w:rPr>
            </w:pPr>
          </w:p>
        </w:tc>
        <w:tc>
          <w:tcPr>
            <w:tcW w:w="0" w:type="auto"/>
            <w:tcBorders>
              <w:bottom w:val="single" w:sz="0" w:space="0" w:color="auto"/>
            </w:tcBorders>
            <w:vAlign w:val="bottom"/>
          </w:tcPr>
          <w:p w14:paraId="2F332E21" w14:textId="77777777" w:rsidR="00DA0905" w:rsidRPr="007562F6" w:rsidRDefault="00DA0905" w:rsidP="00601C7F">
            <w:pPr>
              <w:pStyle w:val="Compact"/>
              <w:jc w:val="center"/>
              <w:rPr>
                <w:rFonts w:asciiTheme="minorHAnsi" w:hAnsiTheme="minorHAnsi" w:cstheme="minorHAnsi"/>
                <w:color w:val="FF0000"/>
                <w:szCs w:val="22"/>
              </w:rPr>
            </w:pPr>
          </w:p>
        </w:tc>
        <w:tc>
          <w:tcPr>
            <w:tcW w:w="0" w:type="auto"/>
            <w:tcBorders>
              <w:bottom w:val="single" w:sz="0" w:space="0" w:color="auto"/>
            </w:tcBorders>
            <w:vAlign w:val="bottom"/>
          </w:tcPr>
          <w:p w14:paraId="597D8007" w14:textId="77777777" w:rsidR="00DA0905" w:rsidRPr="007562F6" w:rsidRDefault="00DA0905" w:rsidP="00601C7F">
            <w:pPr>
              <w:pStyle w:val="Compact"/>
              <w:jc w:val="center"/>
              <w:rPr>
                <w:rFonts w:asciiTheme="minorHAnsi" w:hAnsiTheme="minorHAnsi" w:cstheme="minorHAnsi"/>
                <w:color w:val="FF0000"/>
                <w:szCs w:val="22"/>
              </w:rPr>
            </w:pPr>
          </w:p>
        </w:tc>
        <w:tc>
          <w:tcPr>
            <w:tcW w:w="0" w:type="auto"/>
            <w:tcBorders>
              <w:bottom w:val="single" w:sz="0" w:space="0" w:color="auto"/>
            </w:tcBorders>
            <w:vAlign w:val="bottom"/>
          </w:tcPr>
          <w:p w14:paraId="3EA576CB" w14:textId="77777777" w:rsidR="00DA0905" w:rsidRPr="007562F6" w:rsidRDefault="00DA0905" w:rsidP="00601C7F">
            <w:pPr>
              <w:pStyle w:val="Compact"/>
              <w:jc w:val="center"/>
              <w:rPr>
                <w:rFonts w:asciiTheme="minorHAnsi" w:hAnsiTheme="minorHAnsi" w:cstheme="minorHAnsi"/>
                <w:color w:val="FF0000"/>
                <w:szCs w:val="22"/>
              </w:rPr>
            </w:pPr>
          </w:p>
        </w:tc>
      </w:tr>
      <w:tr w:rsidR="00DA0905" w:rsidRPr="007562F6" w14:paraId="2B451600" w14:textId="77777777" w:rsidTr="00601C7F">
        <w:tc>
          <w:tcPr>
            <w:tcW w:w="0" w:type="auto"/>
          </w:tcPr>
          <w:p w14:paraId="45A2DFE0"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366</w:t>
            </w:r>
          </w:p>
        </w:tc>
        <w:tc>
          <w:tcPr>
            <w:tcW w:w="0" w:type="auto"/>
          </w:tcPr>
          <w:p w14:paraId="147367EC"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0.5552</w:t>
            </w:r>
          </w:p>
        </w:tc>
        <w:tc>
          <w:tcPr>
            <w:tcW w:w="0" w:type="auto"/>
          </w:tcPr>
          <w:p w14:paraId="2A669084"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0.1899</w:t>
            </w:r>
          </w:p>
        </w:tc>
        <w:tc>
          <w:tcPr>
            <w:tcW w:w="0" w:type="auto"/>
          </w:tcPr>
          <w:p w14:paraId="3BC2F23E"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0.4654</w:t>
            </w:r>
          </w:p>
        </w:tc>
        <w:tc>
          <w:tcPr>
            <w:tcW w:w="0" w:type="auto"/>
          </w:tcPr>
          <w:p w14:paraId="40D409A4"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0.9633</w:t>
            </w:r>
          </w:p>
        </w:tc>
        <w:tc>
          <w:tcPr>
            <w:tcW w:w="0" w:type="auto"/>
          </w:tcPr>
          <w:p w14:paraId="2182BF9B"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0.9998</w:t>
            </w:r>
          </w:p>
        </w:tc>
        <w:tc>
          <w:tcPr>
            <w:tcW w:w="0" w:type="auto"/>
          </w:tcPr>
          <w:p w14:paraId="2FFD6DC8"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1</w:t>
            </w:r>
          </w:p>
        </w:tc>
        <w:tc>
          <w:tcPr>
            <w:tcW w:w="0" w:type="auto"/>
          </w:tcPr>
          <w:p w14:paraId="28696EA5"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1</w:t>
            </w:r>
          </w:p>
        </w:tc>
        <w:tc>
          <w:tcPr>
            <w:tcW w:w="0" w:type="auto"/>
          </w:tcPr>
          <w:p w14:paraId="6FC67360" w14:textId="77777777" w:rsidR="00DA0905" w:rsidRPr="007562F6" w:rsidRDefault="00DA0905" w:rsidP="00601C7F">
            <w:pPr>
              <w:pStyle w:val="Compact"/>
              <w:jc w:val="center"/>
              <w:rPr>
                <w:rFonts w:asciiTheme="minorHAnsi" w:hAnsiTheme="minorHAnsi" w:cstheme="minorHAnsi"/>
                <w:color w:val="FF0000"/>
                <w:szCs w:val="22"/>
              </w:rPr>
            </w:pPr>
            <w:r w:rsidRPr="007562F6">
              <w:rPr>
                <w:rFonts w:asciiTheme="minorHAnsi" w:hAnsiTheme="minorHAnsi" w:cstheme="minorHAnsi"/>
                <w:color w:val="FF0000"/>
                <w:szCs w:val="22"/>
              </w:rPr>
              <w:t>0.9824</w:t>
            </w:r>
          </w:p>
        </w:tc>
      </w:tr>
    </w:tbl>
    <w:p w14:paraId="1469B5AD" w14:textId="77777777" w:rsidR="00DA0905" w:rsidRPr="007562F6" w:rsidRDefault="00DA0905" w:rsidP="00DA0905">
      <w:pPr>
        <w:rPr>
          <w:color w:val="FF0000"/>
        </w:rPr>
      </w:pPr>
    </w:p>
    <w:bookmarkEnd w:id="14"/>
    <w:p w14:paraId="4FB4BDA8" w14:textId="63DCC4EC" w:rsidR="00DA0905" w:rsidRDefault="00DA0905" w:rsidP="008C54A9">
      <w:pPr>
        <w:autoSpaceDE w:val="0"/>
        <w:autoSpaceDN w:val="0"/>
        <w:adjustRightInd w:val="0"/>
        <w:spacing w:after="0" w:line="240" w:lineRule="auto"/>
        <w:rPr>
          <w:rFonts w:cstheme="minorHAnsi"/>
          <w:bCs/>
        </w:rPr>
      </w:pPr>
    </w:p>
    <w:p w14:paraId="277B8B58" w14:textId="499D813D" w:rsidR="00DA0905" w:rsidRDefault="00DA0905" w:rsidP="008C54A9">
      <w:pPr>
        <w:autoSpaceDE w:val="0"/>
        <w:autoSpaceDN w:val="0"/>
        <w:adjustRightInd w:val="0"/>
        <w:spacing w:after="0" w:line="240" w:lineRule="auto"/>
        <w:rPr>
          <w:rFonts w:cstheme="minorHAnsi"/>
          <w:bCs/>
        </w:rPr>
      </w:pPr>
    </w:p>
    <w:p w14:paraId="3A73EBEF" w14:textId="0C2F0373" w:rsidR="00DA0905" w:rsidRDefault="00DA0905" w:rsidP="008C54A9">
      <w:pPr>
        <w:autoSpaceDE w:val="0"/>
        <w:autoSpaceDN w:val="0"/>
        <w:adjustRightInd w:val="0"/>
        <w:spacing w:after="0" w:line="240" w:lineRule="auto"/>
        <w:rPr>
          <w:rFonts w:cstheme="minorHAnsi"/>
          <w:bCs/>
        </w:rPr>
      </w:pPr>
    </w:p>
    <w:p w14:paraId="02A3FB2B" w14:textId="67E7506C" w:rsidR="00DA0905" w:rsidRDefault="00DA0905" w:rsidP="008C54A9">
      <w:pPr>
        <w:autoSpaceDE w:val="0"/>
        <w:autoSpaceDN w:val="0"/>
        <w:adjustRightInd w:val="0"/>
        <w:spacing w:after="0" w:line="240" w:lineRule="auto"/>
        <w:rPr>
          <w:rFonts w:cstheme="minorHAnsi"/>
          <w:bCs/>
        </w:rPr>
      </w:pPr>
    </w:p>
    <w:p w14:paraId="30053B18" w14:textId="53B8DBDD" w:rsidR="00DA0905" w:rsidRDefault="00DA0905" w:rsidP="008C54A9">
      <w:pPr>
        <w:autoSpaceDE w:val="0"/>
        <w:autoSpaceDN w:val="0"/>
        <w:adjustRightInd w:val="0"/>
        <w:spacing w:after="0" w:line="240" w:lineRule="auto"/>
        <w:rPr>
          <w:rFonts w:cstheme="minorHAnsi"/>
          <w:bCs/>
        </w:rPr>
      </w:pPr>
    </w:p>
    <w:p w14:paraId="75D78672" w14:textId="684DC975" w:rsidR="00DA0905" w:rsidRDefault="00DA0905" w:rsidP="008C54A9">
      <w:pPr>
        <w:autoSpaceDE w:val="0"/>
        <w:autoSpaceDN w:val="0"/>
        <w:adjustRightInd w:val="0"/>
        <w:spacing w:after="0" w:line="240" w:lineRule="auto"/>
        <w:rPr>
          <w:rFonts w:cstheme="minorHAnsi"/>
          <w:bCs/>
        </w:rPr>
      </w:pPr>
    </w:p>
    <w:p w14:paraId="0B368C10" w14:textId="634485CF" w:rsidR="00DA0905" w:rsidRDefault="00DA0905" w:rsidP="008C54A9">
      <w:pPr>
        <w:autoSpaceDE w:val="0"/>
        <w:autoSpaceDN w:val="0"/>
        <w:adjustRightInd w:val="0"/>
        <w:spacing w:after="0" w:line="240" w:lineRule="auto"/>
        <w:rPr>
          <w:rFonts w:cstheme="minorHAnsi"/>
          <w:bCs/>
        </w:rPr>
      </w:pPr>
      <w:r>
        <w:rPr>
          <w:noProof/>
        </w:rPr>
        <w:lastRenderedPageBreak/>
        <w:drawing>
          <wp:inline distT="0" distB="0" distL="0" distR="0" wp14:anchorId="56CE361B" wp14:editId="3FFE96D4">
            <wp:extent cx="5208105" cy="2902226"/>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0" name="Picture" descr="Measure_Resubmit_July2019_0384_files/figure-docx/reliab-1.png"/>
                    <pic:cNvPicPr>
                      <a:picLocks noChangeAspect="1" noChangeArrowheads="1"/>
                    </pic:cNvPicPr>
                  </pic:nvPicPr>
                  <pic:blipFill>
                    <a:blip r:embed="rId13"/>
                    <a:stretch>
                      <a:fillRect/>
                    </a:stretch>
                  </pic:blipFill>
                  <pic:spPr bwMode="auto">
                    <a:xfrm>
                      <a:off x="0" y="0"/>
                      <a:ext cx="5213760" cy="2905377"/>
                    </a:xfrm>
                    <a:prstGeom prst="rect">
                      <a:avLst/>
                    </a:prstGeom>
                    <a:noFill/>
                    <a:ln w="9525">
                      <a:noFill/>
                      <a:headEnd/>
                      <a:tailEnd/>
                    </a:ln>
                  </pic:spPr>
                </pic:pic>
              </a:graphicData>
            </a:graphic>
          </wp:inline>
        </w:drawing>
      </w:r>
    </w:p>
    <w:p w14:paraId="33465765" w14:textId="1BBAAA0C" w:rsidR="00DA0905" w:rsidRDefault="00DA0905" w:rsidP="008C54A9">
      <w:pPr>
        <w:autoSpaceDE w:val="0"/>
        <w:autoSpaceDN w:val="0"/>
        <w:adjustRightInd w:val="0"/>
        <w:spacing w:after="0" w:line="240" w:lineRule="auto"/>
        <w:rPr>
          <w:rFonts w:cstheme="minorHAnsi"/>
          <w:bCs/>
        </w:rPr>
      </w:pPr>
    </w:p>
    <w:p w14:paraId="29ECF027" w14:textId="77777777" w:rsidR="00DA0905" w:rsidRDefault="00DA0905" w:rsidP="00DA0905">
      <w:pPr>
        <w:ind w:left="578"/>
        <w:rPr>
          <w:rFonts w:cstheme="minorHAnsi"/>
          <w:b/>
          <w:color w:val="0000FF"/>
          <w:u w:val="single"/>
        </w:rPr>
      </w:pPr>
      <w:r>
        <w:rPr>
          <w:rFonts w:cstheme="minorHAnsi"/>
          <w:b/>
          <w:color w:val="0000FF"/>
          <w:u w:val="single"/>
        </w:rPr>
        <w:t>2015 Submission</w:t>
      </w:r>
    </w:p>
    <w:p w14:paraId="01C5DF77" w14:textId="77777777" w:rsidR="00DA0905" w:rsidRDefault="00DA0905" w:rsidP="00DA0905">
      <w:pPr>
        <w:ind w:left="577"/>
        <w:rPr>
          <w:rFonts w:cstheme="minorHAnsi"/>
          <w:color w:val="0000FF"/>
        </w:rPr>
      </w:pPr>
      <w:r>
        <w:rPr>
          <w:rFonts w:cstheme="minorHAnsi"/>
          <w:color w:val="0000FF"/>
        </w:rPr>
        <w:t>N, % Agreement, Kappa (95% Confidence Interval)</w:t>
      </w:r>
    </w:p>
    <w:p w14:paraId="1F1A7CCC" w14:textId="77777777" w:rsidR="00DA0905" w:rsidRDefault="00DA0905" w:rsidP="00DA0905">
      <w:pPr>
        <w:ind w:left="577"/>
        <w:rPr>
          <w:rFonts w:cstheme="minorHAnsi"/>
          <w:color w:val="0000FF"/>
        </w:rPr>
      </w:pPr>
      <w:r>
        <w:rPr>
          <w:rFonts w:cstheme="minorHAnsi"/>
          <w:color w:val="0000FF"/>
        </w:rPr>
        <w:t>Overall Reliability: 360, 100.0%, Kappa is noncalculable*</w:t>
      </w:r>
    </w:p>
    <w:p w14:paraId="56326A2A" w14:textId="77777777" w:rsidR="00DA0905" w:rsidRDefault="00DA0905" w:rsidP="00DA0905">
      <w:pPr>
        <w:ind w:left="577"/>
        <w:rPr>
          <w:rFonts w:cstheme="minorHAnsi"/>
          <w:color w:val="0000FF"/>
        </w:rPr>
      </w:pPr>
      <w:r>
        <w:rPr>
          <w:rFonts w:cstheme="minorHAnsi"/>
          <w:color w:val="0000FF"/>
        </w:rPr>
        <w:t>Denominator Reliability: 360, 100.0%, Kappa is noncalculable*</w:t>
      </w:r>
    </w:p>
    <w:p w14:paraId="671FA5BF" w14:textId="77777777" w:rsidR="00DA0905" w:rsidRDefault="00DA0905" w:rsidP="00DA0905">
      <w:pPr>
        <w:ind w:left="577"/>
        <w:rPr>
          <w:rFonts w:cstheme="minorHAnsi"/>
          <w:color w:val="0000FF"/>
        </w:rPr>
      </w:pPr>
      <w:r>
        <w:rPr>
          <w:rFonts w:cstheme="minorHAnsi"/>
          <w:color w:val="0000FF"/>
        </w:rPr>
        <w:t>Numerator Reliability: 360, 100.0%, Kappa is noncalculable*</w:t>
      </w:r>
    </w:p>
    <w:p w14:paraId="44267E15" w14:textId="77777777" w:rsidR="00DA0905" w:rsidRDefault="00DA0905" w:rsidP="00DA0905">
      <w:pPr>
        <w:ind w:left="577" w:right="696"/>
        <w:rPr>
          <w:rFonts w:cstheme="minorHAnsi"/>
          <w:color w:val="0000FF"/>
        </w:rPr>
      </w:pPr>
      <w:r>
        <w:rPr>
          <w:rFonts w:cstheme="minorHAnsi"/>
          <w:color w:val="0000FF"/>
        </w:rPr>
        <w:t>*Kappa Statistics cannot be calculated because of complete agreement. Confidence intervals cannot be calculated because to do so would involve dividing by zero which cannot be done.</w:t>
      </w:r>
    </w:p>
    <w:p w14:paraId="322F505A" w14:textId="5C2A51A1" w:rsidR="00DA0905" w:rsidRDefault="00DA0905" w:rsidP="008C54A9">
      <w:pPr>
        <w:autoSpaceDE w:val="0"/>
        <w:autoSpaceDN w:val="0"/>
        <w:adjustRightInd w:val="0"/>
        <w:spacing w:after="0" w:line="240" w:lineRule="auto"/>
        <w:rPr>
          <w:rFonts w:cstheme="minorHAnsi"/>
          <w:bCs/>
        </w:rPr>
      </w:pPr>
    </w:p>
    <w:p w14:paraId="08774CFC" w14:textId="77777777" w:rsidR="00DA0905"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63D10D40" w14:textId="77777777" w:rsidR="00DA0905" w:rsidRPr="004C04BA" w:rsidRDefault="00DA0905" w:rsidP="00DA0905">
      <w:pPr>
        <w:adjustRightInd w:val="0"/>
        <w:ind w:left="579"/>
        <w:rPr>
          <w:color w:val="FF0000"/>
          <w:szCs w:val="20"/>
          <w:u w:val="single"/>
        </w:rPr>
      </w:pPr>
      <w:r w:rsidRPr="004C04BA">
        <w:rPr>
          <w:color w:val="FF0000"/>
          <w:szCs w:val="20"/>
          <w:u w:val="single"/>
        </w:rPr>
        <w:t>2019 Submission</w:t>
      </w:r>
    </w:p>
    <w:p w14:paraId="40CB420E" w14:textId="77777777" w:rsidR="008759AC" w:rsidRDefault="00DA0905" w:rsidP="00DA0905">
      <w:pPr>
        <w:pStyle w:val="BodyText"/>
        <w:ind w:left="796"/>
        <w:rPr>
          <w:color w:val="FF0000"/>
        </w:rPr>
      </w:pPr>
      <w:r w:rsidRPr="00486802">
        <w:rPr>
          <w:color w:val="FF0000"/>
          <w:szCs w:val="20"/>
        </w:rPr>
        <w:t xml:space="preserve">The reliability is excellent. This measure has very high reliability: </w:t>
      </w:r>
      <w:r w:rsidRPr="00486802">
        <w:rPr>
          <w:color w:val="FF0000"/>
        </w:rPr>
        <w:t>Mean reliability is 98%; the 10</w:t>
      </w:r>
      <w:r w:rsidRPr="00486802">
        <w:rPr>
          <w:color w:val="FF0000"/>
          <w:vertAlign w:val="superscript"/>
        </w:rPr>
        <w:t>th</w:t>
      </w:r>
      <w:r w:rsidRPr="00486802">
        <w:rPr>
          <w:color w:val="FF0000"/>
        </w:rPr>
        <w:t xml:space="preserve"> </w:t>
      </w:r>
    </w:p>
    <w:p w14:paraId="65F648CF" w14:textId="50B1E6A1" w:rsidR="00DA0905" w:rsidRDefault="008759AC" w:rsidP="00DA0905">
      <w:pPr>
        <w:pStyle w:val="BodyText"/>
        <w:ind w:left="796"/>
        <w:rPr>
          <w:color w:val="FF0000"/>
        </w:rPr>
      </w:pPr>
      <w:r>
        <w:rPr>
          <w:color w:val="FF0000"/>
        </w:rPr>
        <w:t>p</w:t>
      </w:r>
      <w:r w:rsidR="00DA0905" w:rsidRPr="00486802">
        <w:rPr>
          <w:color w:val="FF0000"/>
        </w:rPr>
        <w:t>ercentile is 96%</w:t>
      </w:r>
      <w:r w:rsidR="00DA0905">
        <w:rPr>
          <w:color w:val="FF0000"/>
        </w:rPr>
        <w:t>.</w:t>
      </w:r>
    </w:p>
    <w:p w14:paraId="34541101" w14:textId="77777777" w:rsidR="00DA0905" w:rsidRPr="00486802" w:rsidRDefault="00DA0905" w:rsidP="00DA0905">
      <w:pPr>
        <w:pStyle w:val="BodyText"/>
        <w:ind w:left="796"/>
        <w:rPr>
          <w:color w:val="FF0000"/>
        </w:rPr>
      </w:pPr>
    </w:p>
    <w:p w14:paraId="181D2B1B" w14:textId="77777777" w:rsidR="00DA0905" w:rsidRDefault="00DA0905" w:rsidP="00DA0905">
      <w:pPr>
        <w:ind w:left="580"/>
        <w:rPr>
          <w:rFonts w:cstheme="minorHAnsi"/>
          <w:b/>
          <w:color w:val="0000FF"/>
          <w:u w:val="single"/>
        </w:rPr>
      </w:pPr>
      <w:r>
        <w:rPr>
          <w:rFonts w:cstheme="minorHAnsi"/>
          <w:b/>
          <w:color w:val="0000FF"/>
          <w:u w:val="single"/>
        </w:rPr>
        <w:t>2015 Submission</w:t>
      </w:r>
    </w:p>
    <w:p w14:paraId="320B792F" w14:textId="77777777" w:rsidR="00DA0905" w:rsidRDefault="00DA0905" w:rsidP="00DA0905">
      <w:pPr>
        <w:ind w:left="579" w:right="588" w:hanging="1"/>
        <w:rPr>
          <w:rFonts w:cstheme="minorHAnsi"/>
          <w:b/>
        </w:rPr>
      </w:pPr>
      <w:r>
        <w:rPr>
          <w:rFonts w:cstheme="minorHAnsi"/>
          <w:color w:val="0000FF"/>
        </w:rPr>
        <w:t>This measure demonstrates almost perfect reliability, as shown in results from the above analysis</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31288DF2" w:rsidR="00696262" w:rsidRPr="000414E8" w:rsidRDefault="009C7513" w:rsidP="00DB3627">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0105A9E3" w:rsidR="00696262" w:rsidRPr="00A25024" w:rsidRDefault="00231DAB"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07DBA14C" w:rsidR="000574AB" w:rsidRPr="00A25024" w:rsidRDefault="00231DAB"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DA090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 xml:space="preserve">good from poor </w:t>
      </w:r>
      <w:proofErr w:type="gramStart"/>
      <w:r w:rsidR="000414E8">
        <w:rPr>
          <w:rFonts w:eastAsia="MS Gothic" w:cstheme="minorHAnsi"/>
          <w:bCs/>
          <w:i/>
        </w:rPr>
        <w:t>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proofErr w:type="gramEnd"/>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844F9CE" w14:textId="77777777" w:rsidR="00DA0905" w:rsidRDefault="009C7513" w:rsidP="00DB3627">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242D875F" w14:textId="77777777" w:rsidR="00DA0905" w:rsidRDefault="00DA0905" w:rsidP="00DB3627">
      <w:pPr>
        <w:autoSpaceDE w:val="0"/>
        <w:autoSpaceDN w:val="0"/>
        <w:adjustRightInd w:val="0"/>
        <w:spacing w:after="0" w:line="240" w:lineRule="auto"/>
        <w:rPr>
          <w:rFonts w:cstheme="minorHAnsi"/>
          <w:bCs/>
          <w:i/>
        </w:rPr>
      </w:pPr>
    </w:p>
    <w:p w14:paraId="01AF172A" w14:textId="77777777" w:rsidR="00DA0905" w:rsidRPr="004C04BA" w:rsidRDefault="00DA0905" w:rsidP="00DA0905">
      <w:pPr>
        <w:pStyle w:val="ListParagraph"/>
        <w:widowControl w:val="0"/>
        <w:autoSpaceDE w:val="0"/>
        <w:autoSpaceDN w:val="0"/>
        <w:adjustRightInd w:val="0"/>
        <w:spacing w:after="0"/>
        <w:ind w:left="999"/>
        <w:contextualSpacing w:val="0"/>
        <w:rPr>
          <w:color w:val="FF0000"/>
          <w:szCs w:val="20"/>
          <w:u w:val="single"/>
        </w:rPr>
      </w:pPr>
      <w:r>
        <w:rPr>
          <w:color w:val="FF0000"/>
          <w:szCs w:val="20"/>
          <w:u w:val="single"/>
        </w:rPr>
        <w:t xml:space="preserve">2019 </w:t>
      </w:r>
      <w:r w:rsidRPr="004C04BA">
        <w:rPr>
          <w:color w:val="FF0000"/>
          <w:szCs w:val="20"/>
          <w:u w:val="single"/>
        </w:rPr>
        <w:t>Submission</w:t>
      </w:r>
    </w:p>
    <w:p w14:paraId="35185CF5" w14:textId="77777777" w:rsidR="00DA0905" w:rsidRDefault="00DA0905" w:rsidP="00DA0905">
      <w:pPr>
        <w:adjustRightInd w:val="0"/>
        <w:ind w:left="720"/>
        <w:rPr>
          <w:color w:val="FF0000"/>
          <w:szCs w:val="20"/>
        </w:rPr>
      </w:pPr>
    </w:p>
    <w:p w14:paraId="02B2ED6A" w14:textId="77777777" w:rsidR="00DA0905" w:rsidRPr="004C04BA" w:rsidRDefault="00DA0905" w:rsidP="00DA0905">
      <w:pPr>
        <w:adjustRightInd w:val="0"/>
        <w:ind w:left="1152"/>
        <w:rPr>
          <w:color w:val="FF0000"/>
          <w:szCs w:val="20"/>
        </w:rPr>
      </w:pPr>
      <w:r w:rsidRPr="004C04BA">
        <w:rPr>
          <w:color w:val="FF0000"/>
          <w:szCs w:val="20"/>
        </w:rPr>
        <w:t xml:space="preserve">Oncology: Medical and Radiation – Pain Intensity Quantified (PQRS #143/NQF #0384) was chosen as a suitable candidate for correlation analysis due to the similarities in patient population and domain. We hypothesize that there exists a positive association between patients with a diagnosis of cancer receiving chemotherapy or radiation therapy in which pain intensity is quantified (NQF # 0384) and those with a diagnosis of cancer receiving chemotherapy or radiation therapy who report having pain with a documented plan of care to address pain (PQRS #144/NQF #0383).  </w:t>
      </w:r>
      <w:bookmarkStart w:id="16" w:name="_Hlk521594604"/>
      <w:r w:rsidRPr="004C04BA">
        <w:rPr>
          <w:color w:val="FF0000"/>
        </w:rPr>
        <w:t>Providers included in the analysis met the minimum number of quality reporting events (10) and were cleaned in the same process as the PQRS dataset.</w:t>
      </w:r>
    </w:p>
    <w:p w14:paraId="254AADC9" w14:textId="77777777" w:rsidR="00DA0905" w:rsidRPr="004C04BA" w:rsidRDefault="00DA0905" w:rsidP="00DA0905">
      <w:pPr>
        <w:adjustRightInd w:val="0"/>
        <w:ind w:left="1152"/>
        <w:rPr>
          <w:color w:val="FF0000"/>
          <w:szCs w:val="20"/>
        </w:rPr>
      </w:pPr>
      <w:r w:rsidRPr="004C04BA">
        <w:rPr>
          <w:color w:val="FF0000"/>
          <w:szCs w:val="20"/>
        </w:rPr>
        <w:t>Datasets were reviewed to identify shared providers based on NPI and TIN identifiers. Correlation analysis was then performed to evaluate the association between performance scores of these shared providers.</w:t>
      </w:r>
    </w:p>
    <w:p w14:paraId="3CF9CD4A" w14:textId="77777777" w:rsidR="00DA0905" w:rsidRPr="004C04BA" w:rsidRDefault="00DA0905" w:rsidP="00DA0905">
      <w:pPr>
        <w:adjustRightInd w:val="0"/>
        <w:ind w:left="1152"/>
        <w:rPr>
          <w:rFonts w:cstheme="minorHAnsi"/>
          <w:bCs/>
          <w:color w:val="FF0000"/>
        </w:rPr>
      </w:pPr>
      <w:r w:rsidRPr="004C04BA">
        <w:rPr>
          <w:color w:val="FF0000"/>
          <w:szCs w:val="20"/>
        </w:rPr>
        <w:t>We use the following guidance to describe correlation</w:t>
      </w:r>
      <w:r w:rsidRPr="004C04BA">
        <w:rPr>
          <w:color w:val="FF0000"/>
          <w:szCs w:val="20"/>
          <w:vertAlign w:val="superscript"/>
        </w:rPr>
        <w:t>1</w:t>
      </w:r>
      <w:r w:rsidRPr="004C04BA">
        <w:rPr>
          <w:color w:val="FF0000"/>
          <w:szCs w:val="20"/>
        </w:rPr>
        <w:t>:</w:t>
      </w:r>
    </w:p>
    <w:tbl>
      <w:tblPr>
        <w:tblStyle w:val="TableGrid1"/>
        <w:tblW w:w="0" w:type="auto"/>
        <w:tblInd w:w="1152" w:type="dxa"/>
        <w:tblLook w:val="04A0" w:firstRow="1" w:lastRow="0" w:firstColumn="1" w:lastColumn="0" w:noHBand="0" w:noVBand="1"/>
      </w:tblPr>
      <w:tblGrid>
        <w:gridCol w:w="1944"/>
        <w:gridCol w:w="2580"/>
      </w:tblGrid>
      <w:tr w:rsidR="00DA0905" w:rsidRPr="004C04BA" w14:paraId="709814F6" w14:textId="77777777" w:rsidTr="00601C7F">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5645757C" w14:textId="77777777" w:rsidR="00DA0905" w:rsidRPr="004C04BA" w:rsidRDefault="00DA0905" w:rsidP="00601C7F">
            <w:pPr>
              <w:adjustRightInd w:val="0"/>
              <w:rPr>
                <w:rFonts w:cstheme="minorHAnsi"/>
                <w:bCs/>
                <w:color w:val="FF0000"/>
              </w:rPr>
            </w:pPr>
            <w:r w:rsidRPr="004C04BA">
              <w:rPr>
                <w:rFonts w:cstheme="minorHAnsi"/>
                <w:bCs/>
                <w:color w:val="FF0000"/>
              </w:rPr>
              <w:t xml:space="preserve">Correlation </w:t>
            </w:r>
          </w:p>
        </w:tc>
        <w:tc>
          <w:tcPr>
            <w:tcW w:w="2580" w:type="dxa"/>
            <w:tcBorders>
              <w:top w:val="single" w:sz="4" w:space="0" w:color="auto"/>
              <w:left w:val="single" w:sz="4" w:space="0" w:color="auto"/>
              <w:bottom w:val="single" w:sz="4" w:space="0" w:color="auto"/>
              <w:right w:val="single" w:sz="4" w:space="0" w:color="auto"/>
            </w:tcBorders>
            <w:noWrap/>
            <w:hideMark/>
          </w:tcPr>
          <w:p w14:paraId="41B8FB93" w14:textId="77777777" w:rsidR="00DA0905" w:rsidRPr="004C04BA" w:rsidRDefault="00DA0905" w:rsidP="00601C7F">
            <w:pPr>
              <w:adjustRightInd w:val="0"/>
              <w:rPr>
                <w:rFonts w:cstheme="minorHAnsi"/>
                <w:bCs/>
                <w:color w:val="FF0000"/>
              </w:rPr>
            </w:pPr>
            <w:r w:rsidRPr="004C04BA">
              <w:rPr>
                <w:rFonts w:cstheme="minorHAnsi"/>
                <w:bCs/>
                <w:color w:val="FF0000"/>
              </w:rPr>
              <w:t>Interpretation</w:t>
            </w:r>
          </w:p>
        </w:tc>
      </w:tr>
      <w:tr w:rsidR="00DA0905" w:rsidRPr="004C04BA" w14:paraId="70BA9974" w14:textId="77777777" w:rsidTr="00601C7F">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1569040D" w14:textId="77777777" w:rsidR="00DA0905" w:rsidRPr="004C04BA" w:rsidRDefault="00DA0905" w:rsidP="00601C7F">
            <w:pPr>
              <w:adjustRightInd w:val="0"/>
              <w:rPr>
                <w:rFonts w:cstheme="minorHAnsi"/>
                <w:bCs/>
                <w:color w:val="FF0000"/>
              </w:rPr>
            </w:pPr>
            <w:r w:rsidRPr="004C04BA">
              <w:rPr>
                <w:rFonts w:cstheme="minorHAnsi"/>
                <w:bCs/>
                <w:color w:val="FF0000"/>
              </w:rPr>
              <w:t>&gt; 0.40</w:t>
            </w:r>
          </w:p>
        </w:tc>
        <w:tc>
          <w:tcPr>
            <w:tcW w:w="2580" w:type="dxa"/>
            <w:tcBorders>
              <w:top w:val="single" w:sz="4" w:space="0" w:color="auto"/>
              <w:left w:val="single" w:sz="4" w:space="0" w:color="auto"/>
              <w:bottom w:val="single" w:sz="4" w:space="0" w:color="auto"/>
              <w:right w:val="single" w:sz="4" w:space="0" w:color="auto"/>
            </w:tcBorders>
            <w:noWrap/>
            <w:hideMark/>
          </w:tcPr>
          <w:p w14:paraId="78CD22BD" w14:textId="77777777" w:rsidR="00DA0905" w:rsidRPr="004C04BA" w:rsidRDefault="00DA0905" w:rsidP="00601C7F">
            <w:pPr>
              <w:adjustRightInd w:val="0"/>
              <w:rPr>
                <w:rFonts w:cstheme="minorHAnsi"/>
                <w:bCs/>
                <w:color w:val="FF0000"/>
              </w:rPr>
            </w:pPr>
            <w:r w:rsidRPr="004C04BA">
              <w:rPr>
                <w:rFonts w:cstheme="minorHAnsi"/>
                <w:bCs/>
                <w:color w:val="FF0000"/>
              </w:rPr>
              <w:t>Strong</w:t>
            </w:r>
          </w:p>
        </w:tc>
      </w:tr>
      <w:tr w:rsidR="00DA0905" w:rsidRPr="004C04BA" w14:paraId="60D3FF45" w14:textId="77777777" w:rsidTr="00601C7F">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419DED74" w14:textId="77777777" w:rsidR="00DA0905" w:rsidRPr="004C04BA" w:rsidRDefault="00DA0905" w:rsidP="00601C7F">
            <w:pPr>
              <w:adjustRightInd w:val="0"/>
              <w:rPr>
                <w:rFonts w:cstheme="minorHAnsi"/>
                <w:bCs/>
                <w:color w:val="FF0000"/>
              </w:rPr>
            </w:pPr>
            <w:r w:rsidRPr="004C04BA">
              <w:rPr>
                <w:rFonts w:cstheme="minorHAnsi"/>
                <w:bCs/>
                <w:color w:val="FF0000"/>
              </w:rPr>
              <w:t xml:space="preserve">0.20 - 0.40 </w:t>
            </w:r>
          </w:p>
        </w:tc>
        <w:tc>
          <w:tcPr>
            <w:tcW w:w="2580" w:type="dxa"/>
            <w:tcBorders>
              <w:top w:val="single" w:sz="4" w:space="0" w:color="auto"/>
              <w:left w:val="single" w:sz="4" w:space="0" w:color="auto"/>
              <w:bottom w:val="single" w:sz="4" w:space="0" w:color="auto"/>
              <w:right w:val="single" w:sz="4" w:space="0" w:color="auto"/>
            </w:tcBorders>
            <w:noWrap/>
            <w:hideMark/>
          </w:tcPr>
          <w:p w14:paraId="62AB4DC9" w14:textId="77777777" w:rsidR="00DA0905" w:rsidRPr="004C04BA" w:rsidRDefault="00DA0905" w:rsidP="00601C7F">
            <w:pPr>
              <w:adjustRightInd w:val="0"/>
              <w:rPr>
                <w:rFonts w:cstheme="minorHAnsi"/>
                <w:bCs/>
                <w:color w:val="FF0000"/>
              </w:rPr>
            </w:pPr>
            <w:r w:rsidRPr="004C04BA">
              <w:rPr>
                <w:rFonts w:cstheme="minorHAnsi"/>
                <w:bCs/>
                <w:color w:val="FF0000"/>
              </w:rPr>
              <w:t>Moderate</w:t>
            </w:r>
          </w:p>
        </w:tc>
      </w:tr>
      <w:tr w:rsidR="00DA0905" w:rsidRPr="004C04BA" w14:paraId="45F4E931" w14:textId="77777777" w:rsidTr="00601C7F">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3FF4DF72" w14:textId="77777777" w:rsidR="00DA0905" w:rsidRPr="004C04BA" w:rsidRDefault="00DA0905" w:rsidP="00601C7F">
            <w:pPr>
              <w:adjustRightInd w:val="0"/>
              <w:rPr>
                <w:rFonts w:cstheme="minorHAnsi"/>
                <w:bCs/>
                <w:color w:val="FF0000"/>
              </w:rPr>
            </w:pPr>
            <w:r w:rsidRPr="004C04BA">
              <w:rPr>
                <w:rFonts w:cstheme="minorHAnsi"/>
                <w:bCs/>
                <w:color w:val="FF0000"/>
              </w:rPr>
              <w:t xml:space="preserve">&lt; 0.20 </w:t>
            </w:r>
          </w:p>
        </w:tc>
        <w:tc>
          <w:tcPr>
            <w:tcW w:w="2580" w:type="dxa"/>
            <w:tcBorders>
              <w:top w:val="single" w:sz="4" w:space="0" w:color="auto"/>
              <w:left w:val="single" w:sz="4" w:space="0" w:color="auto"/>
              <w:bottom w:val="single" w:sz="4" w:space="0" w:color="auto"/>
              <w:right w:val="single" w:sz="4" w:space="0" w:color="auto"/>
            </w:tcBorders>
            <w:noWrap/>
            <w:hideMark/>
          </w:tcPr>
          <w:p w14:paraId="302CE90A" w14:textId="77777777" w:rsidR="00DA0905" w:rsidRPr="004C04BA" w:rsidRDefault="00DA0905" w:rsidP="00601C7F">
            <w:pPr>
              <w:adjustRightInd w:val="0"/>
              <w:rPr>
                <w:rFonts w:cstheme="minorHAnsi"/>
                <w:bCs/>
                <w:color w:val="FF0000"/>
              </w:rPr>
            </w:pPr>
            <w:r w:rsidRPr="004C04BA">
              <w:rPr>
                <w:rFonts w:cstheme="minorHAnsi"/>
                <w:bCs/>
                <w:color w:val="FF0000"/>
              </w:rPr>
              <w:t>Weak</w:t>
            </w:r>
          </w:p>
        </w:tc>
      </w:tr>
    </w:tbl>
    <w:p w14:paraId="702C8FE3" w14:textId="77777777" w:rsidR="00990D95" w:rsidRDefault="00990D95" w:rsidP="00DA0905">
      <w:pPr>
        <w:adjustRightInd w:val="0"/>
        <w:ind w:left="1152"/>
        <w:rPr>
          <w:color w:val="FF0000"/>
        </w:rPr>
      </w:pPr>
    </w:p>
    <w:p w14:paraId="5FA2DE5B" w14:textId="7DC45638" w:rsidR="00DA0905" w:rsidRPr="004C04BA" w:rsidRDefault="00DA0905" w:rsidP="00DA0905">
      <w:pPr>
        <w:adjustRightInd w:val="0"/>
        <w:ind w:left="1152"/>
        <w:rPr>
          <w:color w:val="FF0000"/>
        </w:rPr>
      </w:pPr>
      <w:r w:rsidRPr="004C04BA">
        <w:rPr>
          <w:color w:val="FF0000"/>
        </w:rPr>
        <w:t xml:space="preserve">1. </w:t>
      </w:r>
      <w:proofErr w:type="spellStart"/>
      <w:r w:rsidRPr="004C04BA">
        <w:rPr>
          <w:color w:val="FF0000"/>
        </w:rPr>
        <w:t>Shortell</w:t>
      </w:r>
      <w:proofErr w:type="spellEnd"/>
      <w:r w:rsidRPr="004C04BA">
        <w:rPr>
          <w:color w:val="FF0000"/>
        </w:rPr>
        <w:t xml:space="preserve"> T. An Introduction to Data Analysis &amp; Presentation. Sociology 712. http://www.shortell.org/book/chap18.html. Accessed July 13, 2018.</w:t>
      </w:r>
    </w:p>
    <w:bookmarkEnd w:id="16"/>
    <w:p w14:paraId="063935EF" w14:textId="77777777" w:rsidR="00DA0905" w:rsidRDefault="00DA0905" w:rsidP="00DA0905">
      <w:pPr>
        <w:ind w:left="1012"/>
        <w:rPr>
          <w:rFonts w:cstheme="minorHAnsi"/>
          <w:b/>
          <w:color w:val="0000FF"/>
          <w:u w:val="single"/>
        </w:rPr>
      </w:pPr>
      <w:r>
        <w:rPr>
          <w:rFonts w:cstheme="minorHAnsi"/>
          <w:b/>
          <w:color w:val="0000FF"/>
          <w:u w:val="single"/>
        </w:rPr>
        <w:t>2015 Submission</w:t>
      </w:r>
    </w:p>
    <w:p w14:paraId="5BD6C260" w14:textId="77777777" w:rsidR="00DA0905" w:rsidRDefault="00DA0905" w:rsidP="00DA0905">
      <w:pPr>
        <w:ind w:left="1011"/>
        <w:rPr>
          <w:rFonts w:cstheme="minorHAnsi"/>
          <w:b/>
          <w:bCs/>
        </w:rPr>
      </w:pPr>
      <w:r>
        <w:rPr>
          <w:rFonts w:cstheme="minorHAnsi"/>
          <w:color w:val="0000FF"/>
        </w:rPr>
        <w:t xml:space="preserve">All PCPI performance measures are assessed for content validity by a panel of expert work group members during the development process. Additional input on the content validity of </w:t>
      </w:r>
      <w:r>
        <w:rPr>
          <w:rFonts w:cstheme="minorHAnsi"/>
          <w:color w:val="0000FF"/>
        </w:rPr>
        <w:lastRenderedPageBreak/>
        <w:t>draft measures is obtained through a 30-day public comment period and by also soliciting comments from a panel of consumer, purchaser, and patient representatives convened by the PCPI specifically for this purpose. All comments received are reviewed by the expert work group and the measures adjusted as needed. Other external review groups (</w:t>
      </w:r>
      <w:proofErr w:type="spellStart"/>
      <w:r>
        <w:rPr>
          <w:rFonts w:cstheme="minorHAnsi"/>
          <w:color w:val="0000FF"/>
        </w:rPr>
        <w:t>eg</w:t>
      </w:r>
      <w:proofErr w:type="spellEnd"/>
      <w:r>
        <w:rPr>
          <w:rFonts w:cstheme="minorHAnsi"/>
          <w:color w:val="0000FF"/>
        </w:rPr>
        <w:t xml:space="preserve">, focus groups) may be convened if there are any remaining concerns related to the content validity of the measures. </w:t>
      </w:r>
    </w:p>
    <w:p w14:paraId="58EBD1B0" w14:textId="77777777" w:rsidR="00DA0905" w:rsidRDefault="00DA0905" w:rsidP="00DA0905">
      <w:pPr>
        <w:ind w:left="1011"/>
        <w:rPr>
          <w:rFonts w:cstheme="minorHAnsi"/>
          <w:color w:val="0000FF"/>
        </w:rPr>
      </w:pPr>
      <w:r>
        <w:rPr>
          <w:rFonts w:cstheme="minorHAnsi"/>
          <w:color w:val="0000FF"/>
        </w:rPr>
        <w:t>The expert panel was used to assess face validity of the measure. This panel consisted of 31 members, with representation from the following specialties: oncology, radiation oncology, surgical oncology, urology, gastroenterology, hematology, pathology, colon and rectal surgery, otolaryngology, and pain medicine.</w:t>
      </w:r>
    </w:p>
    <w:p w14:paraId="69D82D98" w14:textId="77777777" w:rsidR="00DA0905" w:rsidRDefault="00DA0905" w:rsidP="00DA0905">
      <w:pPr>
        <w:ind w:left="1011"/>
        <w:rPr>
          <w:rFonts w:cstheme="minorHAnsi"/>
          <w:color w:val="0000FF"/>
        </w:rPr>
      </w:pPr>
      <w:r>
        <w:rPr>
          <w:rFonts w:cstheme="minorHAnsi"/>
          <w:color w:val="0000FF"/>
        </w:rPr>
        <w:t xml:space="preserve">The </w:t>
      </w:r>
      <w:proofErr w:type="gramStart"/>
      <w:r>
        <w:rPr>
          <w:rFonts w:cstheme="minorHAnsi"/>
          <w:color w:val="0000FF"/>
        </w:rPr>
        <w:t>aforementioned panel</w:t>
      </w:r>
      <w:proofErr w:type="gramEnd"/>
      <w:r>
        <w:rPr>
          <w:rFonts w:cstheme="minorHAnsi"/>
          <w:color w:val="0000FF"/>
        </w:rPr>
        <w:t xml:space="preserve"> was asked to rate their agreement with the following statement: </w:t>
      </w:r>
    </w:p>
    <w:p w14:paraId="255A0633" w14:textId="77777777" w:rsidR="00DA0905" w:rsidRDefault="00DA0905" w:rsidP="00DA0905">
      <w:pPr>
        <w:ind w:left="1872"/>
        <w:rPr>
          <w:rFonts w:cstheme="minorHAnsi"/>
          <w:color w:val="0000FF"/>
        </w:rPr>
      </w:pPr>
      <w:r>
        <w:rPr>
          <w:rFonts w:cstheme="minorHAnsi"/>
          <w:color w:val="0000FF"/>
        </w:rPr>
        <w:t xml:space="preserve">The scores obtained from the measure as specified will accurately differentiate quality across providers. </w:t>
      </w:r>
    </w:p>
    <w:p w14:paraId="09AC8E2D" w14:textId="77777777" w:rsidR="00DA0905" w:rsidRDefault="00DA0905" w:rsidP="00DA0905">
      <w:pPr>
        <w:ind w:left="1011"/>
        <w:rPr>
          <w:rFonts w:cstheme="minorHAnsi"/>
          <w:color w:val="0000FF"/>
        </w:rPr>
      </w:pPr>
      <w:r>
        <w:rPr>
          <w:rFonts w:cstheme="minorHAnsi"/>
          <w:color w:val="0000FF"/>
        </w:rPr>
        <w:t xml:space="preserve">The scale 1-5, where 1=Strongly Disagree; 3=Neither Disagree nor Agree; 5=Strongly Agree </w:t>
      </w:r>
    </w:p>
    <w:p w14:paraId="3BD6F7F0" w14:textId="77777777" w:rsidR="00DA0905" w:rsidRDefault="00DA0905" w:rsidP="00DA0905">
      <w:pPr>
        <w:ind w:left="1011"/>
        <w:rPr>
          <w:rFonts w:cstheme="minorHAnsi"/>
          <w:b/>
          <w:color w:val="555555"/>
        </w:rPr>
      </w:pPr>
      <w:r>
        <w:rPr>
          <w:rFonts w:cstheme="minorHAnsi"/>
          <w:color w:val="0000FF"/>
        </w:rPr>
        <w:t xml:space="preserve">This panel consisted of the following 31 members, with representation from </w:t>
      </w:r>
      <w:proofErr w:type="gramStart"/>
      <w:r>
        <w:rPr>
          <w:rFonts w:cstheme="minorHAnsi"/>
          <w:color w:val="0000FF"/>
        </w:rPr>
        <w:t>a number of</w:t>
      </w:r>
      <w:proofErr w:type="gramEnd"/>
      <w:r>
        <w:rPr>
          <w:rFonts w:cstheme="minorHAnsi"/>
          <w:color w:val="0000FF"/>
        </w:rPr>
        <w:t xml:space="preserve"> specialties including oncology, radiation oncology, surgical oncology, urology, gastroenterology, hematology, pathology, colon and rectal surgery, otolaryngology, and pain medicine.  </w:t>
      </w:r>
    </w:p>
    <w:p w14:paraId="40F296BE"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Patricia Ganz, MD (Co-Chair) (Clinical Oncology) Los Angeles, CA</w:t>
      </w:r>
    </w:p>
    <w:p w14:paraId="358DC7B9"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James Hayman, MD (Co-Chair) (Radiation Oncology) Ann Arbor MI</w:t>
      </w:r>
    </w:p>
    <w:p w14:paraId="1B33CFBD"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Joseph </w:t>
      </w:r>
      <w:proofErr w:type="spellStart"/>
      <w:r w:rsidRPr="0087019D">
        <w:rPr>
          <w:rFonts w:cstheme="minorHAnsi"/>
          <w:color w:val="0000FF"/>
        </w:rPr>
        <w:t>Bailes</w:t>
      </w:r>
      <w:proofErr w:type="spellEnd"/>
      <w:r w:rsidRPr="0087019D">
        <w:rPr>
          <w:rFonts w:cstheme="minorHAnsi"/>
          <w:color w:val="0000FF"/>
        </w:rPr>
        <w:t>, MD (Clinical Oncology) The Woodlands, TX</w:t>
      </w:r>
    </w:p>
    <w:p w14:paraId="2DB53CBC"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Nancy Baxter, MD, PhD (Colorectal Surgery) Toronto, Ontario Canada</w:t>
      </w:r>
    </w:p>
    <w:p w14:paraId="1CE7BF2E"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Joel V. Brill, MD (Gastroenterology) Phoenix, AZ</w:t>
      </w:r>
    </w:p>
    <w:p w14:paraId="019E1B1C"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Steven B. </w:t>
      </w:r>
      <w:proofErr w:type="spellStart"/>
      <w:r w:rsidRPr="0087019D">
        <w:rPr>
          <w:rFonts w:cstheme="minorHAnsi"/>
          <w:color w:val="0000FF"/>
        </w:rPr>
        <w:t>Clauser</w:t>
      </w:r>
      <w:proofErr w:type="spellEnd"/>
      <w:r w:rsidRPr="0087019D">
        <w:rPr>
          <w:rFonts w:cstheme="minorHAnsi"/>
          <w:color w:val="0000FF"/>
        </w:rPr>
        <w:t>, PhD (Outcomes Research) Bethesda, MD</w:t>
      </w:r>
    </w:p>
    <w:p w14:paraId="2982BB05"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Charles </w:t>
      </w:r>
      <w:proofErr w:type="spellStart"/>
      <w:r w:rsidRPr="0087019D">
        <w:rPr>
          <w:rFonts w:cstheme="minorHAnsi"/>
          <w:color w:val="0000FF"/>
        </w:rPr>
        <w:t>Cleeland</w:t>
      </w:r>
      <w:proofErr w:type="spellEnd"/>
      <w:r w:rsidRPr="0087019D">
        <w:rPr>
          <w:rFonts w:cstheme="minorHAnsi"/>
          <w:color w:val="0000FF"/>
        </w:rPr>
        <w:t>, PhD (Oncology) Houston, TX</w:t>
      </w:r>
    </w:p>
    <w:p w14:paraId="174D6AFD"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J. Thomas Cross, Jr. MD, MPH (Oncology) Colorado Springs, CO</w:t>
      </w:r>
    </w:p>
    <w:p w14:paraId="100E256C"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Chaitanya R. </w:t>
      </w:r>
      <w:proofErr w:type="spellStart"/>
      <w:r w:rsidRPr="0087019D">
        <w:rPr>
          <w:rFonts w:cstheme="minorHAnsi"/>
          <w:color w:val="0000FF"/>
        </w:rPr>
        <w:t>Divgi</w:t>
      </w:r>
      <w:proofErr w:type="spellEnd"/>
      <w:r w:rsidRPr="0087019D">
        <w:rPr>
          <w:rFonts w:cstheme="minorHAnsi"/>
          <w:color w:val="0000FF"/>
        </w:rPr>
        <w:t>, MD (Nuclear Medicine) Philadelphia, PA</w:t>
      </w:r>
    </w:p>
    <w:p w14:paraId="09BE503B"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Stephen B. Edge, MD (Surgical Oncology) Buffalo, NY</w:t>
      </w:r>
    </w:p>
    <w:p w14:paraId="651894CD"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Patrick L. Fitzgibbons, MD (Oncology) Fullerton, CA</w:t>
      </w:r>
    </w:p>
    <w:p w14:paraId="7B1168DA"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Myron Goldsmith, MD (Oncology) Huntington Beach, CA </w:t>
      </w:r>
    </w:p>
    <w:p w14:paraId="65F07CC3"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Joel W. </w:t>
      </w:r>
      <w:proofErr w:type="spellStart"/>
      <w:r w:rsidRPr="0087019D">
        <w:rPr>
          <w:rFonts w:cstheme="minorHAnsi"/>
          <w:color w:val="0000FF"/>
        </w:rPr>
        <w:t>Goldwein</w:t>
      </w:r>
      <w:proofErr w:type="spellEnd"/>
      <w:r w:rsidRPr="0087019D">
        <w:rPr>
          <w:rFonts w:cstheme="minorHAnsi"/>
          <w:color w:val="0000FF"/>
        </w:rPr>
        <w:t>, MD (Oncology) Merion Station, PA</w:t>
      </w:r>
    </w:p>
    <w:p w14:paraId="55EF318F"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Alecia Hathaway, MD, MPH (Oncology) Fort Worth, TX</w:t>
      </w:r>
    </w:p>
    <w:p w14:paraId="544D2A4B"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Kevin P. Hubbard, DO (Oncology) Kansas City, MO</w:t>
      </w:r>
    </w:p>
    <w:p w14:paraId="2F5C55F1"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Nora </w:t>
      </w:r>
      <w:proofErr w:type="spellStart"/>
      <w:r w:rsidRPr="0087019D">
        <w:rPr>
          <w:rFonts w:cstheme="minorHAnsi"/>
          <w:color w:val="0000FF"/>
        </w:rPr>
        <w:t>Janjan</w:t>
      </w:r>
      <w:proofErr w:type="spellEnd"/>
      <w:r w:rsidRPr="0087019D">
        <w:rPr>
          <w:rFonts w:cstheme="minorHAnsi"/>
          <w:color w:val="0000FF"/>
        </w:rPr>
        <w:t>, MD, MPSA (Radiation Oncology) Houston, TX</w:t>
      </w:r>
    </w:p>
    <w:p w14:paraId="0459B81A"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Maria Kelly, MB, </w:t>
      </w:r>
      <w:proofErr w:type="spellStart"/>
      <w:r w:rsidRPr="0087019D">
        <w:rPr>
          <w:rFonts w:cstheme="minorHAnsi"/>
          <w:color w:val="0000FF"/>
        </w:rPr>
        <w:t>BCh</w:t>
      </w:r>
      <w:proofErr w:type="spellEnd"/>
      <w:r w:rsidRPr="0087019D">
        <w:rPr>
          <w:rFonts w:cstheme="minorHAnsi"/>
          <w:color w:val="0000FF"/>
        </w:rPr>
        <w:t xml:space="preserve"> (Radiation Oncology) Earlysville, VA</w:t>
      </w:r>
    </w:p>
    <w:p w14:paraId="00F85DBE"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Wayne Koch, MD (Head and Neck surgery) Columbia, MD</w:t>
      </w:r>
    </w:p>
    <w:p w14:paraId="53310083"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Andre </w:t>
      </w:r>
      <w:proofErr w:type="spellStart"/>
      <w:r w:rsidRPr="0087019D">
        <w:rPr>
          <w:rFonts w:cstheme="minorHAnsi"/>
          <w:color w:val="0000FF"/>
        </w:rPr>
        <w:t>Konski</w:t>
      </w:r>
      <w:proofErr w:type="spellEnd"/>
      <w:r w:rsidRPr="0087019D">
        <w:rPr>
          <w:rFonts w:cstheme="minorHAnsi"/>
          <w:color w:val="0000FF"/>
        </w:rPr>
        <w:t>, MD (Radiation Oncology) Philadelphia, PA</w:t>
      </w:r>
    </w:p>
    <w:p w14:paraId="19ED8E2A"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Len </w:t>
      </w:r>
      <w:proofErr w:type="spellStart"/>
      <w:r w:rsidRPr="0087019D">
        <w:rPr>
          <w:rFonts w:cstheme="minorHAnsi"/>
          <w:color w:val="0000FF"/>
        </w:rPr>
        <w:t>Lichtenfeld</w:t>
      </w:r>
      <w:proofErr w:type="spellEnd"/>
      <w:r w:rsidRPr="0087019D">
        <w:rPr>
          <w:rFonts w:cstheme="minorHAnsi"/>
          <w:color w:val="0000FF"/>
        </w:rPr>
        <w:t>, MD (Oncology) Atlanta, GA</w:t>
      </w:r>
    </w:p>
    <w:p w14:paraId="4973A7C4"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Norman J. Marcus, MD (Anesthesiology and Psychiatry) New York, NY</w:t>
      </w:r>
    </w:p>
    <w:p w14:paraId="74F7E11E"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Catherine Miyamoto, RN, BSN (Oncology) Grand Forks, ND</w:t>
      </w:r>
    </w:p>
    <w:p w14:paraId="648430B6"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lastRenderedPageBreak/>
        <w:t>Michael Neuss, MD (Oncology, Hematology) Cincinnati, OH</w:t>
      </w:r>
    </w:p>
    <w:p w14:paraId="3E4D96DA"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David F. Penson, MD, MPH (Urology) Nashville, TN</w:t>
      </w:r>
    </w:p>
    <w:p w14:paraId="41A0EFC7"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Louis Potters, MD (Radiation Oncology) New Hyde Park, NY</w:t>
      </w:r>
    </w:p>
    <w:p w14:paraId="561B832D"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John M. Rainey, MD (Medical Oncology) Lafayette, LA</w:t>
      </w:r>
    </w:p>
    <w:p w14:paraId="78844609"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Christopher M. Rose, MD (Radiation Therapy) Beverly Hills, El Segundo, CA</w:t>
      </w:r>
    </w:p>
    <w:p w14:paraId="057FCEAB"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Lee Smith, MD (Oncology) Washington, DC</w:t>
      </w:r>
    </w:p>
    <w:p w14:paraId="1328324B"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Lawrence A. Solberg, MD, PhD (Oncology) Jacksonville, FL</w:t>
      </w:r>
    </w:p>
    <w:p w14:paraId="081E1541" w14:textId="77777777" w:rsidR="00DA0905" w:rsidRPr="0087019D" w:rsidRDefault="00DA0905" w:rsidP="00DA0905">
      <w:pPr>
        <w:pStyle w:val="ListParagraph"/>
        <w:numPr>
          <w:ilvl w:val="0"/>
          <w:numId w:val="37"/>
        </w:numPr>
        <w:spacing w:line="240" w:lineRule="auto"/>
        <w:ind w:left="1235"/>
        <w:rPr>
          <w:rFonts w:cstheme="minorHAnsi"/>
          <w:color w:val="0000FF"/>
        </w:rPr>
      </w:pPr>
      <w:r w:rsidRPr="0087019D">
        <w:rPr>
          <w:rFonts w:cstheme="minorHAnsi"/>
          <w:color w:val="0000FF"/>
        </w:rPr>
        <w:t xml:space="preserve">Paul E. </w:t>
      </w:r>
      <w:proofErr w:type="spellStart"/>
      <w:r w:rsidRPr="0087019D">
        <w:rPr>
          <w:rFonts w:cstheme="minorHAnsi"/>
          <w:color w:val="0000FF"/>
        </w:rPr>
        <w:t>Wallner</w:t>
      </w:r>
      <w:proofErr w:type="spellEnd"/>
      <w:r w:rsidRPr="0087019D">
        <w:rPr>
          <w:rFonts w:cstheme="minorHAnsi"/>
          <w:color w:val="0000FF"/>
        </w:rPr>
        <w:t>, MD (Radiation Oncology) Willingboro, NJ</w:t>
      </w:r>
    </w:p>
    <w:p w14:paraId="05222653" w14:textId="77777777" w:rsidR="00DA0905" w:rsidRPr="0087019D" w:rsidRDefault="00DA0905" w:rsidP="00DA0905">
      <w:pPr>
        <w:pStyle w:val="ListParagraph"/>
        <w:numPr>
          <w:ilvl w:val="0"/>
          <w:numId w:val="37"/>
        </w:numPr>
        <w:spacing w:line="240" w:lineRule="auto"/>
        <w:ind w:left="1235"/>
        <w:rPr>
          <w:rFonts w:cstheme="minorHAnsi"/>
          <w:color w:val="0070C0"/>
        </w:rPr>
      </w:pPr>
      <w:r w:rsidRPr="0087019D">
        <w:rPr>
          <w:rFonts w:cstheme="minorHAnsi"/>
          <w:color w:val="0000FF"/>
        </w:rPr>
        <w:t>J. Frank Wilson, MD (Radiation Oncology) Milwaukee, WI</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3F96AC1F" w14:textId="77777777" w:rsidR="00DA0905"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073B89DF" w14:textId="77777777" w:rsidR="00DA0905" w:rsidRDefault="00DA0905" w:rsidP="00092566">
      <w:pPr>
        <w:autoSpaceDE w:val="0"/>
        <w:autoSpaceDN w:val="0"/>
        <w:adjustRightInd w:val="0"/>
        <w:spacing w:after="0" w:line="240" w:lineRule="auto"/>
        <w:rPr>
          <w:rFonts w:cstheme="minorHAnsi"/>
          <w:bCs/>
        </w:rPr>
      </w:pPr>
    </w:p>
    <w:p w14:paraId="1224E776" w14:textId="77777777" w:rsidR="00DA0905" w:rsidRPr="004C04BA" w:rsidRDefault="00DA0905" w:rsidP="00DA0905">
      <w:pPr>
        <w:adjustRightInd w:val="0"/>
        <w:ind w:left="720"/>
        <w:rPr>
          <w:color w:val="FF0000"/>
          <w:szCs w:val="20"/>
          <w:u w:val="single"/>
        </w:rPr>
      </w:pPr>
      <w:r w:rsidRPr="004C04BA">
        <w:rPr>
          <w:color w:val="FF0000"/>
          <w:szCs w:val="20"/>
          <w:u w:val="single"/>
        </w:rPr>
        <w:t>2019 Submission</w:t>
      </w:r>
    </w:p>
    <w:p w14:paraId="2CD05D3B" w14:textId="77777777" w:rsidR="00DA0905" w:rsidRPr="004C04BA" w:rsidRDefault="00DA0905" w:rsidP="00DA0905">
      <w:pPr>
        <w:tabs>
          <w:tab w:val="left" w:pos="330"/>
        </w:tabs>
        <w:spacing w:after="0"/>
        <w:ind w:left="720"/>
        <w:rPr>
          <w:bCs/>
          <w:iCs/>
          <w:color w:val="FF0000"/>
          <w:u w:val="single"/>
        </w:rPr>
      </w:pPr>
      <w:r w:rsidRPr="004C04BA">
        <w:rPr>
          <w:color w:val="FF0000"/>
          <w:szCs w:val="20"/>
        </w:rPr>
        <w:t>Oncology: Medical and Radiation – Plan of Care for Pain</w:t>
      </w:r>
      <w:r w:rsidRPr="004C04BA">
        <w:rPr>
          <w:bCs/>
          <w:iCs/>
          <w:color w:val="FF0000"/>
        </w:rPr>
        <w:t xml:space="preserve"> </w:t>
      </w:r>
      <w:r w:rsidRPr="004C04BA">
        <w:rPr>
          <w:color w:val="FF0000"/>
        </w:rPr>
        <w:t xml:space="preserve">was positively correlated with Oncology: Pain Intensity Quantified – Medical Oncology and Radiation Oncology </w:t>
      </w:r>
    </w:p>
    <w:p w14:paraId="50955F39" w14:textId="77777777" w:rsidR="00DA0905" w:rsidRPr="004C04BA" w:rsidRDefault="00DA0905" w:rsidP="00DA0905">
      <w:pPr>
        <w:pStyle w:val="ListParagraph"/>
        <w:numPr>
          <w:ilvl w:val="0"/>
          <w:numId w:val="38"/>
        </w:numPr>
        <w:adjustRightInd w:val="0"/>
        <w:spacing w:line="240" w:lineRule="auto"/>
        <w:ind w:left="1294"/>
        <w:rPr>
          <w:rFonts w:cstheme="minorHAnsi"/>
          <w:bCs/>
          <w:color w:val="FF0000"/>
        </w:rPr>
      </w:pPr>
      <w:r w:rsidRPr="004C04BA">
        <w:rPr>
          <w:rFonts w:cstheme="minorHAnsi"/>
          <w:bCs/>
          <w:color w:val="FF0000"/>
        </w:rPr>
        <w:t>Coefficient of correlation = 0.69</w:t>
      </w:r>
    </w:p>
    <w:p w14:paraId="0D72EFCB" w14:textId="77777777" w:rsidR="00DA0905" w:rsidRPr="004C04BA" w:rsidRDefault="00DA0905" w:rsidP="00DA0905">
      <w:pPr>
        <w:pStyle w:val="ListParagraph"/>
        <w:numPr>
          <w:ilvl w:val="0"/>
          <w:numId w:val="38"/>
        </w:numPr>
        <w:tabs>
          <w:tab w:val="left" w:pos="330"/>
        </w:tabs>
        <w:spacing w:line="240" w:lineRule="auto"/>
        <w:ind w:left="1294"/>
        <w:rPr>
          <w:color w:val="FF0000"/>
        </w:rPr>
      </w:pPr>
      <w:r w:rsidRPr="004C04BA">
        <w:rPr>
          <w:rFonts w:cstheme="minorHAnsi"/>
          <w:bCs/>
          <w:color w:val="FF0000"/>
        </w:rPr>
        <w:t>P-value = &gt; 0.001</w:t>
      </w:r>
    </w:p>
    <w:p w14:paraId="0D65E94F" w14:textId="77777777" w:rsidR="00DA0905" w:rsidRDefault="00DA0905" w:rsidP="00DA0905">
      <w:pPr>
        <w:ind w:left="720"/>
        <w:rPr>
          <w:rFonts w:eastAsia="Calibri" w:cstheme="minorHAnsi"/>
          <w:color w:val="0000FF"/>
          <w:u w:val="single"/>
          <w:lang w:bidi="en-US"/>
        </w:rPr>
      </w:pPr>
      <w:r>
        <w:rPr>
          <w:rFonts w:cstheme="minorHAnsi"/>
          <w:b/>
          <w:color w:val="0000FF"/>
          <w:u w:val="single"/>
        </w:rPr>
        <w:t>2015 Submission</w:t>
      </w:r>
    </w:p>
    <w:p w14:paraId="19B435C5" w14:textId="77777777" w:rsidR="00DA0905" w:rsidRDefault="00DA0905" w:rsidP="00DA0905">
      <w:pPr>
        <w:adjustRightInd w:val="0"/>
        <w:ind w:left="720"/>
        <w:rPr>
          <w:rFonts w:cstheme="minorHAnsi"/>
          <w:color w:val="0000FF"/>
        </w:rPr>
      </w:pPr>
      <w:r>
        <w:rPr>
          <w:rFonts w:cstheme="minorHAnsi"/>
          <w:color w:val="0000FF"/>
        </w:rPr>
        <w:t xml:space="preserve">The results of the expert panel rating of the validity statement were as follows: N = 19; Mean rating = 4.32. </w:t>
      </w:r>
    </w:p>
    <w:p w14:paraId="317F97A4" w14:textId="77777777" w:rsidR="00DA0905" w:rsidRDefault="00DA0905" w:rsidP="00DA0905">
      <w:pPr>
        <w:adjustRightInd w:val="0"/>
        <w:ind w:left="720"/>
        <w:rPr>
          <w:rFonts w:cstheme="minorHAnsi"/>
          <w:color w:val="0000FF"/>
        </w:rPr>
      </w:pPr>
      <w:r>
        <w:rPr>
          <w:rFonts w:cstheme="minorHAnsi"/>
          <w:color w:val="0000FF"/>
        </w:rPr>
        <w:t xml:space="preserve">Percentage in the top two categories (4 and 5): 89.47% </w:t>
      </w:r>
    </w:p>
    <w:p w14:paraId="06E93697" w14:textId="77777777" w:rsidR="00DA0905" w:rsidRDefault="00DA0905" w:rsidP="00DA0905">
      <w:pPr>
        <w:spacing w:after="0"/>
        <w:ind w:left="720"/>
        <w:rPr>
          <w:rFonts w:cstheme="minorHAnsi"/>
          <w:color w:val="0000FF"/>
        </w:rPr>
      </w:pPr>
      <w:r>
        <w:rPr>
          <w:rFonts w:cstheme="minorHAnsi"/>
          <w:color w:val="0000FF"/>
        </w:rPr>
        <w:t>Frequency Distribution of Ratings</w:t>
      </w:r>
    </w:p>
    <w:p w14:paraId="3BDFE153" w14:textId="77777777" w:rsidR="00DA0905" w:rsidRDefault="00DA0905" w:rsidP="00DA0905">
      <w:pPr>
        <w:spacing w:after="0"/>
        <w:ind w:left="720"/>
        <w:rPr>
          <w:rFonts w:cstheme="minorHAnsi"/>
          <w:color w:val="0000FF"/>
        </w:rPr>
      </w:pPr>
      <w:r>
        <w:rPr>
          <w:rFonts w:cstheme="minorHAnsi"/>
          <w:color w:val="0000FF"/>
        </w:rPr>
        <w:t>1-</w:t>
      </w:r>
      <w:r>
        <w:rPr>
          <w:rFonts w:cstheme="minorHAnsi"/>
          <w:color w:val="0000FF"/>
        </w:rPr>
        <w:tab/>
        <w:t>0</w:t>
      </w:r>
    </w:p>
    <w:p w14:paraId="16D3F5E9" w14:textId="77777777" w:rsidR="00DA0905" w:rsidRDefault="00DA0905" w:rsidP="00DA0905">
      <w:pPr>
        <w:spacing w:after="0"/>
        <w:ind w:left="720"/>
        <w:rPr>
          <w:rFonts w:cstheme="minorHAnsi"/>
          <w:color w:val="0000FF"/>
        </w:rPr>
      </w:pPr>
      <w:r>
        <w:rPr>
          <w:rFonts w:cstheme="minorHAnsi"/>
          <w:color w:val="0000FF"/>
        </w:rPr>
        <w:t>2-</w:t>
      </w:r>
      <w:r>
        <w:rPr>
          <w:rFonts w:cstheme="minorHAnsi"/>
          <w:color w:val="0000FF"/>
        </w:rPr>
        <w:tab/>
        <w:t>1</w:t>
      </w:r>
    </w:p>
    <w:p w14:paraId="5C8DAD6E" w14:textId="77777777" w:rsidR="00DA0905" w:rsidRDefault="00DA0905" w:rsidP="00DA0905">
      <w:pPr>
        <w:spacing w:after="0"/>
        <w:ind w:left="720"/>
        <w:rPr>
          <w:rFonts w:cstheme="minorHAnsi"/>
          <w:color w:val="0000FF"/>
        </w:rPr>
      </w:pPr>
      <w:r>
        <w:rPr>
          <w:rFonts w:cstheme="minorHAnsi"/>
          <w:color w:val="0000FF"/>
        </w:rPr>
        <w:t>3-</w:t>
      </w:r>
      <w:r>
        <w:rPr>
          <w:rFonts w:cstheme="minorHAnsi"/>
          <w:color w:val="0000FF"/>
        </w:rPr>
        <w:tab/>
        <w:t>1</w:t>
      </w:r>
    </w:p>
    <w:p w14:paraId="4243413C" w14:textId="77777777" w:rsidR="00DA0905" w:rsidRDefault="00DA0905" w:rsidP="00DA0905">
      <w:pPr>
        <w:spacing w:after="0"/>
        <w:ind w:left="720"/>
        <w:rPr>
          <w:rFonts w:cstheme="minorHAnsi"/>
          <w:color w:val="0000FF"/>
        </w:rPr>
      </w:pPr>
      <w:r>
        <w:rPr>
          <w:rFonts w:cstheme="minorHAnsi"/>
          <w:color w:val="0000FF"/>
        </w:rPr>
        <w:t>4-</w:t>
      </w:r>
      <w:r>
        <w:rPr>
          <w:rFonts w:cstheme="minorHAnsi"/>
          <w:color w:val="0000FF"/>
        </w:rPr>
        <w:tab/>
        <w:t>8</w:t>
      </w:r>
    </w:p>
    <w:p w14:paraId="292A6055" w14:textId="77777777" w:rsidR="00DA0905" w:rsidRDefault="00DA0905" w:rsidP="00DA0905">
      <w:pPr>
        <w:adjustRightInd w:val="0"/>
        <w:spacing w:after="0"/>
        <w:ind w:left="720"/>
        <w:rPr>
          <w:rFonts w:cstheme="minorHAnsi"/>
          <w:color w:val="0000FF"/>
        </w:rPr>
      </w:pPr>
      <w:r>
        <w:rPr>
          <w:rFonts w:cstheme="minorHAnsi"/>
          <w:color w:val="0000FF"/>
        </w:rPr>
        <w:t>5-</w:t>
      </w:r>
      <w:r>
        <w:rPr>
          <w:rFonts w:cstheme="minorHAnsi"/>
          <w:color w:val="0000FF"/>
        </w:rPr>
        <w:tab/>
        <w:t>9</w:t>
      </w:r>
    </w:p>
    <w:p w14:paraId="59BE65EF" w14:textId="77777777" w:rsidR="00DA0905" w:rsidRPr="00092566" w:rsidRDefault="00DA0905" w:rsidP="00DA0905">
      <w:pPr>
        <w:autoSpaceDE w:val="0"/>
        <w:autoSpaceDN w:val="0"/>
        <w:adjustRightInd w:val="0"/>
        <w:spacing w:after="0"/>
        <w:rPr>
          <w:rFonts w:cstheme="minorHAnsi"/>
          <w:bCs/>
        </w:rPr>
      </w:pPr>
    </w:p>
    <w:p w14:paraId="0CABCFDE" w14:textId="1255F8EE" w:rsidR="007422FD" w:rsidRPr="00092566" w:rsidRDefault="00833325" w:rsidP="00092566">
      <w:pPr>
        <w:autoSpaceDE w:val="0"/>
        <w:autoSpaceDN w:val="0"/>
        <w:adjustRightInd w:val="0"/>
        <w:spacing w:after="0" w:line="240" w:lineRule="auto"/>
        <w:rPr>
          <w:rFonts w:cstheme="minorHAnsi"/>
          <w:bCs/>
        </w:rPr>
      </w:pPr>
      <w:r w:rsidRPr="00A25024">
        <w:rPr>
          <w:rFonts w:cstheme="minorHAnsi"/>
          <w:bCs/>
        </w:rPr>
        <w:br/>
      </w:r>
    </w:p>
    <w:p w14:paraId="0CABCFDF" w14:textId="4D45622E"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65D3E2AC" w14:textId="77777777" w:rsidR="00DA0905" w:rsidRPr="004C04BA" w:rsidRDefault="00DA0905" w:rsidP="00DA0905">
      <w:pPr>
        <w:adjustRightInd w:val="0"/>
        <w:ind w:left="579"/>
        <w:rPr>
          <w:color w:val="FF0000"/>
          <w:szCs w:val="20"/>
          <w:u w:val="single"/>
        </w:rPr>
      </w:pPr>
      <w:r w:rsidRPr="004C04BA">
        <w:rPr>
          <w:color w:val="FF0000"/>
          <w:szCs w:val="20"/>
          <w:u w:val="single"/>
        </w:rPr>
        <w:t>2019 Submission</w:t>
      </w:r>
    </w:p>
    <w:p w14:paraId="0CABD0A8" w14:textId="77777777" w:rsidR="00DA0905" w:rsidRPr="004C04BA" w:rsidRDefault="00DA0905" w:rsidP="00DA0905">
      <w:pPr>
        <w:adjustRightInd w:val="0"/>
        <w:ind w:left="579"/>
        <w:rPr>
          <w:color w:val="FF0000"/>
          <w:szCs w:val="20"/>
          <w:u w:val="single"/>
        </w:rPr>
      </w:pPr>
      <w:r w:rsidRPr="004C04BA">
        <w:rPr>
          <w:color w:val="FF0000"/>
        </w:rPr>
        <w:t>Oncology: Care Plan for Pain – Medical Oncology and Radiation Oncology</w:t>
      </w:r>
      <w:r w:rsidRPr="004C04BA">
        <w:rPr>
          <w:rFonts w:cstheme="minorHAnsi"/>
          <w:bCs/>
          <w:color w:val="FF0000"/>
        </w:rPr>
        <w:t xml:space="preserve"> has a strong positive correlation with another evidence-based process of care. The correlation demonstrates the criterion validity of the measure</w:t>
      </w:r>
    </w:p>
    <w:p w14:paraId="36706D49" w14:textId="77777777" w:rsidR="00DA0905" w:rsidRDefault="00DA0905" w:rsidP="00DA0905">
      <w:pPr>
        <w:ind w:left="578"/>
        <w:rPr>
          <w:rFonts w:cstheme="minorHAnsi"/>
          <w:color w:val="0000FF"/>
          <w:u w:val="single"/>
        </w:rPr>
      </w:pPr>
      <w:r>
        <w:rPr>
          <w:rFonts w:cstheme="minorHAnsi"/>
          <w:color w:val="0000FF"/>
          <w:u w:val="single"/>
        </w:rPr>
        <w:t>2015 Submission</w:t>
      </w:r>
    </w:p>
    <w:p w14:paraId="121D6276" w14:textId="77777777" w:rsidR="00DA0905" w:rsidRDefault="00DA0905" w:rsidP="00DA0905">
      <w:pPr>
        <w:ind w:left="578"/>
        <w:rPr>
          <w:rFonts w:eastAsia="MS Mincho" w:cstheme="minorHAnsi"/>
          <w:iCs/>
          <w:color w:val="0000FF"/>
          <w:lang w:eastAsia="ja-JP"/>
        </w:rPr>
      </w:pPr>
      <w:r>
        <w:rPr>
          <w:rFonts w:eastAsia="MS Mincho" w:cstheme="minorHAnsi"/>
          <w:iCs/>
          <w:color w:val="0000FF"/>
          <w:lang w:eastAsia="ja-JP"/>
        </w:rPr>
        <w:lastRenderedPageBreak/>
        <w:t>The measure is valid, as specified.</w:t>
      </w:r>
    </w:p>
    <w:p w14:paraId="0C5713A6" w14:textId="77777777" w:rsidR="00DA0905" w:rsidRDefault="00DA0905" w:rsidP="00DA0905">
      <w:pPr>
        <w:ind w:left="579"/>
        <w:rPr>
          <w:rFonts w:cstheme="minorHAnsi"/>
          <w:color w:val="0000FF"/>
        </w:rPr>
      </w:pPr>
      <w:r>
        <w:rPr>
          <w:rFonts w:cstheme="minorHAnsi"/>
          <w:color w:val="0000FF"/>
        </w:rPr>
        <w:t>ASCO provided measure level concordance based on requirements for previous submission in 2015, which did not require individual data element validity. Given the high rate of agreement at the measure level, no individual data element would have had a low agreement rate.</w:t>
      </w:r>
    </w:p>
    <w:p w14:paraId="0399856D" w14:textId="77777777" w:rsidR="00DA0905" w:rsidRDefault="00DA0905" w:rsidP="00DA0905">
      <w:pPr>
        <w:pStyle w:val="ListParagraph"/>
        <w:spacing w:after="160" w:line="256" w:lineRule="auto"/>
        <w:ind w:left="579"/>
        <w:rPr>
          <w:rFonts w:cstheme="minorHAnsi"/>
          <w:color w:val="0000FF"/>
        </w:rPr>
      </w:pPr>
      <w:r>
        <w:rPr>
          <w:rFonts w:cstheme="minorHAnsi"/>
          <w:color w:val="0000FF"/>
        </w:rPr>
        <w:t>Face validity testing demonstrated a vast majority of respondents (95%) strongly agree or agree that the measure provided an accurate reflection of quality and can be used to distinguish good and poor quality</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13E58A2"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990D95">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38532CDE"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0CABCFE8" w14:textId="06255C2C" w:rsidR="007422FD" w:rsidRPr="00A25024"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7" w:name="section2b4"/>
      <w:bookmarkEnd w:id="17"/>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52B996B2" w:rsidR="00033038" w:rsidRPr="005232D6" w:rsidRDefault="00231DAB"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990D95">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231DAB"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231DAB"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231DAB"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72F05C9F" w:rsidR="009D3882" w:rsidRP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6" w14:textId="6B194552" w:rsidR="00001D73" w:rsidRPr="00AF2D68" w:rsidRDefault="009C7513" w:rsidP="00AF2D68">
      <w:pPr>
        <w:rPr>
          <w:rFonts w:cstheme="minorHAnsi"/>
          <w:bCs/>
          <w:sz w:val="4"/>
        </w:rPr>
      </w:pPr>
      <w:r>
        <w:rPr>
          <w:rFonts w:cstheme="minorHAnsi"/>
          <w:b/>
          <w:bCs/>
        </w:rPr>
        <w:lastRenderedPageBreak/>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231DAB"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231DAB"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231DAB"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8" w:name="question2b49"/>
      <w:bookmarkEnd w:id="18"/>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pBdr>
          <w:bottom w:val="single" w:sz="12" w:space="1" w:color="auto"/>
        </w:pBdr>
        <w:autoSpaceDE w:val="0"/>
        <w:autoSpaceDN w:val="0"/>
        <w:adjustRightInd w:val="0"/>
        <w:spacing w:after="0" w:line="240" w:lineRule="auto"/>
        <w:rPr>
          <w:rFonts w:cstheme="minorHAnsi"/>
          <w:b/>
          <w:bCs/>
        </w:rPr>
      </w:pPr>
    </w:p>
    <w:p w14:paraId="0CABD007" w14:textId="125C32DF" w:rsidR="00D61410" w:rsidRDefault="009C7513" w:rsidP="00D61410">
      <w:pPr>
        <w:autoSpaceDE w:val="0"/>
        <w:autoSpaceDN w:val="0"/>
        <w:adjustRightInd w:val="0"/>
        <w:spacing w:after="0" w:line="240" w:lineRule="auto"/>
        <w:rPr>
          <w:rFonts w:cstheme="minorHAnsi"/>
          <w:b/>
          <w:bCs/>
        </w:rPr>
      </w:pPr>
      <w:bookmarkStart w:id="19" w:name="section2b5"/>
      <w:bookmarkEnd w:id="19"/>
      <w:r>
        <w:rPr>
          <w:rFonts w:cstheme="minorHAnsi"/>
          <w:b/>
          <w:bCs/>
        </w:rPr>
        <w:lastRenderedPageBreak/>
        <w:t>2b4</w:t>
      </w:r>
      <w:r w:rsidR="00D61410" w:rsidRPr="00A25024">
        <w:rPr>
          <w:rFonts w:cstheme="minorHAnsi"/>
          <w:b/>
          <w:bCs/>
        </w:rPr>
        <w:t>. IDENTIFICATION OF STATISTICALLY SIGNIFICANT &amp; MEANINGFUL DIFFERENCES IN PERFORMANCE</w:t>
      </w:r>
    </w:p>
    <w:p w14:paraId="76184CE8" w14:textId="77777777" w:rsidR="00315BE0" w:rsidRPr="00A25024" w:rsidRDefault="00315BE0" w:rsidP="00D61410">
      <w:pPr>
        <w:autoSpaceDE w:val="0"/>
        <w:autoSpaceDN w:val="0"/>
        <w:adjustRightInd w:val="0"/>
        <w:spacing w:after="0" w:line="240" w:lineRule="auto"/>
        <w:rPr>
          <w:rFonts w:cstheme="minorHAnsi"/>
          <w:b/>
          <w:bCs/>
        </w:rPr>
      </w:pPr>
    </w:p>
    <w:p w14:paraId="2777F262" w14:textId="77777777" w:rsidR="00990D95" w:rsidRDefault="009C7513" w:rsidP="00D61410">
      <w:pPr>
        <w:autoSpaceDE w:val="0"/>
        <w:autoSpaceDN w:val="0"/>
        <w:adjustRightInd w:val="0"/>
        <w:spacing w:after="0" w:line="240" w:lineRule="auto"/>
        <w:rPr>
          <w:rFonts w:cstheme="minorHAnsi"/>
          <w:bCs/>
          <w:i/>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1F7FF370" w14:textId="77777777" w:rsidR="00990D95" w:rsidRDefault="00990D95" w:rsidP="00D61410">
      <w:pPr>
        <w:autoSpaceDE w:val="0"/>
        <w:autoSpaceDN w:val="0"/>
        <w:adjustRightInd w:val="0"/>
        <w:spacing w:after="0" w:line="240" w:lineRule="auto"/>
        <w:rPr>
          <w:rFonts w:cstheme="minorHAnsi"/>
          <w:bCs/>
          <w:i/>
        </w:rPr>
      </w:pPr>
    </w:p>
    <w:p w14:paraId="0AAACE8E" w14:textId="77777777" w:rsidR="00990D95" w:rsidRPr="004C04BA" w:rsidRDefault="00990D95" w:rsidP="00990D95">
      <w:pPr>
        <w:adjustRightInd w:val="0"/>
        <w:ind w:left="579"/>
        <w:rPr>
          <w:color w:val="FF0000"/>
          <w:szCs w:val="20"/>
          <w:u w:val="single"/>
        </w:rPr>
      </w:pPr>
      <w:r w:rsidRPr="004C04BA">
        <w:rPr>
          <w:color w:val="FF0000"/>
          <w:szCs w:val="20"/>
          <w:u w:val="single"/>
        </w:rPr>
        <w:t>2019 Submission</w:t>
      </w:r>
    </w:p>
    <w:p w14:paraId="55C2E045" w14:textId="77777777" w:rsidR="00990D95" w:rsidRPr="004C04BA" w:rsidRDefault="00990D95" w:rsidP="00990D95">
      <w:pPr>
        <w:ind w:left="579"/>
        <w:rPr>
          <w:color w:val="FF0000"/>
          <w:szCs w:val="20"/>
        </w:rPr>
      </w:pPr>
      <w:r w:rsidRPr="004C04BA">
        <w:rPr>
          <w:color w:val="FF0000"/>
          <w:szCs w:val="20"/>
        </w:rPr>
        <w:t>The analysis of meaningful differences in performance was analyzed using calculations of several descriptive statistics, including the minimum, maximum, 25th and 75th percentile, median, IQR, and range. Additionally, we calculated the standard deviation, standard error of the mean performance, and confidence interval for the mean performance. Finally, we calculated the percent of facilities whose performance was statistically significantly different from the overall performance mean.</w:t>
      </w:r>
    </w:p>
    <w:p w14:paraId="3022AA3C" w14:textId="77777777" w:rsidR="00990D95" w:rsidRDefault="00990D95" w:rsidP="00990D95">
      <w:pPr>
        <w:ind w:left="579"/>
        <w:rPr>
          <w:rFonts w:cstheme="minorHAnsi"/>
          <w:color w:val="0000FF"/>
          <w:u w:val="single"/>
        </w:rPr>
      </w:pPr>
      <w:r>
        <w:rPr>
          <w:rFonts w:cstheme="minorHAnsi"/>
          <w:color w:val="0000FF"/>
          <w:u w:val="single"/>
        </w:rPr>
        <w:t>2015 Submission</w:t>
      </w:r>
    </w:p>
    <w:p w14:paraId="3CE97A3E" w14:textId="77777777" w:rsidR="00990D95" w:rsidRDefault="00990D95" w:rsidP="00990D95">
      <w:pPr>
        <w:ind w:left="579"/>
        <w:rPr>
          <w:rFonts w:cstheme="minorHAnsi"/>
          <w:bCs/>
          <w:color w:val="0000FF"/>
        </w:rPr>
      </w:pPr>
      <w:r>
        <w:rPr>
          <w:rFonts w:cstheme="minorHAnsi"/>
          <w:color w:val="0000FF"/>
        </w:rPr>
        <w:t>PCPI Testing Project</w:t>
      </w:r>
    </w:p>
    <w:p w14:paraId="64036A13" w14:textId="77777777" w:rsidR="00990D95" w:rsidRDefault="00990D95" w:rsidP="00990D95">
      <w:pPr>
        <w:ind w:left="579"/>
        <w:rPr>
          <w:rFonts w:cstheme="minorHAnsi"/>
          <w:color w:val="0000FF"/>
        </w:rPr>
      </w:pPr>
      <w:r>
        <w:rPr>
          <w:rFonts w:cstheme="minorHAnsi"/>
          <w:color w:val="0000FF"/>
        </w:rPr>
        <w:t>Data analysis performed on the measure included:</w:t>
      </w:r>
    </w:p>
    <w:p w14:paraId="720934AA" w14:textId="77777777" w:rsidR="00990D95" w:rsidRDefault="00990D95" w:rsidP="00990D95">
      <w:pPr>
        <w:ind w:left="579"/>
        <w:rPr>
          <w:rFonts w:cstheme="minorHAnsi"/>
          <w:color w:val="0000FF"/>
        </w:rPr>
      </w:pPr>
      <w:r>
        <w:rPr>
          <w:rFonts w:cstheme="minorHAnsi"/>
          <w:color w:val="0000FF"/>
        </w:rPr>
        <w:t xml:space="preserve">Average measure performance rate overall and by site, performance rate range by site and overall standard deviation for the measure. </w:t>
      </w:r>
    </w:p>
    <w:p w14:paraId="0CABD008" w14:textId="3F9A5A1D" w:rsidR="00D61410" w:rsidRPr="00A25024" w:rsidRDefault="00D61410" w:rsidP="00D61410">
      <w:pPr>
        <w:autoSpaceDE w:val="0"/>
        <w:autoSpaceDN w:val="0"/>
        <w:adjustRightInd w:val="0"/>
        <w:spacing w:after="0" w:line="240" w:lineRule="auto"/>
        <w:rPr>
          <w:rFonts w:cstheme="minorHAnsi"/>
          <w:bCs/>
        </w:rPr>
      </w:pPr>
      <w:r w:rsidRPr="00A25024">
        <w:rPr>
          <w:rFonts w:cstheme="minorHAnsi"/>
          <w:bCs/>
        </w:rPr>
        <w:br/>
        <w:t xml:space="preserve"> </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0CABD00A" w14:textId="1C766257"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23D5A604" w14:textId="77777777" w:rsidR="00990D95" w:rsidRPr="00990D95" w:rsidRDefault="00990D95" w:rsidP="00990D95">
      <w:pPr>
        <w:adjustRightInd w:val="0"/>
        <w:ind w:left="363"/>
        <w:rPr>
          <w:color w:val="FF0000"/>
          <w:szCs w:val="20"/>
          <w:u w:val="single"/>
        </w:rPr>
      </w:pPr>
      <w:r w:rsidRPr="00990D95">
        <w:rPr>
          <w:color w:val="FF0000"/>
          <w:szCs w:val="20"/>
          <w:u w:val="single"/>
        </w:rPr>
        <w:t>2019 Submission</w:t>
      </w:r>
    </w:p>
    <w:p w14:paraId="67D01497" w14:textId="77777777" w:rsidR="00990D95" w:rsidRPr="00990D95" w:rsidRDefault="00990D95" w:rsidP="00990D95">
      <w:pPr>
        <w:pStyle w:val="BodyText"/>
        <w:ind w:left="360" w:firstLine="3"/>
        <w:rPr>
          <w:color w:val="FF0000"/>
        </w:rPr>
      </w:pPr>
      <w:r w:rsidRPr="00990D95">
        <w:rPr>
          <w:color w:val="FF0000"/>
        </w:rPr>
        <w:t>Although a lot perform at 100%, more than half do not, and performance spans the entire distance from 0% to 100%. Mean performance is 78.6% (95% confidence interval of 75% to 82%): that leaves plenty of room for improvement, and most fall outside of the 95% confidence interval, suggesting statistically significant differences between facilities.</w:t>
      </w:r>
    </w:p>
    <w:p w14:paraId="6617E8AC" w14:textId="77777777" w:rsidR="00990D95" w:rsidRPr="00990D95" w:rsidRDefault="00990D95" w:rsidP="00990D95">
      <w:pPr>
        <w:pStyle w:val="BodyText"/>
        <w:ind w:left="363" w:firstLine="0"/>
        <w:rPr>
          <w:iCs/>
          <w:color w:val="FF0000"/>
        </w:rPr>
      </w:pPr>
    </w:p>
    <w:p w14:paraId="498995FB" w14:textId="6DC95878" w:rsidR="00990D95" w:rsidRPr="00990D95" w:rsidRDefault="008759AC" w:rsidP="00990D95">
      <w:pPr>
        <w:pStyle w:val="BodyText"/>
        <w:ind w:left="363" w:firstLine="0"/>
        <w:rPr>
          <w:iCs/>
          <w:color w:val="FF0000"/>
        </w:rPr>
      </w:pPr>
      <w:r>
        <w:rPr>
          <w:iCs/>
          <w:color w:val="FF0000"/>
        </w:rPr>
        <w:t>Frequency (</w:t>
      </w:r>
      <w:r w:rsidR="00990D95" w:rsidRPr="00990D95">
        <w:rPr>
          <w:iCs/>
          <w:color w:val="FF0000"/>
        </w:rPr>
        <w:t>Unique Number of TINs</w:t>
      </w:r>
      <w:r>
        <w:rPr>
          <w:iCs/>
          <w:color w:val="FF0000"/>
        </w:rPr>
        <w:t>)</w:t>
      </w:r>
      <w:r w:rsidR="00990D95" w:rsidRPr="00990D95">
        <w:rPr>
          <w:iCs/>
          <w:color w:val="FF0000"/>
        </w:rPr>
        <w:t>: 366</w:t>
      </w:r>
    </w:p>
    <w:p w14:paraId="3E4B9A7F" w14:textId="77777777" w:rsidR="00990D95" w:rsidRPr="00990D95" w:rsidRDefault="00990D95" w:rsidP="00990D95">
      <w:pPr>
        <w:pStyle w:val="BodyText"/>
        <w:ind w:left="363" w:firstLine="0"/>
        <w:rPr>
          <w:iCs/>
          <w:color w:val="FF0000"/>
        </w:rPr>
      </w:pPr>
      <w:r w:rsidRPr="00990D95">
        <w:rPr>
          <w:iCs/>
          <w:color w:val="FF0000"/>
        </w:rPr>
        <w:t>Distribution of Measure Denominators and Measure Performance:</w:t>
      </w:r>
    </w:p>
    <w:p w14:paraId="7572CB95" w14:textId="77777777" w:rsidR="00990D95" w:rsidRPr="0047454B" w:rsidRDefault="00990D95" w:rsidP="00990D95">
      <w:pPr>
        <w:pStyle w:val="BodyText"/>
        <w:ind w:left="1299" w:firstLine="720"/>
        <w:rPr>
          <w:iCs/>
          <w:color w:val="FF0000"/>
        </w:rPr>
      </w:pPr>
    </w:p>
    <w:p w14:paraId="4FF8FDFA" w14:textId="5C36D592" w:rsidR="00990D95" w:rsidRPr="00962141" w:rsidRDefault="00990D95" w:rsidP="00962141">
      <w:pPr>
        <w:pStyle w:val="BodyText"/>
        <w:ind w:left="579"/>
        <w:rPr>
          <w:color w:val="FF0000"/>
        </w:rPr>
      </w:pPr>
      <w:r w:rsidRPr="00962141">
        <w:rPr>
          <w:color w:val="FF0000"/>
        </w:rPr>
        <w:t>Denominators</w:t>
      </w:r>
      <w:r w:rsidR="00962141" w:rsidRPr="00962141">
        <w:rPr>
          <w:color w:val="FF0000"/>
        </w:rPr>
        <w:t>:</w:t>
      </w:r>
    </w:p>
    <w:tbl>
      <w:tblPr>
        <w:tblW w:w="3258" w:type="pct"/>
        <w:tblInd w:w="363" w:type="dxa"/>
        <w:tblLook w:val="07E0" w:firstRow="1" w:lastRow="1" w:firstColumn="1" w:lastColumn="1" w:noHBand="1" w:noVBand="1"/>
      </w:tblPr>
      <w:tblGrid>
        <w:gridCol w:w="720"/>
        <w:gridCol w:w="600"/>
        <w:gridCol w:w="1136"/>
        <w:gridCol w:w="927"/>
        <w:gridCol w:w="695"/>
        <w:gridCol w:w="836"/>
        <w:gridCol w:w="1185"/>
      </w:tblGrid>
      <w:tr w:rsidR="00990D95" w:rsidRPr="00990D95" w14:paraId="5C45EA16" w14:textId="77777777" w:rsidTr="00601C7F">
        <w:tc>
          <w:tcPr>
            <w:tcW w:w="0" w:type="auto"/>
            <w:tcBorders>
              <w:bottom w:val="single" w:sz="0" w:space="0" w:color="auto"/>
            </w:tcBorders>
            <w:vAlign w:val="bottom"/>
          </w:tcPr>
          <w:p w14:paraId="1E343A90"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Min</w:t>
            </w:r>
          </w:p>
        </w:tc>
        <w:tc>
          <w:tcPr>
            <w:tcW w:w="0" w:type="auto"/>
            <w:tcBorders>
              <w:bottom w:val="single" w:sz="0" w:space="0" w:color="auto"/>
            </w:tcBorders>
            <w:vAlign w:val="bottom"/>
          </w:tcPr>
          <w:p w14:paraId="54B75883"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Q1</w:t>
            </w:r>
          </w:p>
        </w:tc>
        <w:tc>
          <w:tcPr>
            <w:tcW w:w="0" w:type="auto"/>
            <w:tcBorders>
              <w:bottom w:val="single" w:sz="0" w:space="0" w:color="auto"/>
            </w:tcBorders>
            <w:vAlign w:val="bottom"/>
          </w:tcPr>
          <w:p w14:paraId="18CB8E42"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Median</w:t>
            </w:r>
          </w:p>
        </w:tc>
        <w:tc>
          <w:tcPr>
            <w:tcW w:w="0" w:type="auto"/>
            <w:tcBorders>
              <w:bottom w:val="single" w:sz="0" w:space="0" w:color="auto"/>
            </w:tcBorders>
            <w:vAlign w:val="bottom"/>
          </w:tcPr>
          <w:p w14:paraId="541D2655"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Mean</w:t>
            </w:r>
          </w:p>
        </w:tc>
        <w:tc>
          <w:tcPr>
            <w:tcW w:w="0" w:type="auto"/>
            <w:tcBorders>
              <w:bottom w:val="single" w:sz="0" w:space="0" w:color="auto"/>
            </w:tcBorders>
            <w:vAlign w:val="bottom"/>
          </w:tcPr>
          <w:p w14:paraId="7D547918"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Q3</w:t>
            </w:r>
          </w:p>
        </w:tc>
        <w:tc>
          <w:tcPr>
            <w:tcW w:w="0" w:type="auto"/>
            <w:tcBorders>
              <w:bottom w:val="single" w:sz="0" w:space="0" w:color="auto"/>
            </w:tcBorders>
            <w:vAlign w:val="bottom"/>
          </w:tcPr>
          <w:p w14:paraId="2CB69557"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Max</w:t>
            </w:r>
          </w:p>
        </w:tc>
        <w:tc>
          <w:tcPr>
            <w:tcW w:w="0" w:type="auto"/>
            <w:tcBorders>
              <w:bottom w:val="single" w:sz="0" w:space="0" w:color="auto"/>
            </w:tcBorders>
          </w:tcPr>
          <w:p w14:paraId="738BFBC0"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Total</w:t>
            </w:r>
          </w:p>
        </w:tc>
      </w:tr>
      <w:tr w:rsidR="00990D95" w:rsidRPr="00990D95" w14:paraId="7E6F493B" w14:textId="77777777" w:rsidTr="00601C7F">
        <w:tc>
          <w:tcPr>
            <w:tcW w:w="0" w:type="auto"/>
          </w:tcPr>
          <w:p w14:paraId="01323938"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1</w:t>
            </w:r>
          </w:p>
        </w:tc>
        <w:tc>
          <w:tcPr>
            <w:tcW w:w="0" w:type="auto"/>
          </w:tcPr>
          <w:p w14:paraId="7EC9CA0B"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10</w:t>
            </w:r>
          </w:p>
        </w:tc>
        <w:tc>
          <w:tcPr>
            <w:tcW w:w="0" w:type="auto"/>
          </w:tcPr>
          <w:p w14:paraId="1E590AC0"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50.5</w:t>
            </w:r>
          </w:p>
        </w:tc>
        <w:tc>
          <w:tcPr>
            <w:tcW w:w="0" w:type="auto"/>
          </w:tcPr>
          <w:p w14:paraId="58FE256A"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297.2</w:t>
            </w:r>
          </w:p>
        </w:tc>
        <w:tc>
          <w:tcPr>
            <w:tcW w:w="0" w:type="auto"/>
          </w:tcPr>
          <w:p w14:paraId="28EE4028"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242</w:t>
            </w:r>
          </w:p>
        </w:tc>
        <w:tc>
          <w:tcPr>
            <w:tcW w:w="0" w:type="auto"/>
          </w:tcPr>
          <w:p w14:paraId="5720008B"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8731</w:t>
            </w:r>
          </w:p>
        </w:tc>
        <w:tc>
          <w:tcPr>
            <w:tcW w:w="0" w:type="auto"/>
          </w:tcPr>
          <w:p w14:paraId="01C1AF50"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108,765</w:t>
            </w:r>
          </w:p>
        </w:tc>
      </w:tr>
    </w:tbl>
    <w:p w14:paraId="0E594CFB" w14:textId="5BA81287" w:rsidR="00990D95" w:rsidRDefault="00990D95" w:rsidP="00990D95">
      <w:pPr>
        <w:pStyle w:val="BodyText"/>
        <w:ind w:left="360" w:firstLine="90"/>
        <w:rPr>
          <w:rFonts w:asciiTheme="minorHAnsi" w:hAnsiTheme="minorHAnsi" w:cstheme="minorHAnsi"/>
          <w:color w:val="FF0000"/>
        </w:rPr>
      </w:pPr>
      <w:r w:rsidRPr="00990D95">
        <w:rPr>
          <w:rFonts w:asciiTheme="minorHAnsi" w:hAnsiTheme="minorHAnsi" w:cstheme="minorHAnsi"/>
          <w:color w:val="FF0000"/>
        </w:rPr>
        <w:lastRenderedPageBreak/>
        <w:t>Measure Distribution</w:t>
      </w:r>
      <w:r w:rsidR="00962141">
        <w:rPr>
          <w:rFonts w:asciiTheme="minorHAnsi" w:hAnsiTheme="minorHAnsi" w:cstheme="minorHAnsi"/>
          <w:color w:val="FF0000"/>
        </w:rPr>
        <w:t>:</w:t>
      </w:r>
    </w:p>
    <w:p w14:paraId="59DBB18A" w14:textId="77777777" w:rsidR="00962141" w:rsidRPr="00990D95" w:rsidRDefault="00962141" w:rsidP="00990D95">
      <w:pPr>
        <w:pStyle w:val="BodyText"/>
        <w:ind w:left="360" w:firstLine="90"/>
        <w:rPr>
          <w:rFonts w:asciiTheme="minorHAnsi" w:hAnsiTheme="minorHAnsi" w:cstheme="minorHAnsi"/>
          <w:color w:val="FF0000"/>
        </w:rPr>
      </w:pPr>
    </w:p>
    <w:tbl>
      <w:tblPr>
        <w:tblW w:w="5000" w:type="pct"/>
        <w:tblInd w:w="363" w:type="dxa"/>
        <w:tblLook w:val="07E0" w:firstRow="1" w:lastRow="1" w:firstColumn="1" w:lastColumn="1" w:noHBand="1" w:noVBand="1"/>
      </w:tblPr>
      <w:tblGrid>
        <w:gridCol w:w="728"/>
        <w:gridCol w:w="1059"/>
        <w:gridCol w:w="1149"/>
        <w:gridCol w:w="1059"/>
        <w:gridCol w:w="607"/>
        <w:gridCol w:w="772"/>
        <w:gridCol w:w="1615"/>
        <w:gridCol w:w="2371"/>
      </w:tblGrid>
      <w:tr w:rsidR="00990D95" w:rsidRPr="00990D95" w14:paraId="0854E2A4" w14:textId="77777777" w:rsidTr="00601C7F">
        <w:tc>
          <w:tcPr>
            <w:tcW w:w="0" w:type="auto"/>
            <w:tcBorders>
              <w:bottom w:val="single" w:sz="0" w:space="0" w:color="auto"/>
            </w:tcBorders>
            <w:vAlign w:val="bottom"/>
          </w:tcPr>
          <w:p w14:paraId="12EAFCFF"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Min</w:t>
            </w:r>
          </w:p>
        </w:tc>
        <w:tc>
          <w:tcPr>
            <w:tcW w:w="0" w:type="auto"/>
            <w:tcBorders>
              <w:bottom w:val="single" w:sz="0" w:space="0" w:color="auto"/>
            </w:tcBorders>
            <w:vAlign w:val="bottom"/>
          </w:tcPr>
          <w:p w14:paraId="5BF884DF"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Q1</w:t>
            </w:r>
          </w:p>
        </w:tc>
        <w:tc>
          <w:tcPr>
            <w:tcW w:w="0" w:type="auto"/>
            <w:tcBorders>
              <w:bottom w:val="single" w:sz="0" w:space="0" w:color="auto"/>
            </w:tcBorders>
            <w:vAlign w:val="bottom"/>
          </w:tcPr>
          <w:p w14:paraId="680E4EBA"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Median</w:t>
            </w:r>
          </w:p>
        </w:tc>
        <w:tc>
          <w:tcPr>
            <w:tcW w:w="0" w:type="auto"/>
            <w:tcBorders>
              <w:bottom w:val="single" w:sz="0" w:space="0" w:color="auto"/>
            </w:tcBorders>
            <w:vAlign w:val="bottom"/>
          </w:tcPr>
          <w:p w14:paraId="07EF2F1C"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Mean</w:t>
            </w:r>
          </w:p>
        </w:tc>
        <w:tc>
          <w:tcPr>
            <w:tcW w:w="0" w:type="auto"/>
            <w:tcBorders>
              <w:bottom w:val="single" w:sz="0" w:space="0" w:color="auto"/>
            </w:tcBorders>
            <w:vAlign w:val="bottom"/>
          </w:tcPr>
          <w:p w14:paraId="7DEEEA1C"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Q3</w:t>
            </w:r>
          </w:p>
        </w:tc>
        <w:tc>
          <w:tcPr>
            <w:tcW w:w="0" w:type="auto"/>
            <w:tcBorders>
              <w:bottom w:val="single" w:sz="0" w:space="0" w:color="auto"/>
            </w:tcBorders>
            <w:vAlign w:val="bottom"/>
          </w:tcPr>
          <w:p w14:paraId="51982311"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Max</w:t>
            </w:r>
          </w:p>
        </w:tc>
        <w:tc>
          <w:tcPr>
            <w:tcW w:w="0" w:type="auto"/>
            <w:tcBorders>
              <w:bottom w:val="single" w:sz="0" w:space="0" w:color="auto"/>
            </w:tcBorders>
            <w:vAlign w:val="bottom"/>
          </w:tcPr>
          <w:p w14:paraId="5486166C" w14:textId="77777777" w:rsidR="00990D95" w:rsidRPr="00990D95" w:rsidRDefault="00990D95" w:rsidP="00601C7F">
            <w:pPr>
              <w:pStyle w:val="Compact"/>
              <w:jc w:val="center"/>
              <w:rPr>
                <w:rFonts w:asciiTheme="minorHAnsi" w:hAnsiTheme="minorHAnsi" w:cstheme="minorHAnsi"/>
                <w:color w:val="FF0000"/>
                <w:szCs w:val="22"/>
              </w:rPr>
            </w:pPr>
            <w:proofErr w:type="spellStart"/>
            <w:r w:rsidRPr="00990D95">
              <w:rPr>
                <w:rFonts w:asciiTheme="minorHAnsi" w:hAnsiTheme="minorHAnsi" w:cstheme="minorHAnsi"/>
                <w:color w:val="FF0000"/>
                <w:szCs w:val="22"/>
              </w:rPr>
              <w:t>CI.for.mean</w:t>
            </w:r>
            <w:proofErr w:type="spellEnd"/>
          </w:p>
        </w:tc>
        <w:tc>
          <w:tcPr>
            <w:tcW w:w="0" w:type="auto"/>
            <w:tcBorders>
              <w:bottom w:val="single" w:sz="0" w:space="0" w:color="auto"/>
            </w:tcBorders>
            <w:vAlign w:val="bottom"/>
          </w:tcPr>
          <w:p w14:paraId="3716FF82"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Percent.outside.CI</w:t>
            </w:r>
          </w:p>
        </w:tc>
      </w:tr>
      <w:tr w:rsidR="00990D95" w:rsidRPr="00990D95" w14:paraId="2875D440" w14:textId="77777777" w:rsidTr="00601C7F">
        <w:tc>
          <w:tcPr>
            <w:tcW w:w="0" w:type="auto"/>
          </w:tcPr>
          <w:p w14:paraId="3B875AD6"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0</w:t>
            </w:r>
          </w:p>
        </w:tc>
        <w:tc>
          <w:tcPr>
            <w:tcW w:w="0" w:type="auto"/>
          </w:tcPr>
          <w:p w14:paraId="52B4927E"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0.6771</w:t>
            </w:r>
          </w:p>
        </w:tc>
        <w:tc>
          <w:tcPr>
            <w:tcW w:w="0" w:type="auto"/>
          </w:tcPr>
          <w:p w14:paraId="7464C1F0"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0.977</w:t>
            </w:r>
          </w:p>
        </w:tc>
        <w:tc>
          <w:tcPr>
            <w:tcW w:w="0" w:type="auto"/>
          </w:tcPr>
          <w:p w14:paraId="5871100B"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0.7864</w:t>
            </w:r>
          </w:p>
        </w:tc>
        <w:tc>
          <w:tcPr>
            <w:tcW w:w="0" w:type="auto"/>
          </w:tcPr>
          <w:p w14:paraId="04815994"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1</w:t>
            </w:r>
          </w:p>
        </w:tc>
        <w:tc>
          <w:tcPr>
            <w:tcW w:w="0" w:type="auto"/>
          </w:tcPr>
          <w:p w14:paraId="71564599"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1</w:t>
            </w:r>
          </w:p>
        </w:tc>
        <w:tc>
          <w:tcPr>
            <w:tcW w:w="0" w:type="auto"/>
          </w:tcPr>
          <w:p w14:paraId="15B8FFB0" w14:textId="77777777" w:rsidR="00990D95" w:rsidRPr="00990D95" w:rsidRDefault="00990D95" w:rsidP="00601C7F">
            <w:pPr>
              <w:pStyle w:val="Compact"/>
              <w:jc w:val="center"/>
              <w:rPr>
                <w:rFonts w:asciiTheme="minorHAnsi" w:hAnsiTheme="minorHAnsi" w:cstheme="minorHAnsi"/>
                <w:color w:val="FF0000"/>
                <w:szCs w:val="22"/>
              </w:rPr>
            </w:pPr>
            <w:bookmarkStart w:id="20" w:name="_Hlk14956171"/>
            <w:r w:rsidRPr="00990D95">
              <w:rPr>
                <w:rFonts w:asciiTheme="minorHAnsi" w:hAnsiTheme="minorHAnsi" w:cstheme="minorHAnsi"/>
                <w:color w:val="FF0000"/>
                <w:szCs w:val="22"/>
              </w:rPr>
              <w:t>(0.75, 0.82)</w:t>
            </w:r>
            <w:bookmarkEnd w:id="20"/>
          </w:p>
        </w:tc>
        <w:tc>
          <w:tcPr>
            <w:tcW w:w="0" w:type="auto"/>
          </w:tcPr>
          <w:p w14:paraId="7535B536" w14:textId="77777777" w:rsidR="00990D95" w:rsidRPr="00990D95" w:rsidRDefault="00990D95" w:rsidP="00601C7F">
            <w:pPr>
              <w:pStyle w:val="Compact"/>
              <w:jc w:val="center"/>
              <w:rPr>
                <w:rFonts w:asciiTheme="minorHAnsi" w:hAnsiTheme="minorHAnsi" w:cstheme="minorHAnsi"/>
                <w:color w:val="FF0000"/>
                <w:szCs w:val="22"/>
              </w:rPr>
            </w:pPr>
            <w:r w:rsidRPr="00990D95">
              <w:rPr>
                <w:rFonts w:asciiTheme="minorHAnsi" w:hAnsiTheme="minorHAnsi" w:cstheme="minorHAnsi"/>
                <w:color w:val="FF0000"/>
                <w:szCs w:val="22"/>
              </w:rPr>
              <w:t>96.72</w:t>
            </w:r>
          </w:p>
        </w:tc>
      </w:tr>
    </w:tbl>
    <w:p w14:paraId="1CF3F28C" w14:textId="77777777" w:rsidR="00990D95" w:rsidRDefault="00990D95" w:rsidP="00990D95">
      <w:pPr>
        <w:pStyle w:val="BodyText"/>
        <w:ind w:left="363" w:firstLine="0"/>
        <w:rPr>
          <w:iCs/>
          <w:color w:val="FF0000"/>
        </w:rPr>
      </w:pPr>
    </w:p>
    <w:p w14:paraId="4B5C6A00" w14:textId="3E020901" w:rsidR="00990D95" w:rsidRDefault="00990D95" w:rsidP="00990D95">
      <w:pPr>
        <w:pStyle w:val="BodyText"/>
        <w:ind w:left="363" w:firstLine="0"/>
        <w:rPr>
          <w:iCs/>
          <w:color w:val="FF0000"/>
        </w:rPr>
      </w:pPr>
      <w:r w:rsidRPr="0047454B">
        <w:rPr>
          <w:iCs/>
          <w:color w:val="FF0000"/>
        </w:rPr>
        <w:t>Measure Distribution:</w:t>
      </w:r>
    </w:p>
    <w:p w14:paraId="6F204427" w14:textId="43E36F60" w:rsidR="00990D95" w:rsidRDefault="00990D95" w:rsidP="00990D95">
      <w:pPr>
        <w:pStyle w:val="BodyText"/>
        <w:ind w:left="363" w:firstLine="0"/>
        <w:rPr>
          <w:iCs/>
          <w:color w:val="FF0000"/>
        </w:rPr>
      </w:pPr>
    </w:p>
    <w:p w14:paraId="07347C3D" w14:textId="038ED2C8" w:rsidR="00990D95" w:rsidRPr="0047454B" w:rsidRDefault="00990D95" w:rsidP="00990D95">
      <w:pPr>
        <w:pStyle w:val="BodyText"/>
        <w:ind w:left="363" w:firstLine="0"/>
        <w:rPr>
          <w:iCs/>
          <w:color w:val="FF0000"/>
        </w:rPr>
      </w:pPr>
      <w:r>
        <w:rPr>
          <w:noProof/>
        </w:rPr>
        <w:drawing>
          <wp:inline distT="0" distB="0" distL="0" distR="0" wp14:anchorId="1938F2FD" wp14:editId="38CE8D75">
            <wp:extent cx="4746929" cy="2973788"/>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0" name="Picture" descr="Measure_Resubmit_July2019_0384_files/figure-docx/meaningfuldiff2-1.png"/>
                    <pic:cNvPicPr>
                      <a:picLocks noChangeAspect="1" noChangeArrowheads="1"/>
                    </pic:cNvPicPr>
                  </pic:nvPicPr>
                  <pic:blipFill>
                    <a:blip r:embed="rId14"/>
                    <a:stretch>
                      <a:fillRect/>
                    </a:stretch>
                  </pic:blipFill>
                  <pic:spPr bwMode="auto">
                    <a:xfrm>
                      <a:off x="0" y="0"/>
                      <a:ext cx="4759276" cy="2981523"/>
                    </a:xfrm>
                    <a:prstGeom prst="rect">
                      <a:avLst/>
                    </a:prstGeom>
                    <a:noFill/>
                    <a:ln w="9525">
                      <a:noFill/>
                      <a:headEnd/>
                      <a:tailEnd/>
                    </a:ln>
                  </pic:spPr>
                </pic:pic>
              </a:graphicData>
            </a:graphic>
          </wp:inline>
        </w:drawing>
      </w:r>
    </w:p>
    <w:p w14:paraId="45DDD387" w14:textId="77777777" w:rsidR="00990D95" w:rsidRDefault="00990D95" w:rsidP="00990D95">
      <w:pPr>
        <w:ind w:left="579"/>
        <w:rPr>
          <w:rFonts w:cstheme="minorHAnsi"/>
          <w:color w:val="0000FF"/>
          <w:u w:val="single"/>
        </w:rPr>
      </w:pPr>
    </w:p>
    <w:p w14:paraId="5736F298" w14:textId="1F456FC6" w:rsidR="00990D95" w:rsidRDefault="00990D95" w:rsidP="00990D95">
      <w:pPr>
        <w:ind w:left="579"/>
        <w:rPr>
          <w:rFonts w:eastAsia="Calibri" w:cstheme="minorHAnsi"/>
          <w:color w:val="0000FF"/>
          <w:u w:val="single"/>
          <w:lang w:bidi="en-US"/>
        </w:rPr>
      </w:pPr>
      <w:r>
        <w:rPr>
          <w:rFonts w:cstheme="minorHAnsi"/>
          <w:color w:val="0000FF"/>
          <w:u w:val="single"/>
        </w:rPr>
        <w:t>2015 Submission</w:t>
      </w:r>
    </w:p>
    <w:p w14:paraId="72058955" w14:textId="77777777" w:rsidR="00990D95" w:rsidRPr="0087019D" w:rsidRDefault="00990D95" w:rsidP="00990D95">
      <w:pPr>
        <w:pStyle w:val="ListParagraph"/>
        <w:numPr>
          <w:ilvl w:val="0"/>
          <w:numId w:val="39"/>
        </w:numPr>
        <w:spacing w:line="240" w:lineRule="auto"/>
        <w:rPr>
          <w:rFonts w:cstheme="minorHAnsi"/>
        </w:rPr>
      </w:pPr>
      <w:r w:rsidRPr="0087019D">
        <w:rPr>
          <w:rFonts w:cstheme="minorHAnsi"/>
          <w:color w:val="0000FF"/>
        </w:rPr>
        <w:t>PCPI Testing Project</w:t>
      </w:r>
    </w:p>
    <w:p w14:paraId="59727318" w14:textId="77777777" w:rsidR="00990D95" w:rsidRPr="0087019D" w:rsidRDefault="00990D95" w:rsidP="00990D95">
      <w:pPr>
        <w:pStyle w:val="ListParagraph"/>
        <w:numPr>
          <w:ilvl w:val="0"/>
          <w:numId w:val="39"/>
        </w:numPr>
        <w:spacing w:line="240" w:lineRule="auto"/>
        <w:rPr>
          <w:rFonts w:cstheme="minorHAnsi"/>
          <w:color w:val="0000FF"/>
        </w:rPr>
      </w:pPr>
      <w:r w:rsidRPr="0087019D">
        <w:rPr>
          <w:rFonts w:cstheme="minorHAnsi"/>
          <w:color w:val="0000FF"/>
        </w:rPr>
        <w:t>Average Measure performance rate without exceptions: N= 360 Mean = 88.3% Standard Deviation= 0.3215</w:t>
      </w:r>
    </w:p>
    <w:p w14:paraId="16B64B3E" w14:textId="77777777" w:rsidR="00990D95" w:rsidRPr="0087019D" w:rsidRDefault="00990D95" w:rsidP="00990D95">
      <w:pPr>
        <w:pStyle w:val="ListParagraph"/>
        <w:numPr>
          <w:ilvl w:val="0"/>
          <w:numId w:val="39"/>
        </w:numPr>
        <w:spacing w:line="240" w:lineRule="auto"/>
        <w:rPr>
          <w:rFonts w:cstheme="minorHAnsi"/>
          <w:color w:val="0000FF"/>
        </w:rPr>
      </w:pPr>
      <w:r w:rsidRPr="0087019D">
        <w:rPr>
          <w:rFonts w:cstheme="minorHAnsi"/>
          <w:color w:val="0000FF"/>
        </w:rPr>
        <w:t>The performance rate by site is as follows, where n is the number of performance events by site:</w:t>
      </w:r>
    </w:p>
    <w:tbl>
      <w:tblPr>
        <w:tblStyle w:val="TableGrid"/>
        <w:tblW w:w="0" w:type="auto"/>
        <w:tblInd w:w="1327" w:type="dxa"/>
        <w:tblLook w:val="04A0" w:firstRow="1" w:lastRow="0" w:firstColumn="1" w:lastColumn="0" w:noHBand="0" w:noVBand="1"/>
      </w:tblPr>
      <w:tblGrid>
        <w:gridCol w:w="586"/>
        <w:gridCol w:w="900"/>
        <w:gridCol w:w="810"/>
      </w:tblGrid>
      <w:tr w:rsidR="00990D95" w14:paraId="79E86086" w14:textId="77777777" w:rsidTr="00601C7F">
        <w:tc>
          <w:tcPr>
            <w:tcW w:w="586" w:type="dxa"/>
            <w:tcBorders>
              <w:top w:val="single" w:sz="4" w:space="0" w:color="auto"/>
              <w:left w:val="single" w:sz="4" w:space="0" w:color="auto"/>
              <w:bottom w:val="single" w:sz="4" w:space="0" w:color="auto"/>
              <w:right w:val="single" w:sz="4" w:space="0" w:color="auto"/>
            </w:tcBorders>
            <w:hideMark/>
          </w:tcPr>
          <w:p w14:paraId="6A715619" w14:textId="77777777" w:rsidR="00990D95" w:rsidRDefault="00990D95" w:rsidP="00601C7F">
            <w:pPr>
              <w:rPr>
                <w:rFonts w:cstheme="minorHAnsi"/>
                <w:color w:val="0000FF"/>
              </w:rPr>
            </w:pPr>
            <w:r>
              <w:rPr>
                <w:rFonts w:cstheme="minorHAnsi"/>
                <w:color w:val="0000FF"/>
              </w:rPr>
              <w:t xml:space="preserve">A </w:t>
            </w:r>
          </w:p>
        </w:tc>
        <w:tc>
          <w:tcPr>
            <w:tcW w:w="900" w:type="dxa"/>
            <w:tcBorders>
              <w:top w:val="single" w:sz="4" w:space="0" w:color="auto"/>
              <w:left w:val="single" w:sz="4" w:space="0" w:color="auto"/>
              <w:bottom w:val="single" w:sz="4" w:space="0" w:color="auto"/>
              <w:right w:val="single" w:sz="4" w:space="0" w:color="auto"/>
            </w:tcBorders>
            <w:hideMark/>
          </w:tcPr>
          <w:p w14:paraId="1900EF5A" w14:textId="77777777" w:rsidR="00990D95" w:rsidRDefault="00990D95" w:rsidP="00601C7F">
            <w:pPr>
              <w:rPr>
                <w:rFonts w:cstheme="minorHAnsi"/>
                <w:color w:val="0000FF"/>
              </w:rPr>
            </w:pPr>
            <w:r>
              <w:rPr>
                <w:rFonts w:cstheme="minorHAnsi"/>
                <w:color w:val="0000FF"/>
              </w:rPr>
              <w:t>0.8940</w:t>
            </w:r>
          </w:p>
        </w:tc>
        <w:tc>
          <w:tcPr>
            <w:tcW w:w="810" w:type="dxa"/>
            <w:tcBorders>
              <w:top w:val="single" w:sz="4" w:space="0" w:color="auto"/>
              <w:left w:val="single" w:sz="4" w:space="0" w:color="auto"/>
              <w:bottom w:val="single" w:sz="4" w:space="0" w:color="auto"/>
              <w:right w:val="single" w:sz="4" w:space="0" w:color="auto"/>
            </w:tcBorders>
            <w:hideMark/>
          </w:tcPr>
          <w:p w14:paraId="53EB033F" w14:textId="77777777" w:rsidR="00990D95" w:rsidRDefault="00990D95" w:rsidP="00601C7F">
            <w:pPr>
              <w:rPr>
                <w:rFonts w:cstheme="minorHAnsi"/>
                <w:color w:val="0000FF"/>
              </w:rPr>
            </w:pPr>
            <w:r>
              <w:rPr>
                <w:rFonts w:cstheme="minorHAnsi"/>
                <w:color w:val="0000FF"/>
              </w:rPr>
              <w:t>n=94</w:t>
            </w:r>
          </w:p>
        </w:tc>
      </w:tr>
      <w:tr w:rsidR="00990D95" w14:paraId="1D1D4B6E" w14:textId="77777777" w:rsidTr="00601C7F">
        <w:tc>
          <w:tcPr>
            <w:tcW w:w="586" w:type="dxa"/>
            <w:tcBorders>
              <w:top w:val="single" w:sz="4" w:space="0" w:color="auto"/>
              <w:left w:val="single" w:sz="4" w:space="0" w:color="auto"/>
              <w:bottom w:val="single" w:sz="4" w:space="0" w:color="auto"/>
              <w:right w:val="single" w:sz="4" w:space="0" w:color="auto"/>
            </w:tcBorders>
            <w:hideMark/>
          </w:tcPr>
          <w:p w14:paraId="62CBF04F" w14:textId="77777777" w:rsidR="00990D95" w:rsidRDefault="00990D95" w:rsidP="00601C7F">
            <w:pPr>
              <w:rPr>
                <w:rFonts w:cstheme="minorHAnsi"/>
                <w:color w:val="0000FF"/>
              </w:rPr>
            </w:pPr>
            <w:r>
              <w:rPr>
                <w:rFonts w:cstheme="minorHAnsi"/>
                <w:color w:val="0000FF"/>
              </w:rPr>
              <w:t xml:space="preserve">B </w:t>
            </w:r>
          </w:p>
        </w:tc>
        <w:tc>
          <w:tcPr>
            <w:tcW w:w="900" w:type="dxa"/>
            <w:tcBorders>
              <w:top w:val="single" w:sz="4" w:space="0" w:color="auto"/>
              <w:left w:val="single" w:sz="4" w:space="0" w:color="auto"/>
              <w:bottom w:val="single" w:sz="4" w:space="0" w:color="auto"/>
              <w:right w:val="single" w:sz="4" w:space="0" w:color="auto"/>
            </w:tcBorders>
            <w:hideMark/>
          </w:tcPr>
          <w:p w14:paraId="44CEFBD0" w14:textId="77777777" w:rsidR="00990D95" w:rsidRDefault="00990D95" w:rsidP="00601C7F">
            <w:pPr>
              <w:rPr>
                <w:rFonts w:cstheme="minorHAnsi"/>
                <w:color w:val="0000FF"/>
              </w:rPr>
            </w:pPr>
            <w:r>
              <w:rPr>
                <w:rFonts w:cstheme="minorHAnsi"/>
                <w:color w:val="0000FF"/>
              </w:rPr>
              <w:t>0.8870</w:t>
            </w:r>
          </w:p>
        </w:tc>
        <w:tc>
          <w:tcPr>
            <w:tcW w:w="810" w:type="dxa"/>
            <w:tcBorders>
              <w:top w:val="single" w:sz="4" w:space="0" w:color="auto"/>
              <w:left w:val="single" w:sz="4" w:space="0" w:color="auto"/>
              <w:bottom w:val="single" w:sz="4" w:space="0" w:color="auto"/>
              <w:right w:val="single" w:sz="4" w:space="0" w:color="auto"/>
            </w:tcBorders>
            <w:hideMark/>
          </w:tcPr>
          <w:p w14:paraId="539F30BB" w14:textId="77777777" w:rsidR="00990D95" w:rsidRDefault="00990D95" w:rsidP="00601C7F">
            <w:pPr>
              <w:rPr>
                <w:rFonts w:cstheme="minorHAnsi"/>
                <w:color w:val="0000FF"/>
              </w:rPr>
            </w:pPr>
            <w:r>
              <w:rPr>
                <w:rFonts w:cstheme="minorHAnsi"/>
                <w:color w:val="0000FF"/>
              </w:rPr>
              <w:t>n=62</w:t>
            </w:r>
          </w:p>
        </w:tc>
      </w:tr>
      <w:tr w:rsidR="00990D95" w14:paraId="1BAA4DF2" w14:textId="77777777" w:rsidTr="00601C7F">
        <w:tc>
          <w:tcPr>
            <w:tcW w:w="586" w:type="dxa"/>
            <w:tcBorders>
              <w:top w:val="single" w:sz="4" w:space="0" w:color="auto"/>
              <w:left w:val="single" w:sz="4" w:space="0" w:color="auto"/>
              <w:bottom w:val="single" w:sz="4" w:space="0" w:color="auto"/>
              <w:right w:val="single" w:sz="4" w:space="0" w:color="auto"/>
            </w:tcBorders>
            <w:hideMark/>
          </w:tcPr>
          <w:p w14:paraId="07E3781B" w14:textId="77777777" w:rsidR="00990D95" w:rsidRDefault="00990D95" w:rsidP="00601C7F">
            <w:pPr>
              <w:rPr>
                <w:rFonts w:cstheme="minorHAnsi"/>
                <w:color w:val="0000FF"/>
              </w:rPr>
            </w:pPr>
            <w:r>
              <w:rPr>
                <w:rFonts w:cstheme="minorHAnsi"/>
                <w:color w:val="0000FF"/>
              </w:rPr>
              <w:t>C</w:t>
            </w:r>
          </w:p>
        </w:tc>
        <w:tc>
          <w:tcPr>
            <w:tcW w:w="900" w:type="dxa"/>
            <w:tcBorders>
              <w:top w:val="single" w:sz="4" w:space="0" w:color="auto"/>
              <w:left w:val="single" w:sz="4" w:space="0" w:color="auto"/>
              <w:bottom w:val="single" w:sz="4" w:space="0" w:color="auto"/>
              <w:right w:val="single" w:sz="4" w:space="0" w:color="auto"/>
            </w:tcBorders>
            <w:hideMark/>
          </w:tcPr>
          <w:p w14:paraId="3C835FAD" w14:textId="77777777" w:rsidR="00990D95" w:rsidRDefault="00990D95" w:rsidP="00601C7F">
            <w:pPr>
              <w:rPr>
                <w:rFonts w:cstheme="minorHAnsi"/>
                <w:color w:val="0000FF"/>
              </w:rPr>
            </w:pPr>
            <w:r>
              <w:rPr>
                <w:rFonts w:cstheme="minorHAnsi"/>
                <w:color w:val="0000FF"/>
              </w:rPr>
              <w:t>0.8450</w:t>
            </w:r>
          </w:p>
        </w:tc>
        <w:tc>
          <w:tcPr>
            <w:tcW w:w="810" w:type="dxa"/>
            <w:tcBorders>
              <w:top w:val="single" w:sz="4" w:space="0" w:color="auto"/>
              <w:left w:val="single" w:sz="4" w:space="0" w:color="auto"/>
              <w:bottom w:val="single" w:sz="4" w:space="0" w:color="auto"/>
              <w:right w:val="single" w:sz="4" w:space="0" w:color="auto"/>
            </w:tcBorders>
            <w:hideMark/>
          </w:tcPr>
          <w:p w14:paraId="16FA4EB6" w14:textId="77777777" w:rsidR="00990D95" w:rsidRDefault="00990D95" w:rsidP="00601C7F">
            <w:pPr>
              <w:rPr>
                <w:rFonts w:cstheme="minorHAnsi"/>
                <w:color w:val="0000FF"/>
              </w:rPr>
            </w:pPr>
            <w:r>
              <w:rPr>
                <w:rFonts w:cstheme="minorHAnsi"/>
                <w:color w:val="0000FF"/>
              </w:rPr>
              <w:t>n=71</w:t>
            </w:r>
          </w:p>
        </w:tc>
      </w:tr>
      <w:tr w:rsidR="00990D95" w14:paraId="2995CF8C" w14:textId="77777777" w:rsidTr="00601C7F">
        <w:tc>
          <w:tcPr>
            <w:tcW w:w="586" w:type="dxa"/>
            <w:tcBorders>
              <w:top w:val="single" w:sz="4" w:space="0" w:color="auto"/>
              <w:left w:val="single" w:sz="4" w:space="0" w:color="auto"/>
              <w:bottom w:val="single" w:sz="4" w:space="0" w:color="auto"/>
              <w:right w:val="single" w:sz="4" w:space="0" w:color="auto"/>
            </w:tcBorders>
            <w:hideMark/>
          </w:tcPr>
          <w:p w14:paraId="6F7D0EBC" w14:textId="77777777" w:rsidR="00990D95" w:rsidRDefault="00990D95" w:rsidP="00601C7F">
            <w:pPr>
              <w:rPr>
                <w:rFonts w:cstheme="minorHAnsi"/>
                <w:color w:val="0000FF"/>
              </w:rPr>
            </w:pPr>
            <w:r>
              <w:rPr>
                <w:rFonts w:cstheme="minorHAnsi"/>
                <w:color w:val="0000FF"/>
              </w:rPr>
              <w:t xml:space="preserve">D </w:t>
            </w:r>
          </w:p>
        </w:tc>
        <w:tc>
          <w:tcPr>
            <w:tcW w:w="900" w:type="dxa"/>
            <w:tcBorders>
              <w:top w:val="single" w:sz="4" w:space="0" w:color="auto"/>
              <w:left w:val="single" w:sz="4" w:space="0" w:color="auto"/>
              <w:bottom w:val="single" w:sz="4" w:space="0" w:color="auto"/>
              <w:right w:val="single" w:sz="4" w:space="0" w:color="auto"/>
            </w:tcBorders>
            <w:hideMark/>
          </w:tcPr>
          <w:p w14:paraId="2BAB29A0" w14:textId="77777777" w:rsidR="00990D95" w:rsidRDefault="00990D95" w:rsidP="00601C7F">
            <w:pPr>
              <w:rPr>
                <w:rFonts w:cstheme="minorHAnsi"/>
                <w:color w:val="0000FF"/>
              </w:rPr>
            </w:pPr>
            <w:r>
              <w:rPr>
                <w:rFonts w:cstheme="minorHAnsi"/>
                <w:color w:val="0000FF"/>
              </w:rPr>
              <w:t>0.8540</w:t>
            </w:r>
          </w:p>
        </w:tc>
        <w:tc>
          <w:tcPr>
            <w:tcW w:w="810" w:type="dxa"/>
            <w:tcBorders>
              <w:top w:val="single" w:sz="4" w:space="0" w:color="auto"/>
              <w:left w:val="single" w:sz="4" w:space="0" w:color="auto"/>
              <w:bottom w:val="single" w:sz="4" w:space="0" w:color="auto"/>
              <w:right w:val="single" w:sz="4" w:space="0" w:color="auto"/>
            </w:tcBorders>
            <w:hideMark/>
          </w:tcPr>
          <w:p w14:paraId="6068A52E" w14:textId="77777777" w:rsidR="00990D95" w:rsidRDefault="00990D95" w:rsidP="00601C7F">
            <w:pPr>
              <w:rPr>
                <w:rFonts w:cstheme="minorHAnsi"/>
                <w:color w:val="0000FF"/>
              </w:rPr>
            </w:pPr>
            <w:r>
              <w:rPr>
                <w:rFonts w:cstheme="minorHAnsi"/>
                <w:color w:val="0000FF"/>
              </w:rPr>
              <w:t>n=89</w:t>
            </w:r>
          </w:p>
        </w:tc>
      </w:tr>
      <w:tr w:rsidR="00990D95" w14:paraId="4B91965F" w14:textId="77777777" w:rsidTr="00601C7F">
        <w:tc>
          <w:tcPr>
            <w:tcW w:w="586" w:type="dxa"/>
            <w:tcBorders>
              <w:top w:val="single" w:sz="4" w:space="0" w:color="auto"/>
              <w:left w:val="single" w:sz="4" w:space="0" w:color="auto"/>
              <w:bottom w:val="single" w:sz="4" w:space="0" w:color="auto"/>
              <w:right w:val="single" w:sz="4" w:space="0" w:color="auto"/>
            </w:tcBorders>
            <w:hideMark/>
          </w:tcPr>
          <w:p w14:paraId="7347EEAB" w14:textId="77777777" w:rsidR="00990D95" w:rsidRDefault="00990D95" w:rsidP="00601C7F">
            <w:pPr>
              <w:rPr>
                <w:rFonts w:cstheme="minorHAnsi"/>
                <w:color w:val="0000FF"/>
              </w:rPr>
            </w:pPr>
            <w:r>
              <w:rPr>
                <w:rFonts w:cstheme="minorHAnsi"/>
                <w:color w:val="0000FF"/>
              </w:rPr>
              <w:t xml:space="preserve">E </w:t>
            </w:r>
          </w:p>
        </w:tc>
        <w:tc>
          <w:tcPr>
            <w:tcW w:w="900" w:type="dxa"/>
            <w:tcBorders>
              <w:top w:val="single" w:sz="4" w:space="0" w:color="auto"/>
              <w:left w:val="single" w:sz="4" w:space="0" w:color="auto"/>
              <w:bottom w:val="single" w:sz="4" w:space="0" w:color="auto"/>
              <w:right w:val="single" w:sz="4" w:space="0" w:color="auto"/>
            </w:tcBorders>
            <w:hideMark/>
          </w:tcPr>
          <w:p w14:paraId="299C1AE5" w14:textId="77777777" w:rsidR="00990D95" w:rsidRDefault="00990D95" w:rsidP="00601C7F">
            <w:pPr>
              <w:rPr>
                <w:rFonts w:cstheme="minorHAnsi"/>
                <w:color w:val="0000FF"/>
              </w:rPr>
            </w:pPr>
            <w:r>
              <w:rPr>
                <w:rFonts w:cstheme="minorHAnsi"/>
                <w:color w:val="0000FF"/>
              </w:rPr>
              <w:t>0.9770</w:t>
            </w:r>
          </w:p>
        </w:tc>
        <w:tc>
          <w:tcPr>
            <w:tcW w:w="810" w:type="dxa"/>
            <w:tcBorders>
              <w:top w:val="single" w:sz="4" w:space="0" w:color="auto"/>
              <w:left w:val="single" w:sz="4" w:space="0" w:color="auto"/>
              <w:bottom w:val="single" w:sz="4" w:space="0" w:color="auto"/>
              <w:right w:val="single" w:sz="4" w:space="0" w:color="auto"/>
            </w:tcBorders>
            <w:hideMark/>
          </w:tcPr>
          <w:p w14:paraId="64C097EF" w14:textId="77777777" w:rsidR="00990D95" w:rsidRDefault="00990D95" w:rsidP="00601C7F">
            <w:pPr>
              <w:rPr>
                <w:rFonts w:cstheme="minorHAnsi"/>
                <w:color w:val="0000FF"/>
              </w:rPr>
            </w:pPr>
            <w:r>
              <w:rPr>
                <w:rFonts w:cstheme="minorHAnsi"/>
                <w:color w:val="0000FF"/>
              </w:rPr>
              <w:t>n=44</w:t>
            </w:r>
          </w:p>
        </w:tc>
      </w:tr>
    </w:tbl>
    <w:p w14:paraId="2B429F97" w14:textId="77777777" w:rsidR="00990D95" w:rsidRDefault="00990D95" w:rsidP="00990D95">
      <w:pPr>
        <w:autoSpaceDE w:val="0"/>
        <w:autoSpaceDN w:val="0"/>
        <w:adjustRightInd w:val="0"/>
        <w:spacing w:after="0"/>
        <w:rPr>
          <w:rFonts w:cstheme="minorHAnsi"/>
          <w:bCs/>
        </w:rPr>
      </w:pPr>
    </w:p>
    <w:p w14:paraId="04A75E34" w14:textId="77777777" w:rsidR="00990D95" w:rsidRDefault="00990D95" w:rsidP="00D61410">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7080B290"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3B7AC99A" w14:textId="77777777" w:rsidR="00990D95" w:rsidRPr="004C04BA" w:rsidRDefault="00990D95" w:rsidP="00990D95">
      <w:pPr>
        <w:adjustRightInd w:val="0"/>
        <w:ind w:left="579"/>
        <w:rPr>
          <w:rFonts w:cstheme="minorHAnsi"/>
          <w:color w:val="FF0000"/>
          <w:szCs w:val="20"/>
          <w:u w:val="single"/>
        </w:rPr>
      </w:pPr>
      <w:r w:rsidRPr="004C04BA">
        <w:rPr>
          <w:rFonts w:cstheme="minorHAnsi"/>
          <w:color w:val="FF0000"/>
          <w:szCs w:val="20"/>
          <w:u w:val="single"/>
        </w:rPr>
        <w:t>2019 Submission</w:t>
      </w:r>
    </w:p>
    <w:p w14:paraId="49063D2D" w14:textId="77777777" w:rsidR="00990D95" w:rsidRDefault="00990D95" w:rsidP="00962141">
      <w:pPr>
        <w:pStyle w:val="BodyText"/>
        <w:ind w:left="540" w:firstLine="0"/>
        <w:rPr>
          <w:color w:val="FF0000"/>
        </w:rPr>
      </w:pPr>
      <w:r w:rsidRPr="0047454B">
        <w:rPr>
          <w:color w:val="FF0000"/>
        </w:rPr>
        <w:lastRenderedPageBreak/>
        <w:t>Interpretation: Although a lot perform at 100%, more than half do not, and performance spans</w:t>
      </w:r>
    </w:p>
    <w:p w14:paraId="29693130" w14:textId="3184A6F8" w:rsidR="00990D95" w:rsidRPr="0047454B" w:rsidRDefault="00990D95" w:rsidP="00962141">
      <w:pPr>
        <w:pStyle w:val="BodyText"/>
        <w:ind w:left="540" w:firstLine="0"/>
        <w:rPr>
          <w:color w:val="FF0000"/>
        </w:rPr>
      </w:pPr>
      <w:r w:rsidRPr="0047454B">
        <w:rPr>
          <w:color w:val="FF0000"/>
        </w:rPr>
        <w:t>the entire distance from 0% to 100%. Mean performance is 78.6% (95% confidence interval of 75% to 82%): that leaves plenty of room for improvement, and most fall outside of the 95% confidence interval, suggesting statistically significant differences between facilities.</w:t>
      </w:r>
    </w:p>
    <w:p w14:paraId="4390CEC3" w14:textId="77777777" w:rsidR="00990D95" w:rsidRPr="009B59F6" w:rsidRDefault="00990D95" w:rsidP="00990D95">
      <w:pPr>
        <w:ind w:left="363"/>
        <w:rPr>
          <w:color w:val="C00000"/>
          <w:szCs w:val="20"/>
        </w:rPr>
      </w:pPr>
    </w:p>
    <w:p w14:paraId="2558DDE4" w14:textId="77777777" w:rsidR="00990D95" w:rsidRDefault="00990D95" w:rsidP="00990D95">
      <w:pPr>
        <w:ind w:left="579" w:right="847"/>
        <w:rPr>
          <w:rFonts w:eastAsia="Calibri" w:cstheme="minorHAnsi"/>
          <w:color w:val="0000FF"/>
          <w:u w:val="single"/>
          <w:lang w:bidi="en-US"/>
        </w:rPr>
      </w:pPr>
      <w:r>
        <w:rPr>
          <w:rFonts w:cstheme="minorHAnsi"/>
          <w:color w:val="0000FF"/>
          <w:u w:val="single"/>
        </w:rPr>
        <w:t>2015 Submission</w:t>
      </w:r>
    </w:p>
    <w:p w14:paraId="5D453F81" w14:textId="77777777" w:rsidR="00990D95" w:rsidRDefault="00990D95" w:rsidP="00990D95">
      <w:pPr>
        <w:ind w:left="579" w:right="758"/>
        <w:rPr>
          <w:rFonts w:cstheme="minorHAnsi"/>
          <w:color w:val="0000FF"/>
        </w:rPr>
      </w:pPr>
      <w:r>
        <w:rPr>
          <w:rFonts w:cstheme="minorHAnsi"/>
          <w:color w:val="0000FF"/>
        </w:rPr>
        <w:t>The performance rate range is .1320. Although this study captured performance on 360 events, the data were not captured at the physician level, restricting reporting of variation in performance to the organization level only. Additionally, we are unable to present a meaningful calculation of variation in performance across organizations due to the small sample size of sites (n=5) in this study.</w:t>
      </w:r>
    </w:p>
    <w:p w14:paraId="144F263E" w14:textId="77777777" w:rsidR="00990D95" w:rsidRPr="00A25024" w:rsidRDefault="00990D95"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0C9FD55C"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47BA4DCD" w14:textId="77777777" w:rsidR="00990D95"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xml:space="preserve">) and how the specified handling of </w:t>
      </w:r>
      <w:r w:rsidR="00771B2A" w:rsidRPr="006A028C">
        <w:rPr>
          <w:rFonts w:ascii="Calibri" w:eastAsia="Calibri" w:hAnsi="Calibri" w:cs="Calibri"/>
        </w:rPr>
        <w:lastRenderedPageBreak/>
        <w:t>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51478B50" w14:textId="77777777" w:rsidR="00990D95" w:rsidRPr="004C04BA" w:rsidRDefault="00990D95" w:rsidP="00990D95">
      <w:pPr>
        <w:adjustRightInd w:val="0"/>
        <w:ind w:left="579"/>
        <w:rPr>
          <w:color w:val="FF0000"/>
          <w:szCs w:val="20"/>
          <w:u w:val="single"/>
        </w:rPr>
      </w:pPr>
      <w:r w:rsidRPr="004C04BA">
        <w:rPr>
          <w:color w:val="FF0000"/>
          <w:szCs w:val="20"/>
          <w:u w:val="single"/>
        </w:rPr>
        <w:t>2019 Submission</w:t>
      </w:r>
    </w:p>
    <w:p w14:paraId="39FB30A7" w14:textId="77777777" w:rsidR="00962141" w:rsidRPr="00962141" w:rsidRDefault="00990D95" w:rsidP="00962141">
      <w:pPr>
        <w:adjustRightInd w:val="0"/>
        <w:ind w:left="579"/>
        <w:rPr>
          <w:rFonts w:ascii="Calibri" w:eastAsia="Calibri" w:hAnsi="Calibri" w:cstheme="minorHAnsi"/>
          <w:bCs/>
          <w:color w:val="FF0000"/>
          <w:lang w:bidi="en-US"/>
        </w:rPr>
      </w:pPr>
      <w:bookmarkStart w:id="21" w:name="_Hlk13825339"/>
      <w:bookmarkStart w:id="22" w:name="_Hlk519777494"/>
      <w:r w:rsidRPr="00962141">
        <w:rPr>
          <w:rFonts w:cstheme="minorHAnsi"/>
          <w:bCs/>
          <w:color w:val="FF0000"/>
        </w:rPr>
        <w:t xml:space="preserve">The PQRS/MIPS dataset provided to us by CMS did not contain missing </w:t>
      </w:r>
      <w:proofErr w:type="gramStart"/>
      <w:r w:rsidRPr="00962141">
        <w:rPr>
          <w:rFonts w:cstheme="minorHAnsi"/>
          <w:bCs/>
          <w:color w:val="FF0000"/>
        </w:rPr>
        <w:t>data</w:t>
      </w:r>
      <w:proofErr w:type="gramEnd"/>
      <w:r w:rsidRPr="00962141">
        <w:rPr>
          <w:rFonts w:cstheme="minorHAnsi"/>
          <w:bCs/>
          <w:color w:val="FF0000"/>
        </w:rPr>
        <w:t xml:space="preserve"> so this test was not performed. </w:t>
      </w:r>
      <w:bookmarkEnd w:id="21"/>
      <w:bookmarkEnd w:id="22"/>
      <w:r w:rsidR="00962141" w:rsidRPr="00962141">
        <w:rPr>
          <w:rFonts w:ascii="Calibri" w:eastAsia="Calibri" w:hAnsi="Calibri" w:cstheme="minorHAnsi"/>
          <w:bCs/>
          <w:color w:val="FF0000"/>
          <w:lang w:bidi="en-US"/>
        </w:rPr>
        <w:t>Due to data completeness requirements, we suspect that missing data would have been rejected when submitted to CMS, in which case those values would not be counted towards measure performance.  While data that may have been missing prior to submission to CMS is unknown and therefore precluded any analysis, there is no indication that this missing data was systematic, thus their omission would lead to unbiased performance results.</w:t>
      </w:r>
    </w:p>
    <w:p w14:paraId="798AFEAF" w14:textId="7B77B22C" w:rsidR="00990D95" w:rsidRDefault="00990D95" w:rsidP="00962141">
      <w:pPr>
        <w:adjustRightInd w:val="0"/>
        <w:ind w:left="579"/>
        <w:rPr>
          <w:color w:val="0000FF"/>
          <w:u w:val="single"/>
        </w:rPr>
      </w:pPr>
      <w:r>
        <w:rPr>
          <w:color w:val="0000FF"/>
          <w:u w:val="single"/>
        </w:rPr>
        <w:t>2015 Submission</w:t>
      </w:r>
    </w:p>
    <w:p w14:paraId="64597429" w14:textId="77777777" w:rsidR="00990D95" w:rsidRDefault="00990D95" w:rsidP="00990D95">
      <w:pPr>
        <w:adjustRightInd w:val="0"/>
        <w:ind w:left="579"/>
        <w:rPr>
          <w:color w:val="0000FF"/>
        </w:rPr>
      </w:pPr>
      <w:r>
        <w:rPr>
          <w:color w:val="0000FF"/>
        </w:rPr>
        <w:t>There are no missing data to report on this measure</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5CB3B481"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003DF752" w14:textId="77777777" w:rsidR="00990D95" w:rsidRDefault="00990D95" w:rsidP="00990D95">
      <w:pPr>
        <w:autoSpaceDE w:val="0"/>
        <w:autoSpaceDN w:val="0"/>
        <w:adjustRightInd w:val="0"/>
        <w:spacing w:after="0"/>
        <w:ind w:left="294"/>
        <w:rPr>
          <w:color w:val="FF0000"/>
          <w:u w:val="single"/>
        </w:rPr>
      </w:pPr>
      <w:bookmarkStart w:id="23" w:name="_Hlk13825385"/>
      <w:r>
        <w:rPr>
          <w:color w:val="FF0000"/>
          <w:u w:val="single"/>
        </w:rPr>
        <w:t>2019 Submission</w:t>
      </w:r>
    </w:p>
    <w:p w14:paraId="6445C30D" w14:textId="77777777" w:rsidR="00990D95" w:rsidRDefault="00990D95" w:rsidP="00990D95">
      <w:pPr>
        <w:pStyle w:val="BodyText"/>
        <w:spacing w:before="1"/>
        <w:ind w:left="510"/>
        <w:rPr>
          <w:rFonts w:asciiTheme="minorHAnsi" w:hAnsiTheme="minorHAnsi" w:cs="Times New Roman"/>
          <w:color w:val="FF0000"/>
          <w:szCs w:val="20"/>
        </w:rPr>
      </w:pPr>
      <w:r>
        <w:rPr>
          <w:rFonts w:asciiTheme="minorHAnsi" w:hAnsiTheme="minorHAnsi" w:cs="Times New Roman"/>
          <w:color w:val="FF0000"/>
          <w:szCs w:val="20"/>
        </w:rPr>
        <w:t>This test was not performed for this measure as there was no missing data.</w:t>
      </w:r>
    </w:p>
    <w:p w14:paraId="6358C7C0" w14:textId="77777777" w:rsidR="00990D95" w:rsidRDefault="00990D95" w:rsidP="00990D95">
      <w:pPr>
        <w:pStyle w:val="BodyText"/>
        <w:spacing w:before="1"/>
        <w:ind w:left="579"/>
        <w:rPr>
          <w:rFonts w:asciiTheme="minorHAnsi" w:hAnsiTheme="minorHAnsi" w:cs="Times New Roman"/>
          <w:color w:val="FF0000"/>
          <w:szCs w:val="20"/>
        </w:rPr>
      </w:pPr>
    </w:p>
    <w:bookmarkEnd w:id="23"/>
    <w:p w14:paraId="5FF40CE8" w14:textId="77777777" w:rsidR="00990D95" w:rsidRDefault="00990D95" w:rsidP="00990D95">
      <w:pPr>
        <w:pStyle w:val="BodyText"/>
        <w:ind w:left="432"/>
        <w:rPr>
          <w:color w:val="0000FF"/>
          <w:u w:val="single"/>
        </w:rPr>
      </w:pPr>
      <w:r>
        <w:rPr>
          <w:color w:val="0000FF"/>
          <w:u w:val="single"/>
        </w:rPr>
        <w:t>2015 Submission</w:t>
      </w:r>
    </w:p>
    <w:p w14:paraId="309FF94C" w14:textId="77777777" w:rsidR="00990D95" w:rsidRDefault="00990D95" w:rsidP="00990D95">
      <w:pPr>
        <w:pStyle w:val="BodyText"/>
        <w:ind w:left="432"/>
        <w:rPr>
          <w:color w:val="0000FF"/>
        </w:rPr>
      </w:pPr>
      <w:r>
        <w:rPr>
          <w:color w:val="0000FF"/>
        </w:rPr>
        <w:t>Not Applicable</w:t>
      </w:r>
    </w:p>
    <w:p w14:paraId="7520A3EF" w14:textId="77777777" w:rsidR="00990D95" w:rsidRDefault="00990D95" w:rsidP="008F7E67">
      <w:pPr>
        <w:autoSpaceDE w:val="0"/>
        <w:autoSpaceDN w:val="0"/>
        <w:adjustRightInd w:val="0"/>
        <w:spacing w:after="0" w:line="240" w:lineRule="auto"/>
        <w:rPr>
          <w:rFonts w:cstheme="minorHAnsi"/>
          <w:bCs/>
        </w:rPr>
      </w:pP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5948404F" w:rsidR="00BA053B" w:rsidRDefault="00BA053B">
      <w:pPr>
        <w:autoSpaceDE w:val="0"/>
        <w:autoSpaceDN w:val="0"/>
        <w:adjustRightInd w:val="0"/>
        <w:spacing w:after="0" w:line="240" w:lineRule="auto"/>
        <w:rPr>
          <w:rFonts w:cstheme="minorHAnsi"/>
          <w:bCs/>
        </w:rPr>
      </w:pPr>
    </w:p>
    <w:p w14:paraId="2DF29709" w14:textId="77777777" w:rsidR="00962141" w:rsidRDefault="00962141" w:rsidP="00962141">
      <w:pPr>
        <w:autoSpaceDE w:val="0"/>
        <w:autoSpaceDN w:val="0"/>
        <w:adjustRightInd w:val="0"/>
        <w:spacing w:after="0"/>
        <w:ind w:left="216"/>
        <w:rPr>
          <w:color w:val="FF0000"/>
          <w:u w:val="single"/>
        </w:rPr>
      </w:pPr>
      <w:r>
        <w:rPr>
          <w:color w:val="FF0000"/>
          <w:u w:val="single"/>
        </w:rPr>
        <w:t>2019 Submission</w:t>
      </w:r>
    </w:p>
    <w:p w14:paraId="4E98F5E8" w14:textId="77777777" w:rsidR="00962141" w:rsidRDefault="00962141" w:rsidP="00962141">
      <w:pPr>
        <w:pStyle w:val="BodyText"/>
        <w:spacing w:before="1"/>
        <w:ind w:left="432"/>
        <w:rPr>
          <w:rFonts w:asciiTheme="minorHAnsi" w:hAnsiTheme="minorHAnsi" w:cs="Times New Roman"/>
          <w:color w:val="FF0000"/>
          <w:szCs w:val="20"/>
        </w:rPr>
      </w:pPr>
      <w:r>
        <w:rPr>
          <w:rFonts w:asciiTheme="minorHAnsi" w:hAnsiTheme="minorHAnsi" w:cs="Times New Roman"/>
          <w:color w:val="FF0000"/>
          <w:szCs w:val="20"/>
        </w:rPr>
        <w:t>This test was not performed for this measure as there was no missing data.</w:t>
      </w:r>
    </w:p>
    <w:p w14:paraId="43D804FE" w14:textId="77777777" w:rsidR="00990D95" w:rsidRPr="005560E7" w:rsidRDefault="00990D95">
      <w:pPr>
        <w:autoSpaceDE w:val="0"/>
        <w:autoSpaceDN w:val="0"/>
        <w:adjustRightInd w:val="0"/>
        <w:spacing w:after="0" w:line="240" w:lineRule="auto"/>
        <w:rPr>
          <w:rFonts w:cstheme="minorHAnsi"/>
          <w:bCs/>
        </w:rPr>
      </w:pPr>
    </w:p>
    <w:sectPr w:rsidR="00990D95" w:rsidRPr="005560E7"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BD023" w14:textId="77777777" w:rsidR="004206A8" w:rsidRDefault="004206A8" w:rsidP="005C73CA">
      <w:pPr>
        <w:spacing w:after="0" w:line="240" w:lineRule="auto"/>
      </w:pPr>
      <w:r>
        <w:separator/>
      </w:r>
    </w:p>
  </w:endnote>
  <w:endnote w:type="continuationSeparator" w:id="0">
    <w:p w14:paraId="0CABD024" w14:textId="77777777" w:rsidR="004206A8" w:rsidRDefault="004206A8"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7C0BE216"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F7389E">
      <w:rPr>
        <w:noProof/>
      </w:rPr>
      <w:t>2</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BD021" w14:textId="77777777" w:rsidR="004206A8" w:rsidRDefault="004206A8" w:rsidP="005C73CA">
      <w:pPr>
        <w:spacing w:after="0" w:line="240" w:lineRule="auto"/>
      </w:pPr>
      <w:r>
        <w:separator/>
      </w:r>
    </w:p>
  </w:footnote>
  <w:footnote w:type="continuationSeparator" w:id="0">
    <w:p w14:paraId="0CABD022" w14:textId="77777777" w:rsidR="004206A8" w:rsidRDefault="004206A8"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C719D8"/>
    <w:multiLevelType w:val="hybridMultilevel"/>
    <w:tmpl w:val="4FF83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F919A1"/>
    <w:multiLevelType w:val="hybridMultilevel"/>
    <w:tmpl w:val="BAC6ECE2"/>
    <w:lvl w:ilvl="0" w:tplc="575CFC64">
      <w:start w:val="360"/>
      <w:numFmt w:val="decimal"/>
      <w:lvlText w:val="%1"/>
      <w:lvlJc w:val="left"/>
      <w:pPr>
        <w:ind w:left="1219" w:hanging="360"/>
      </w:pPr>
      <w:rPr>
        <w:rFonts w:asciiTheme="minorHAnsi" w:hAnsiTheme="minorHAnsi" w:cstheme="minorHAnsi" w:hint="default"/>
        <w:color w:val="0000FF"/>
        <w:sz w:val="22"/>
      </w:rPr>
    </w:lvl>
    <w:lvl w:ilvl="1" w:tplc="04090019">
      <w:start w:val="1"/>
      <w:numFmt w:val="lowerLetter"/>
      <w:lvlText w:val="%2."/>
      <w:lvlJc w:val="left"/>
      <w:pPr>
        <w:ind w:left="1939" w:hanging="360"/>
      </w:pPr>
    </w:lvl>
    <w:lvl w:ilvl="2" w:tplc="0409001B">
      <w:start w:val="1"/>
      <w:numFmt w:val="lowerRoman"/>
      <w:lvlText w:val="%3."/>
      <w:lvlJc w:val="right"/>
      <w:pPr>
        <w:ind w:left="2659" w:hanging="180"/>
      </w:pPr>
    </w:lvl>
    <w:lvl w:ilvl="3" w:tplc="0409000F">
      <w:start w:val="1"/>
      <w:numFmt w:val="decimal"/>
      <w:lvlText w:val="%4."/>
      <w:lvlJc w:val="left"/>
      <w:pPr>
        <w:ind w:left="3379" w:hanging="360"/>
      </w:pPr>
    </w:lvl>
    <w:lvl w:ilvl="4" w:tplc="04090019">
      <w:start w:val="1"/>
      <w:numFmt w:val="lowerLetter"/>
      <w:lvlText w:val="%5."/>
      <w:lvlJc w:val="left"/>
      <w:pPr>
        <w:ind w:left="4099" w:hanging="360"/>
      </w:pPr>
    </w:lvl>
    <w:lvl w:ilvl="5" w:tplc="0409001B">
      <w:start w:val="1"/>
      <w:numFmt w:val="lowerRoman"/>
      <w:lvlText w:val="%6."/>
      <w:lvlJc w:val="right"/>
      <w:pPr>
        <w:ind w:left="4819" w:hanging="180"/>
      </w:pPr>
    </w:lvl>
    <w:lvl w:ilvl="6" w:tplc="0409000F">
      <w:start w:val="1"/>
      <w:numFmt w:val="decimal"/>
      <w:lvlText w:val="%7."/>
      <w:lvlJc w:val="left"/>
      <w:pPr>
        <w:ind w:left="5539" w:hanging="360"/>
      </w:pPr>
    </w:lvl>
    <w:lvl w:ilvl="7" w:tplc="04090019">
      <w:start w:val="1"/>
      <w:numFmt w:val="lowerLetter"/>
      <w:lvlText w:val="%8."/>
      <w:lvlJc w:val="left"/>
      <w:pPr>
        <w:ind w:left="6259" w:hanging="360"/>
      </w:pPr>
    </w:lvl>
    <w:lvl w:ilvl="8" w:tplc="0409001B">
      <w:start w:val="1"/>
      <w:numFmt w:val="lowerRoman"/>
      <w:lvlText w:val="%9."/>
      <w:lvlJc w:val="right"/>
      <w:pPr>
        <w:ind w:left="6979"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6902CE"/>
    <w:multiLevelType w:val="hybridMultilevel"/>
    <w:tmpl w:val="76BA4AD0"/>
    <w:lvl w:ilvl="0" w:tplc="036C8FBE">
      <w:numFmt w:val="bullet"/>
      <w:lvlText w:val=""/>
      <w:lvlJc w:val="left"/>
      <w:pPr>
        <w:ind w:left="803" w:hanging="217"/>
      </w:pPr>
      <w:rPr>
        <w:rFonts w:ascii="Symbol" w:eastAsia="Symbol" w:hAnsi="Symbol" w:cs="Symbol" w:hint="default"/>
        <w:w w:val="100"/>
        <w:sz w:val="22"/>
        <w:szCs w:val="22"/>
        <w:lang w:val="en-US" w:eastAsia="en-US" w:bidi="en-US"/>
      </w:rPr>
    </w:lvl>
    <w:lvl w:ilvl="1" w:tplc="04090003">
      <w:start w:val="1"/>
      <w:numFmt w:val="bullet"/>
      <w:lvlText w:val="o"/>
      <w:lvlJc w:val="left"/>
      <w:pPr>
        <w:ind w:left="2019" w:hanging="360"/>
      </w:pPr>
      <w:rPr>
        <w:rFonts w:ascii="Courier New" w:hAnsi="Courier New" w:cs="Courier New" w:hint="default"/>
      </w:rPr>
    </w:lvl>
    <w:lvl w:ilvl="2" w:tplc="04090005" w:tentative="1">
      <w:start w:val="1"/>
      <w:numFmt w:val="bullet"/>
      <w:lvlText w:val=""/>
      <w:lvlJc w:val="left"/>
      <w:pPr>
        <w:ind w:left="2739" w:hanging="360"/>
      </w:pPr>
      <w:rPr>
        <w:rFonts w:ascii="Wingdings" w:hAnsi="Wingdings" w:hint="default"/>
      </w:rPr>
    </w:lvl>
    <w:lvl w:ilvl="3" w:tplc="04090001" w:tentative="1">
      <w:start w:val="1"/>
      <w:numFmt w:val="bullet"/>
      <w:lvlText w:val=""/>
      <w:lvlJc w:val="left"/>
      <w:pPr>
        <w:ind w:left="3459" w:hanging="360"/>
      </w:pPr>
      <w:rPr>
        <w:rFonts w:ascii="Symbol" w:hAnsi="Symbol" w:hint="default"/>
      </w:rPr>
    </w:lvl>
    <w:lvl w:ilvl="4" w:tplc="04090003" w:tentative="1">
      <w:start w:val="1"/>
      <w:numFmt w:val="bullet"/>
      <w:lvlText w:val="o"/>
      <w:lvlJc w:val="left"/>
      <w:pPr>
        <w:ind w:left="4179" w:hanging="360"/>
      </w:pPr>
      <w:rPr>
        <w:rFonts w:ascii="Courier New" w:hAnsi="Courier New" w:cs="Courier New" w:hint="default"/>
      </w:rPr>
    </w:lvl>
    <w:lvl w:ilvl="5" w:tplc="04090005" w:tentative="1">
      <w:start w:val="1"/>
      <w:numFmt w:val="bullet"/>
      <w:lvlText w:val=""/>
      <w:lvlJc w:val="left"/>
      <w:pPr>
        <w:ind w:left="4899" w:hanging="360"/>
      </w:pPr>
      <w:rPr>
        <w:rFonts w:ascii="Wingdings" w:hAnsi="Wingdings" w:hint="default"/>
      </w:rPr>
    </w:lvl>
    <w:lvl w:ilvl="6" w:tplc="04090001" w:tentative="1">
      <w:start w:val="1"/>
      <w:numFmt w:val="bullet"/>
      <w:lvlText w:val=""/>
      <w:lvlJc w:val="left"/>
      <w:pPr>
        <w:ind w:left="5619" w:hanging="360"/>
      </w:pPr>
      <w:rPr>
        <w:rFonts w:ascii="Symbol" w:hAnsi="Symbol" w:hint="default"/>
      </w:rPr>
    </w:lvl>
    <w:lvl w:ilvl="7" w:tplc="04090003" w:tentative="1">
      <w:start w:val="1"/>
      <w:numFmt w:val="bullet"/>
      <w:lvlText w:val="o"/>
      <w:lvlJc w:val="left"/>
      <w:pPr>
        <w:ind w:left="6339" w:hanging="360"/>
      </w:pPr>
      <w:rPr>
        <w:rFonts w:ascii="Courier New" w:hAnsi="Courier New" w:cs="Courier New" w:hint="default"/>
      </w:rPr>
    </w:lvl>
    <w:lvl w:ilvl="8" w:tplc="04090005" w:tentative="1">
      <w:start w:val="1"/>
      <w:numFmt w:val="bullet"/>
      <w:lvlText w:val=""/>
      <w:lvlJc w:val="left"/>
      <w:pPr>
        <w:ind w:left="7059" w:hanging="360"/>
      </w:pPr>
      <w:rPr>
        <w:rFonts w:ascii="Wingdings" w:hAnsi="Wingdings" w:hint="default"/>
      </w:rPr>
    </w:lvl>
  </w:abstractNum>
  <w:abstractNum w:abstractNumId="23"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C1039B0"/>
    <w:multiLevelType w:val="hybridMultilevel"/>
    <w:tmpl w:val="E0129B82"/>
    <w:lvl w:ilvl="0" w:tplc="6D667C08">
      <w:start w:val="1"/>
      <w:numFmt w:val="decimal"/>
      <w:lvlText w:val="(%1)"/>
      <w:lvlJc w:val="left"/>
      <w:pPr>
        <w:ind w:left="939" w:hanging="360"/>
      </w:pPr>
    </w:lvl>
    <w:lvl w:ilvl="1" w:tplc="04090019">
      <w:start w:val="1"/>
      <w:numFmt w:val="lowerLetter"/>
      <w:lvlText w:val="%2."/>
      <w:lvlJc w:val="left"/>
      <w:pPr>
        <w:ind w:left="1659" w:hanging="360"/>
      </w:pPr>
    </w:lvl>
    <w:lvl w:ilvl="2" w:tplc="0409001B">
      <w:start w:val="1"/>
      <w:numFmt w:val="lowerRoman"/>
      <w:lvlText w:val="%3."/>
      <w:lvlJc w:val="right"/>
      <w:pPr>
        <w:ind w:left="2379" w:hanging="180"/>
      </w:pPr>
    </w:lvl>
    <w:lvl w:ilvl="3" w:tplc="0409000F">
      <w:start w:val="1"/>
      <w:numFmt w:val="decimal"/>
      <w:lvlText w:val="%4."/>
      <w:lvlJc w:val="left"/>
      <w:pPr>
        <w:ind w:left="3099" w:hanging="360"/>
      </w:pPr>
    </w:lvl>
    <w:lvl w:ilvl="4" w:tplc="04090019">
      <w:start w:val="1"/>
      <w:numFmt w:val="lowerLetter"/>
      <w:lvlText w:val="%5."/>
      <w:lvlJc w:val="left"/>
      <w:pPr>
        <w:ind w:left="3819" w:hanging="360"/>
      </w:pPr>
    </w:lvl>
    <w:lvl w:ilvl="5" w:tplc="0409001B">
      <w:start w:val="1"/>
      <w:numFmt w:val="lowerRoman"/>
      <w:lvlText w:val="%6."/>
      <w:lvlJc w:val="right"/>
      <w:pPr>
        <w:ind w:left="4539" w:hanging="180"/>
      </w:pPr>
    </w:lvl>
    <w:lvl w:ilvl="6" w:tplc="0409000F">
      <w:start w:val="1"/>
      <w:numFmt w:val="decimal"/>
      <w:lvlText w:val="%7."/>
      <w:lvlJc w:val="left"/>
      <w:pPr>
        <w:ind w:left="5259" w:hanging="360"/>
      </w:pPr>
    </w:lvl>
    <w:lvl w:ilvl="7" w:tplc="04090019">
      <w:start w:val="1"/>
      <w:numFmt w:val="lowerLetter"/>
      <w:lvlText w:val="%8."/>
      <w:lvlJc w:val="left"/>
      <w:pPr>
        <w:ind w:left="5979" w:hanging="360"/>
      </w:pPr>
    </w:lvl>
    <w:lvl w:ilvl="8" w:tplc="0409001B">
      <w:start w:val="1"/>
      <w:numFmt w:val="lowerRoman"/>
      <w:lvlText w:val="%9."/>
      <w:lvlJc w:val="right"/>
      <w:pPr>
        <w:ind w:left="6699" w:hanging="180"/>
      </w:p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F3C78E2"/>
    <w:multiLevelType w:val="hybridMultilevel"/>
    <w:tmpl w:val="025AA1C0"/>
    <w:lvl w:ilvl="0" w:tplc="04090001">
      <w:start w:val="1"/>
      <w:numFmt w:val="bullet"/>
      <w:lvlText w:val=""/>
      <w:lvlJc w:val="left"/>
      <w:pPr>
        <w:tabs>
          <w:tab w:val="num" w:pos="1050"/>
        </w:tabs>
        <w:ind w:left="1050" w:hanging="360"/>
      </w:pPr>
      <w:rPr>
        <w:rFonts w:ascii="Symbol" w:hAnsi="Symbol" w:hint="default"/>
      </w:rPr>
    </w:lvl>
    <w:lvl w:ilvl="1" w:tplc="04090003">
      <w:start w:val="1"/>
      <w:numFmt w:val="bullet"/>
      <w:lvlText w:val="o"/>
      <w:lvlJc w:val="left"/>
      <w:pPr>
        <w:tabs>
          <w:tab w:val="num" w:pos="1770"/>
        </w:tabs>
        <w:ind w:left="1770" w:hanging="360"/>
      </w:pPr>
      <w:rPr>
        <w:rFonts w:ascii="Courier New" w:hAnsi="Courier New" w:cs="Courier New" w:hint="default"/>
      </w:rPr>
    </w:lvl>
    <w:lvl w:ilvl="2" w:tplc="04090005">
      <w:start w:val="1"/>
      <w:numFmt w:val="bullet"/>
      <w:lvlText w:val=""/>
      <w:lvlJc w:val="left"/>
      <w:pPr>
        <w:tabs>
          <w:tab w:val="num" w:pos="2490"/>
        </w:tabs>
        <w:ind w:left="2490" w:hanging="360"/>
      </w:pPr>
      <w:rPr>
        <w:rFonts w:ascii="Wingdings" w:hAnsi="Wingdings" w:hint="default"/>
      </w:rPr>
    </w:lvl>
    <w:lvl w:ilvl="3" w:tplc="04090001">
      <w:start w:val="1"/>
      <w:numFmt w:val="bullet"/>
      <w:lvlText w:val=""/>
      <w:lvlJc w:val="left"/>
      <w:pPr>
        <w:tabs>
          <w:tab w:val="num" w:pos="3210"/>
        </w:tabs>
        <w:ind w:left="3210" w:hanging="360"/>
      </w:pPr>
      <w:rPr>
        <w:rFonts w:ascii="Symbol" w:hAnsi="Symbol" w:hint="default"/>
      </w:rPr>
    </w:lvl>
    <w:lvl w:ilvl="4" w:tplc="04090003">
      <w:start w:val="1"/>
      <w:numFmt w:val="bullet"/>
      <w:lvlText w:val="o"/>
      <w:lvlJc w:val="left"/>
      <w:pPr>
        <w:tabs>
          <w:tab w:val="num" w:pos="3930"/>
        </w:tabs>
        <w:ind w:left="3930" w:hanging="360"/>
      </w:pPr>
      <w:rPr>
        <w:rFonts w:ascii="Courier New" w:hAnsi="Courier New" w:cs="Courier New" w:hint="default"/>
      </w:rPr>
    </w:lvl>
    <w:lvl w:ilvl="5" w:tplc="04090005">
      <w:start w:val="1"/>
      <w:numFmt w:val="bullet"/>
      <w:lvlText w:val=""/>
      <w:lvlJc w:val="left"/>
      <w:pPr>
        <w:tabs>
          <w:tab w:val="num" w:pos="4650"/>
        </w:tabs>
        <w:ind w:left="4650" w:hanging="360"/>
      </w:pPr>
      <w:rPr>
        <w:rFonts w:ascii="Wingdings" w:hAnsi="Wingdings" w:hint="default"/>
      </w:rPr>
    </w:lvl>
    <w:lvl w:ilvl="6" w:tplc="04090001">
      <w:start w:val="1"/>
      <w:numFmt w:val="bullet"/>
      <w:lvlText w:val=""/>
      <w:lvlJc w:val="left"/>
      <w:pPr>
        <w:tabs>
          <w:tab w:val="num" w:pos="5370"/>
        </w:tabs>
        <w:ind w:left="5370" w:hanging="360"/>
      </w:pPr>
      <w:rPr>
        <w:rFonts w:ascii="Symbol" w:hAnsi="Symbol" w:hint="default"/>
      </w:rPr>
    </w:lvl>
    <w:lvl w:ilvl="7" w:tplc="04090003">
      <w:start w:val="1"/>
      <w:numFmt w:val="bullet"/>
      <w:lvlText w:val="o"/>
      <w:lvlJc w:val="left"/>
      <w:pPr>
        <w:tabs>
          <w:tab w:val="num" w:pos="6090"/>
        </w:tabs>
        <w:ind w:left="6090" w:hanging="360"/>
      </w:pPr>
      <w:rPr>
        <w:rFonts w:ascii="Courier New" w:hAnsi="Courier New" w:cs="Courier New" w:hint="default"/>
      </w:rPr>
    </w:lvl>
    <w:lvl w:ilvl="8" w:tplc="04090005">
      <w:start w:val="1"/>
      <w:numFmt w:val="bullet"/>
      <w:lvlText w:val=""/>
      <w:lvlJc w:val="left"/>
      <w:pPr>
        <w:tabs>
          <w:tab w:val="num" w:pos="6810"/>
        </w:tabs>
        <w:ind w:left="6810" w:hanging="360"/>
      </w:pPr>
      <w:rPr>
        <w:rFonts w:ascii="Wingdings" w:hAnsi="Wingdings" w:hint="default"/>
      </w:rPr>
    </w:lvl>
  </w:abstractNum>
  <w:abstractNum w:abstractNumId="29" w15:restartNumberingAfterBreak="0">
    <w:nsid w:val="502D1707"/>
    <w:multiLevelType w:val="hybridMultilevel"/>
    <w:tmpl w:val="F2C6299E"/>
    <w:lvl w:ilvl="0" w:tplc="036C8FBE">
      <w:numFmt w:val="bullet"/>
      <w:lvlText w:val=""/>
      <w:lvlJc w:val="left"/>
      <w:pPr>
        <w:ind w:left="224" w:hanging="217"/>
      </w:pPr>
      <w:rPr>
        <w:rFonts w:ascii="Symbol" w:eastAsia="Symbol" w:hAnsi="Symbol" w:cs="Symbol" w:hint="default"/>
        <w:w w:val="100"/>
        <w:sz w:val="22"/>
        <w:szCs w:val="22"/>
        <w:lang w:val="en-US" w:eastAsia="en-US" w:bidi="en-US"/>
      </w:rPr>
    </w:lvl>
    <w:lvl w:ilvl="1" w:tplc="024A3CDA">
      <w:numFmt w:val="bullet"/>
      <w:lvlText w:val="•"/>
      <w:lvlJc w:val="left"/>
      <w:pPr>
        <w:ind w:left="1250" w:hanging="217"/>
      </w:pPr>
      <w:rPr>
        <w:lang w:val="en-US" w:eastAsia="en-US" w:bidi="en-US"/>
      </w:rPr>
    </w:lvl>
    <w:lvl w:ilvl="2" w:tplc="F74A64DA">
      <w:numFmt w:val="bullet"/>
      <w:lvlText w:val="•"/>
      <w:lvlJc w:val="left"/>
      <w:pPr>
        <w:ind w:left="2280" w:hanging="217"/>
      </w:pPr>
      <w:rPr>
        <w:lang w:val="en-US" w:eastAsia="en-US" w:bidi="en-US"/>
      </w:rPr>
    </w:lvl>
    <w:lvl w:ilvl="3" w:tplc="98687A04">
      <w:numFmt w:val="bullet"/>
      <w:lvlText w:val="•"/>
      <w:lvlJc w:val="left"/>
      <w:pPr>
        <w:ind w:left="3310" w:hanging="217"/>
      </w:pPr>
      <w:rPr>
        <w:lang w:val="en-US" w:eastAsia="en-US" w:bidi="en-US"/>
      </w:rPr>
    </w:lvl>
    <w:lvl w:ilvl="4" w:tplc="5976833A">
      <w:numFmt w:val="bullet"/>
      <w:lvlText w:val="•"/>
      <w:lvlJc w:val="left"/>
      <w:pPr>
        <w:ind w:left="4340" w:hanging="217"/>
      </w:pPr>
      <w:rPr>
        <w:lang w:val="en-US" w:eastAsia="en-US" w:bidi="en-US"/>
      </w:rPr>
    </w:lvl>
    <w:lvl w:ilvl="5" w:tplc="DD7A0F36">
      <w:numFmt w:val="bullet"/>
      <w:lvlText w:val="•"/>
      <w:lvlJc w:val="left"/>
      <w:pPr>
        <w:ind w:left="5370" w:hanging="217"/>
      </w:pPr>
      <w:rPr>
        <w:lang w:val="en-US" w:eastAsia="en-US" w:bidi="en-US"/>
      </w:rPr>
    </w:lvl>
    <w:lvl w:ilvl="6" w:tplc="0078756A">
      <w:numFmt w:val="bullet"/>
      <w:lvlText w:val="•"/>
      <w:lvlJc w:val="left"/>
      <w:pPr>
        <w:ind w:left="6400" w:hanging="217"/>
      </w:pPr>
      <w:rPr>
        <w:lang w:val="en-US" w:eastAsia="en-US" w:bidi="en-US"/>
      </w:rPr>
    </w:lvl>
    <w:lvl w:ilvl="7" w:tplc="E3D63CB4">
      <w:numFmt w:val="bullet"/>
      <w:lvlText w:val="•"/>
      <w:lvlJc w:val="left"/>
      <w:pPr>
        <w:ind w:left="7430" w:hanging="217"/>
      </w:pPr>
      <w:rPr>
        <w:lang w:val="en-US" w:eastAsia="en-US" w:bidi="en-US"/>
      </w:rPr>
    </w:lvl>
    <w:lvl w:ilvl="8" w:tplc="41049D98">
      <w:numFmt w:val="bullet"/>
      <w:lvlText w:val="•"/>
      <w:lvlJc w:val="left"/>
      <w:pPr>
        <w:ind w:left="8460" w:hanging="217"/>
      </w:pPr>
      <w:rPr>
        <w:lang w:val="en-US" w:eastAsia="en-US" w:bidi="en-US"/>
      </w:rPr>
    </w:lvl>
  </w:abstractNum>
  <w:abstractNum w:abstractNumId="30" w15:restartNumberingAfterBreak="0">
    <w:nsid w:val="51B8467F"/>
    <w:multiLevelType w:val="hybridMultilevel"/>
    <w:tmpl w:val="776C0AF6"/>
    <w:lvl w:ilvl="0" w:tplc="036C8FBE">
      <w:numFmt w:val="bullet"/>
      <w:lvlText w:val=""/>
      <w:lvlJc w:val="left"/>
      <w:pPr>
        <w:ind w:left="433" w:hanging="217"/>
      </w:pPr>
      <w:rPr>
        <w:rFonts w:ascii="Symbol" w:eastAsia="Symbol" w:hAnsi="Symbol" w:cs="Symbol" w:hint="default"/>
        <w:w w:val="100"/>
        <w:sz w:val="22"/>
        <w:szCs w:val="22"/>
        <w:lang w:val="en-US" w:eastAsia="en-US" w:bidi="en-US"/>
      </w:rPr>
    </w:lvl>
    <w:lvl w:ilvl="1" w:tplc="04090003">
      <w:start w:val="1"/>
      <w:numFmt w:val="bullet"/>
      <w:lvlText w:val="o"/>
      <w:lvlJc w:val="left"/>
      <w:pPr>
        <w:ind w:left="1649" w:hanging="360"/>
      </w:pPr>
      <w:rPr>
        <w:rFonts w:ascii="Courier New" w:hAnsi="Courier New" w:cs="Courier New" w:hint="default"/>
      </w:rPr>
    </w:lvl>
    <w:lvl w:ilvl="2" w:tplc="04090005">
      <w:start w:val="1"/>
      <w:numFmt w:val="bullet"/>
      <w:lvlText w:val=""/>
      <w:lvlJc w:val="left"/>
      <w:pPr>
        <w:ind w:left="2369" w:hanging="360"/>
      </w:pPr>
      <w:rPr>
        <w:rFonts w:ascii="Wingdings" w:hAnsi="Wingdings" w:hint="default"/>
      </w:rPr>
    </w:lvl>
    <w:lvl w:ilvl="3" w:tplc="04090001" w:tentative="1">
      <w:start w:val="1"/>
      <w:numFmt w:val="bullet"/>
      <w:lvlText w:val=""/>
      <w:lvlJc w:val="left"/>
      <w:pPr>
        <w:ind w:left="3089" w:hanging="360"/>
      </w:pPr>
      <w:rPr>
        <w:rFonts w:ascii="Symbol" w:hAnsi="Symbol" w:hint="default"/>
      </w:rPr>
    </w:lvl>
    <w:lvl w:ilvl="4" w:tplc="04090003" w:tentative="1">
      <w:start w:val="1"/>
      <w:numFmt w:val="bullet"/>
      <w:lvlText w:val="o"/>
      <w:lvlJc w:val="left"/>
      <w:pPr>
        <w:ind w:left="3809" w:hanging="360"/>
      </w:pPr>
      <w:rPr>
        <w:rFonts w:ascii="Courier New" w:hAnsi="Courier New" w:cs="Courier New" w:hint="default"/>
      </w:rPr>
    </w:lvl>
    <w:lvl w:ilvl="5" w:tplc="04090005" w:tentative="1">
      <w:start w:val="1"/>
      <w:numFmt w:val="bullet"/>
      <w:lvlText w:val=""/>
      <w:lvlJc w:val="left"/>
      <w:pPr>
        <w:ind w:left="4529" w:hanging="360"/>
      </w:pPr>
      <w:rPr>
        <w:rFonts w:ascii="Wingdings" w:hAnsi="Wingdings" w:hint="default"/>
      </w:rPr>
    </w:lvl>
    <w:lvl w:ilvl="6" w:tplc="04090001" w:tentative="1">
      <w:start w:val="1"/>
      <w:numFmt w:val="bullet"/>
      <w:lvlText w:val=""/>
      <w:lvlJc w:val="left"/>
      <w:pPr>
        <w:ind w:left="5249" w:hanging="360"/>
      </w:pPr>
      <w:rPr>
        <w:rFonts w:ascii="Symbol" w:hAnsi="Symbol" w:hint="default"/>
      </w:rPr>
    </w:lvl>
    <w:lvl w:ilvl="7" w:tplc="04090003" w:tentative="1">
      <w:start w:val="1"/>
      <w:numFmt w:val="bullet"/>
      <w:lvlText w:val="o"/>
      <w:lvlJc w:val="left"/>
      <w:pPr>
        <w:ind w:left="5969" w:hanging="360"/>
      </w:pPr>
      <w:rPr>
        <w:rFonts w:ascii="Courier New" w:hAnsi="Courier New" w:cs="Courier New" w:hint="default"/>
      </w:rPr>
    </w:lvl>
    <w:lvl w:ilvl="8" w:tplc="04090005" w:tentative="1">
      <w:start w:val="1"/>
      <w:numFmt w:val="bullet"/>
      <w:lvlText w:val=""/>
      <w:lvlJc w:val="left"/>
      <w:pPr>
        <w:ind w:left="6689" w:hanging="360"/>
      </w:pPr>
      <w:rPr>
        <w:rFonts w:ascii="Wingdings" w:hAnsi="Wingdings" w:hint="default"/>
      </w:rPr>
    </w:lvl>
  </w:abstractNum>
  <w:abstractNum w:abstractNumId="31"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E92167"/>
    <w:multiLevelType w:val="hybridMultilevel"/>
    <w:tmpl w:val="2384F3E2"/>
    <w:lvl w:ilvl="0" w:tplc="036C8FBE">
      <w:numFmt w:val="bullet"/>
      <w:lvlText w:val=""/>
      <w:lvlJc w:val="left"/>
      <w:pPr>
        <w:ind w:left="803" w:hanging="217"/>
      </w:pPr>
      <w:rPr>
        <w:rFonts w:ascii="Symbol" w:eastAsia="Symbol" w:hAnsi="Symbol" w:cs="Symbol" w:hint="default"/>
        <w:w w:val="100"/>
        <w:sz w:val="22"/>
        <w:szCs w:val="22"/>
        <w:lang w:val="en-US" w:eastAsia="en-US" w:bidi="en-US"/>
      </w:rPr>
    </w:lvl>
    <w:lvl w:ilvl="1" w:tplc="04090003" w:tentative="1">
      <w:start w:val="1"/>
      <w:numFmt w:val="bullet"/>
      <w:lvlText w:val="o"/>
      <w:lvlJc w:val="left"/>
      <w:pPr>
        <w:ind w:left="2019" w:hanging="360"/>
      </w:pPr>
      <w:rPr>
        <w:rFonts w:ascii="Courier New" w:hAnsi="Courier New" w:cs="Courier New" w:hint="default"/>
      </w:rPr>
    </w:lvl>
    <w:lvl w:ilvl="2" w:tplc="04090005" w:tentative="1">
      <w:start w:val="1"/>
      <w:numFmt w:val="bullet"/>
      <w:lvlText w:val=""/>
      <w:lvlJc w:val="left"/>
      <w:pPr>
        <w:ind w:left="2739" w:hanging="360"/>
      </w:pPr>
      <w:rPr>
        <w:rFonts w:ascii="Wingdings" w:hAnsi="Wingdings" w:hint="default"/>
      </w:rPr>
    </w:lvl>
    <w:lvl w:ilvl="3" w:tplc="04090001" w:tentative="1">
      <w:start w:val="1"/>
      <w:numFmt w:val="bullet"/>
      <w:lvlText w:val=""/>
      <w:lvlJc w:val="left"/>
      <w:pPr>
        <w:ind w:left="3459" w:hanging="360"/>
      </w:pPr>
      <w:rPr>
        <w:rFonts w:ascii="Symbol" w:hAnsi="Symbol" w:hint="default"/>
      </w:rPr>
    </w:lvl>
    <w:lvl w:ilvl="4" w:tplc="04090003" w:tentative="1">
      <w:start w:val="1"/>
      <w:numFmt w:val="bullet"/>
      <w:lvlText w:val="o"/>
      <w:lvlJc w:val="left"/>
      <w:pPr>
        <w:ind w:left="4179" w:hanging="360"/>
      </w:pPr>
      <w:rPr>
        <w:rFonts w:ascii="Courier New" w:hAnsi="Courier New" w:cs="Courier New" w:hint="default"/>
      </w:rPr>
    </w:lvl>
    <w:lvl w:ilvl="5" w:tplc="04090005" w:tentative="1">
      <w:start w:val="1"/>
      <w:numFmt w:val="bullet"/>
      <w:lvlText w:val=""/>
      <w:lvlJc w:val="left"/>
      <w:pPr>
        <w:ind w:left="4899" w:hanging="360"/>
      </w:pPr>
      <w:rPr>
        <w:rFonts w:ascii="Wingdings" w:hAnsi="Wingdings" w:hint="default"/>
      </w:rPr>
    </w:lvl>
    <w:lvl w:ilvl="6" w:tplc="04090001" w:tentative="1">
      <w:start w:val="1"/>
      <w:numFmt w:val="bullet"/>
      <w:lvlText w:val=""/>
      <w:lvlJc w:val="left"/>
      <w:pPr>
        <w:ind w:left="5619" w:hanging="360"/>
      </w:pPr>
      <w:rPr>
        <w:rFonts w:ascii="Symbol" w:hAnsi="Symbol" w:hint="default"/>
      </w:rPr>
    </w:lvl>
    <w:lvl w:ilvl="7" w:tplc="04090003" w:tentative="1">
      <w:start w:val="1"/>
      <w:numFmt w:val="bullet"/>
      <w:lvlText w:val="o"/>
      <w:lvlJc w:val="left"/>
      <w:pPr>
        <w:ind w:left="6339" w:hanging="360"/>
      </w:pPr>
      <w:rPr>
        <w:rFonts w:ascii="Courier New" w:hAnsi="Courier New" w:cs="Courier New" w:hint="default"/>
      </w:rPr>
    </w:lvl>
    <w:lvl w:ilvl="8" w:tplc="04090005" w:tentative="1">
      <w:start w:val="1"/>
      <w:numFmt w:val="bullet"/>
      <w:lvlText w:val=""/>
      <w:lvlJc w:val="left"/>
      <w:pPr>
        <w:ind w:left="7059" w:hanging="360"/>
      </w:pPr>
      <w:rPr>
        <w:rFonts w:ascii="Wingdings" w:hAnsi="Wingdings" w:hint="default"/>
      </w:rPr>
    </w:lvl>
  </w:abstractNum>
  <w:abstractNum w:abstractNumId="33"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3173CB2"/>
    <w:multiLevelType w:val="hybridMultilevel"/>
    <w:tmpl w:val="215AD714"/>
    <w:lvl w:ilvl="0" w:tplc="9E9EBE18">
      <w:start w:val="1"/>
      <w:numFmt w:val="decimal"/>
      <w:lvlText w:val="%1."/>
      <w:lvlJc w:val="left"/>
      <w:pPr>
        <w:ind w:left="939" w:hanging="360"/>
      </w:pPr>
      <w:rPr>
        <w:rFonts w:hint="default"/>
      </w:rPr>
    </w:lvl>
    <w:lvl w:ilvl="1" w:tplc="04090019" w:tentative="1">
      <w:start w:val="1"/>
      <w:numFmt w:val="lowerLetter"/>
      <w:lvlText w:val="%2."/>
      <w:lvlJc w:val="left"/>
      <w:pPr>
        <w:ind w:left="1659" w:hanging="360"/>
      </w:pPr>
    </w:lvl>
    <w:lvl w:ilvl="2" w:tplc="0409001B" w:tentative="1">
      <w:start w:val="1"/>
      <w:numFmt w:val="lowerRoman"/>
      <w:lvlText w:val="%3."/>
      <w:lvlJc w:val="right"/>
      <w:pPr>
        <w:ind w:left="2379" w:hanging="180"/>
      </w:pPr>
    </w:lvl>
    <w:lvl w:ilvl="3" w:tplc="0409000F" w:tentative="1">
      <w:start w:val="1"/>
      <w:numFmt w:val="decimal"/>
      <w:lvlText w:val="%4."/>
      <w:lvlJc w:val="left"/>
      <w:pPr>
        <w:ind w:left="3099" w:hanging="360"/>
      </w:pPr>
    </w:lvl>
    <w:lvl w:ilvl="4" w:tplc="04090019" w:tentative="1">
      <w:start w:val="1"/>
      <w:numFmt w:val="lowerLetter"/>
      <w:lvlText w:val="%5."/>
      <w:lvlJc w:val="left"/>
      <w:pPr>
        <w:ind w:left="3819" w:hanging="360"/>
      </w:pPr>
    </w:lvl>
    <w:lvl w:ilvl="5" w:tplc="0409001B" w:tentative="1">
      <w:start w:val="1"/>
      <w:numFmt w:val="lowerRoman"/>
      <w:lvlText w:val="%6."/>
      <w:lvlJc w:val="right"/>
      <w:pPr>
        <w:ind w:left="4539" w:hanging="180"/>
      </w:pPr>
    </w:lvl>
    <w:lvl w:ilvl="6" w:tplc="0409000F" w:tentative="1">
      <w:start w:val="1"/>
      <w:numFmt w:val="decimal"/>
      <w:lvlText w:val="%7."/>
      <w:lvlJc w:val="left"/>
      <w:pPr>
        <w:ind w:left="5259" w:hanging="360"/>
      </w:pPr>
    </w:lvl>
    <w:lvl w:ilvl="7" w:tplc="04090019" w:tentative="1">
      <w:start w:val="1"/>
      <w:numFmt w:val="lowerLetter"/>
      <w:lvlText w:val="%8."/>
      <w:lvlJc w:val="left"/>
      <w:pPr>
        <w:ind w:left="5979" w:hanging="360"/>
      </w:pPr>
    </w:lvl>
    <w:lvl w:ilvl="8" w:tplc="0409001B" w:tentative="1">
      <w:start w:val="1"/>
      <w:numFmt w:val="lowerRoman"/>
      <w:lvlText w:val="%9."/>
      <w:lvlJc w:val="right"/>
      <w:pPr>
        <w:ind w:left="6699" w:hanging="180"/>
      </w:pPr>
    </w:lvl>
  </w:abstractNum>
  <w:abstractNum w:abstractNumId="36" w15:restartNumberingAfterBreak="0">
    <w:nsid w:val="64FF4E1A"/>
    <w:multiLevelType w:val="hybridMultilevel"/>
    <w:tmpl w:val="224409DA"/>
    <w:lvl w:ilvl="0" w:tplc="036C8FBE">
      <w:numFmt w:val="bullet"/>
      <w:lvlText w:val=""/>
      <w:lvlJc w:val="left"/>
      <w:pPr>
        <w:ind w:left="937" w:hanging="217"/>
      </w:pPr>
      <w:rPr>
        <w:rFonts w:ascii="Symbol" w:eastAsia="Symbol" w:hAnsi="Symbol" w:cs="Symbol" w:hint="default"/>
        <w:w w:val="100"/>
        <w:sz w:val="22"/>
        <w:szCs w:val="22"/>
        <w:lang w:val="en-US" w:eastAsia="en-US" w:bidi="en-US"/>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3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2"/>
  </w:num>
  <w:num w:numId="3">
    <w:abstractNumId w:val="3"/>
  </w:num>
  <w:num w:numId="4">
    <w:abstractNumId w:val="7"/>
  </w:num>
  <w:num w:numId="5">
    <w:abstractNumId w:val="2"/>
  </w:num>
  <w:num w:numId="6">
    <w:abstractNumId w:val="1"/>
  </w:num>
  <w:num w:numId="7">
    <w:abstractNumId w:val="5"/>
  </w:num>
  <w:num w:numId="8">
    <w:abstractNumId w:val="24"/>
  </w:num>
  <w:num w:numId="9">
    <w:abstractNumId w:val="11"/>
  </w:num>
  <w:num w:numId="10">
    <w:abstractNumId w:val="34"/>
  </w:num>
  <w:num w:numId="11">
    <w:abstractNumId w:val="14"/>
  </w:num>
  <w:num w:numId="12">
    <w:abstractNumId w:val="31"/>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9"/>
  </w:num>
  <w:num w:numId="17">
    <w:abstractNumId w:val="33"/>
  </w:num>
  <w:num w:numId="18">
    <w:abstractNumId w:val="27"/>
  </w:num>
  <w:num w:numId="19">
    <w:abstractNumId w:val="25"/>
  </w:num>
  <w:num w:numId="20">
    <w:abstractNumId w:val="18"/>
  </w:num>
  <w:num w:numId="21">
    <w:abstractNumId w:val="23"/>
  </w:num>
  <w:num w:numId="22">
    <w:abstractNumId w:val="17"/>
  </w:num>
  <w:num w:numId="23">
    <w:abstractNumId w:val="8"/>
  </w:num>
  <w:num w:numId="24">
    <w:abstractNumId w:val="16"/>
  </w:num>
  <w:num w:numId="25">
    <w:abstractNumId w:val="15"/>
  </w:num>
  <w:num w:numId="26">
    <w:abstractNumId w:val="37"/>
  </w:num>
  <w:num w:numId="27">
    <w:abstractNumId w:val="0"/>
  </w:num>
  <w:num w:numId="28">
    <w:abstractNumId w:val="10"/>
  </w:num>
  <w:num w:numId="29">
    <w:abstractNumId w:val="19"/>
  </w:num>
  <w:num w:numId="30">
    <w:abstractNumId w:val="29"/>
  </w:num>
  <w:num w:numId="31">
    <w:abstractNumId w:val="13"/>
    <w:lvlOverride w:ilvl="0">
      <w:startOverride w:val="3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4"/>
  </w:num>
  <w:num w:numId="36">
    <w:abstractNumId w:val="30"/>
  </w:num>
  <w:num w:numId="37">
    <w:abstractNumId w:val="32"/>
  </w:num>
  <w:num w:numId="38">
    <w:abstractNumId w:val="36"/>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1DAB"/>
    <w:rsid w:val="00232163"/>
    <w:rsid w:val="002376F8"/>
    <w:rsid w:val="002408E4"/>
    <w:rsid w:val="00241591"/>
    <w:rsid w:val="00250B4F"/>
    <w:rsid w:val="0025762F"/>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15BE0"/>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D294B"/>
    <w:rsid w:val="003D6401"/>
    <w:rsid w:val="003E1863"/>
    <w:rsid w:val="0041606D"/>
    <w:rsid w:val="00416962"/>
    <w:rsid w:val="004206A8"/>
    <w:rsid w:val="004348CC"/>
    <w:rsid w:val="00450C58"/>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7D12"/>
    <w:rsid w:val="00576062"/>
    <w:rsid w:val="0059559F"/>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75846"/>
    <w:rsid w:val="008759A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141"/>
    <w:rsid w:val="0096278F"/>
    <w:rsid w:val="009726E1"/>
    <w:rsid w:val="00972A04"/>
    <w:rsid w:val="00977591"/>
    <w:rsid w:val="00980E75"/>
    <w:rsid w:val="00990D95"/>
    <w:rsid w:val="00994BE0"/>
    <w:rsid w:val="009A25B1"/>
    <w:rsid w:val="009A4608"/>
    <w:rsid w:val="009A6A57"/>
    <w:rsid w:val="009A70BF"/>
    <w:rsid w:val="009B1A15"/>
    <w:rsid w:val="009C0852"/>
    <w:rsid w:val="009C13CA"/>
    <w:rsid w:val="009C32C6"/>
    <w:rsid w:val="009C665F"/>
    <w:rsid w:val="009C7513"/>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F2D68"/>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68D8"/>
    <w:rsid w:val="00DA0905"/>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79DE"/>
    <w:rsid w:val="00ED4ACE"/>
    <w:rsid w:val="00EE4D35"/>
    <w:rsid w:val="00EF2DA7"/>
    <w:rsid w:val="00F1412B"/>
    <w:rsid w:val="00F15BFA"/>
    <w:rsid w:val="00F34FAB"/>
    <w:rsid w:val="00F435AA"/>
    <w:rsid w:val="00F5738A"/>
    <w:rsid w:val="00F612D4"/>
    <w:rsid w:val="00F7389E"/>
    <w:rsid w:val="00F77F1D"/>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0905"/>
    <w:pPr>
      <w:keepNext/>
      <w:keepLines/>
      <w:spacing w:before="40" w:after="0" w:line="240" w:lineRule="auto"/>
      <w:ind w:left="936" w:hanging="216"/>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unhideWhenUsed/>
    <w:rsid w:val="002376F8"/>
    <w:pPr>
      <w:spacing w:line="240" w:lineRule="auto"/>
    </w:pPr>
    <w:rPr>
      <w:sz w:val="20"/>
      <w:szCs w:val="20"/>
    </w:rPr>
  </w:style>
  <w:style w:type="character" w:customStyle="1" w:styleId="CommentTextChar">
    <w:name w:val="Comment Text Char"/>
    <w:basedOn w:val="DefaultParagraphFont"/>
    <w:link w:val="CommentText"/>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BodyText">
    <w:name w:val="Body Text"/>
    <w:basedOn w:val="Normal"/>
    <w:link w:val="BodyTextChar"/>
    <w:uiPriority w:val="1"/>
    <w:semiHidden/>
    <w:unhideWhenUsed/>
    <w:qFormat/>
    <w:rsid w:val="00DA0905"/>
    <w:pPr>
      <w:widowControl w:val="0"/>
      <w:autoSpaceDE w:val="0"/>
      <w:autoSpaceDN w:val="0"/>
      <w:spacing w:after="0" w:line="240" w:lineRule="auto"/>
      <w:ind w:left="936" w:hanging="216"/>
    </w:pPr>
    <w:rPr>
      <w:rFonts w:ascii="Calibri" w:eastAsia="Calibri" w:hAnsi="Calibri" w:cs="Calibri"/>
      <w:lang w:bidi="en-US"/>
    </w:rPr>
  </w:style>
  <w:style w:type="character" w:customStyle="1" w:styleId="BodyTextChar">
    <w:name w:val="Body Text Char"/>
    <w:basedOn w:val="DefaultParagraphFont"/>
    <w:link w:val="BodyText"/>
    <w:uiPriority w:val="1"/>
    <w:semiHidden/>
    <w:rsid w:val="00DA0905"/>
    <w:rPr>
      <w:rFonts w:ascii="Calibri" w:eastAsia="Calibri" w:hAnsi="Calibri" w:cs="Calibri"/>
      <w:lang w:bidi="en-US"/>
    </w:rPr>
  </w:style>
  <w:style w:type="character" w:customStyle="1" w:styleId="Heading2Char">
    <w:name w:val="Heading 2 Char"/>
    <w:basedOn w:val="DefaultParagraphFont"/>
    <w:link w:val="Heading2"/>
    <w:uiPriority w:val="9"/>
    <w:semiHidden/>
    <w:rsid w:val="00DA0905"/>
    <w:rPr>
      <w:rFonts w:asciiTheme="majorHAnsi" w:eastAsiaTheme="majorEastAsia" w:hAnsiTheme="majorHAnsi" w:cstheme="majorBidi"/>
      <w:color w:val="365F91" w:themeColor="accent1" w:themeShade="BF"/>
      <w:sz w:val="26"/>
      <w:szCs w:val="26"/>
    </w:rPr>
  </w:style>
  <w:style w:type="paragraph" w:customStyle="1" w:styleId="FirstParagraph">
    <w:name w:val="First Paragraph"/>
    <w:basedOn w:val="BodyText"/>
    <w:next w:val="BodyText"/>
    <w:qFormat/>
    <w:rsid w:val="00DA0905"/>
    <w:pPr>
      <w:widowControl/>
      <w:autoSpaceDE/>
      <w:autoSpaceDN/>
      <w:spacing w:before="180" w:after="180"/>
      <w:ind w:left="0" w:firstLine="0"/>
    </w:pPr>
    <w:rPr>
      <w:rFonts w:ascii="Arial" w:eastAsiaTheme="minorHAnsi" w:hAnsi="Arial" w:cstheme="minorBidi"/>
      <w:szCs w:val="24"/>
      <w:lang w:bidi="ar-SA"/>
    </w:rPr>
  </w:style>
  <w:style w:type="paragraph" w:customStyle="1" w:styleId="Compact">
    <w:name w:val="Compact"/>
    <w:basedOn w:val="BodyText"/>
    <w:qFormat/>
    <w:rsid w:val="00DA0905"/>
    <w:pPr>
      <w:widowControl/>
      <w:autoSpaceDE/>
      <w:autoSpaceDN/>
      <w:spacing w:before="36" w:after="36"/>
      <w:ind w:left="0" w:firstLine="0"/>
    </w:pPr>
    <w:rPr>
      <w:rFonts w:ascii="Arial" w:eastAsiaTheme="minorHAnsi" w:hAnsi="Arial" w:cstheme="minorBidi"/>
      <w:szCs w:val="24"/>
      <w:lang w:bidi="ar-SA"/>
    </w:rPr>
  </w:style>
  <w:style w:type="table" w:customStyle="1" w:styleId="TableGrid1">
    <w:name w:val="Table Grid1"/>
    <w:basedOn w:val="TableNormal"/>
    <w:uiPriority w:val="59"/>
    <w:rsid w:val="00DA0905"/>
    <w:pPr>
      <w:spacing w:after="0" w:line="240" w:lineRule="auto"/>
      <w:ind w:left="936" w:hanging="216"/>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nd.org/pubs/technical_reports/TR86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E745C4120A58422F9EA91068C16E262B"/>
        <w:category>
          <w:name w:val="General"/>
          <w:gallery w:val="placeholder"/>
        </w:category>
        <w:types>
          <w:type w:val="bbPlcHdr"/>
        </w:types>
        <w:behaviors>
          <w:behavior w:val="content"/>
        </w:behaviors>
        <w:guid w:val="{C82CE6FE-0BA9-4081-8ACE-09EA06B1A68D}"/>
      </w:docPartPr>
      <w:docPartBody>
        <w:p w:rsidR="00A22640" w:rsidRDefault="00F012B4" w:rsidP="00F012B4">
          <w:pPr>
            <w:pStyle w:val="E745C4120A58422F9EA91068C16E262B"/>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22640"/>
    <w:rsid w:val="00A95183"/>
    <w:rsid w:val="00AB4AF7"/>
    <w:rsid w:val="00AD7C4F"/>
    <w:rsid w:val="00B445F5"/>
    <w:rsid w:val="00BD40CB"/>
    <w:rsid w:val="00C362A2"/>
    <w:rsid w:val="00C90121"/>
    <w:rsid w:val="00C96E73"/>
    <w:rsid w:val="00CA1FE8"/>
    <w:rsid w:val="00CA344F"/>
    <w:rsid w:val="00D1676E"/>
    <w:rsid w:val="00DC0246"/>
    <w:rsid w:val="00E6518A"/>
    <w:rsid w:val="00F012B4"/>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12B4"/>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E745C4120A58422F9EA91068C16E262B">
    <w:name w:val="E745C4120A58422F9EA91068C16E262B"/>
    <w:rsid w:val="00F012B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E3F0EA2A092948BDC08F3907E6E300" ma:contentTypeVersion="7" ma:contentTypeDescription="Create a new document." ma:contentTypeScope="" ma:versionID="65b10ae64eb1889bbc5ccd9c75a87ef7">
  <xsd:schema xmlns:xsd="http://www.w3.org/2001/XMLSchema" xmlns:xs="http://www.w3.org/2001/XMLSchema" xmlns:p="http://schemas.microsoft.com/office/2006/metadata/properties" xmlns:ns3="fcd351ae-c0f5-4690-bc10-b2a1d9e4091c" targetNamespace="http://schemas.microsoft.com/office/2006/metadata/properties" ma:root="true" ma:fieldsID="8368039a985f0f11f5430ee7db2d278b" ns3:_="">
    <xsd:import namespace="fcd351ae-c0f5-4690-bc10-b2a1d9e409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d351ae-c0f5-4690-bc10-b2a1d9e409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D700C901-3C40-4C03-AF30-8401D54B3554}">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 ds:uri="http://purl.org/dc/dcmitype/"/>
    <ds:schemaRef ds:uri="http://purl.org/dc/terms/"/>
    <ds:schemaRef ds:uri="fcd351ae-c0f5-4690-bc10-b2a1d9e4091c"/>
  </ds:schemaRefs>
</ds:datastoreItem>
</file>

<file path=customXml/itemProps3.xml><?xml version="1.0" encoding="utf-8"?>
<ds:datastoreItem xmlns:ds="http://schemas.openxmlformats.org/officeDocument/2006/customXml" ds:itemID="{89264430-1B6E-4B1C-9558-0E37BAAB7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d351ae-c0f5-4690-bc10-b2a1d9e40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07FD52-4ECF-4D5F-A188-EF8C55FF2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6286</Words>
  <Characters>35833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Michelle Hinterberg</cp:lastModifiedBy>
  <cp:revision>2</cp:revision>
  <dcterms:created xsi:type="dcterms:W3CDTF">2019-08-01T02:34:00Z</dcterms:created>
  <dcterms:modified xsi:type="dcterms:W3CDTF">2019-08-01T02:34:00Z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0x01010030E3F0EA2A092948BDC08F3907E6E300</vt:lpwstr>
  </property>
</Properties>
</file>