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077A3C5"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E30AFB">
            <w:rPr>
              <w:rStyle w:val="Style1"/>
            </w:rPr>
            <w:t>038</w:t>
          </w:r>
          <w:r w:rsidR="00727E48">
            <w:rPr>
              <w:rStyle w:val="Style1"/>
            </w:rPr>
            <w:t>3</w:t>
          </w:r>
        </w:sdtContent>
      </w:sdt>
    </w:p>
    <w:p w14:paraId="55B8DA2F" w14:textId="3F5FE609"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30AFB">
            <w:rPr>
              <w:rStyle w:val="Style1"/>
            </w:rPr>
            <w:t xml:space="preserve">Oncology: </w:t>
          </w:r>
          <w:r w:rsidR="00727E48">
            <w:rPr>
              <w:rStyle w:val="Style1"/>
            </w:rPr>
            <w:t>Plan of Care for Pain – Medical Oncology and Radiation Oncology</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249A580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11-01T00:00:00Z">
            <w:dateFormat w:val="M/d/yyyy"/>
            <w:lid w:val="en-US"/>
            <w:storeMappedDataAs w:val="dateTime"/>
            <w:calendar w:val="gregorian"/>
          </w:date>
        </w:sdtPr>
        <w:sdtEndPr>
          <w:rPr>
            <w:rStyle w:val="DefaultParagraphFont"/>
            <w:noProof/>
            <w:color w:val="auto"/>
            <w:u w:val="none"/>
          </w:rPr>
        </w:sdtEndPr>
        <w:sdtContent>
          <w:r w:rsidR="00727E48">
            <w:rPr>
              <w:rStyle w:val="Style2"/>
            </w:rPr>
            <w:t>11/1/2019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567C8"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sidRPr="00BA54E9">
            <w:rPr>
              <w:rFonts w:ascii="MS Gothic" w:eastAsia="MS Gothic" w:hAnsi="MS Gothic" w:hint="eastAsia"/>
              <w:bCs/>
              <w:color w:val="0000FF"/>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567C8"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2567C8"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7E9F501" w:rsidR="00D73685" w:rsidRDefault="002567C8"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EB1561">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727E48">
            <w:rPr>
              <w:rStyle w:val="Style2"/>
              <w:rFonts w:cstheme="minorHAnsi"/>
              <w:color w:val="FF0000"/>
            </w:rPr>
            <w:t>Plan of care to address</w:t>
          </w:r>
          <w:r w:rsidR="00532BA6">
            <w:rPr>
              <w:rStyle w:val="Style2"/>
              <w:rFonts w:cstheme="minorHAnsi"/>
              <w:color w:val="FF0000"/>
            </w:rPr>
            <w:t xml:space="preserve"> pain </w:t>
          </w:r>
          <w:r w:rsidR="00EB1561" w:rsidRPr="00EB1561">
            <w:rPr>
              <w:rStyle w:val="Style2"/>
              <w:rFonts w:cstheme="minorHAnsi"/>
              <w:color w:val="FF0000"/>
            </w:rPr>
            <w:t>at each visit for patients receiving chemotherapy or radiation therapy</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567C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567C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9DBF99A"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47036735" w14:textId="45E6DB69" w:rsidR="00532BA6" w:rsidRDefault="00532BA6" w:rsidP="002B06BD">
      <w:pPr>
        <w:ind w:left="432" w:hanging="432"/>
        <w:rPr>
          <w:iCs/>
        </w:rPr>
      </w:pPr>
    </w:p>
    <w:p w14:paraId="2B4D879D" w14:textId="2FA58E4C" w:rsidR="00F2286C" w:rsidRDefault="00F2286C" w:rsidP="005556CE">
      <w:pPr>
        <w:ind w:left="0" w:firstLine="0"/>
        <w:rPr>
          <w:color w:val="FF0000"/>
          <w:highlight w:val="yellow"/>
        </w:rPr>
      </w:pPr>
      <w:r>
        <w:rPr>
          <w:noProof/>
          <w:color w:val="FF0000"/>
        </w:rPr>
        <w:drawing>
          <wp:inline distT="0" distB="0" distL="0" distR="0" wp14:anchorId="7D50C5F5" wp14:editId="0FFD010D">
            <wp:extent cx="5486400" cy="1422400"/>
            <wp:effectExtent l="5715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8586B80" w14:textId="77777777" w:rsidR="00F2286C" w:rsidRDefault="00F2286C" w:rsidP="005556CE">
      <w:pPr>
        <w:ind w:left="0" w:firstLine="0"/>
        <w:rPr>
          <w:color w:val="FF0000"/>
          <w:highlight w:val="yellow"/>
        </w:rPr>
      </w:pPr>
    </w:p>
    <w:p w14:paraId="244900A9" w14:textId="43E24851"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t xml:space="preserve">Proper pain management is critical to achieving pain control. Pain has a severe impact on a patient’s quality of life (1). Additionally, cancer pain is associated with numerous psychosocial responses (2-3). One third of patients describe cancer pain as intolerable aspect of cancer (4). Adequate pain treatment results in clinically relevant improvement in health-related quality of life (5). This is reflected in the most recent </w:t>
      </w:r>
      <w:r w:rsidR="00CA0AA6">
        <w:rPr>
          <w:rFonts w:cs="Calibri"/>
        </w:rPr>
        <w:t>National Comprehensive Cancer Network (</w:t>
      </w:r>
      <w:r w:rsidRPr="004B3671">
        <w:rPr>
          <w:rFonts w:cs="Calibri"/>
        </w:rPr>
        <w:t>NCCN</w:t>
      </w:r>
      <w:r w:rsidR="00CA0AA6">
        <w:rPr>
          <w:rFonts w:cs="Calibri"/>
        </w:rPr>
        <w:t>)</w:t>
      </w:r>
      <w:r w:rsidRPr="004B3671">
        <w:rPr>
          <w:rFonts w:cs="Calibri"/>
        </w:rPr>
        <w:t xml:space="preserve"> guidelines, which stated that </w:t>
      </w:r>
      <w:r w:rsidR="00E13262">
        <w:rPr>
          <w:rFonts w:cs="Calibri"/>
        </w:rPr>
        <w:t>“</w:t>
      </w:r>
      <w:r w:rsidRPr="004B3671">
        <w:rPr>
          <w:rFonts w:cs="Calibri"/>
        </w:rPr>
        <w:t>u</w:t>
      </w:r>
      <w:r w:rsidR="00E13262">
        <w:rPr>
          <w:rFonts w:cs="Calibri"/>
        </w:rPr>
        <w:t>nrelieved pain denies patients</w:t>
      </w:r>
      <w:r w:rsidRPr="004B3671">
        <w:rPr>
          <w:rFonts w:cs="Calibri"/>
        </w:rPr>
        <w:t xml:space="preserve"> comfort and greatly affects their activities, motivation, interactions with family and friends, and overall quality of life</w:t>
      </w:r>
      <w:r w:rsidR="00E13262">
        <w:rPr>
          <w:rFonts w:cs="Calibri"/>
        </w:rPr>
        <w:t>”</w:t>
      </w:r>
      <w:r w:rsidRPr="004B3671">
        <w:rPr>
          <w:rFonts w:cs="Calibri"/>
        </w:rPr>
        <w:t xml:space="preserve"> (6). Moreover, the importance of assessing pain in cancer patients is included in European guidelines, which go as far to say that despite published guidelines and education programs on the assessment and treatment of cancer related pain, unrelieved pain continues to be a substantial concern in patients worldwide (7). Given that it is projected that there will be over 15 million cancer patients in 2020 worldwide, this only increased the importance of addressing address patient pain (8). </w:t>
      </w:r>
    </w:p>
    <w:p w14:paraId="01A8985F" w14:textId="55B94C71"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lastRenderedPageBreak/>
        <w:t xml:space="preserve">1. IASP. 2008-2009 Global Year Against Cancer Pain 2008. Available at: </w:t>
      </w:r>
      <w:r w:rsidR="00BA54E9" w:rsidRPr="00BA54E9">
        <w:rPr>
          <w:rFonts w:cs="Calibri"/>
        </w:rPr>
        <w:t>https://www.iasp-pain.org/GlobalYear/CancerPain</w:t>
      </w:r>
      <w:r w:rsidRPr="004B3671">
        <w:rPr>
          <w:rFonts w:cs="Calibri"/>
        </w:rPr>
        <w:t xml:space="preserve">. Accessed </w:t>
      </w:r>
      <w:r w:rsidR="00BA54E9">
        <w:rPr>
          <w:rFonts w:cs="Calibri"/>
        </w:rPr>
        <w:t>October 17, 2019</w:t>
      </w:r>
      <w:r w:rsidRPr="004B3671">
        <w:rPr>
          <w:rFonts w:cs="Calibri"/>
        </w:rPr>
        <w:t xml:space="preserve">. </w:t>
      </w:r>
    </w:p>
    <w:p w14:paraId="3BEA2D89" w14:textId="77777777"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t xml:space="preserve">2. Kroenke K, Theobald D, Wu J, et al. The association of depression and pain with health-related quality of life, disability, and health care use in cancer patients. J Pain Symptom Manage </w:t>
      </w:r>
      <w:proofErr w:type="gramStart"/>
      <w:r w:rsidRPr="004B3671">
        <w:rPr>
          <w:rFonts w:cs="Calibri"/>
        </w:rPr>
        <w:t>2010;40:327</w:t>
      </w:r>
      <w:proofErr w:type="gramEnd"/>
      <w:r w:rsidRPr="004B3671">
        <w:rPr>
          <w:rFonts w:cs="Calibri"/>
        </w:rPr>
        <w:t xml:space="preserve">e341. </w:t>
      </w:r>
    </w:p>
    <w:p w14:paraId="21E1B403" w14:textId="77777777"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t xml:space="preserve">3. Porter LS, Keefe FJ. Psychosocial issues in cancer pain. </w:t>
      </w:r>
      <w:proofErr w:type="spellStart"/>
      <w:r w:rsidRPr="004B3671">
        <w:rPr>
          <w:rFonts w:cs="Calibri"/>
        </w:rPr>
        <w:t>Curr</w:t>
      </w:r>
      <w:proofErr w:type="spellEnd"/>
      <w:r w:rsidRPr="004B3671">
        <w:rPr>
          <w:rFonts w:cs="Calibri"/>
        </w:rPr>
        <w:t xml:space="preserve"> Pain Headache Rep </w:t>
      </w:r>
      <w:proofErr w:type="gramStart"/>
      <w:r w:rsidRPr="004B3671">
        <w:rPr>
          <w:rFonts w:cs="Calibri"/>
        </w:rPr>
        <w:t>2011;15:263</w:t>
      </w:r>
      <w:proofErr w:type="gramEnd"/>
      <w:r w:rsidRPr="004B3671">
        <w:rPr>
          <w:rFonts w:cs="Calibri"/>
        </w:rPr>
        <w:t xml:space="preserve">e270. </w:t>
      </w:r>
    </w:p>
    <w:p w14:paraId="6AC39641" w14:textId="77777777"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t xml:space="preserve">4. Breivik H, </w:t>
      </w:r>
      <w:proofErr w:type="spellStart"/>
      <w:r w:rsidRPr="004B3671">
        <w:rPr>
          <w:rFonts w:cs="Calibri"/>
        </w:rPr>
        <w:t>Cherny</w:t>
      </w:r>
      <w:proofErr w:type="spellEnd"/>
      <w:r w:rsidRPr="004B3671">
        <w:rPr>
          <w:rFonts w:cs="Calibri"/>
        </w:rPr>
        <w:t xml:space="preserve"> N, Collett B, et al. Cancer-related pain: a pan-European survey of prevalence, treatment, and patient attitudes. Ann Oncol </w:t>
      </w:r>
      <w:proofErr w:type="gramStart"/>
      <w:r w:rsidRPr="004B3671">
        <w:rPr>
          <w:rFonts w:cs="Calibri"/>
        </w:rPr>
        <w:t>2009;20:1420</w:t>
      </w:r>
      <w:proofErr w:type="gramEnd"/>
      <w:r w:rsidRPr="004B3671">
        <w:rPr>
          <w:rFonts w:cs="Calibri"/>
        </w:rPr>
        <w:t xml:space="preserve">e1433. </w:t>
      </w:r>
    </w:p>
    <w:p w14:paraId="6C681A2C" w14:textId="77777777"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t xml:space="preserve">5. </w:t>
      </w:r>
      <w:proofErr w:type="spellStart"/>
      <w:r w:rsidRPr="004B3671">
        <w:rPr>
          <w:rFonts w:cs="Calibri"/>
        </w:rPr>
        <w:t>Puetzler</w:t>
      </w:r>
      <w:proofErr w:type="spellEnd"/>
      <w:r w:rsidRPr="004B3671">
        <w:rPr>
          <w:rFonts w:cs="Calibri"/>
        </w:rPr>
        <w:t xml:space="preserve"> J, Feldmann RE Jr, </w:t>
      </w:r>
      <w:proofErr w:type="spellStart"/>
      <w:r w:rsidRPr="004B3671">
        <w:rPr>
          <w:rFonts w:cs="Calibri"/>
        </w:rPr>
        <w:t>Brascher</w:t>
      </w:r>
      <w:proofErr w:type="spellEnd"/>
      <w:r w:rsidRPr="004B3671">
        <w:rPr>
          <w:rFonts w:cs="Calibri"/>
        </w:rPr>
        <w:t xml:space="preserve"> AK, Gerhardt A, </w:t>
      </w:r>
      <w:proofErr w:type="spellStart"/>
      <w:r w:rsidRPr="004B3671">
        <w:rPr>
          <w:rFonts w:cs="Calibri"/>
        </w:rPr>
        <w:t>Benrath</w:t>
      </w:r>
      <w:proofErr w:type="spellEnd"/>
      <w:r w:rsidRPr="004B3671">
        <w:rPr>
          <w:rFonts w:cs="Calibri"/>
        </w:rPr>
        <w:t xml:space="preserve"> J. Improvements in health-related quality of life by comprehensive cancer pain therapy: a pilot study with breast cancer outpatients under palliative chemotherapy. Oncol Res Treat </w:t>
      </w:r>
      <w:proofErr w:type="gramStart"/>
      <w:r w:rsidRPr="004B3671">
        <w:rPr>
          <w:rFonts w:cs="Calibri"/>
        </w:rPr>
        <w:t>2014;37:456</w:t>
      </w:r>
      <w:proofErr w:type="gramEnd"/>
      <w:r w:rsidRPr="004B3671">
        <w:rPr>
          <w:rFonts w:cs="Calibri"/>
        </w:rPr>
        <w:t xml:space="preserve">e462. </w:t>
      </w:r>
    </w:p>
    <w:p w14:paraId="2D2B1DB0" w14:textId="77777777" w:rsidR="004B3671" w:rsidRPr="004B3671" w:rsidRDefault="00E7325F" w:rsidP="004B3671">
      <w:pPr>
        <w:ind w:left="62" w:firstLine="0"/>
        <w:rPr>
          <w:rFonts w:cstheme="minorHAnsi"/>
        </w:rPr>
      </w:pPr>
      <w:r w:rsidRPr="004B3671">
        <w:rPr>
          <w:rFonts w:cs="Calibri"/>
        </w:rPr>
        <w:t xml:space="preserve">6. </w:t>
      </w:r>
      <w:r w:rsidR="004B3671" w:rsidRPr="004B3671">
        <w:t xml:space="preserve">Swarm RA, </w:t>
      </w:r>
      <w:proofErr w:type="spellStart"/>
      <w:r w:rsidR="004B3671" w:rsidRPr="004B3671">
        <w:t>Paice</w:t>
      </w:r>
      <w:proofErr w:type="spellEnd"/>
      <w:r w:rsidR="004B3671" w:rsidRPr="004B3671">
        <w:t xml:space="preserve"> JA, </w:t>
      </w:r>
      <w:proofErr w:type="spellStart"/>
      <w:r w:rsidR="004B3671" w:rsidRPr="004B3671">
        <w:t>Anghelescu</w:t>
      </w:r>
      <w:proofErr w:type="spellEnd"/>
      <w:r w:rsidR="004B3671" w:rsidRPr="004B3671">
        <w:t xml:space="preserve"> DL, et al. NCCN Guidelines Panel</w:t>
      </w:r>
      <w:r w:rsidR="004B3671" w:rsidRPr="004B3671">
        <w:rPr>
          <w:rFonts w:cstheme="minorHAnsi"/>
        </w:rPr>
        <w:t xml:space="preserve">. </w:t>
      </w:r>
      <w:r w:rsidR="004B3671" w:rsidRPr="004B3671">
        <w:t>NCCN Clinical Practice Guidelines in Oncology – Adult Cancer Pain</w:t>
      </w:r>
      <w:r w:rsidR="004B3671" w:rsidRPr="004B3671">
        <w:rPr>
          <w:rFonts w:cstheme="minorHAnsi"/>
        </w:rPr>
        <w:t xml:space="preserve">. Version 3. 2019. </w:t>
      </w:r>
      <w:r w:rsidR="004B3671" w:rsidRPr="004B3671">
        <w:t>June 24, 2019.</w:t>
      </w:r>
    </w:p>
    <w:p w14:paraId="70C0ECAA" w14:textId="36575E2B" w:rsidR="00E7325F" w:rsidRPr="004B3671" w:rsidRDefault="002567C8" w:rsidP="004B3671">
      <w:pPr>
        <w:rPr>
          <w:rFonts w:cstheme="minorHAnsi"/>
        </w:rPr>
      </w:pPr>
      <w:hyperlink r:id="rId20" w:history="1">
        <w:r w:rsidR="004B3671" w:rsidRPr="004B3671">
          <w:rPr>
            <w:rStyle w:val="Hyperlink"/>
            <w:rFonts w:cstheme="minorHAnsi"/>
            <w:color w:val="auto"/>
          </w:rPr>
          <w:t>https://www.nccn.org/professionals/physician_gls/pdf/pain.pdf</w:t>
        </w:r>
      </w:hyperlink>
    </w:p>
    <w:p w14:paraId="50C46758" w14:textId="77777777" w:rsidR="004B3671" w:rsidRPr="004B3671" w:rsidRDefault="004B3671" w:rsidP="004B3671">
      <w:pPr>
        <w:rPr>
          <w:rFonts w:cstheme="minorHAnsi"/>
        </w:rPr>
      </w:pPr>
    </w:p>
    <w:p w14:paraId="34441824" w14:textId="77777777" w:rsidR="00E7325F" w:rsidRPr="004B3671" w:rsidRDefault="00E7325F" w:rsidP="00E7325F">
      <w:pPr>
        <w:widowControl w:val="0"/>
        <w:autoSpaceDE w:val="0"/>
        <w:autoSpaceDN w:val="0"/>
        <w:adjustRightInd w:val="0"/>
        <w:spacing w:after="240" w:line="300" w:lineRule="atLeast"/>
        <w:ind w:left="0" w:firstLine="0"/>
        <w:rPr>
          <w:rFonts w:cs="Calibri"/>
        </w:rPr>
      </w:pPr>
      <w:r w:rsidRPr="004B3671">
        <w:rPr>
          <w:rFonts w:cs="Calibri"/>
        </w:rPr>
        <w:t xml:space="preserve">7. Management of Cancer Pain: ESMO Clinical Practice Guidelines. C. I. </w:t>
      </w:r>
      <w:proofErr w:type="spellStart"/>
      <w:r w:rsidRPr="004B3671">
        <w:rPr>
          <w:rFonts w:cs="Calibri"/>
        </w:rPr>
        <w:t>Ripamonti</w:t>
      </w:r>
      <w:proofErr w:type="spellEnd"/>
      <w:r w:rsidRPr="004B3671">
        <w:rPr>
          <w:rFonts w:cs="Calibri"/>
        </w:rPr>
        <w:t xml:space="preserve">, D. Santini, E. </w:t>
      </w:r>
      <w:proofErr w:type="spellStart"/>
      <w:r w:rsidRPr="004B3671">
        <w:rPr>
          <w:rFonts w:cs="Calibri"/>
        </w:rPr>
        <w:t>Maranzano</w:t>
      </w:r>
      <w:proofErr w:type="spellEnd"/>
      <w:r w:rsidRPr="004B3671">
        <w:rPr>
          <w:rFonts w:cs="Calibri"/>
        </w:rPr>
        <w:t xml:space="preserve">, M. </w:t>
      </w:r>
      <w:proofErr w:type="spellStart"/>
      <w:r w:rsidRPr="004B3671">
        <w:rPr>
          <w:rFonts w:cs="Calibri"/>
        </w:rPr>
        <w:t>Berti</w:t>
      </w:r>
      <w:proofErr w:type="spellEnd"/>
      <w:r w:rsidRPr="004B3671">
        <w:rPr>
          <w:rFonts w:cs="Calibri"/>
        </w:rPr>
        <w:t xml:space="preserve">, F. </w:t>
      </w:r>
      <w:proofErr w:type="spellStart"/>
      <w:proofErr w:type="gramStart"/>
      <w:r w:rsidRPr="004B3671">
        <w:rPr>
          <w:rFonts w:cs="Calibri"/>
        </w:rPr>
        <w:t>Roila</w:t>
      </w:r>
      <w:proofErr w:type="spellEnd"/>
      <w:r w:rsidRPr="004B3671">
        <w:rPr>
          <w:rFonts w:cs="Calibri"/>
        </w:rPr>
        <w:t xml:space="preserve"> .</w:t>
      </w:r>
      <w:proofErr w:type="gramEnd"/>
      <w:r w:rsidRPr="004B3671">
        <w:rPr>
          <w:rFonts w:cs="Calibri"/>
        </w:rPr>
        <w:t xml:space="preserve"> Ann Oncol 2012; 23 (Suppl 7): vii39-vii154. </w:t>
      </w:r>
    </w:p>
    <w:p w14:paraId="335EE396" w14:textId="3CB7D1E0" w:rsidR="00E7325F" w:rsidRPr="004B3671" w:rsidRDefault="00E7325F" w:rsidP="00E7325F">
      <w:pPr>
        <w:widowControl w:val="0"/>
        <w:autoSpaceDE w:val="0"/>
        <w:autoSpaceDN w:val="0"/>
        <w:adjustRightInd w:val="0"/>
        <w:spacing w:after="240" w:line="300" w:lineRule="atLeast"/>
        <w:ind w:left="0" w:firstLine="0"/>
        <w:rPr>
          <w:rFonts w:cs="Times Roman"/>
        </w:rPr>
      </w:pPr>
      <w:r w:rsidRPr="004B3671">
        <w:rPr>
          <w:rFonts w:cs="Calibri"/>
        </w:rPr>
        <w:t xml:space="preserve">8. Frankish H. 15 million new cancer cases per year by 2020, says WHO. Lancet 2003; 361: 1278. </w:t>
      </w:r>
    </w:p>
    <w:p w14:paraId="55B8DA5C" w14:textId="7F6499FE" w:rsidR="00676BD4" w:rsidRPr="00EB1561" w:rsidRDefault="00676BD4" w:rsidP="002E2177">
      <w:pPr>
        <w:ind w:left="432" w:hanging="432"/>
        <w:rPr>
          <w:b/>
          <w:color w:val="FF0000"/>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5D234BD3" w:rsidR="00A9011D" w:rsidRPr="00A9011D" w:rsidRDefault="0068465F" w:rsidP="00A9011D">
      <w:pPr>
        <w:ind w:left="0" w:firstLine="0"/>
        <w:rPr>
          <w:rFonts w:ascii="Calibri" w:eastAsia="Calibri" w:hAnsi="Calibri" w:cs="Times New Roman"/>
        </w:rPr>
      </w:pPr>
      <w:r w:rsidRPr="00727E48">
        <w:rPr>
          <w:rFonts w:ascii="Times New Roman" w:eastAsia="Arial Unicode MS" w:hAnsi="Times New Roman" w:cs="Mangal" w:hint="eastAsia"/>
          <w:color w:val="3366FF"/>
          <w:kern w:val="1"/>
          <w:sz w:val="24"/>
          <w:szCs w:val="24"/>
          <w:lang w:eastAsia="hi-IN" w:bidi="hi-IN"/>
        </w:rPr>
        <w:sym w:font="Wingdings 2" w:char="F053"/>
      </w:r>
      <w:r w:rsidR="00EC1225">
        <w:rPr>
          <w:rFonts w:ascii="Times New Roman" w:eastAsia="Arial Unicode MS" w:hAnsi="Times New Roman" w:cs="Mangal"/>
          <w:color w:val="0000FF"/>
          <w:kern w:val="1"/>
          <w:sz w:val="24"/>
          <w:szCs w:val="24"/>
          <w:lang w:eastAsia="hi-IN" w:bidi="hi-IN"/>
        </w:rPr>
        <w:t xml:space="preserve"> </w:t>
      </w:r>
      <w:r w:rsidR="00A9011D" w:rsidRPr="00945C86">
        <w:rPr>
          <w:rFonts w:ascii="Calibri" w:eastAsia="Calibri" w:hAnsi="Calibri" w:cs="Times New Roman"/>
        </w:rPr>
        <w:t xml:space="preserve">Clinical Practice Guideline </w:t>
      </w:r>
      <w:r w:rsidR="00945C86" w:rsidRPr="00945C86">
        <w:rPr>
          <w:rFonts w:ascii="Calibri" w:eastAsia="Calibri" w:hAnsi="Calibri" w:cs="Times New Roman"/>
        </w:rPr>
        <w:t>recommendation (</w:t>
      </w:r>
      <w:r w:rsidR="00EC1225">
        <w:rPr>
          <w:rFonts w:ascii="Calibri" w:eastAsia="Calibri" w:hAnsi="Calibri" w:cs="Times New Roman"/>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402"/>
        <w:gridCol w:w="5948"/>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6A969A5C" w14:textId="08EF86B4" w:rsidR="007D1874" w:rsidRPr="00F90476" w:rsidRDefault="00F90476" w:rsidP="009443E5">
            <w:pPr>
              <w:ind w:left="62" w:firstLine="0"/>
              <w:rPr>
                <w:rFonts w:cstheme="minorHAnsi"/>
              </w:rPr>
            </w:pPr>
            <w:r w:rsidRPr="002C3311">
              <w:t xml:space="preserve">Swarm RA, </w:t>
            </w:r>
            <w:proofErr w:type="spellStart"/>
            <w:r w:rsidR="00B21D47">
              <w:t>Paice</w:t>
            </w:r>
            <w:proofErr w:type="spellEnd"/>
            <w:r w:rsidR="00B21D47">
              <w:t xml:space="preserve"> JA, </w:t>
            </w:r>
            <w:proofErr w:type="spellStart"/>
            <w:r w:rsidR="00B21D47">
              <w:t>Anghelescu</w:t>
            </w:r>
            <w:proofErr w:type="spellEnd"/>
            <w:r w:rsidR="00B21D47">
              <w:t xml:space="preserve"> DL, et al. </w:t>
            </w:r>
            <w:r w:rsidRPr="002C3311">
              <w:t>NCCN Guidelines Panel</w:t>
            </w:r>
            <w:r>
              <w:rPr>
                <w:rFonts w:cstheme="minorHAnsi"/>
              </w:rPr>
              <w:t xml:space="preserve">. </w:t>
            </w:r>
            <w:r w:rsidR="007D1874" w:rsidRPr="002C3311">
              <w:t>NCCN Clinical Practice Guidelines in Oncology – Adult Cancer Pain</w:t>
            </w:r>
            <w:r>
              <w:rPr>
                <w:rFonts w:cstheme="minorHAnsi"/>
              </w:rPr>
              <w:t xml:space="preserve">. </w:t>
            </w:r>
            <w:r w:rsidR="00900A4D">
              <w:rPr>
                <w:rFonts w:cstheme="minorHAnsi"/>
              </w:rPr>
              <w:t xml:space="preserve">Version 3. 2019. </w:t>
            </w:r>
            <w:r w:rsidR="00900A4D">
              <w:t>June 24, 2019.</w:t>
            </w:r>
          </w:p>
          <w:p w14:paraId="1C268AFE" w14:textId="34502621" w:rsidR="00D065EF" w:rsidRDefault="002567C8" w:rsidP="0072684F">
            <w:pPr>
              <w:rPr>
                <w:rFonts w:cstheme="minorHAnsi"/>
              </w:rPr>
            </w:pPr>
            <w:hyperlink r:id="rId21" w:history="1">
              <w:r w:rsidR="00B21D47" w:rsidRPr="00E42431">
                <w:rPr>
                  <w:rStyle w:val="Hyperlink"/>
                  <w:rFonts w:cstheme="minorHAnsi"/>
                </w:rPr>
                <w:t>https://www.nccn.org/professionals/physician_gls/pdf/pain.pdf</w:t>
              </w:r>
            </w:hyperlink>
          </w:p>
          <w:p w14:paraId="55B8DA75" w14:textId="5A37723E" w:rsidR="00B21D47" w:rsidRPr="00F90476" w:rsidRDefault="00B21D47" w:rsidP="0072684F">
            <w:pPr>
              <w:rPr>
                <w:rFonts w:cstheme="minorHAnsi"/>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FB99CD4" w14:textId="793254CF" w:rsidR="00F14D97" w:rsidRPr="00B134BF" w:rsidRDefault="00F14D97" w:rsidP="0072684F">
            <w:pPr>
              <w:ind w:left="0" w:firstLine="0"/>
            </w:pPr>
            <w:r w:rsidRPr="00B134BF">
              <w:t xml:space="preserve">Management of pain in opioid-naïve </w:t>
            </w:r>
            <w:r w:rsidR="00B134BF" w:rsidRPr="00B134BF">
              <w:t>patients</w:t>
            </w:r>
          </w:p>
          <w:p w14:paraId="728CDAA4" w14:textId="3E5ED32A" w:rsidR="00AB4ECE" w:rsidRPr="00B134BF" w:rsidRDefault="00F14D97" w:rsidP="0072684F">
            <w:pPr>
              <w:pStyle w:val="ListParagraph"/>
              <w:numPr>
                <w:ilvl w:val="0"/>
                <w:numId w:val="20"/>
              </w:numPr>
              <w:spacing w:after="0" w:line="240" w:lineRule="auto"/>
            </w:pPr>
            <w:r w:rsidRPr="00B134BF">
              <w:t>Select the most appropriate medication based on the pain diagnosis, comorbid conditions, and potential drug interactions.</w:t>
            </w:r>
          </w:p>
          <w:p w14:paraId="1D3470AD" w14:textId="7FB7AF32" w:rsidR="00C2709C" w:rsidRPr="00B134BF" w:rsidRDefault="00C2709C"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Analgesic regimen may include an opioid</w:t>
            </w:r>
            <w:r w:rsidRPr="00B134BF">
              <w:rPr>
                <w:rFonts w:cs="Arial"/>
                <w:bCs/>
                <w:color w:val="0A5093"/>
              </w:rPr>
              <w:t>,</w:t>
            </w:r>
            <w:r w:rsidRPr="00B134BF">
              <w:rPr>
                <w:rFonts w:cs="Arial"/>
                <w:bCs/>
                <w:color w:val="000000"/>
              </w:rPr>
              <w:t xml:space="preserve"> acetaminophen, nonsteroidal anti-inflammatory drugs (NSAIDs), and/or adjuvant analgesics. </w:t>
            </w:r>
          </w:p>
          <w:p w14:paraId="7FD37064" w14:textId="075E778F" w:rsidR="00C2709C" w:rsidRPr="00B134BF" w:rsidRDefault="00C2709C"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 xml:space="preserve">Anticipate and treat analgesic adverse effects, including opioid-induced constipation. </w:t>
            </w:r>
          </w:p>
          <w:p w14:paraId="499BDD89" w14:textId="5A4F8525" w:rsidR="00C2709C" w:rsidRPr="00B134BF" w:rsidRDefault="00C2709C" w:rsidP="0072684F">
            <w:pPr>
              <w:pStyle w:val="ListParagraph"/>
              <w:widowControl w:val="0"/>
              <w:numPr>
                <w:ilvl w:val="0"/>
                <w:numId w:val="20"/>
              </w:numPr>
              <w:autoSpaceDE w:val="0"/>
              <w:autoSpaceDN w:val="0"/>
              <w:adjustRightInd w:val="0"/>
              <w:spacing w:after="0" w:line="240" w:lineRule="auto"/>
              <w:rPr>
                <w:rFonts w:cs="Arial"/>
                <w:bCs/>
                <w:color w:val="0A5093"/>
              </w:rPr>
            </w:pPr>
            <w:r w:rsidRPr="00B134BF">
              <w:rPr>
                <w:rFonts w:cs="Arial"/>
                <w:bCs/>
                <w:color w:val="000000"/>
              </w:rPr>
              <w:t xml:space="preserve">Provide psychosocial support </w:t>
            </w:r>
          </w:p>
          <w:p w14:paraId="6489682D" w14:textId="518444C8" w:rsidR="00C2709C" w:rsidRPr="00B134BF" w:rsidRDefault="00C2709C" w:rsidP="0072684F">
            <w:pPr>
              <w:pStyle w:val="ListParagraph"/>
              <w:widowControl w:val="0"/>
              <w:numPr>
                <w:ilvl w:val="0"/>
                <w:numId w:val="20"/>
              </w:numPr>
              <w:autoSpaceDE w:val="0"/>
              <w:autoSpaceDN w:val="0"/>
              <w:adjustRightInd w:val="0"/>
              <w:spacing w:after="0" w:line="240" w:lineRule="auto"/>
              <w:rPr>
                <w:rFonts w:cs="Arial"/>
                <w:bCs/>
                <w:color w:val="000000"/>
              </w:rPr>
            </w:pPr>
            <w:r w:rsidRPr="00B134BF">
              <w:rPr>
                <w:rFonts w:cs="Arial"/>
                <w:bCs/>
                <w:color w:val="000000"/>
              </w:rPr>
              <w:t>Provide patient and family/caregiver education</w:t>
            </w:r>
          </w:p>
          <w:p w14:paraId="2B3EA23B" w14:textId="77777777" w:rsidR="00F14D97" w:rsidRPr="00B134BF" w:rsidRDefault="00C2709C"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 xml:space="preserve">Optimize integrative interventions </w:t>
            </w:r>
          </w:p>
          <w:p w14:paraId="0121C21A" w14:textId="77777777" w:rsidR="0059208E" w:rsidRPr="00B134BF" w:rsidRDefault="0059208E"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Reevaluate pain at each contact and as needed to meet patient-specific goals for comfort, function and safety.</w:t>
            </w:r>
          </w:p>
          <w:p w14:paraId="21E9CA1E" w14:textId="77777777" w:rsidR="0072684F" w:rsidRDefault="0072684F" w:rsidP="0072684F">
            <w:pPr>
              <w:widowControl w:val="0"/>
              <w:autoSpaceDE w:val="0"/>
              <w:autoSpaceDN w:val="0"/>
              <w:adjustRightInd w:val="0"/>
              <w:rPr>
                <w:rFonts w:cs="Times Roman"/>
                <w:color w:val="000000"/>
              </w:rPr>
            </w:pPr>
          </w:p>
          <w:p w14:paraId="0BA52665" w14:textId="7BED8DCA" w:rsidR="00104799" w:rsidRPr="00B134BF" w:rsidRDefault="00104799" w:rsidP="0072684F">
            <w:pPr>
              <w:widowControl w:val="0"/>
              <w:autoSpaceDE w:val="0"/>
              <w:autoSpaceDN w:val="0"/>
              <w:adjustRightInd w:val="0"/>
              <w:rPr>
                <w:rFonts w:cs="Times Roman"/>
                <w:color w:val="000000"/>
              </w:rPr>
            </w:pPr>
            <w:r w:rsidRPr="00B134BF">
              <w:rPr>
                <w:rFonts w:cs="Times Roman"/>
                <w:color w:val="000000"/>
              </w:rPr>
              <w:t>Management of p</w:t>
            </w:r>
            <w:r w:rsidR="00B134BF" w:rsidRPr="00B134BF">
              <w:rPr>
                <w:rFonts w:cs="Times Roman"/>
                <w:color w:val="000000"/>
              </w:rPr>
              <w:t>ain in opioid-tolerant patients</w:t>
            </w:r>
          </w:p>
          <w:p w14:paraId="5ECE11EC" w14:textId="66628FC9"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 xml:space="preserve">Select the most appropriate medication based on the pain diagnosis, comorbid conditions, and potential drug interactions </w:t>
            </w:r>
          </w:p>
          <w:p w14:paraId="229272E3" w14:textId="418B2595"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Analgesic regimen may include an opioid, acetaminophen, NSAIDs, and/or adjuvant analgesics.</w:t>
            </w:r>
          </w:p>
          <w:p w14:paraId="674E345F" w14:textId="248D5337"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Anticipate and treat analgesic adverse effects, including opioid-induced constipation.</w:t>
            </w:r>
          </w:p>
          <w:p w14:paraId="7CDAF089" w14:textId="04DD2D81"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Provide psychosocial support.</w:t>
            </w:r>
          </w:p>
          <w:p w14:paraId="671A79E4" w14:textId="77777777"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 xml:space="preserve">Provide patient and family/caregiver education. </w:t>
            </w:r>
          </w:p>
          <w:p w14:paraId="3E3C0C69" w14:textId="2475988C"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Optimize integrative interventions.</w:t>
            </w:r>
            <w:r w:rsidRPr="00B134BF">
              <w:rPr>
                <w:rFonts w:cs="Arial"/>
                <w:bCs/>
                <w:color w:val="0A5093"/>
              </w:rPr>
              <w:t xml:space="preserve"> </w:t>
            </w:r>
          </w:p>
          <w:p w14:paraId="1E12C74B" w14:textId="77777777" w:rsidR="00104799" w:rsidRPr="00B134BF" w:rsidRDefault="00104799" w:rsidP="0072684F">
            <w:pPr>
              <w:pStyle w:val="ListParagraph"/>
              <w:widowControl w:val="0"/>
              <w:numPr>
                <w:ilvl w:val="0"/>
                <w:numId w:val="20"/>
              </w:numPr>
              <w:autoSpaceDE w:val="0"/>
              <w:autoSpaceDN w:val="0"/>
              <w:adjustRightInd w:val="0"/>
              <w:spacing w:after="0" w:line="240" w:lineRule="auto"/>
              <w:rPr>
                <w:rFonts w:cs="Times Roman"/>
                <w:color w:val="000000"/>
              </w:rPr>
            </w:pPr>
            <w:r w:rsidRPr="00B134BF">
              <w:rPr>
                <w:rFonts w:cs="Arial"/>
                <w:bCs/>
                <w:color w:val="000000"/>
              </w:rPr>
              <w:t>Reevaluate pain at each contact and as needed to meet patient-specific goals for comfort, function and safety.</w:t>
            </w:r>
          </w:p>
          <w:p w14:paraId="20FB9ABF" w14:textId="77777777" w:rsidR="0072684F" w:rsidRDefault="0072684F" w:rsidP="0072684F">
            <w:pPr>
              <w:widowControl w:val="0"/>
              <w:autoSpaceDE w:val="0"/>
              <w:autoSpaceDN w:val="0"/>
              <w:adjustRightInd w:val="0"/>
              <w:ind w:left="0" w:firstLine="0"/>
              <w:rPr>
                <w:rFonts w:cs="Times Roman"/>
                <w:color w:val="000000"/>
              </w:rPr>
            </w:pPr>
          </w:p>
          <w:p w14:paraId="7AA0116C" w14:textId="0EE8C23D" w:rsidR="00B134BF" w:rsidRPr="00B134BF" w:rsidRDefault="00B134BF" w:rsidP="0072684F">
            <w:pPr>
              <w:widowControl w:val="0"/>
              <w:autoSpaceDE w:val="0"/>
              <w:autoSpaceDN w:val="0"/>
              <w:adjustRightInd w:val="0"/>
              <w:ind w:left="0" w:firstLine="0"/>
              <w:rPr>
                <w:rFonts w:cs="Times Roman"/>
                <w:color w:val="000000"/>
              </w:rPr>
            </w:pPr>
            <w:r w:rsidRPr="00B134BF">
              <w:rPr>
                <w:rFonts w:cs="Times Roman"/>
                <w:color w:val="000000"/>
              </w:rPr>
              <w:lastRenderedPageBreak/>
              <w:t>Goals of treatment</w:t>
            </w:r>
          </w:p>
          <w:p w14:paraId="414B060B" w14:textId="77777777" w:rsidR="00B134BF" w:rsidRDefault="00B134BF" w:rsidP="0072684F">
            <w:pPr>
              <w:widowControl w:val="0"/>
              <w:autoSpaceDE w:val="0"/>
              <w:autoSpaceDN w:val="0"/>
              <w:adjustRightInd w:val="0"/>
              <w:ind w:left="0" w:firstLine="0"/>
              <w:rPr>
                <w:rFonts w:cs="Times Roman"/>
                <w:color w:val="000000"/>
              </w:rPr>
            </w:pPr>
            <w:r w:rsidRPr="00B134BF">
              <w:rPr>
                <w:rFonts w:cs="Times Roman"/>
                <w:color w:val="000000"/>
              </w:rPr>
              <w:t>If achieved:</w:t>
            </w:r>
          </w:p>
          <w:p w14:paraId="3A91901F" w14:textId="74459840" w:rsidR="00B134BF" w:rsidRPr="00B134BF" w:rsidRDefault="00B134BF" w:rsidP="0072684F">
            <w:pPr>
              <w:pStyle w:val="ListParagraph"/>
              <w:widowControl w:val="0"/>
              <w:numPr>
                <w:ilvl w:val="0"/>
                <w:numId w:val="21"/>
              </w:numPr>
              <w:autoSpaceDE w:val="0"/>
              <w:autoSpaceDN w:val="0"/>
              <w:adjustRightInd w:val="0"/>
              <w:spacing w:after="0" w:line="240" w:lineRule="auto"/>
              <w:rPr>
                <w:rFonts w:cs="Arial"/>
                <w:bCs/>
                <w:color w:val="000000"/>
                <w:szCs w:val="29"/>
              </w:rPr>
            </w:pPr>
            <w:r w:rsidRPr="00B134BF">
              <w:rPr>
                <w:rFonts w:cs="Arial"/>
                <w:bCs/>
                <w:color w:val="000000"/>
                <w:szCs w:val="29"/>
              </w:rPr>
              <w:t xml:space="preserve">Continue routine follow-up. </w:t>
            </w:r>
          </w:p>
          <w:p w14:paraId="63657D4F" w14:textId="2CEEB8D3" w:rsidR="00B134BF" w:rsidRPr="00B134BF" w:rsidRDefault="00B134BF" w:rsidP="0072684F">
            <w:pPr>
              <w:pStyle w:val="ListParagraph"/>
              <w:widowControl w:val="0"/>
              <w:numPr>
                <w:ilvl w:val="0"/>
                <w:numId w:val="21"/>
              </w:numPr>
              <w:autoSpaceDE w:val="0"/>
              <w:autoSpaceDN w:val="0"/>
              <w:adjustRightInd w:val="0"/>
              <w:spacing w:after="0" w:line="240" w:lineRule="auto"/>
              <w:rPr>
                <w:rFonts w:cs="Times Roman"/>
                <w:color w:val="000000"/>
                <w:sz w:val="18"/>
                <w:szCs w:val="24"/>
              </w:rPr>
            </w:pPr>
            <w:r w:rsidRPr="00B134BF">
              <w:rPr>
                <w:rFonts w:cs="Arial"/>
                <w:bCs/>
                <w:color w:val="000000"/>
                <w:szCs w:val="29"/>
              </w:rPr>
              <w:t xml:space="preserve">Re-evaluate need for opioids and reduce if appropriate. </w:t>
            </w:r>
          </w:p>
          <w:p w14:paraId="47853483" w14:textId="49B38B33" w:rsidR="00B134BF" w:rsidRPr="00B134BF" w:rsidRDefault="00B134BF" w:rsidP="0072684F">
            <w:pPr>
              <w:widowControl w:val="0"/>
              <w:autoSpaceDE w:val="0"/>
              <w:autoSpaceDN w:val="0"/>
              <w:adjustRightInd w:val="0"/>
              <w:ind w:left="0" w:firstLine="0"/>
              <w:rPr>
                <w:rFonts w:cs="Times Roman"/>
                <w:color w:val="000000"/>
              </w:rPr>
            </w:pPr>
            <w:r>
              <w:rPr>
                <w:rFonts w:cs="Times Roman"/>
                <w:color w:val="000000"/>
              </w:rPr>
              <w:t>If not achieved:</w:t>
            </w:r>
          </w:p>
          <w:p w14:paraId="6D2F66BB" w14:textId="1509A034" w:rsidR="00B134BF" w:rsidRPr="00145FB3" w:rsidRDefault="00B134BF" w:rsidP="0072684F">
            <w:pPr>
              <w:pStyle w:val="ListParagraph"/>
              <w:widowControl w:val="0"/>
              <w:numPr>
                <w:ilvl w:val="0"/>
                <w:numId w:val="22"/>
              </w:numPr>
              <w:autoSpaceDE w:val="0"/>
              <w:autoSpaceDN w:val="0"/>
              <w:adjustRightInd w:val="0"/>
              <w:spacing w:after="0" w:line="240" w:lineRule="auto"/>
              <w:rPr>
                <w:rFonts w:cs="Times Roman"/>
                <w:color w:val="000000"/>
                <w:sz w:val="18"/>
                <w:szCs w:val="24"/>
              </w:rPr>
            </w:pPr>
            <w:r w:rsidRPr="00145FB3">
              <w:rPr>
                <w:rFonts w:cs="Arial"/>
                <w:bCs/>
                <w:color w:val="000000"/>
                <w:szCs w:val="29"/>
              </w:rPr>
              <w:t>See Universal Screening and Assessment.</w:t>
            </w:r>
            <w:r w:rsidRPr="00145FB3">
              <w:rPr>
                <w:rFonts w:cs="Arial"/>
                <w:bCs/>
                <w:color w:val="0A5093"/>
                <w:szCs w:val="29"/>
              </w:rPr>
              <w:t xml:space="preserve"> </w:t>
            </w:r>
          </w:p>
          <w:p w14:paraId="4E851363" w14:textId="60D4D13E" w:rsidR="00B134BF" w:rsidRPr="00145FB3" w:rsidRDefault="00B134BF" w:rsidP="0072684F">
            <w:pPr>
              <w:pStyle w:val="ListParagraph"/>
              <w:widowControl w:val="0"/>
              <w:numPr>
                <w:ilvl w:val="0"/>
                <w:numId w:val="22"/>
              </w:numPr>
              <w:autoSpaceDE w:val="0"/>
              <w:autoSpaceDN w:val="0"/>
              <w:adjustRightInd w:val="0"/>
              <w:spacing w:after="0" w:line="240" w:lineRule="auto"/>
              <w:rPr>
                <w:rFonts w:cs="Times Roman"/>
                <w:color w:val="000000"/>
                <w:sz w:val="18"/>
                <w:szCs w:val="24"/>
              </w:rPr>
            </w:pPr>
            <w:r w:rsidRPr="00145FB3">
              <w:rPr>
                <w:rFonts w:cs="Arial"/>
                <w:bCs/>
                <w:color w:val="000000"/>
                <w:szCs w:val="29"/>
              </w:rPr>
              <w:t>Consider pain management specialty consultation.</w:t>
            </w:r>
            <w:r w:rsidRPr="00145FB3">
              <w:rPr>
                <w:rFonts w:cs="Arial"/>
                <w:bCs/>
                <w:color w:val="0A5093"/>
                <w:szCs w:val="29"/>
              </w:rPr>
              <w:t xml:space="preserve"> </w:t>
            </w:r>
          </w:p>
          <w:p w14:paraId="624595C1" w14:textId="167C4898" w:rsidR="00B134BF" w:rsidRPr="00145FB3" w:rsidRDefault="00B134BF" w:rsidP="0072684F">
            <w:pPr>
              <w:pStyle w:val="ListParagraph"/>
              <w:widowControl w:val="0"/>
              <w:numPr>
                <w:ilvl w:val="0"/>
                <w:numId w:val="22"/>
              </w:numPr>
              <w:autoSpaceDE w:val="0"/>
              <w:autoSpaceDN w:val="0"/>
              <w:adjustRightInd w:val="0"/>
              <w:spacing w:after="0" w:line="240" w:lineRule="auto"/>
              <w:rPr>
                <w:rFonts w:cs="Times Roman"/>
                <w:color w:val="000000"/>
                <w:sz w:val="18"/>
                <w:szCs w:val="24"/>
              </w:rPr>
            </w:pPr>
            <w:r w:rsidRPr="00145FB3">
              <w:rPr>
                <w:rFonts w:cs="Arial"/>
                <w:bCs/>
                <w:color w:val="000000"/>
                <w:szCs w:val="29"/>
              </w:rPr>
              <w:t>Consider interventional strategies</w:t>
            </w:r>
            <w:r w:rsidRPr="00145FB3">
              <w:rPr>
                <w:rFonts w:cs="Arial"/>
                <w:bCs/>
                <w:color w:val="0A5093"/>
                <w:szCs w:val="29"/>
              </w:rPr>
              <w:t xml:space="preserve"> </w:t>
            </w:r>
            <w:r w:rsidRPr="00145FB3">
              <w:rPr>
                <w:rFonts w:cs="Arial"/>
                <w:bCs/>
                <w:color w:val="000000"/>
                <w:szCs w:val="29"/>
              </w:rPr>
              <w:t xml:space="preserve">or other treatments. </w:t>
            </w:r>
          </w:p>
          <w:p w14:paraId="55B8DA78" w14:textId="38F99E0D" w:rsidR="00104799" w:rsidRPr="00145FB3" w:rsidRDefault="00B134BF" w:rsidP="0072684F">
            <w:pPr>
              <w:pStyle w:val="ListParagraph"/>
              <w:widowControl w:val="0"/>
              <w:numPr>
                <w:ilvl w:val="0"/>
                <w:numId w:val="22"/>
              </w:numPr>
              <w:autoSpaceDE w:val="0"/>
              <w:autoSpaceDN w:val="0"/>
              <w:adjustRightInd w:val="0"/>
              <w:spacing w:after="0" w:line="240" w:lineRule="auto"/>
              <w:rPr>
                <w:rFonts w:cs="Times Roman"/>
                <w:color w:val="000000"/>
                <w:sz w:val="18"/>
                <w:szCs w:val="24"/>
              </w:rPr>
            </w:pPr>
            <w:r w:rsidRPr="00145FB3">
              <w:rPr>
                <w:rFonts w:cs="Arial"/>
                <w:bCs/>
                <w:color w:val="000000"/>
                <w:szCs w:val="29"/>
              </w:rPr>
              <w:t xml:space="preserve">Consider palliative care consultation. </w:t>
            </w:r>
          </w:p>
        </w:tc>
      </w:tr>
      <w:tr w:rsidR="00AB4ECE" w14:paraId="55B8DA7C" w14:textId="77777777" w:rsidTr="00F90F82">
        <w:tc>
          <w:tcPr>
            <w:tcW w:w="4068" w:type="dxa"/>
          </w:tcPr>
          <w:p w14:paraId="55B8DA7A" w14:textId="7D52C9A1"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5B8DA7B" w14:textId="5BF017E5" w:rsidR="00713A68" w:rsidRPr="00292E97" w:rsidRDefault="00292E97" w:rsidP="0072684F">
            <w:pPr>
              <w:rPr>
                <w:rFonts w:cstheme="minorHAnsi"/>
                <w:bCs/>
                <w:color w:val="FF0000"/>
              </w:rPr>
            </w:pPr>
            <w:r w:rsidRPr="002C3311">
              <w:rPr>
                <w:rFonts w:cstheme="minorHAnsi"/>
                <w:bCs/>
              </w:rPr>
              <w:t xml:space="preserve">Category 2A; </w:t>
            </w:r>
            <w:r w:rsidRPr="002C3311">
              <w:rPr>
                <w:rFonts w:cstheme="minorHAnsi"/>
              </w:rPr>
              <w:t>Based upon lower-level evidence, there is uniform NCCN consensus that the intervention is appropriate</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6162BC85" w14:textId="3ECFA759" w:rsidR="004A7388" w:rsidRPr="002C3311" w:rsidRDefault="004A7388" w:rsidP="0072684F">
            <w:pPr>
              <w:rPr>
                <w:rFonts w:cstheme="minorHAnsi"/>
                <w:b/>
              </w:rPr>
            </w:pPr>
            <w:r w:rsidRPr="002C3311">
              <w:rPr>
                <w:rFonts w:cstheme="minorHAnsi"/>
              </w:rPr>
              <w:t>NCCN Categories of Evidence and Consensus:</w:t>
            </w:r>
          </w:p>
          <w:p w14:paraId="23E734C0" w14:textId="77777777" w:rsidR="004A7388" w:rsidRPr="002C3311" w:rsidRDefault="004A7388" w:rsidP="0072684F">
            <w:pPr>
              <w:rPr>
                <w:rFonts w:cstheme="minorHAnsi"/>
              </w:rPr>
            </w:pPr>
          </w:p>
          <w:p w14:paraId="77DF7BF1" w14:textId="021FC718" w:rsidR="004A7388" w:rsidRPr="002C3311" w:rsidRDefault="004A7388" w:rsidP="0072684F">
            <w:pPr>
              <w:pStyle w:val="ListParagraph"/>
              <w:numPr>
                <w:ilvl w:val="0"/>
                <w:numId w:val="17"/>
              </w:numPr>
              <w:spacing w:after="0" w:line="240" w:lineRule="auto"/>
              <w:rPr>
                <w:rFonts w:cstheme="minorHAnsi"/>
              </w:rPr>
            </w:pPr>
            <w:r w:rsidRPr="002C3311">
              <w:rPr>
                <w:rFonts w:cstheme="minorHAnsi"/>
              </w:rPr>
              <w:t>Category 1: Based upon high-level evidence, there is uniform NCCN consensus that the intervention is appropriate.</w:t>
            </w:r>
          </w:p>
          <w:p w14:paraId="53A2D6B8" w14:textId="1287E318" w:rsidR="004A7388" w:rsidRPr="002C3311" w:rsidRDefault="004A7388" w:rsidP="0072684F">
            <w:pPr>
              <w:pStyle w:val="ListParagraph"/>
              <w:numPr>
                <w:ilvl w:val="0"/>
                <w:numId w:val="17"/>
              </w:numPr>
              <w:spacing w:after="0" w:line="240" w:lineRule="auto"/>
              <w:rPr>
                <w:rFonts w:cstheme="minorHAnsi"/>
              </w:rPr>
            </w:pPr>
            <w:r w:rsidRPr="002C3311">
              <w:rPr>
                <w:rFonts w:cstheme="minorHAnsi"/>
              </w:rPr>
              <w:t>Category 2A: Based upon lower-level evidence, there is uniform NCCN consensus that the intervention is appropriate.</w:t>
            </w:r>
          </w:p>
          <w:p w14:paraId="29142896" w14:textId="0E5CA08C" w:rsidR="004A7388" w:rsidRPr="002C3311" w:rsidRDefault="004A7388" w:rsidP="0072684F">
            <w:pPr>
              <w:pStyle w:val="ListParagraph"/>
              <w:numPr>
                <w:ilvl w:val="0"/>
                <w:numId w:val="17"/>
              </w:numPr>
              <w:spacing w:after="0" w:line="240" w:lineRule="auto"/>
              <w:rPr>
                <w:rFonts w:cstheme="minorHAnsi"/>
              </w:rPr>
            </w:pPr>
            <w:r w:rsidRPr="002C3311">
              <w:rPr>
                <w:rFonts w:cstheme="minorHAnsi"/>
              </w:rPr>
              <w:t>Category 2B: Based upon lower-level evidence, there is NCCN consensus that the intervention is appropriate.</w:t>
            </w:r>
          </w:p>
          <w:p w14:paraId="55B8DA7E" w14:textId="087FE0D9" w:rsidR="00AB4ECE" w:rsidRPr="002C3311" w:rsidRDefault="004A7388" w:rsidP="0072684F">
            <w:pPr>
              <w:pStyle w:val="ListParagraph"/>
              <w:numPr>
                <w:ilvl w:val="0"/>
                <w:numId w:val="17"/>
              </w:numPr>
              <w:spacing w:after="0" w:line="240" w:lineRule="auto"/>
              <w:rPr>
                <w:rFonts w:cstheme="minorHAnsi"/>
                <w:color w:val="0000FF"/>
              </w:rPr>
            </w:pPr>
            <w:r w:rsidRPr="002C3311">
              <w:rPr>
                <w:rFonts w:cstheme="minorHAnsi"/>
              </w:rPr>
              <w:t>Category 3: Based upon any level of evidence, there is major NCCN disagreement that the intervention is appropriate.</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46A00E7A" w:rsidR="00AB4ECE" w:rsidRDefault="00574E10" w:rsidP="0072684F">
            <w:pPr>
              <w:ind w:left="0" w:firstLine="0"/>
            </w:pPr>
            <w:r w:rsidRPr="002C3311">
              <w:rPr>
                <w:rFonts w:cstheme="minorHAnsi"/>
                <w:bCs/>
              </w:rPr>
              <w:t xml:space="preserve">Category 2A; </w:t>
            </w:r>
            <w:r w:rsidRPr="002C3311">
              <w:rPr>
                <w:rFonts w:cstheme="minorHAnsi"/>
              </w:rPr>
              <w:t>Based upon lower-level evidence, there is uniform NCCN consensus that the intervention is appropriate</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2D21D352" w14:textId="77777777" w:rsidR="00574E10" w:rsidRPr="002C3311" w:rsidRDefault="00574E10" w:rsidP="0072684F">
            <w:pPr>
              <w:rPr>
                <w:rFonts w:cstheme="minorHAnsi"/>
                <w:b/>
              </w:rPr>
            </w:pPr>
            <w:r w:rsidRPr="002C3311">
              <w:rPr>
                <w:rFonts w:cstheme="minorHAnsi"/>
              </w:rPr>
              <w:t>NCCN Categories of Evidence and Consensus:</w:t>
            </w:r>
          </w:p>
          <w:p w14:paraId="05B4B700" w14:textId="77777777" w:rsidR="00574E10" w:rsidRPr="002C3311" w:rsidRDefault="00574E10" w:rsidP="0072684F">
            <w:pPr>
              <w:rPr>
                <w:rFonts w:cstheme="minorHAnsi"/>
              </w:rPr>
            </w:pPr>
          </w:p>
          <w:p w14:paraId="00DD360C" w14:textId="77777777" w:rsidR="00574E10" w:rsidRPr="002C3311" w:rsidRDefault="00574E10" w:rsidP="0072684F">
            <w:pPr>
              <w:pStyle w:val="ListParagraph"/>
              <w:numPr>
                <w:ilvl w:val="0"/>
                <w:numId w:val="17"/>
              </w:numPr>
              <w:spacing w:after="0" w:line="240" w:lineRule="auto"/>
              <w:rPr>
                <w:rFonts w:cstheme="minorHAnsi"/>
              </w:rPr>
            </w:pPr>
            <w:r w:rsidRPr="002C3311">
              <w:rPr>
                <w:rFonts w:cstheme="minorHAnsi"/>
              </w:rPr>
              <w:t>Category 1: Based upon high-level evidence, there is uniform NCCN consensus that the intervention is appropriate.</w:t>
            </w:r>
          </w:p>
          <w:p w14:paraId="416F22EE" w14:textId="77777777" w:rsidR="00574E10" w:rsidRPr="002C3311" w:rsidRDefault="00574E10" w:rsidP="0072684F">
            <w:pPr>
              <w:pStyle w:val="ListParagraph"/>
              <w:numPr>
                <w:ilvl w:val="0"/>
                <w:numId w:val="17"/>
              </w:numPr>
              <w:spacing w:after="0" w:line="240" w:lineRule="auto"/>
              <w:rPr>
                <w:rFonts w:cstheme="minorHAnsi"/>
              </w:rPr>
            </w:pPr>
            <w:r w:rsidRPr="002C3311">
              <w:rPr>
                <w:rFonts w:cstheme="minorHAnsi"/>
              </w:rPr>
              <w:t>Category 2A: Based upon lower-level evidence, there is uniform NCCN consensus that the intervention is appropriate.</w:t>
            </w:r>
          </w:p>
          <w:p w14:paraId="5F9BE39F" w14:textId="77777777" w:rsidR="00574E10" w:rsidRPr="002C3311" w:rsidRDefault="00574E10" w:rsidP="0072684F">
            <w:pPr>
              <w:pStyle w:val="ListParagraph"/>
              <w:numPr>
                <w:ilvl w:val="0"/>
                <w:numId w:val="17"/>
              </w:numPr>
              <w:spacing w:after="0" w:line="240" w:lineRule="auto"/>
              <w:rPr>
                <w:rFonts w:cstheme="minorHAnsi"/>
              </w:rPr>
            </w:pPr>
            <w:r w:rsidRPr="002C3311">
              <w:rPr>
                <w:rFonts w:cstheme="minorHAnsi"/>
              </w:rPr>
              <w:t>Category 2B: Based upon lower-level evidence, there is NCCN consensus that the intervention is appropriate.</w:t>
            </w:r>
          </w:p>
          <w:p w14:paraId="55B8DA84" w14:textId="652FDD31" w:rsidR="00AB4ECE" w:rsidRPr="002C3311" w:rsidRDefault="00574E10" w:rsidP="0072684F">
            <w:pPr>
              <w:pStyle w:val="ListParagraph"/>
              <w:numPr>
                <w:ilvl w:val="0"/>
                <w:numId w:val="17"/>
              </w:numPr>
              <w:spacing w:after="0" w:line="240" w:lineRule="auto"/>
              <w:rPr>
                <w:rFonts w:cstheme="minorHAnsi"/>
              </w:rPr>
            </w:pPr>
            <w:r w:rsidRPr="002C3311">
              <w:rPr>
                <w:rFonts w:cstheme="minorHAnsi"/>
              </w:rPr>
              <w:t>Category 3: Based upon any level of evidence, there is major NCCN disagreement that the intervention is appropriate.</w:t>
            </w:r>
          </w:p>
        </w:tc>
      </w:tr>
      <w:tr w:rsidR="00AB4ECE" w14:paraId="55B8DA8A" w14:textId="77777777" w:rsidTr="003D59F2">
        <w:trPr>
          <w:trHeight w:val="4400"/>
        </w:trPr>
        <w:tc>
          <w:tcPr>
            <w:tcW w:w="4068"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26D8A8FD" w14:textId="28E814F5" w:rsidR="00136A0E" w:rsidRDefault="0072684F" w:rsidP="0072684F">
            <w:pPr>
              <w:ind w:left="0" w:hanging="28"/>
              <w:rPr>
                <w:rFonts w:cstheme="minorHAnsi"/>
              </w:rPr>
            </w:pPr>
            <w:r>
              <w:rPr>
                <w:rFonts w:cstheme="minorHAnsi"/>
              </w:rPr>
              <w:t>The NCCN guideline does</w:t>
            </w:r>
            <w:r w:rsidR="00136A0E">
              <w:rPr>
                <w:rFonts w:cstheme="minorHAnsi"/>
              </w:rPr>
              <w:t xml:space="preserve"> not include an overview of the body of evidence used for </w:t>
            </w:r>
            <w:r w:rsidR="00F065F8">
              <w:rPr>
                <w:rFonts w:cstheme="minorHAnsi"/>
              </w:rPr>
              <w:t>the</w:t>
            </w:r>
            <w:r w:rsidR="00136A0E">
              <w:rPr>
                <w:rFonts w:cstheme="minorHAnsi"/>
              </w:rPr>
              <w:t xml:space="preserve"> recommendations</w:t>
            </w:r>
            <w:r w:rsidR="00F065F8">
              <w:rPr>
                <w:rFonts w:cstheme="minorHAnsi"/>
              </w:rPr>
              <w:t xml:space="preserve"> specific to the overall management of pain</w:t>
            </w:r>
            <w:r w:rsidR="00136A0E">
              <w:rPr>
                <w:rFonts w:cstheme="minorHAnsi"/>
              </w:rPr>
              <w:t>. However,</w:t>
            </w:r>
            <w:r w:rsidR="00F065F8">
              <w:rPr>
                <w:rFonts w:cstheme="minorHAnsi"/>
              </w:rPr>
              <w:t xml:space="preserve"> the guideline does provide</w:t>
            </w:r>
            <w:r w:rsidR="00136A0E">
              <w:rPr>
                <w:rFonts w:cstheme="minorHAnsi"/>
              </w:rPr>
              <w:t xml:space="preserve"> </w:t>
            </w:r>
            <w:r w:rsidR="00F065F8">
              <w:rPr>
                <w:rFonts w:cstheme="minorHAnsi"/>
              </w:rPr>
              <w:t>an in-depth</w:t>
            </w:r>
            <w:r w:rsidR="00136A0E">
              <w:rPr>
                <w:rFonts w:cstheme="minorHAnsi"/>
              </w:rPr>
              <w:t xml:space="preserve"> </w:t>
            </w:r>
            <w:r w:rsidR="00F065F8">
              <w:rPr>
                <w:rFonts w:cstheme="minorHAnsi"/>
              </w:rPr>
              <w:t>discussion on the evidence, benefits and harms of specific therapies and interventions (e.g., aspirin, opioids, strategies for specific cancer pain syndromes, non-pharmacologic). This analysis includes the following summary (MS-29):</w:t>
            </w:r>
          </w:p>
          <w:p w14:paraId="55B8DA89" w14:textId="07AA0F0D" w:rsidR="00AB4ECE" w:rsidRPr="00D24E78" w:rsidRDefault="00F065F8" w:rsidP="00D24E78">
            <w:pPr>
              <w:pStyle w:val="ListParagraph"/>
              <w:widowControl w:val="0"/>
              <w:numPr>
                <w:ilvl w:val="0"/>
                <w:numId w:val="23"/>
              </w:numPr>
              <w:autoSpaceDE w:val="0"/>
              <w:autoSpaceDN w:val="0"/>
              <w:adjustRightInd w:val="0"/>
              <w:spacing w:after="0" w:line="240" w:lineRule="auto"/>
              <w:rPr>
                <w:rFonts w:cs="Times Roman"/>
                <w:color w:val="000000"/>
              </w:rPr>
            </w:pPr>
            <w:r w:rsidRPr="00F065F8">
              <w:rPr>
                <w:rFonts w:cs="Arial"/>
                <w:color w:val="000000"/>
              </w:rPr>
              <w:t xml:space="preserve">In most patients, cancer pain can be successfully managed with appropriate techniques and safe drugs. The overall approach to pain management encompassed in these guidelines is multimodal and comprehensive. It is based on routine pain assessments, utilizes both pharmacologic and nonpharmacologic interventions, and requires ongoing reevaluation of the patient. The NCCN Adult Cancer Pain Guidelines Panel advises that cancer pain can be well managed in the vast majority of patients if the algorithms presented are systematically applied, carefully monitored, and tailored to the needs of the individual patient. </w:t>
            </w:r>
          </w:p>
        </w:tc>
      </w:tr>
      <w:tr w:rsidR="00AB4ECE" w14:paraId="55B8DA8D" w14:textId="77777777" w:rsidTr="00F90F82">
        <w:tc>
          <w:tcPr>
            <w:tcW w:w="4068" w:type="dxa"/>
          </w:tcPr>
          <w:p w14:paraId="55B8DA8B" w14:textId="440A9331" w:rsidR="00AB4ECE" w:rsidRDefault="000E5C93" w:rsidP="002E2177">
            <w:pPr>
              <w:ind w:left="0" w:firstLine="0"/>
            </w:pPr>
            <w:r>
              <w:t xml:space="preserve">Estimates of benefit and consistency across studies </w:t>
            </w:r>
          </w:p>
        </w:tc>
        <w:tc>
          <w:tcPr>
            <w:tcW w:w="5130" w:type="dxa"/>
          </w:tcPr>
          <w:p w14:paraId="45B30F43" w14:textId="4266D3D4" w:rsidR="007F01B3" w:rsidRPr="002C3311" w:rsidRDefault="003D59F2" w:rsidP="007F01B3">
            <w:pPr>
              <w:rPr>
                <w:rFonts w:cstheme="minorHAnsi"/>
                <w:i/>
              </w:rPr>
            </w:pPr>
            <w:r>
              <w:rPr>
                <w:rFonts w:cstheme="minorHAnsi"/>
              </w:rPr>
              <w:t>See Body of Evidence section.</w:t>
            </w:r>
          </w:p>
          <w:p w14:paraId="55B8DA8C" w14:textId="77777777" w:rsidR="00AB4ECE" w:rsidRPr="002C3311"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6B92BA04" w14:textId="122D977A" w:rsidR="003D59F2" w:rsidRPr="002C3311" w:rsidRDefault="003D59F2" w:rsidP="003D59F2">
            <w:pPr>
              <w:rPr>
                <w:rFonts w:cstheme="minorHAnsi"/>
                <w:i/>
              </w:rPr>
            </w:pPr>
            <w:r>
              <w:rPr>
                <w:rFonts w:cstheme="minorHAnsi"/>
              </w:rPr>
              <w:t>See Body of Evidence section.</w:t>
            </w:r>
          </w:p>
          <w:p w14:paraId="55B8DA8F" w14:textId="1134ACEF" w:rsidR="00B2798D" w:rsidRPr="007802D2" w:rsidRDefault="00B2798D" w:rsidP="002E2177">
            <w:pPr>
              <w:ind w:left="0" w:firstLine="0"/>
              <w:rPr>
                <w:rFonts w:cstheme="minorHAnsi"/>
              </w:rPr>
            </w:pPr>
          </w:p>
        </w:tc>
      </w:tr>
      <w:tr w:rsidR="000E5C93" w14:paraId="55B8DA93" w14:textId="77777777" w:rsidTr="00F90F82">
        <w:tc>
          <w:tcPr>
            <w:tcW w:w="4068" w:type="dxa"/>
          </w:tcPr>
          <w:p w14:paraId="55B8DA91" w14:textId="77777777" w:rsidR="000E5C93" w:rsidRPr="00FF0A1C" w:rsidRDefault="000E5C93" w:rsidP="000E5C93">
            <w:pPr>
              <w:ind w:left="0" w:firstLine="0"/>
              <w:rPr>
                <w:highlight w:val="yellow"/>
              </w:rPr>
            </w:pPr>
            <w:r w:rsidRPr="00A3042B">
              <w:t>Identify any new studies conducted since the SR. Do the new studies change the conclusions from the SR?</w:t>
            </w:r>
          </w:p>
        </w:tc>
        <w:tc>
          <w:tcPr>
            <w:tcW w:w="5130" w:type="dxa"/>
          </w:tcPr>
          <w:p w14:paraId="48E5DF51" w14:textId="282E7E26" w:rsidR="00A3042B" w:rsidRDefault="00A94CA7" w:rsidP="00A3042B">
            <w:pPr>
              <w:ind w:left="0" w:firstLine="0"/>
            </w:pPr>
            <w:r>
              <w:t>Updated guidelines continue to support this measure.</w:t>
            </w:r>
          </w:p>
          <w:p w14:paraId="35B5061C" w14:textId="77777777" w:rsidR="00A3042B" w:rsidRDefault="00A3042B" w:rsidP="00A3042B">
            <w:pPr>
              <w:ind w:left="0" w:firstLine="0"/>
            </w:pPr>
          </w:p>
          <w:p w14:paraId="55B8DA92" w14:textId="47B7F4BA" w:rsidR="00382428" w:rsidRPr="00382428" w:rsidRDefault="00382428" w:rsidP="00A94CA7">
            <w:pPr>
              <w:pStyle w:val="Heading4"/>
            </w:pPr>
          </w:p>
        </w:tc>
      </w:tr>
    </w:tbl>
    <w:p w14:paraId="55B8DA94" w14:textId="4B96CE8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AEFF9" w14:textId="77777777" w:rsidR="00A3042B" w:rsidRDefault="00A3042B" w:rsidP="007E37A5">
      <w:r>
        <w:separator/>
      </w:r>
    </w:p>
  </w:endnote>
  <w:endnote w:type="continuationSeparator" w:id="0">
    <w:p w14:paraId="43B0EB79" w14:textId="77777777" w:rsidR="00A3042B" w:rsidRDefault="00A3042B"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Times Roman">
    <w:altName w:val="Times New Roman"/>
    <w:charset w:val="00"/>
    <w:family w:val="auto"/>
    <w:pitch w:val="variable"/>
    <w:sig w:usb0="E00002FF" w:usb1="5000205A" w:usb2="00000000" w:usb3="00000000" w:csb0="0000019F" w:csb1="00000000"/>
  </w:font>
  <w:font w:name="Arial Unicode MS">
    <w:altName w:val="Arial"/>
    <w:panose1 w:val="020B0604020202020204"/>
    <w:charset w:val="00"/>
    <w:family w:val="auto"/>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A3042B" w:rsidRDefault="00A3042B">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94CA7">
      <w:rPr>
        <w:noProof/>
      </w:rPr>
      <w:t>6</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48099" w14:textId="77777777" w:rsidR="00A3042B" w:rsidRDefault="00A3042B" w:rsidP="007E37A5">
      <w:r>
        <w:separator/>
      </w:r>
    </w:p>
  </w:footnote>
  <w:footnote w:type="continuationSeparator" w:id="0">
    <w:p w14:paraId="39762C4C" w14:textId="77777777" w:rsidR="00A3042B" w:rsidRDefault="00A3042B"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A3042B" w:rsidRDefault="00A3042B"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00C4A"/>
    <w:multiLevelType w:val="hybridMultilevel"/>
    <w:tmpl w:val="3218360E"/>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5767B"/>
    <w:multiLevelType w:val="hybridMultilevel"/>
    <w:tmpl w:val="2E025E52"/>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D18C8"/>
    <w:multiLevelType w:val="hybridMultilevel"/>
    <w:tmpl w:val="1008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0C7AD1"/>
    <w:multiLevelType w:val="hybridMultilevel"/>
    <w:tmpl w:val="0246B46E"/>
    <w:lvl w:ilvl="0" w:tplc="7BCC9EC4">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66960"/>
    <w:multiLevelType w:val="hybridMultilevel"/>
    <w:tmpl w:val="85CED352"/>
    <w:lvl w:ilvl="0" w:tplc="F2B6C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4562F"/>
    <w:multiLevelType w:val="hybridMultilevel"/>
    <w:tmpl w:val="27E86D60"/>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402EE"/>
    <w:multiLevelType w:val="hybridMultilevel"/>
    <w:tmpl w:val="2812AC54"/>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806D75"/>
    <w:multiLevelType w:val="hybridMultilevel"/>
    <w:tmpl w:val="D5A6BE76"/>
    <w:lvl w:ilvl="0" w:tplc="4A481EF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A96D86"/>
    <w:multiLevelType w:val="hybridMultilevel"/>
    <w:tmpl w:val="1008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0607D5"/>
    <w:multiLevelType w:val="hybridMultilevel"/>
    <w:tmpl w:val="689A5188"/>
    <w:lvl w:ilvl="0" w:tplc="86200A98">
      <w:start w:val="1"/>
      <w:numFmt w:val="bullet"/>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3006B3"/>
    <w:multiLevelType w:val="hybridMultilevel"/>
    <w:tmpl w:val="3CC4B1C4"/>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3460FB"/>
    <w:multiLevelType w:val="hybridMultilevel"/>
    <w:tmpl w:val="7F8A3DA2"/>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7B4E77"/>
    <w:multiLevelType w:val="hybridMultilevel"/>
    <w:tmpl w:val="2C8EC06A"/>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0F11DF"/>
    <w:multiLevelType w:val="hybridMultilevel"/>
    <w:tmpl w:val="E0387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7"/>
  </w:num>
  <w:num w:numId="4">
    <w:abstractNumId w:val="9"/>
  </w:num>
  <w:num w:numId="5">
    <w:abstractNumId w:val="12"/>
  </w:num>
  <w:num w:numId="6">
    <w:abstractNumId w:val="10"/>
  </w:num>
  <w:num w:numId="7">
    <w:abstractNumId w:val="21"/>
  </w:num>
  <w:num w:numId="8">
    <w:abstractNumId w:val="20"/>
  </w:num>
  <w:num w:numId="9">
    <w:abstractNumId w:val="22"/>
  </w:num>
  <w:num w:numId="10">
    <w:abstractNumId w:val="2"/>
  </w:num>
  <w:num w:numId="11">
    <w:abstractNumId w:val="14"/>
  </w:num>
  <w:num w:numId="12">
    <w:abstractNumId w:val="3"/>
  </w:num>
  <w:num w:numId="13">
    <w:abstractNumId w:val="15"/>
  </w:num>
  <w:num w:numId="14">
    <w:abstractNumId w:val="4"/>
  </w:num>
  <w:num w:numId="15">
    <w:abstractNumId w:val="0"/>
  </w:num>
  <w:num w:numId="16">
    <w:abstractNumId w:val="19"/>
  </w:num>
  <w:num w:numId="17">
    <w:abstractNumId w:val="1"/>
  </w:num>
  <w:num w:numId="18">
    <w:abstractNumId w:val="11"/>
  </w:num>
  <w:num w:numId="19">
    <w:abstractNumId w:val="8"/>
  </w:num>
  <w:num w:numId="20">
    <w:abstractNumId w:val="5"/>
  </w:num>
  <w:num w:numId="21">
    <w:abstractNumId w:val="18"/>
  </w:num>
  <w:num w:numId="22">
    <w:abstractNumId w:val="1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AF8"/>
    <w:rsid w:val="000110F5"/>
    <w:rsid w:val="00015986"/>
    <w:rsid w:val="000160E6"/>
    <w:rsid w:val="00024526"/>
    <w:rsid w:val="00030F43"/>
    <w:rsid w:val="00040DCF"/>
    <w:rsid w:val="00052C0B"/>
    <w:rsid w:val="00061CF3"/>
    <w:rsid w:val="00063601"/>
    <w:rsid w:val="00067A6F"/>
    <w:rsid w:val="00073079"/>
    <w:rsid w:val="0007593F"/>
    <w:rsid w:val="00095EC9"/>
    <w:rsid w:val="00096A37"/>
    <w:rsid w:val="000A0810"/>
    <w:rsid w:val="000B627F"/>
    <w:rsid w:val="000D649E"/>
    <w:rsid w:val="000D6D06"/>
    <w:rsid w:val="000E4467"/>
    <w:rsid w:val="000E5C93"/>
    <w:rsid w:val="000F4A7F"/>
    <w:rsid w:val="000F4CEA"/>
    <w:rsid w:val="00104799"/>
    <w:rsid w:val="00114848"/>
    <w:rsid w:val="00120934"/>
    <w:rsid w:val="00132070"/>
    <w:rsid w:val="00136A0E"/>
    <w:rsid w:val="00141875"/>
    <w:rsid w:val="0014347E"/>
    <w:rsid w:val="00145FB3"/>
    <w:rsid w:val="00154438"/>
    <w:rsid w:val="001551F6"/>
    <w:rsid w:val="0015535B"/>
    <w:rsid w:val="00162036"/>
    <w:rsid w:val="001632DD"/>
    <w:rsid w:val="00176E60"/>
    <w:rsid w:val="00194913"/>
    <w:rsid w:val="00194D9A"/>
    <w:rsid w:val="001A196B"/>
    <w:rsid w:val="001A5E57"/>
    <w:rsid w:val="001A6D05"/>
    <w:rsid w:val="001B38BF"/>
    <w:rsid w:val="001B550F"/>
    <w:rsid w:val="001B711E"/>
    <w:rsid w:val="001B772D"/>
    <w:rsid w:val="001C0A4D"/>
    <w:rsid w:val="001D5B5D"/>
    <w:rsid w:val="001E3AF6"/>
    <w:rsid w:val="001E6153"/>
    <w:rsid w:val="00201FF9"/>
    <w:rsid w:val="00203FC4"/>
    <w:rsid w:val="00205857"/>
    <w:rsid w:val="00235ADC"/>
    <w:rsid w:val="00236F87"/>
    <w:rsid w:val="00237078"/>
    <w:rsid w:val="002408CE"/>
    <w:rsid w:val="00252971"/>
    <w:rsid w:val="002567C8"/>
    <w:rsid w:val="00265702"/>
    <w:rsid w:val="002662B2"/>
    <w:rsid w:val="002717C7"/>
    <w:rsid w:val="002875E9"/>
    <w:rsid w:val="00287EB3"/>
    <w:rsid w:val="00292E97"/>
    <w:rsid w:val="002A47BA"/>
    <w:rsid w:val="002A6777"/>
    <w:rsid w:val="002B06BD"/>
    <w:rsid w:val="002C0E48"/>
    <w:rsid w:val="002C3311"/>
    <w:rsid w:val="002C6F04"/>
    <w:rsid w:val="002E2177"/>
    <w:rsid w:val="002E2E41"/>
    <w:rsid w:val="002E78CD"/>
    <w:rsid w:val="002F20A7"/>
    <w:rsid w:val="003008F4"/>
    <w:rsid w:val="00302B1D"/>
    <w:rsid w:val="00307BB6"/>
    <w:rsid w:val="00307FA5"/>
    <w:rsid w:val="00324D64"/>
    <w:rsid w:val="00352B52"/>
    <w:rsid w:val="0035760D"/>
    <w:rsid w:val="0036299A"/>
    <w:rsid w:val="00363ECC"/>
    <w:rsid w:val="00373768"/>
    <w:rsid w:val="00382428"/>
    <w:rsid w:val="0039020B"/>
    <w:rsid w:val="00395263"/>
    <w:rsid w:val="003956E0"/>
    <w:rsid w:val="0039609A"/>
    <w:rsid w:val="00397500"/>
    <w:rsid w:val="003B1CC5"/>
    <w:rsid w:val="003B65CE"/>
    <w:rsid w:val="003D59F2"/>
    <w:rsid w:val="003D6721"/>
    <w:rsid w:val="003E039E"/>
    <w:rsid w:val="003E09F0"/>
    <w:rsid w:val="0040230E"/>
    <w:rsid w:val="0041662F"/>
    <w:rsid w:val="00422917"/>
    <w:rsid w:val="00436144"/>
    <w:rsid w:val="00440687"/>
    <w:rsid w:val="0044131D"/>
    <w:rsid w:val="00441ADA"/>
    <w:rsid w:val="00457E46"/>
    <w:rsid w:val="00474717"/>
    <w:rsid w:val="004922E4"/>
    <w:rsid w:val="00496AF8"/>
    <w:rsid w:val="004A575D"/>
    <w:rsid w:val="004A7388"/>
    <w:rsid w:val="004B3671"/>
    <w:rsid w:val="004B65C6"/>
    <w:rsid w:val="004D1DC7"/>
    <w:rsid w:val="004E1F82"/>
    <w:rsid w:val="004E7215"/>
    <w:rsid w:val="004F7D7E"/>
    <w:rsid w:val="00500B0C"/>
    <w:rsid w:val="00532BA6"/>
    <w:rsid w:val="00537150"/>
    <w:rsid w:val="00540984"/>
    <w:rsid w:val="00543851"/>
    <w:rsid w:val="005529B3"/>
    <w:rsid w:val="0055559D"/>
    <w:rsid w:val="005556CE"/>
    <w:rsid w:val="005569AE"/>
    <w:rsid w:val="00574E10"/>
    <w:rsid w:val="00582DDD"/>
    <w:rsid w:val="005857F8"/>
    <w:rsid w:val="0059208E"/>
    <w:rsid w:val="005B0D18"/>
    <w:rsid w:val="005B12C3"/>
    <w:rsid w:val="005B409D"/>
    <w:rsid w:val="005D0FDB"/>
    <w:rsid w:val="005D25E9"/>
    <w:rsid w:val="005D5F22"/>
    <w:rsid w:val="005D6D59"/>
    <w:rsid w:val="005F1357"/>
    <w:rsid w:val="0061327A"/>
    <w:rsid w:val="00617390"/>
    <w:rsid w:val="00623420"/>
    <w:rsid w:val="00623F40"/>
    <w:rsid w:val="00634768"/>
    <w:rsid w:val="0063596F"/>
    <w:rsid w:val="00665CE9"/>
    <w:rsid w:val="006709EB"/>
    <w:rsid w:val="00672824"/>
    <w:rsid w:val="00676BD4"/>
    <w:rsid w:val="0068184A"/>
    <w:rsid w:val="0068465F"/>
    <w:rsid w:val="006A0249"/>
    <w:rsid w:val="006B5C51"/>
    <w:rsid w:val="006C7F30"/>
    <w:rsid w:val="006D43FF"/>
    <w:rsid w:val="006E6FDD"/>
    <w:rsid w:val="006F4B7F"/>
    <w:rsid w:val="006F760B"/>
    <w:rsid w:val="00701CC3"/>
    <w:rsid w:val="007104D2"/>
    <w:rsid w:val="00713A68"/>
    <w:rsid w:val="00724801"/>
    <w:rsid w:val="0072684F"/>
    <w:rsid w:val="00727E48"/>
    <w:rsid w:val="00734949"/>
    <w:rsid w:val="00736AEC"/>
    <w:rsid w:val="00736E0F"/>
    <w:rsid w:val="007434FA"/>
    <w:rsid w:val="007573F0"/>
    <w:rsid w:val="00765156"/>
    <w:rsid w:val="00767669"/>
    <w:rsid w:val="007732CC"/>
    <w:rsid w:val="00773485"/>
    <w:rsid w:val="00776E8F"/>
    <w:rsid w:val="00776F6D"/>
    <w:rsid w:val="007802D2"/>
    <w:rsid w:val="007B3DB4"/>
    <w:rsid w:val="007B7E0E"/>
    <w:rsid w:val="007C0297"/>
    <w:rsid w:val="007C1887"/>
    <w:rsid w:val="007D1874"/>
    <w:rsid w:val="007D4775"/>
    <w:rsid w:val="007D5DC6"/>
    <w:rsid w:val="007E37A5"/>
    <w:rsid w:val="007E393B"/>
    <w:rsid w:val="007F01B3"/>
    <w:rsid w:val="007F1647"/>
    <w:rsid w:val="007F49D8"/>
    <w:rsid w:val="00805940"/>
    <w:rsid w:val="0081599C"/>
    <w:rsid w:val="00820FB1"/>
    <w:rsid w:val="00837121"/>
    <w:rsid w:val="008471E5"/>
    <w:rsid w:val="00850C35"/>
    <w:rsid w:val="00851466"/>
    <w:rsid w:val="00863E43"/>
    <w:rsid w:val="008647C3"/>
    <w:rsid w:val="008659ED"/>
    <w:rsid w:val="008708DC"/>
    <w:rsid w:val="00870987"/>
    <w:rsid w:val="0087564A"/>
    <w:rsid w:val="00881160"/>
    <w:rsid w:val="00881A76"/>
    <w:rsid w:val="0088371C"/>
    <w:rsid w:val="008A45F3"/>
    <w:rsid w:val="008B51D9"/>
    <w:rsid w:val="008B652E"/>
    <w:rsid w:val="008D05B7"/>
    <w:rsid w:val="008F1DC6"/>
    <w:rsid w:val="008F6F51"/>
    <w:rsid w:val="00900A4D"/>
    <w:rsid w:val="00905C5B"/>
    <w:rsid w:val="00923295"/>
    <w:rsid w:val="00925F11"/>
    <w:rsid w:val="00935265"/>
    <w:rsid w:val="009443E5"/>
    <w:rsid w:val="00945C86"/>
    <w:rsid w:val="0094689F"/>
    <w:rsid w:val="009477D6"/>
    <w:rsid w:val="00953ED3"/>
    <w:rsid w:val="00965FF6"/>
    <w:rsid w:val="009846D6"/>
    <w:rsid w:val="0098657F"/>
    <w:rsid w:val="009A3236"/>
    <w:rsid w:val="009B06C8"/>
    <w:rsid w:val="009B5A93"/>
    <w:rsid w:val="009B5BEA"/>
    <w:rsid w:val="009C291F"/>
    <w:rsid w:val="009E097A"/>
    <w:rsid w:val="009E37BD"/>
    <w:rsid w:val="009E6B86"/>
    <w:rsid w:val="009F7D87"/>
    <w:rsid w:val="00A03301"/>
    <w:rsid w:val="00A12762"/>
    <w:rsid w:val="00A13867"/>
    <w:rsid w:val="00A26FED"/>
    <w:rsid w:val="00A3042B"/>
    <w:rsid w:val="00A421D4"/>
    <w:rsid w:val="00A44FF0"/>
    <w:rsid w:val="00A50E55"/>
    <w:rsid w:val="00A61661"/>
    <w:rsid w:val="00A67EB1"/>
    <w:rsid w:val="00A9011D"/>
    <w:rsid w:val="00A91A47"/>
    <w:rsid w:val="00A94CA7"/>
    <w:rsid w:val="00A95D2B"/>
    <w:rsid w:val="00AA5587"/>
    <w:rsid w:val="00AB4ECE"/>
    <w:rsid w:val="00AC1E53"/>
    <w:rsid w:val="00AD79C8"/>
    <w:rsid w:val="00AE0EE2"/>
    <w:rsid w:val="00AE6CE0"/>
    <w:rsid w:val="00B058A6"/>
    <w:rsid w:val="00B117D0"/>
    <w:rsid w:val="00B134BF"/>
    <w:rsid w:val="00B13998"/>
    <w:rsid w:val="00B21D47"/>
    <w:rsid w:val="00B2798D"/>
    <w:rsid w:val="00B35C5F"/>
    <w:rsid w:val="00B439DD"/>
    <w:rsid w:val="00B52E0F"/>
    <w:rsid w:val="00B74629"/>
    <w:rsid w:val="00B91F58"/>
    <w:rsid w:val="00BA54E9"/>
    <w:rsid w:val="00BA579E"/>
    <w:rsid w:val="00BE2295"/>
    <w:rsid w:val="00BE6373"/>
    <w:rsid w:val="00BF533A"/>
    <w:rsid w:val="00C013C6"/>
    <w:rsid w:val="00C10B55"/>
    <w:rsid w:val="00C1709D"/>
    <w:rsid w:val="00C2709C"/>
    <w:rsid w:val="00C41794"/>
    <w:rsid w:val="00C46677"/>
    <w:rsid w:val="00C5180E"/>
    <w:rsid w:val="00C54E40"/>
    <w:rsid w:val="00C55F56"/>
    <w:rsid w:val="00C57BA4"/>
    <w:rsid w:val="00C613EB"/>
    <w:rsid w:val="00C71C1A"/>
    <w:rsid w:val="00C84623"/>
    <w:rsid w:val="00CA0AA6"/>
    <w:rsid w:val="00CB06C9"/>
    <w:rsid w:val="00CB1E41"/>
    <w:rsid w:val="00CB271C"/>
    <w:rsid w:val="00CC0F87"/>
    <w:rsid w:val="00CE08B5"/>
    <w:rsid w:val="00CE4F96"/>
    <w:rsid w:val="00CF0AB1"/>
    <w:rsid w:val="00CF4B9B"/>
    <w:rsid w:val="00CF55E6"/>
    <w:rsid w:val="00CF772F"/>
    <w:rsid w:val="00D03180"/>
    <w:rsid w:val="00D048DB"/>
    <w:rsid w:val="00D065EF"/>
    <w:rsid w:val="00D14F0B"/>
    <w:rsid w:val="00D178CA"/>
    <w:rsid w:val="00D24E78"/>
    <w:rsid w:val="00D3311C"/>
    <w:rsid w:val="00D47670"/>
    <w:rsid w:val="00D53405"/>
    <w:rsid w:val="00D5457B"/>
    <w:rsid w:val="00D72995"/>
    <w:rsid w:val="00D73685"/>
    <w:rsid w:val="00DA7FA2"/>
    <w:rsid w:val="00DC2D8D"/>
    <w:rsid w:val="00DC7F67"/>
    <w:rsid w:val="00DD504D"/>
    <w:rsid w:val="00DE1F5D"/>
    <w:rsid w:val="00DE50D8"/>
    <w:rsid w:val="00DF278A"/>
    <w:rsid w:val="00E13262"/>
    <w:rsid w:val="00E1664B"/>
    <w:rsid w:val="00E30AFB"/>
    <w:rsid w:val="00E30D12"/>
    <w:rsid w:val="00E3394E"/>
    <w:rsid w:val="00E35241"/>
    <w:rsid w:val="00E41417"/>
    <w:rsid w:val="00E42FAA"/>
    <w:rsid w:val="00E536D3"/>
    <w:rsid w:val="00E57BE2"/>
    <w:rsid w:val="00E62A95"/>
    <w:rsid w:val="00E7325F"/>
    <w:rsid w:val="00E746A2"/>
    <w:rsid w:val="00E90D06"/>
    <w:rsid w:val="00E97E59"/>
    <w:rsid w:val="00EA50E7"/>
    <w:rsid w:val="00EA79C9"/>
    <w:rsid w:val="00EB1561"/>
    <w:rsid w:val="00EB66AC"/>
    <w:rsid w:val="00EC1225"/>
    <w:rsid w:val="00EC2247"/>
    <w:rsid w:val="00EE1F87"/>
    <w:rsid w:val="00EE3931"/>
    <w:rsid w:val="00EE5AF6"/>
    <w:rsid w:val="00EF2CEF"/>
    <w:rsid w:val="00F065F8"/>
    <w:rsid w:val="00F1092D"/>
    <w:rsid w:val="00F13F61"/>
    <w:rsid w:val="00F14D97"/>
    <w:rsid w:val="00F222DC"/>
    <w:rsid w:val="00F2286C"/>
    <w:rsid w:val="00F42C20"/>
    <w:rsid w:val="00F431D8"/>
    <w:rsid w:val="00F63E8D"/>
    <w:rsid w:val="00F67706"/>
    <w:rsid w:val="00F81FE3"/>
    <w:rsid w:val="00F90476"/>
    <w:rsid w:val="00F90F82"/>
    <w:rsid w:val="00F92D75"/>
    <w:rsid w:val="00F97327"/>
    <w:rsid w:val="00FA296F"/>
    <w:rsid w:val="00FA7323"/>
    <w:rsid w:val="00FB08C8"/>
    <w:rsid w:val="00FB1299"/>
    <w:rsid w:val="00FC32D3"/>
    <w:rsid w:val="00FD4D82"/>
    <w:rsid w:val="00FE1EEB"/>
    <w:rsid w:val="00FE57AE"/>
    <w:rsid w:val="00FF0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5B8DA2C"/>
  <w15:docId w15:val="{734704FF-4BD2-4DA3-9A07-806EFA2F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A3042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A304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UnresolvedMention1">
    <w:name w:val="Unresolved Mention1"/>
    <w:basedOn w:val="DefaultParagraphFont"/>
    <w:uiPriority w:val="99"/>
    <w:semiHidden/>
    <w:unhideWhenUsed/>
    <w:rsid w:val="003E09F0"/>
    <w:rPr>
      <w:color w:val="808080"/>
      <w:shd w:val="clear" w:color="auto" w:fill="E6E6E6"/>
    </w:rPr>
  </w:style>
  <w:style w:type="character" w:customStyle="1" w:styleId="highlight">
    <w:name w:val="highlight"/>
    <w:basedOn w:val="DefaultParagraphFont"/>
    <w:rsid w:val="00623F40"/>
  </w:style>
  <w:style w:type="character" w:customStyle="1" w:styleId="Heading1Char">
    <w:name w:val="Heading 1 Char"/>
    <w:basedOn w:val="DefaultParagraphFont"/>
    <w:link w:val="Heading1"/>
    <w:uiPriority w:val="9"/>
    <w:rsid w:val="00A3042B"/>
    <w:rPr>
      <w:rFonts w:asciiTheme="majorHAnsi" w:eastAsiaTheme="majorEastAsia" w:hAnsiTheme="majorHAnsi" w:cstheme="majorBidi"/>
      <w:b/>
      <w:bCs/>
      <w:color w:val="345A8A" w:themeColor="accent1" w:themeShade="B5"/>
      <w:sz w:val="32"/>
      <w:szCs w:val="32"/>
    </w:rPr>
  </w:style>
  <w:style w:type="character" w:customStyle="1" w:styleId="Heading4Char">
    <w:name w:val="Heading 4 Char"/>
    <w:basedOn w:val="DefaultParagraphFont"/>
    <w:link w:val="Heading4"/>
    <w:uiPriority w:val="9"/>
    <w:rsid w:val="00A3042B"/>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A3042B"/>
    <w:pPr>
      <w:spacing w:before="100" w:beforeAutospacing="1" w:after="100" w:afterAutospacing="1"/>
      <w:ind w:left="0" w:firstLine="0"/>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661952">
      <w:bodyDiv w:val="1"/>
      <w:marLeft w:val="0"/>
      <w:marRight w:val="0"/>
      <w:marTop w:val="0"/>
      <w:marBottom w:val="0"/>
      <w:divBdr>
        <w:top w:val="none" w:sz="0" w:space="0" w:color="auto"/>
        <w:left w:val="none" w:sz="0" w:space="0" w:color="auto"/>
        <w:bottom w:val="none" w:sz="0" w:space="0" w:color="auto"/>
        <w:right w:val="none" w:sz="0" w:space="0" w:color="auto"/>
      </w:divBdr>
      <w:divsChild>
        <w:div w:id="79445754">
          <w:marLeft w:val="0"/>
          <w:marRight w:val="0"/>
          <w:marTop w:val="0"/>
          <w:marBottom w:val="0"/>
          <w:divBdr>
            <w:top w:val="none" w:sz="0" w:space="0" w:color="auto"/>
            <w:left w:val="none" w:sz="0" w:space="0" w:color="auto"/>
            <w:bottom w:val="none" w:sz="0" w:space="0" w:color="auto"/>
            <w:right w:val="none" w:sz="0" w:space="0" w:color="auto"/>
          </w:divBdr>
        </w:div>
      </w:divsChild>
    </w:div>
    <w:div w:id="876043193">
      <w:bodyDiv w:val="1"/>
      <w:marLeft w:val="0"/>
      <w:marRight w:val="0"/>
      <w:marTop w:val="0"/>
      <w:marBottom w:val="0"/>
      <w:divBdr>
        <w:top w:val="none" w:sz="0" w:space="0" w:color="auto"/>
        <w:left w:val="none" w:sz="0" w:space="0" w:color="auto"/>
        <w:bottom w:val="none" w:sz="0" w:space="0" w:color="auto"/>
        <w:right w:val="none" w:sz="0" w:space="0" w:color="auto"/>
      </w:divBdr>
    </w:div>
    <w:div w:id="968778407">
      <w:bodyDiv w:val="1"/>
      <w:marLeft w:val="0"/>
      <w:marRight w:val="0"/>
      <w:marTop w:val="0"/>
      <w:marBottom w:val="0"/>
      <w:divBdr>
        <w:top w:val="none" w:sz="0" w:space="0" w:color="auto"/>
        <w:left w:val="none" w:sz="0" w:space="0" w:color="auto"/>
        <w:bottom w:val="none" w:sz="0" w:space="0" w:color="auto"/>
        <w:right w:val="none" w:sz="0" w:space="0" w:color="auto"/>
      </w:divBdr>
      <w:divsChild>
        <w:div w:id="1988781555">
          <w:marLeft w:val="0"/>
          <w:marRight w:val="0"/>
          <w:marTop w:val="0"/>
          <w:marBottom w:val="0"/>
          <w:divBdr>
            <w:top w:val="none" w:sz="0" w:space="0" w:color="auto"/>
            <w:left w:val="none" w:sz="0" w:space="0" w:color="auto"/>
            <w:bottom w:val="none" w:sz="0" w:space="0" w:color="auto"/>
            <w:right w:val="none" w:sz="0" w:space="0" w:color="auto"/>
          </w:divBdr>
        </w:div>
      </w:divsChild>
    </w:div>
    <w:div w:id="1187400428">
      <w:bodyDiv w:val="1"/>
      <w:marLeft w:val="0"/>
      <w:marRight w:val="0"/>
      <w:marTop w:val="0"/>
      <w:marBottom w:val="0"/>
      <w:divBdr>
        <w:top w:val="none" w:sz="0" w:space="0" w:color="auto"/>
        <w:left w:val="none" w:sz="0" w:space="0" w:color="auto"/>
        <w:bottom w:val="none" w:sz="0" w:space="0" w:color="auto"/>
        <w:right w:val="none" w:sz="0" w:space="0" w:color="auto"/>
      </w:divBdr>
      <w:divsChild>
        <w:div w:id="1106461018">
          <w:marLeft w:val="0"/>
          <w:marRight w:val="0"/>
          <w:marTop w:val="0"/>
          <w:marBottom w:val="0"/>
          <w:divBdr>
            <w:top w:val="none" w:sz="0" w:space="0" w:color="auto"/>
            <w:left w:val="none" w:sz="0" w:space="0" w:color="auto"/>
            <w:bottom w:val="none" w:sz="0" w:space="0" w:color="auto"/>
            <w:right w:val="none" w:sz="0" w:space="0" w:color="auto"/>
          </w:divBdr>
        </w:div>
      </w:divsChild>
    </w:div>
    <w:div w:id="148334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ccn.org/professionals/physician_gls/pdf/pain.pdf" TargetMode="Externa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diagramQuickStyle" Target="diagrams/quickStyle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https://www.nccn.org/professionals/physician_gls/pdf/pai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1.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3F3B30-9C27-9F42-8560-4CDA57F452FA}" type="doc">
      <dgm:prSet loTypeId="urn:microsoft.com/office/officeart/2005/8/layout/process1" loCatId="" qsTypeId="urn:microsoft.com/office/officeart/2005/8/quickstyle/simple4" qsCatId="simple" csTypeId="urn:microsoft.com/office/officeart/2005/8/colors/accent1_2" csCatId="accent1" phldr="1"/>
      <dgm:spPr/>
    </dgm:pt>
    <dgm:pt modelId="{7C2A5EBE-866A-864B-B298-567C6EFECE08}">
      <dgm:prSet phldrT="[Text]"/>
      <dgm:spPr/>
      <dgm:t>
        <a:bodyPr/>
        <a:lstStyle/>
        <a:p>
          <a:r>
            <a:rPr lang="en-US"/>
            <a:t>Patient with cancer receives chemotherapy or radiation</a:t>
          </a:r>
        </a:p>
      </dgm:t>
    </dgm:pt>
    <dgm:pt modelId="{8ED17149-9812-6B47-914F-668BE553A613}" type="parTrans" cxnId="{0C9E5ABC-AC59-2541-9607-68D851587DAA}">
      <dgm:prSet/>
      <dgm:spPr/>
      <dgm:t>
        <a:bodyPr/>
        <a:lstStyle/>
        <a:p>
          <a:endParaRPr lang="en-US"/>
        </a:p>
      </dgm:t>
    </dgm:pt>
    <dgm:pt modelId="{EAB7DD0C-A9F9-B540-8D20-46B94C507B01}" type="sibTrans" cxnId="{0C9E5ABC-AC59-2541-9607-68D851587DAA}">
      <dgm:prSet/>
      <dgm:spPr/>
      <dgm:t>
        <a:bodyPr/>
        <a:lstStyle/>
        <a:p>
          <a:endParaRPr lang="en-US"/>
        </a:p>
      </dgm:t>
    </dgm:pt>
    <dgm:pt modelId="{44D86196-B8ED-5A4F-B5E0-EF455B66BE82}">
      <dgm:prSet phldrT="[Text]"/>
      <dgm:spPr/>
      <dgm:t>
        <a:bodyPr/>
        <a:lstStyle/>
        <a:p>
          <a:r>
            <a:rPr lang="en-US"/>
            <a:t>Patient queried about pain level</a:t>
          </a:r>
        </a:p>
      </dgm:t>
    </dgm:pt>
    <dgm:pt modelId="{21DE47F0-8525-1148-B314-B2865C9CD8B0}" type="parTrans" cxnId="{9AF9B204-C0CB-734B-9AC2-578FE504F2AF}">
      <dgm:prSet/>
      <dgm:spPr/>
      <dgm:t>
        <a:bodyPr/>
        <a:lstStyle/>
        <a:p>
          <a:endParaRPr lang="en-US"/>
        </a:p>
      </dgm:t>
    </dgm:pt>
    <dgm:pt modelId="{34338C17-DE27-D447-8EF3-E51DD168DFB0}" type="sibTrans" cxnId="{9AF9B204-C0CB-734B-9AC2-578FE504F2AF}">
      <dgm:prSet/>
      <dgm:spPr/>
      <dgm:t>
        <a:bodyPr/>
        <a:lstStyle/>
        <a:p>
          <a:endParaRPr lang="en-US"/>
        </a:p>
      </dgm:t>
    </dgm:pt>
    <dgm:pt modelId="{A1E9AEC7-4BE8-8741-8F63-692E1C4F5722}">
      <dgm:prSet phldrT="[Text]"/>
      <dgm:spPr/>
      <dgm:t>
        <a:bodyPr/>
        <a:lstStyle/>
        <a:p>
          <a:r>
            <a:rPr lang="en-US"/>
            <a:t>Plan of care created to address pain at each visit</a:t>
          </a:r>
        </a:p>
      </dgm:t>
    </dgm:pt>
    <dgm:pt modelId="{701702BF-BBB7-914D-987A-B7CAA03A497D}" type="parTrans" cxnId="{C3F1ECAD-3482-0D4C-B416-6D4C31662436}">
      <dgm:prSet/>
      <dgm:spPr/>
      <dgm:t>
        <a:bodyPr/>
        <a:lstStyle/>
        <a:p>
          <a:endParaRPr lang="en-US"/>
        </a:p>
      </dgm:t>
    </dgm:pt>
    <dgm:pt modelId="{8B8F9724-C09B-D74A-9877-133B371C8FB6}" type="sibTrans" cxnId="{C3F1ECAD-3482-0D4C-B416-6D4C31662436}">
      <dgm:prSet/>
      <dgm:spPr/>
      <dgm:t>
        <a:bodyPr/>
        <a:lstStyle/>
        <a:p>
          <a:endParaRPr lang="en-US"/>
        </a:p>
      </dgm:t>
    </dgm:pt>
    <dgm:pt modelId="{62ACE9D2-6200-A445-B34C-0B66FBC47F1F}">
      <dgm:prSet/>
      <dgm:spPr/>
      <dgm:t>
        <a:bodyPr/>
        <a:lstStyle/>
        <a:p>
          <a:r>
            <a:rPr lang="en-US"/>
            <a:t>Improved quality of life and survival</a:t>
          </a:r>
        </a:p>
      </dgm:t>
    </dgm:pt>
    <dgm:pt modelId="{14EB9C53-1833-2648-98AC-90B5FC78C691}" type="parTrans" cxnId="{3E41D5A5-276F-9848-BB48-74A2838E0D4F}">
      <dgm:prSet/>
      <dgm:spPr/>
      <dgm:t>
        <a:bodyPr/>
        <a:lstStyle/>
        <a:p>
          <a:endParaRPr lang="en-US"/>
        </a:p>
      </dgm:t>
    </dgm:pt>
    <dgm:pt modelId="{974322A8-8583-9D44-B791-A257A0A80F22}" type="sibTrans" cxnId="{3E41D5A5-276F-9848-BB48-74A2838E0D4F}">
      <dgm:prSet/>
      <dgm:spPr/>
      <dgm:t>
        <a:bodyPr/>
        <a:lstStyle/>
        <a:p>
          <a:endParaRPr lang="en-US"/>
        </a:p>
      </dgm:t>
    </dgm:pt>
    <dgm:pt modelId="{634C7180-A13C-8E40-854D-B64DCF510575}" type="pres">
      <dgm:prSet presAssocID="{813F3B30-9C27-9F42-8560-4CDA57F452FA}" presName="Name0" presStyleCnt="0">
        <dgm:presLayoutVars>
          <dgm:dir/>
          <dgm:resizeHandles val="exact"/>
        </dgm:presLayoutVars>
      </dgm:prSet>
      <dgm:spPr/>
    </dgm:pt>
    <dgm:pt modelId="{3436E49B-249E-204D-8C05-C248A7D85C0C}" type="pres">
      <dgm:prSet presAssocID="{7C2A5EBE-866A-864B-B298-567C6EFECE08}" presName="node" presStyleLbl="node1" presStyleIdx="0" presStyleCnt="4">
        <dgm:presLayoutVars>
          <dgm:bulletEnabled val="1"/>
        </dgm:presLayoutVars>
      </dgm:prSet>
      <dgm:spPr/>
    </dgm:pt>
    <dgm:pt modelId="{1620FCBF-8CA7-4741-AF44-CECE50584197}" type="pres">
      <dgm:prSet presAssocID="{EAB7DD0C-A9F9-B540-8D20-46B94C507B01}" presName="sibTrans" presStyleLbl="sibTrans2D1" presStyleIdx="0" presStyleCnt="3"/>
      <dgm:spPr/>
    </dgm:pt>
    <dgm:pt modelId="{567DC7FC-DB06-8445-9DD5-3F6992BC5C75}" type="pres">
      <dgm:prSet presAssocID="{EAB7DD0C-A9F9-B540-8D20-46B94C507B01}" presName="connectorText" presStyleLbl="sibTrans2D1" presStyleIdx="0" presStyleCnt="3"/>
      <dgm:spPr/>
    </dgm:pt>
    <dgm:pt modelId="{7BB291AC-A1C3-404E-9165-7C347967CEFF}" type="pres">
      <dgm:prSet presAssocID="{44D86196-B8ED-5A4F-B5E0-EF455B66BE82}" presName="node" presStyleLbl="node1" presStyleIdx="1" presStyleCnt="4">
        <dgm:presLayoutVars>
          <dgm:bulletEnabled val="1"/>
        </dgm:presLayoutVars>
      </dgm:prSet>
      <dgm:spPr/>
    </dgm:pt>
    <dgm:pt modelId="{CBB497C4-9F8B-6D4B-AC0A-4705A039E00D}" type="pres">
      <dgm:prSet presAssocID="{34338C17-DE27-D447-8EF3-E51DD168DFB0}" presName="sibTrans" presStyleLbl="sibTrans2D1" presStyleIdx="1" presStyleCnt="3"/>
      <dgm:spPr/>
    </dgm:pt>
    <dgm:pt modelId="{46D9AD15-0EA2-8A42-A662-97C8B3251634}" type="pres">
      <dgm:prSet presAssocID="{34338C17-DE27-D447-8EF3-E51DD168DFB0}" presName="connectorText" presStyleLbl="sibTrans2D1" presStyleIdx="1" presStyleCnt="3"/>
      <dgm:spPr/>
    </dgm:pt>
    <dgm:pt modelId="{DDA30699-6C51-EB41-AB22-94B8CAF5B96B}" type="pres">
      <dgm:prSet presAssocID="{A1E9AEC7-4BE8-8741-8F63-692E1C4F5722}" presName="node" presStyleLbl="node1" presStyleIdx="2" presStyleCnt="4">
        <dgm:presLayoutVars>
          <dgm:bulletEnabled val="1"/>
        </dgm:presLayoutVars>
      </dgm:prSet>
      <dgm:spPr/>
    </dgm:pt>
    <dgm:pt modelId="{4B4936A8-304A-164A-ACA5-A7D3223CE580}" type="pres">
      <dgm:prSet presAssocID="{8B8F9724-C09B-D74A-9877-133B371C8FB6}" presName="sibTrans" presStyleLbl="sibTrans2D1" presStyleIdx="2" presStyleCnt="3"/>
      <dgm:spPr/>
    </dgm:pt>
    <dgm:pt modelId="{D3366D5A-8516-E44B-ADEF-CBA5ADCF4088}" type="pres">
      <dgm:prSet presAssocID="{8B8F9724-C09B-D74A-9877-133B371C8FB6}" presName="connectorText" presStyleLbl="sibTrans2D1" presStyleIdx="2" presStyleCnt="3"/>
      <dgm:spPr/>
    </dgm:pt>
    <dgm:pt modelId="{AF847AB4-7E04-FE4E-B3FB-7E8A654C9B7E}" type="pres">
      <dgm:prSet presAssocID="{62ACE9D2-6200-A445-B34C-0B66FBC47F1F}" presName="node" presStyleLbl="node1" presStyleIdx="3" presStyleCnt="4">
        <dgm:presLayoutVars>
          <dgm:bulletEnabled val="1"/>
        </dgm:presLayoutVars>
      </dgm:prSet>
      <dgm:spPr/>
    </dgm:pt>
  </dgm:ptLst>
  <dgm:cxnLst>
    <dgm:cxn modelId="{9AF9B204-C0CB-734B-9AC2-578FE504F2AF}" srcId="{813F3B30-9C27-9F42-8560-4CDA57F452FA}" destId="{44D86196-B8ED-5A4F-B5E0-EF455B66BE82}" srcOrd="1" destOrd="0" parTransId="{21DE47F0-8525-1148-B314-B2865C9CD8B0}" sibTransId="{34338C17-DE27-D447-8EF3-E51DD168DFB0}"/>
    <dgm:cxn modelId="{E16DD40D-84D6-874C-9C14-E28A215C143F}" type="presOf" srcId="{A1E9AEC7-4BE8-8741-8F63-692E1C4F5722}" destId="{DDA30699-6C51-EB41-AB22-94B8CAF5B96B}" srcOrd="0" destOrd="0" presId="urn:microsoft.com/office/officeart/2005/8/layout/process1"/>
    <dgm:cxn modelId="{412F5F3B-B219-CD49-A309-30D2AAA4AF7C}" type="presOf" srcId="{34338C17-DE27-D447-8EF3-E51DD168DFB0}" destId="{46D9AD15-0EA2-8A42-A662-97C8B3251634}" srcOrd="1" destOrd="0" presId="urn:microsoft.com/office/officeart/2005/8/layout/process1"/>
    <dgm:cxn modelId="{D95A325E-FF8C-6F4C-8CCC-D7630F06621B}" type="presOf" srcId="{8B8F9724-C09B-D74A-9877-133B371C8FB6}" destId="{D3366D5A-8516-E44B-ADEF-CBA5ADCF4088}" srcOrd="1" destOrd="0" presId="urn:microsoft.com/office/officeart/2005/8/layout/process1"/>
    <dgm:cxn modelId="{DF32B969-3C8C-8243-8233-1EEEECE0549B}" type="presOf" srcId="{44D86196-B8ED-5A4F-B5E0-EF455B66BE82}" destId="{7BB291AC-A1C3-404E-9165-7C347967CEFF}" srcOrd="0" destOrd="0" presId="urn:microsoft.com/office/officeart/2005/8/layout/process1"/>
    <dgm:cxn modelId="{5C1F5F50-EA8B-C646-896E-90991B2628C6}" type="presOf" srcId="{8B8F9724-C09B-D74A-9877-133B371C8FB6}" destId="{4B4936A8-304A-164A-ACA5-A7D3223CE580}" srcOrd="0" destOrd="0" presId="urn:microsoft.com/office/officeart/2005/8/layout/process1"/>
    <dgm:cxn modelId="{B114BF56-F020-6A4A-9CD5-3C1F6FF5AA38}" type="presOf" srcId="{62ACE9D2-6200-A445-B34C-0B66FBC47F1F}" destId="{AF847AB4-7E04-FE4E-B3FB-7E8A654C9B7E}" srcOrd="0" destOrd="0" presId="urn:microsoft.com/office/officeart/2005/8/layout/process1"/>
    <dgm:cxn modelId="{570EAD7C-0854-494F-886B-BEF1CC87A4CB}" type="presOf" srcId="{7C2A5EBE-866A-864B-B298-567C6EFECE08}" destId="{3436E49B-249E-204D-8C05-C248A7D85C0C}" srcOrd="0" destOrd="0" presId="urn:microsoft.com/office/officeart/2005/8/layout/process1"/>
    <dgm:cxn modelId="{3E41D5A5-276F-9848-BB48-74A2838E0D4F}" srcId="{813F3B30-9C27-9F42-8560-4CDA57F452FA}" destId="{62ACE9D2-6200-A445-B34C-0B66FBC47F1F}" srcOrd="3" destOrd="0" parTransId="{14EB9C53-1833-2648-98AC-90B5FC78C691}" sibTransId="{974322A8-8583-9D44-B791-A257A0A80F22}"/>
    <dgm:cxn modelId="{C3F1ECAD-3482-0D4C-B416-6D4C31662436}" srcId="{813F3B30-9C27-9F42-8560-4CDA57F452FA}" destId="{A1E9AEC7-4BE8-8741-8F63-692E1C4F5722}" srcOrd="2" destOrd="0" parTransId="{701702BF-BBB7-914D-987A-B7CAA03A497D}" sibTransId="{8B8F9724-C09B-D74A-9877-133B371C8FB6}"/>
    <dgm:cxn modelId="{0C9E5ABC-AC59-2541-9607-68D851587DAA}" srcId="{813F3B30-9C27-9F42-8560-4CDA57F452FA}" destId="{7C2A5EBE-866A-864B-B298-567C6EFECE08}" srcOrd="0" destOrd="0" parTransId="{8ED17149-9812-6B47-914F-668BE553A613}" sibTransId="{EAB7DD0C-A9F9-B540-8D20-46B94C507B01}"/>
    <dgm:cxn modelId="{CDAA0DD9-DEAF-304C-BEEB-B3929DABD816}" type="presOf" srcId="{813F3B30-9C27-9F42-8560-4CDA57F452FA}" destId="{634C7180-A13C-8E40-854D-B64DCF510575}" srcOrd="0" destOrd="0" presId="urn:microsoft.com/office/officeart/2005/8/layout/process1"/>
    <dgm:cxn modelId="{3862F2F1-F615-384D-A277-C285A169797D}" type="presOf" srcId="{EAB7DD0C-A9F9-B540-8D20-46B94C507B01}" destId="{1620FCBF-8CA7-4741-AF44-CECE50584197}" srcOrd="0" destOrd="0" presId="urn:microsoft.com/office/officeart/2005/8/layout/process1"/>
    <dgm:cxn modelId="{89D939FA-67AE-604A-A279-4C123C6E51E9}" type="presOf" srcId="{EAB7DD0C-A9F9-B540-8D20-46B94C507B01}" destId="{567DC7FC-DB06-8445-9DD5-3F6992BC5C75}" srcOrd="1" destOrd="0" presId="urn:microsoft.com/office/officeart/2005/8/layout/process1"/>
    <dgm:cxn modelId="{61B03CFE-4A46-444C-A269-FF856CDF0D40}" type="presOf" srcId="{34338C17-DE27-D447-8EF3-E51DD168DFB0}" destId="{CBB497C4-9F8B-6D4B-AC0A-4705A039E00D}" srcOrd="0" destOrd="0" presId="urn:microsoft.com/office/officeart/2005/8/layout/process1"/>
    <dgm:cxn modelId="{F284A88C-14EF-A546-9B94-99A8FAD52165}" type="presParOf" srcId="{634C7180-A13C-8E40-854D-B64DCF510575}" destId="{3436E49B-249E-204D-8C05-C248A7D85C0C}" srcOrd="0" destOrd="0" presId="urn:microsoft.com/office/officeart/2005/8/layout/process1"/>
    <dgm:cxn modelId="{E3CEBF53-83E8-104E-B990-E6D2D9C209A5}" type="presParOf" srcId="{634C7180-A13C-8E40-854D-B64DCF510575}" destId="{1620FCBF-8CA7-4741-AF44-CECE50584197}" srcOrd="1" destOrd="0" presId="urn:microsoft.com/office/officeart/2005/8/layout/process1"/>
    <dgm:cxn modelId="{7D78C5E4-856E-3144-9DD7-08A7C50E5B68}" type="presParOf" srcId="{1620FCBF-8CA7-4741-AF44-CECE50584197}" destId="{567DC7FC-DB06-8445-9DD5-3F6992BC5C75}" srcOrd="0" destOrd="0" presId="urn:microsoft.com/office/officeart/2005/8/layout/process1"/>
    <dgm:cxn modelId="{D49C5F29-3779-9F42-A67F-C4F75E17941C}" type="presParOf" srcId="{634C7180-A13C-8E40-854D-B64DCF510575}" destId="{7BB291AC-A1C3-404E-9165-7C347967CEFF}" srcOrd="2" destOrd="0" presId="urn:microsoft.com/office/officeart/2005/8/layout/process1"/>
    <dgm:cxn modelId="{EE8B9753-5D37-1042-97B8-0C83A2DD8285}" type="presParOf" srcId="{634C7180-A13C-8E40-854D-B64DCF510575}" destId="{CBB497C4-9F8B-6D4B-AC0A-4705A039E00D}" srcOrd="3" destOrd="0" presId="urn:microsoft.com/office/officeart/2005/8/layout/process1"/>
    <dgm:cxn modelId="{45746446-CCBA-914B-8A83-D0CE882DB879}" type="presParOf" srcId="{CBB497C4-9F8B-6D4B-AC0A-4705A039E00D}" destId="{46D9AD15-0EA2-8A42-A662-97C8B3251634}" srcOrd="0" destOrd="0" presId="urn:microsoft.com/office/officeart/2005/8/layout/process1"/>
    <dgm:cxn modelId="{99B3F643-DCBB-8F4B-B19E-88270704E5D1}" type="presParOf" srcId="{634C7180-A13C-8E40-854D-B64DCF510575}" destId="{DDA30699-6C51-EB41-AB22-94B8CAF5B96B}" srcOrd="4" destOrd="0" presId="urn:microsoft.com/office/officeart/2005/8/layout/process1"/>
    <dgm:cxn modelId="{E530A45D-2AED-2F4E-ACED-F79BDEA25442}" type="presParOf" srcId="{634C7180-A13C-8E40-854D-B64DCF510575}" destId="{4B4936A8-304A-164A-ACA5-A7D3223CE580}" srcOrd="5" destOrd="0" presId="urn:microsoft.com/office/officeart/2005/8/layout/process1"/>
    <dgm:cxn modelId="{130038A1-09E6-424A-845C-5F3CDCB018C4}" type="presParOf" srcId="{4B4936A8-304A-164A-ACA5-A7D3223CE580}" destId="{D3366D5A-8516-E44B-ADEF-CBA5ADCF4088}" srcOrd="0" destOrd="0" presId="urn:microsoft.com/office/officeart/2005/8/layout/process1"/>
    <dgm:cxn modelId="{4956FACB-E7FC-A143-B72E-9652A943E822}" type="presParOf" srcId="{634C7180-A13C-8E40-854D-B64DCF510575}" destId="{AF847AB4-7E04-FE4E-B3FB-7E8A654C9B7E}" srcOrd="6"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36E49B-249E-204D-8C05-C248A7D85C0C}">
      <dsp:nvSpPr>
        <dsp:cNvPr id="0" name=""/>
        <dsp:cNvSpPr/>
      </dsp:nvSpPr>
      <dsp:spPr>
        <a:xfrm>
          <a:off x="2411" y="217067"/>
          <a:ext cx="1054149" cy="9882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Patient with cancer receives chemotherapy or radiation</a:t>
          </a:r>
        </a:p>
      </dsp:txBody>
      <dsp:txXfrm>
        <a:off x="31356" y="246012"/>
        <a:ext cx="996259" cy="930375"/>
      </dsp:txXfrm>
    </dsp:sp>
    <dsp:sp modelId="{1620FCBF-8CA7-4741-AF44-CECE50584197}">
      <dsp:nvSpPr>
        <dsp:cNvPr id="0" name=""/>
        <dsp:cNvSpPr/>
      </dsp:nvSpPr>
      <dsp:spPr>
        <a:xfrm>
          <a:off x="1161975" y="580485"/>
          <a:ext cx="223479" cy="261429"/>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161975" y="632771"/>
        <a:ext cx="156435" cy="156857"/>
      </dsp:txXfrm>
    </dsp:sp>
    <dsp:sp modelId="{7BB291AC-A1C3-404E-9165-7C347967CEFF}">
      <dsp:nvSpPr>
        <dsp:cNvPr id="0" name=""/>
        <dsp:cNvSpPr/>
      </dsp:nvSpPr>
      <dsp:spPr>
        <a:xfrm>
          <a:off x="1478220" y="217067"/>
          <a:ext cx="1054149" cy="9882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Patient queried about pain level</a:t>
          </a:r>
        </a:p>
      </dsp:txBody>
      <dsp:txXfrm>
        <a:off x="1507165" y="246012"/>
        <a:ext cx="996259" cy="930375"/>
      </dsp:txXfrm>
    </dsp:sp>
    <dsp:sp modelId="{CBB497C4-9F8B-6D4B-AC0A-4705A039E00D}">
      <dsp:nvSpPr>
        <dsp:cNvPr id="0" name=""/>
        <dsp:cNvSpPr/>
      </dsp:nvSpPr>
      <dsp:spPr>
        <a:xfrm>
          <a:off x="2637785" y="580485"/>
          <a:ext cx="223479" cy="261429"/>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2637785" y="632771"/>
        <a:ext cx="156435" cy="156857"/>
      </dsp:txXfrm>
    </dsp:sp>
    <dsp:sp modelId="{DDA30699-6C51-EB41-AB22-94B8CAF5B96B}">
      <dsp:nvSpPr>
        <dsp:cNvPr id="0" name=""/>
        <dsp:cNvSpPr/>
      </dsp:nvSpPr>
      <dsp:spPr>
        <a:xfrm>
          <a:off x="2954029" y="217067"/>
          <a:ext cx="1054149" cy="9882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Plan of care created to address pain at each visit</a:t>
          </a:r>
        </a:p>
      </dsp:txBody>
      <dsp:txXfrm>
        <a:off x="2982974" y="246012"/>
        <a:ext cx="996259" cy="930375"/>
      </dsp:txXfrm>
    </dsp:sp>
    <dsp:sp modelId="{4B4936A8-304A-164A-ACA5-A7D3223CE580}">
      <dsp:nvSpPr>
        <dsp:cNvPr id="0" name=""/>
        <dsp:cNvSpPr/>
      </dsp:nvSpPr>
      <dsp:spPr>
        <a:xfrm>
          <a:off x="4113594" y="580485"/>
          <a:ext cx="223479" cy="261429"/>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4113594" y="632771"/>
        <a:ext cx="156435" cy="156857"/>
      </dsp:txXfrm>
    </dsp:sp>
    <dsp:sp modelId="{AF847AB4-7E04-FE4E-B3FB-7E8A654C9B7E}">
      <dsp:nvSpPr>
        <dsp:cNvPr id="0" name=""/>
        <dsp:cNvSpPr/>
      </dsp:nvSpPr>
      <dsp:spPr>
        <a:xfrm>
          <a:off x="4429839" y="217067"/>
          <a:ext cx="1054149" cy="9882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Improved quality of life and survival</a:t>
          </a:r>
        </a:p>
      </dsp:txBody>
      <dsp:txXfrm>
        <a:off x="4458784" y="246012"/>
        <a:ext cx="996259" cy="9303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Times Roman">
    <w:altName w:val="Times New Roman"/>
    <w:charset w:val="00"/>
    <w:family w:val="auto"/>
    <w:pitch w:val="variable"/>
    <w:sig w:usb0="E00002FF" w:usb1="5000205A" w:usb2="00000000" w:usb3="00000000" w:csb0="0000019F" w:csb1="00000000"/>
  </w:font>
  <w:font w:name="Arial Unicode MS">
    <w:altName w:val="Arial"/>
    <w:panose1 w:val="020B0604020202020204"/>
    <w:charset w:val="00"/>
    <w:family w:val="auto"/>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71932"/>
    <w:rsid w:val="00160241"/>
    <w:rsid w:val="001F47A0"/>
    <w:rsid w:val="002A0BD5"/>
    <w:rsid w:val="002B5F47"/>
    <w:rsid w:val="003A1E4B"/>
    <w:rsid w:val="004526C5"/>
    <w:rsid w:val="00455EB5"/>
    <w:rsid w:val="00461C1C"/>
    <w:rsid w:val="004E2027"/>
    <w:rsid w:val="005F21F3"/>
    <w:rsid w:val="00684657"/>
    <w:rsid w:val="00860799"/>
    <w:rsid w:val="008F6A9B"/>
    <w:rsid w:val="00A72239"/>
    <w:rsid w:val="00A77B15"/>
    <w:rsid w:val="00AA4750"/>
    <w:rsid w:val="00AE0675"/>
    <w:rsid w:val="00B06ECD"/>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4" ma:contentTypeDescription="Create a new document." ma:contentTypeScope="" ma:versionID="93be73b6af73a61c50fc399693808de8">
  <xsd:schema xmlns:xsd="http://www.w3.org/2001/XMLSchema" xmlns:xs="http://www.w3.org/2001/XMLSchema" xmlns:p="http://schemas.microsoft.com/office/2006/metadata/properties" xmlns:ns2="2092472d-b0ba-44c3-9af1-5ee06e60b732" targetNamespace="http://schemas.microsoft.com/office/2006/metadata/properties" ma:root="true" ma:fieldsID="da0d1af7ed810bb5eecc2643e4803c0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element ref="ns2:Target_x0020_Audien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element name="Target_x0020_Audiences" ma:index="11"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Target_x0020_Audiences xmlns="2092472d-b0ba-44c3-9af1-5ee06e60b73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CD289976-7107-4372-8A94-737BD2783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CDBE7-7F08-4F52-B308-EE351D989842}">
  <ds:schemaRefs>
    <ds:schemaRef ds:uri="http://purl.org/dc/terms/"/>
    <ds:schemaRef ds:uri="http://schemas.openxmlformats.org/package/2006/metadata/core-properties"/>
    <ds:schemaRef ds:uri="http://schemas.microsoft.com/office/2006/documentManagement/types"/>
    <ds:schemaRef ds:uri="2092472d-b0ba-44c3-9af1-5ee06e60b73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0B6C517-CA46-468E-8D80-67D9EC304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2302</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August Knape</cp:lastModifiedBy>
  <cp:revision>2</cp:revision>
  <dcterms:created xsi:type="dcterms:W3CDTF">2019-11-08T17:20:00Z</dcterms:created>
  <dcterms:modified xsi:type="dcterms:W3CDTF">2019-11-08T17:20:00Z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0x010100D207D0C86BB5124AAE0A00EDD783FB60</vt:lpwstr>
  </property>
</Properties>
</file>