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5B8DA2C" w14:textId="77777777" w:rsidR="00496AF8" w:rsidRPr="001A6D05" w:rsidRDefault="007C1887" w:rsidP="001A196B">
      <w:pPr>
        <w:jc w:val="center"/>
        <w:rPr>
          <w:b/>
          <w:noProof/>
          <w:sz w:val="24"/>
          <w:szCs w:val="24"/>
        </w:rPr>
      </w:pPr>
      <w:r>
        <w:rPr>
          <w:b/>
          <w:smallCaps/>
          <w:noProof/>
          <w:sz w:val="24"/>
          <w:szCs w:val="24"/>
        </w:rPr>
        <w:t>N</w:t>
      </w:r>
      <w:r w:rsidR="002F20A7" w:rsidRPr="001A6D05">
        <w:rPr>
          <w:b/>
          <w:smallCaps/>
          <w:noProof/>
          <w:sz w:val="24"/>
          <w:szCs w:val="24"/>
        </w:rPr>
        <w:t>ational Quality Forum</w:t>
      </w:r>
      <w:r w:rsidR="002F20A7" w:rsidRPr="001A6D05">
        <w:rPr>
          <w:b/>
          <w:noProof/>
          <w:sz w:val="24"/>
          <w:szCs w:val="24"/>
        </w:rPr>
        <w:t>—</w:t>
      </w:r>
      <w:r w:rsidR="00496AF8" w:rsidRPr="001A6D05">
        <w:rPr>
          <w:b/>
          <w:noProof/>
          <w:sz w:val="24"/>
          <w:szCs w:val="24"/>
        </w:rPr>
        <w:t>Evidence (</w:t>
      </w:r>
      <w:r w:rsidR="00BE2295">
        <w:rPr>
          <w:b/>
          <w:noProof/>
          <w:sz w:val="24"/>
          <w:szCs w:val="24"/>
        </w:rPr>
        <w:t>subcrite</w:t>
      </w:r>
      <w:r w:rsidR="00617390">
        <w:rPr>
          <w:b/>
          <w:noProof/>
          <w:sz w:val="24"/>
          <w:szCs w:val="24"/>
        </w:rPr>
        <w:t>r</w:t>
      </w:r>
      <w:r w:rsidR="00BE2295">
        <w:rPr>
          <w:b/>
          <w:noProof/>
          <w:sz w:val="24"/>
          <w:szCs w:val="24"/>
        </w:rPr>
        <w:t xml:space="preserve">ion </w:t>
      </w:r>
      <w:r w:rsidR="00496AF8" w:rsidRPr="001A6D05">
        <w:rPr>
          <w:b/>
          <w:noProof/>
          <w:sz w:val="24"/>
          <w:szCs w:val="24"/>
        </w:rPr>
        <w:t>1</w:t>
      </w:r>
      <w:r w:rsidR="00B117D0">
        <w:rPr>
          <w:b/>
          <w:noProof/>
          <w:sz w:val="24"/>
          <w:szCs w:val="24"/>
        </w:rPr>
        <w:t>a</w:t>
      </w:r>
      <w:r w:rsidR="00496AF8" w:rsidRPr="001A6D05">
        <w:rPr>
          <w:b/>
          <w:noProof/>
          <w:sz w:val="24"/>
          <w:szCs w:val="24"/>
        </w:rPr>
        <w:t>)</w:t>
      </w:r>
      <w:r w:rsidR="002717C7" w:rsidRPr="001A6D05">
        <w:rPr>
          <w:b/>
          <w:noProof/>
          <w:sz w:val="24"/>
          <w:szCs w:val="24"/>
        </w:rPr>
        <w:t xml:space="preserve"> </w:t>
      </w:r>
    </w:p>
    <w:p w14:paraId="55B8DA2D" w14:textId="77777777" w:rsidR="00496AF8" w:rsidRPr="00496AF8" w:rsidRDefault="00496AF8" w:rsidP="002E2177">
      <w:pPr>
        <w:ind w:left="0" w:firstLine="0"/>
        <w:rPr>
          <w:noProof/>
        </w:rPr>
      </w:pPr>
    </w:p>
    <w:p w14:paraId="55B8DA2E" w14:textId="6E2192D7" w:rsidR="004F7D7E" w:rsidRPr="003B1CC5" w:rsidRDefault="004F7D7E" w:rsidP="002E2177">
      <w:pPr>
        <w:ind w:left="0" w:firstLine="0"/>
        <w:rPr>
          <w:b/>
          <w:noProof/>
        </w:rPr>
      </w:pPr>
      <w:r w:rsidRPr="003B1CC5">
        <w:rPr>
          <w:rFonts w:cstheme="minorHAnsi"/>
          <w:b/>
          <w:noProof/>
        </w:rPr>
        <w:t xml:space="preserve">Measure Number </w:t>
      </w:r>
      <w:r w:rsidRPr="003B1CC5">
        <w:rPr>
          <w:rFonts w:cstheme="minorHAnsi"/>
          <w:noProof/>
        </w:rPr>
        <w:t>(</w:t>
      </w:r>
      <w:r w:rsidRPr="003B1CC5">
        <w:rPr>
          <w:rFonts w:cstheme="minorHAnsi"/>
          <w:i/>
          <w:noProof/>
        </w:rPr>
        <w:t>if previously endorsed</w:t>
      </w:r>
      <w:r w:rsidRPr="003B1CC5">
        <w:rPr>
          <w:rFonts w:cstheme="minorHAnsi"/>
          <w:noProof/>
        </w:rPr>
        <w:t>)</w:t>
      </w:r>
      <w:r w:rsidRPr="003B1CC5">
        <w:rPr>
          <w:rFonts w:cstheme="minorHAnsi"/>
          <w:b/>
          <w:noProof/>
        </w:rPr>
        <w:t xml:space="preserve">: </w:t>
      </w:r>
      <w:sdt>
        <w:sdtPr>
          <w:rPr>
            <w:rStyle w:val="Style1"/>
          </w:rPr>
          <w:id w:val="1103681744"/>
          <w:placeholder>
            <w:docPart w:val="AB1B0578B87C4E9EA043F449B0E6989F"/>
          </w:placeholder>
        </w:sdtPr>
        <w:sdtEndPr>
          <w:rPr>
            <w:rStyle w:val="DefaultParagraphFont"/>
            <w:rFonts w:cstheme="minorHAnsi"/>
            <w:b/>
            <w:noProof/>
            <w:color w:val="auto"/>
          </w:rPr>
        </w:sdtEndPr>
        <w:sdtContent>
          <w:r w:rsidR="000D17C4">
            <w:rPr>
              <w:rStyle w:val="Style1"/>
            </w:rPr>
            <w:t>1858</w:t>
          </w:r>
        </w:sdtContent>
      </w:sdt>
    </w:p>
    <w:p w14:paraId="55B8DA2F" w14:textId="1958215C" w:rsidR="00496AF8" w:rsidRPr="003B1CC5" w:rsidRDefault="00496AF8" w:rsidP="002E2177">
      <w:pPr>
        <w:ind w:left="0" w:firstLine="0"/>
        <w:rPr>
          <w:noProof/>
        </w:rPr>
      </w:pPr>
      <w:r w:rsidRPr="003B1CC5">
        <w:rPr>
          <w:b/>
          <w:noProof/>
        </w:rPr>
        <w:t>Measure Title</w:t>
      </w:r>
      <w:r w:rsidRPr="003B1CC5">
        <w:rPr>
          <w:noProof/>
        </w:rPr>
        <w:t xml:space="preserve">:  </w:t>
      </w:r>
      <w:sdt>
        <w:sdtPr>
          <w:rPr>
            <w:rStyle w:val="Style1"/>
          </w:rPr>
          <w:id w:val="-882640736"/>
          <w:placeholder>
            <w:docPart w:val="61E91D4220034A64A72268AE9C6EBC95"/>
          </w:placeholder>
        </w:sdtPr>
        <w:sdtEndPr>
          <w:rPr>
            <w:rStyle w:val="DefaultParagraphFont"/>
            <w:noProof/>
            <w:color w:val="auto"/>
          </w:rPr>
        </w:sdtEndPr>
        <w:sdtContent>
          <w:r w:rsidR="000D17C4">
            <w:rPr>
              <w:rStyle w:val="Style1"/>
            </w:rPr>
            <w:t>Trastuzumab administered to patients with AJCC stage I (T1c) – III human epidermal growth factor receptor 2 (HER2) positive breast cancer who receive adjuvant chemotherapy</w:t>
          </w:r>
        </w:sdtContent>
      </w:sdt>
    </w:p>
    <w:p w14:paraId="55B8DA30" w14:textId="7DD6A1E7" w:rsidR="00114848" w:rsidRPr="003B1CC5" w:rsidRDefault="00E97E59" w:rsidP="002E2177">
      <w:pPr>
        <w:ind w:left="0" w:firstLine="0"/>
        <w:rPr>
          <w:b/>
          <w:noProof/>
        </w:rPr>
      </w:pPr>
      <w:r w:rsidRPr="003B1CC5">
        <w:rPr>
          <w:i/>
          <w:noProof/>
        </w:rPr>
        <w:t xml:space="preserve"> </w:t>
      </w:r>
      <w:r w:rsidR="00024526" w:rsidRPr="003B1CC5">
        <w:rPr>
          <w:b/>
          <w:noProof/>
        </w:rPr>
        <w:t xml:space="preserve">IF </w:t>
      </w:r>
      <w:r w:rsidR="00176E60" w:rsidRPr="003B1CC5">
        <w:rPr>
          <w:b/>
          <w:noProof/>
        </w:rPr>
        <w:t xml:space="preserve">the measure is </w:t>
      </w:r>
      <w:r w:rsidR="00024526" w:rsidRPr="003B1CC5">
        <w:rPr>
          <w:b/>
          <w:noProof/>
        </w:rPr>
        <w:t xml:space="preserve">a component in </w:t>
      </w:r>
      <w:r w:rsidR="00176E60" w:rsidRPr="003B1CC5">
        <w:rPr>
          <w:b/>
          <w:noProof/>
        </w:rPr>
        <w:t>a composite performance measure, provide the</w:t>
      </w:r>
      <w:r w:rsidR="008B652E" w:rsidRPr="003B1CC5">
        <w:rPr>
          <w:b/>
          <w:noProof/>
        </w:rPr>
        <w:t xml:space="preserve"> </w:t>
      </w:r>
      <w:r w:rsidR="00114848" w:rsidRPr="003B1CC5">
        <w:rPr>
          <w:b/>
          <w:noProof/>
        </w:rPr>
        <w:t xml:space="preserve">title of the </w:t>
      </w:r>
      <w:r w:rsidRPr="003B1CC5">
        <w:rPr>
          <w:b/>
          <w:noProof/>
        </w:rPr>
        <w:t>Compo</w:t>
      </w:r>
      <w:r w:rsidR="00736E0F" w:rsidRPr="003B1CC5">
        <w:rPr>
          <w:b/>
          <w:noProof/>
        </w:rPr>
        <w:t>site</w:t>
      </w:r>
      <w:r w:rsidRPr="003B1CC5">
        <w:rPr>
          <w:b/>
          <w:noProof/>
        </w:rPr>
        <w:t xml:space="preserve"> Measure </w:t>
      </w:r>
      <w:r w:rsidR="00114848" w:rsidRPr="003B1CC5">
        <w:rPr>
          <w:b/>
          <w:noProof/>
        </w:rPr>
        <w:t>here</w:t>
      </w:r>
      <w:r w:rsidRPr="003B1CC5">
        <w:rPr>
          <w:b/>
          <w:noProof/>
        </w:rPr>
        <w:t>:</w:t>
      </w:r>
      <w:r w:rsidRPr="003B1CC5">
        <w:rPr>
          <w:noProof/>
        </w:rPr>
        <w:t xml:space="preserve"> </w:t>
      </w:r>
      <w:sdt>
        <w:sdtPr>
          <w:rPr>
            <w:rStyle w:val="Style1"/>
          </w:rPr>
          <w:id w:val="474719354"/>
          <w:placeholder>
            <w:docPart w:val="8924E7CB4D5C4CC4905BEA5FE80343E5"/>
          </w:placeholder>
        </w:sdtPr>
        <w:sdtEndPr>
          <w:rPr>
            <w:rStyle w:val="DefaultParagraphFont"/>
            <w:noProof/>
            <w:color w:val="auto"/>
          </w:rPr>
        </w:sdtEndPr>
        <w:sdtContent>
          <w:r w:rsidR="000D17C4">
            <w:rPr>
              <w:rStyle w:val="Style1"/>
            </w:rPr>
            <w:t>N/A</w:t>
          </w:r>
        </w:sdtContent>
      </w:sdt>
    </w:p>
    <w:p w14:paraId="55B8DA31" w14:textId="47BF0F88" w:rsidR="00496AF8" w:rsidRPr="003B1CC5" w:rsidRDefault="00496AF8" w:rsidP="002E2177">
      <w:pPr>
        <w:ind w:left="0" w:firstLine="0"/>
        <w:rPr>
          <w:rStyle w:val="Style2"/>
        </w:rPr>
      </w:pPr>
      <w:r w:rsidRPr="003B1CC5">
        <w:rPr>
          <w:b/>
          <w:noProof/>
        </w:rPr>
        <w:t>Date of Submission</w:t>
      </w:r>
      <w:r w:rsidRPr="003B1CC5">
        <w:rPr>
          <w:noProof/>
        </w:rPr>
        <w:t xml:space="preserve">:  </w:t>
      </w:r>
      <w:sdt>
        <w:sdtPr>
          <w:rPr>
            <w:rStyle w:val="Style2"/>
          </w:rPr>
          <w:id w:val="-1689821638"/>
          <w:placeholder>
            <w:docPart w:val="6A100845774148B09AFD987423307E3B"/>
          </w:placeholder>
          <w:date w:fullDate="2019-11-12T00:00:00Z">
            <w:dateFormat w:val="M/d/yyyy"/>
            <w:lid w:val="en-US"/>
            <w:storeMappedDataAs w:val="dateTime"/>
            <w:calendar w:val="gregorian"/>
          </w:date>
        </w:sdtPr>
        <w:sdtEndPr>
          <w:rPr>
            <w:rStyle w:val="DefaultParagraphFont"/>
            <w:noProof/>
            <w:color w:val="auto"/>
            <w:u w:val="none"/>
          </w:rPr>
        </w:sdtEndPr>
        <w:sdtContent>
          <w:r w:rsidR="00D87757">
            <w:rPr>
              <w:rStyle w:val="Style2"/>
            </w:rPr>
            <w:t>11/12/2019</w:t>
          </w:r>
        </w:sdtContent>
      </w:sdt>
    </w:p>
    <w:p w14:paraId="55B8DA32" w14:textId="77777777" w:rsidR="00176E60" w:rsidRPr="003B1CC5" w:rsidRDefault="00176E60" w:rsidP="002E2177">
      <w:pPr>
        <w:ind w:left="0" w:firstLine="0"/>
        <w:rPr>
          <w:rStyle w:val="Style2"/>
        </w:rPr>
      </w:pPr>
    </w:p>
    <w:tbl>
      <w:tblPr>
        <w:tblStyle w:val="TableGrid"/>
        <w:tblW w:w="5500" w:type="pct"/>
        <w:jc w:val="center"/>
        <w:tblLook w:val="04A0" w:firstRow="1" w:lastRow="0" w:firstColumn="1" w:lastColumn="0" w:noHBand="0" w:noVBand="1"/>
      </w:tblPr>
      <w:tblGrid>
        <w:gridCol w:w="10285"/>
      </w:tblGrid>
      <w:tr w:rsidR="00496AF8" w:rsidRPr="003B1CC5" w14:paraId="55B8DA3C" w14:textId="77777777" w:rsidTr="00176E60">
        <w:trPr>
          <w:jc w:val="center"/>
        </w:trPr>
        <w:tc>
          <w:tcPr>
            <w:tcW w:w="9576" w:type="dxa"/>
          </w:tcPr>
          <w:p w14:paraId="55B8DA33" w14:textId="77777777" w:rsidR="00114848" w:rsidRPr="003B1CC5" w:rsidRDefault="00114848" w:rsidP="00114848">
            <w:pPr>
              <w:pStyle w:val="CommentText"/>
              <w:ind w:left="0" w:firstLine="0"/>
              <w:rPr>
                <w:b/>
                <w:i/>
                <w:sz w:val="22"/>
                <w:szCs w:val="22"/>
              </w:rPr>
            </w:pPr>
            <w:r w:rsidRPr="003B1CC5">
              <w:rPr>
                <w:rFonts w:cstheme="minorHAnsi"/>
                <w:b/>
                <w:noProof/>
                <w:sz w:val="22"/>
                <w:szCs w:val="22"/>
              </w:rPr>
              <w:t>Instructions</w:t>
            </w:r>
          </w:p>
          <w:p w14:paraId="55B8DA34" w14:textId="7155EBC7" w:rsidR="000F4A7F" w:rsidRDefault="000F4A7F" w:rsidP="00024526">
            <w:pPr>
              <w:pStyle w:val="CommentText"/>
              <w:numPr>
                <w:ilvl w:val="0"/>
                <w:numId w:val="5"/>
              </w:numPr>
              <w:rPr>
                <w:i/>
                <w:sz w:val="22"/>
                <w:szCs w:val="22"/>
              </w:rPr>
            </w:pPr>
            <w:r>
              <w:rPr>
                <w:i/>
                <w:sz w:val="22"/>
                <w:szCs w:val="22"/>
              </w:rPr>
              <w:t xml:space="preserve">Complete 1a.1 </w:t>
            </w:r>
            <w:r w:rsidR="004922E4">
              <w:rPr>
                <w:i/>
                <w:sz w:val="22"/>
                <w:szCs w:val="22"/>
              </w:rPr>
              <w:t>and 1a.</w:t>
            </w:r>
            <w:r>
              <w:rPr>
                <w:i/>
                <w:sz w:val="22"/>
                <w:szCs w:val="22"/>
              </w:rPr>
              <w:t xml:space="preserve">2 for all measures. </w:t>
            </w:r>
            <w:r w:rsidR="004922E4">
              <w:rPr>
                <w:i/>
                <w:sz w:val="22"/>
                <w:szCs w:val="22"/>
              </w:rPr>
              <w:t>If instrument-based measure, complete 1a.3.</w:t>
            </w:r>
          </w:p>
          <w:p w14:paraId="55B8DA35" w14:textId="77777777" w:rsidR="000F4A7F" w:rsidRDefault="000F4A7F" w:rsidP="00024526">
            <w:pPr>
              <w:pStyle w:val="CommentText"/>
              <w:numPr>
                <w:ilvl w:val="0"/>
                <w:numId w:val="5"/>
              </w:numPr>
              <w:rPr>
                <w:i/>
                <w:sz w:val="22"/>
                <w:szCs w:val="22"/>
              </w:rPr>
            </w:pPr>
            <w:r>
              <w:rPr>
                <w:i/>
                <w:sz w:val="22"/>
                <w:szCs w:val="22"/>
              </w:rPr>
              <w:t xml:space="preserve">Complete </w:t>
            </w:r>
            <w:r w:rsidRPr="000F4A7F">
              <w:rPr>
                <w:b/>
                <w:i/>
                <w:sz w:val="22"/>
                <w:szCs w:val="22"/>
              </w:rPr>
              <w:t>EITHER 1a.2, 1a.3 or 1a.4</w:t>
            </w:r>
            <w:r>
              <w:rPr>
                <w:b/>
                <w:i/>
                <w:sz w:val="22"/>
                <w:szCs w:val="22"/>
              </w:rPr>
              <w:t xml:space="preserve"> </w:t>
            </w:r>
            <w:r w:rsidRPr="000F4A7F">
              <w:rPr>
                <w:i/>
                <w:sz w:val="22"/>
                <w:szCs w:val="22"/>
              </w:rPr>
              <w:t xml:space="preserve">as applicable for the </w:t>
            </w:r>
            <w:r>
              <w:rPr>
                <w:i/>
                <w:sz w:val="22"/>
                <w:szCs w:val="22"/>
              </w:rPr>
              <w:t xml:space="preserve">type of </w:t>
            </w:r>
            <w:r w:rsidRPr="000F4A7F">
              <w:rPr>
                <w:i/>
                <w:sz w:val="22"/>
                <w:szCs w:val="22"/>
              </w:rPr>
              <w:t>measure and evidence.</w:t>
            </w:r>
          </w:p>
          <w:p w14:paraId="55B8DA36" w14:textId="77777777" w:rsidR="00024526" w:rsidRPr="003B1CC5" w:rsidRDefault="00024526" w:rsidP="00024526">
            <w:pPr>
              <w:pStyle w:val="CommentText"/>
              <w:numPr>
                <w:ilvl w:val="0"/>
                <w:numId w:val="5"/>
              </w:numPr>
              <w:rPr>
                <w:i/>
                <w:sz w:val="22"/>
                <w:szCs w:val="22"/>
              </w:rPr>
            </w:pPr>
            <w:r w:rsidRPr="003B1CC5">
              <w:rPr>
                <w:i/>
                <w:sz w:val="22"/>
                <w:szCs w:val="22"/>
              </w:rPr>
              <w:t xml:space="preserve">For composite performance measures:  </w:t>
            </w:r>
          </w:p>
          <w:p w14:paraId="55B8DA37"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A separate evidence form is required for each component measure unless several components were studied together.</w:t>
            </w:r>
          </w:p>
          <w:p w14:paraId="55B8DA38" w14:textId="77777777" w:rsidR="00024526" w:rsidRPr="003B1CC5" w:rsidRDefault="00024526" w:rsidP="00A421D4">
            <w:pPr>
              <w:pStyle w:val="CommentText"/>
              <w:numPr>
                <w:ilvl w:val="1"/>
                <w:numId w:val="5"/>
              </w:numPr>
              <w:ind w:left="792"/>
              <w:rPr>
                <w:i/>
                <w:sz w:val="22"/>
                <w:szCs w:val="22"/>
              </w:rPr>
            </w:pPr>
            <w:r w:rsidRPr="003B1CC5">
              <w:rPr>
                <w:i/>
                <w:sz w:val="22"/>
                <w:szCs w:val="22"/>
              </w:rPr>
              <w:t xml:space="preserve"> If a component measure is submitted as an individual performance measure, attach the evidence form to the individual measure submission.</w:t>
            </w:r>
          </w:p>
          <w:p w14:paraId="55B8DA39" w14:textId="77777777" w:rsidR="002F20A7" w:rsidRPr="003B1CC5" w:rsidRDefault="008B652E" w:rsidP="00024526">
            <w:pPr>
              <w:pStyle w:val="ListParagraph"/>
              <w:numPr>
                <w:ilvl w:val="0"/>
                <w:numId w:val="5"/>
              </w:numPr>
              <w:spacing w:after="0" w:line="240" w:lineRule="auto"/>
            </w:pPr>
            <w:r w:rsidRPr="003B1CC5">
              <w:t xml:space="preserve">All information needed to demonstrate meeting the </w:t>
            </w:r>
            <w:r w:rsidRPr="003B1CC5">
              <w:rPr>
                <w:rFonts w:cstheme="minorHAnsi"/>
              </w:rPr>
              <w:t xml:space="preserve">evidence </w:t>
            </w:r>
            <w:proofErr w:type="spellStart"/>
            <w:r w:rsidR="00A13867" w:rsidRPr="003B1CC5">
              <w:rPr>
                <w:rFonts w:cstheme="minorHAnsi"/>
              </w:rPr>
              <w:t>sub</w:t>
            </w:r>
            <w:r w:rsidRPr="003B1CC5">
              <w:rPr>
                <w:rFonts w:cstheme="minorHAnsi"/>
              </w:rPr>
              <w:t>criterion</w:t>
            </w:r>
            <w:proofErr w:type="spellEnd"/>
            <w:r w:rsidRPr="003B1CC5">
              <w:rPr>
                <w:rFonts w:cstheme="minorHAnsi"/>
              </w:rPr>
              <w:t xml:space="preserve"> (1a)</w:t>
            </w:r>
            <w:r w:rsidRPr="003B1CC5">
              <w:t xml:space="preserve"> must be in this form.  An appendix of </w:t>
            </w:r>
            <w:r w:rsidRPr="003B1CC5">
              <w:rPr>
                <w:i/>
              </w:rPr>
              <w:t>supplemental</w:t>
            </w:r>
            <w:r w:rsidRPr="003B1CC5">
              <w:t xml:space="preserve"> materials may be submitted, but there is no guarantee it will be reviewed.</w:t>
            </w:r>
          </w:p>
          <w:p w14:paraId="55B8DA3A" w14:textId="77777777" w:rsidR="0015535B" w:rsidRPr="003B1CC5" w:rsidRDefault="0015535B" w:rsidP="00024526">
            <w:pPr>
              <w:pStyle w:val="ListParagraph"/>
              <w:numPr>
                <w:ilvl w:val="0"/>
                <w:numId w:val="5"/>
              </w:numPr>
              <w:spacing w:after="0" w:line="240" w:lineRule="auto"/>
            </w:pPr>
            <w:r w:rsidRPr="003B1CC5">
              <w:t>If yo</w:t>
            </w:r>
            <w:r w:rsidR="008B652E" w:rsidRPr="003B1CC5">
              <w:t>u are unable to check a</w:t>
            </w:r>
            <w:r w:rsidR="00114848" w:rsidRPr="003B1CC5">
              <w:t xml:space="preserve"> box, please highlight or </w:t>
            </w:r>
            <w:r w:rsidRPr="003B1CC5">
              <w:t>shade the box for your response.</w:t>
            </w:r>
          </w:p>
          <w:p w14:paraId="55B8DA3B" w14:textId="77777777" w:rsidR="00496AF8" w:rsidRPr="003B1CC5" w:rsidRDefault="00457E46" w:rsidP="0014347E">
            <w:pPr>
              <w:pStyle w:val="ListParagraph"/>
              <w:numPr>
                <w:ilvl w:val="0"/>
                <w:numId w:val="5"/>
              </w:numPr>
              <w:spacing w:after="0" w:line="240" w:lineRule="auto"/>
              <w:rPr>
                <w:u w:val="single"/>
              </w:rPr>
            </w:pPr>
            <w:r w:rsidRPr="003B1CC5">
              <w:t xml:space="preserve">Contact NQF staff regarding questions. Check for resources at </w:t>
            </w:r>
            <w:hyperlink r:id="rId11" w:history="1">
              <w:r w:rsidRPr="003B1CC5">
                <w:rPr>
                  <w:rStyle w:val="Hyperlink"/>
                </w:rPr>
                <w:t>Submitting Standards webpage</w:t>
              </w:r>
            </w:hyperlink>
            <w:r w:rsidRPr="003B1CC5">
              <w:t>.</w:t>
            </w:r>
          </w:p>
        </w:tc>
      </w:tr>
    </w:tbl>
    <w:p w14:paraId="55B8DA3D" w14:textId="77777777" w:rsidR="00176E60" w:rsidRPr="003B1CC5" w:rsidRDefault="00176E60" w:rsidP="00765156">
      <w:pPr>
        <w:ind w:left="0" w:firstLine="0"/>
      </w:pPr>
    </w:p>
    <w:tbl>
      <w:tblPr>
        <w:tblStyle w:val="TableGrid"/>
        <w:tblW w:w="5500" w:type="pct"/>
        <w:jc w:val="center"/>
        <w:tblLook w:val="04A0" w:firstRow="1" w:lastRow="0" w:firstColumn="1" w:lastColumn="0" w:noHBand="0" w:noVBand="1"/>
      </w:tblPr>
      <w:tblGrid>
        <w:gridCol w:w="10285"/>
      </w:tblGrid>
      <w:tr w:rsidR="00176E60" w:rsidRPr="003B1CC5" w14:paraId="55B8DA4D" w14:textId="77777777" w:rsidTr="00F81FE3">
        <w:trPr>
          <w:jc w:val="center"/>
        </w:trPr>
        <w:tc>
          <w:tcPr>
            <w:tcW w:w="10534" w:type="dxa"/>
          </w:tcPr>
          <w:p w14:paraId="55B8DA3E" w14:textId="77777777" w:rsidR="008B652E" w:rsidRPr="003B1CC5" w:rsidRDefault="007573F0" w:rsidP="008B652E">
            <w:pPr>
              <w:ind w:left="0" w:firstLine="0"/>
              <w:rPr>
                <w:sz w:val="20"/>
                <w:szCs w:val="20"/>
              </w:rPr>
            </w:pPr>
            <w:r w:rsidRPr="003B1CC5">
              <w:rPr>
                <w:b/>
                <w:bCs/>
                <w:sz w:val="20"/>
                <w:szCs w:val="20"/>
                <w:u w:val="single"/>
              </w:rPr>
              <w:t>Note</w:t>
            </w:r>
            <w:r w:rsidRPr="003B1CC5">
              <w:rPr>
                <w:b/>
                <w:bCs/>
                <w:sz w:val="20"/>
                <w:szCs w:val="20"/>
              </w:rPr>
              <w:t xml:space="preserve">: </w:t>
            </w:r>
            <w:r w:rsidR="008B652E" w:rsidRPr="003B1CC5">
              <w:rPr>
                <w:b/>
                <w:bCs/>
                <w:sz w:val="20"/>
                <w:szCs w:val="20"/>
              </w:rPr>
              <w:t>The information provided in this form is intended to aid the St</w:t>
            </w:r>
            <w:r w:rsidR="00676BD4">
              <w:rPr>
                <w:b/>
                <w:bCs/>
                <w:sz w:val="20"/>
                <w:szCs w:val="20"/>
              </w:rPr>
              <w:t>and</w:t>
            </w:r>
            <w:r w:rsidR="008B652E" w:rsidRPr="003B1CC5">
              <w:rPr>
                <w:b/>
                <w:bCs/>
                <w:sz w:val="20"/>
                <w:szCs w:val="20"/>
              </w:rPr>
              <w:t>ing Committee and other stakeholders in understanding to what degree the evidence for this measure meets NQF’s evaluation criteria.</w:t>
            </w:r>
          </w:p>
          <w:p w14:paraId="55B8DA3F" w14:textId="77777777" w:rsidR="008659ED" w:rsidRPr="003B1CC5" w:rsidRDefault="008659ED" w:rsidP="008659ED">
            <w:pPr>
              <w:ind w:left="90" w:hanging="90"/>
              <w:rPr>
                <w:sz w:val="20"/>
                <w:szCs w:val="20"/>
              </w:rPr>
            </w:pPr>
            <w:bookmarkStart w:id="0" w:name="Note2"/>
            <w:bookmarkEnd w:id="0"/>
          </w:p>
          <w:p w14:paraId="55B8DA40" w14:textId="77777777" w:rsidR="008659ED" w:rsidRPr="003B1CC5" w:rsidRDefault="008659ED" w:rsidP="008659ED">
            <w:pPr>
              <w:pStyle w:val="Heading3"/>
              <w:rPr>
                <w:rFonts w:asciiTheme="minorHAnsi" w:hAnsiTheme="minorHAnsi"/>
                <w:sz w:val="20"/>
                <w:szCs w:val="20"/>
              </w:rPr>
            </w:pPr>
            <w:r w:rsidRPr="003B1CC5">
              <w:rPr>
                <w:rFonts w:asciiTheme="minorHAnsi" w:hAnsiTheme="minorHAnsi"/>
                <w:sz w:val="20"/>
                <w:szCs w:val="20"/>
              </w:rPr>
              <w:t xml:space="preserve">1a. Evidence to Support the Measure Focus  </w:t>
            </w:r>
          </w:p>
          <w:p w14:paraId="55B8DA41" w14:textId="77777777" w:rsidR="008659ED" w:rsidRPr="003B1CC5" w:rsidRDefault="008659ED" w:rsidP="008659ED">
            <w:pPr>
              <w:rPr>
                <w:rFonts w:eastAsia="Calibri" w:cs="Calibri"/>
                <w:sz w:val="20"/>
                <w:szCs w:val="20"/>
              </w:rPr>
            </w:pPr>
            <w:r w:rsidRPr="003B1CC5">
              <w:rPr>
                <w:rFonts w:eastAsia="Calibri" w:cs="Calibri"/>
                <w:sz w:val="20"/>
                <w:szCs w:val="20"/>
              </w:rPr>
              <w:t xml:space="preserve">The measure focus is evidence-based, demonstrated as follows: </w:t>
            </w:r>
          </w:p>
          <w:p w14:paraId="55B8DA42" w14:textId="6C3402AF" w:rsidR="008659ED" w:rsidRPr="0061327A" w:rsidRDefault="00B35C5F" w:rsidP="00B35C5F">
            <w:pPr>
              <w:numPr>
                <w:ilvl w:val="0"/>
                <w:numId w:val="7"/>
              </w:numPr>
              <w:rPr>
                <w:rFonts w:eastAsia="Calibri" w:cs="Calibri"/>
                <w:sz w:val="20"/>
                <w:szCs w:val="20"/>
              </w:rPr>
            </w:pPr>
            <w:r w:rsidRPr="00B35C5F">
              <w:rPr>
                <w:rFonts w:eastAsia="Calibri" w:cs="Calibri"/>
                <w:sz w:val="20"/>
                <w:szCs w:val="20"/>
                <w:u w:val="single"/>
              </w:rPr>
              <w:t>O</w:t>
            </w:r>
            <w:r w:rsidR="008659ED" w:rsidRPr="00B35C5F">
              <w:rPr>
                <w:rFonts w:eastAsia="Calibri" w:cs="Calibri"/>
                <w:sz w:val="20"/>
                <w:szCs w:val="20"/>
                <w:u w:val="single"/>
              </w:rPr>
              <w:t>utcome</w:t>
            </w:r>
            <w:r w:rsidR="00CB1E41" w:rsidRPr="003B1CC5">
              <w:rPr>
                <w:rFonts w:eastAsia="Calibri" w:cs="Calibri"/>
                <w:color w:val="0000FF"/>
                <w:sz w:val="20"/>
                <w:szCs w:val="20"/>
              </w:rPr>
              <w:t xml:space="preserve">: </w:t>
            </w:r>
            <w:hyperlink w:anchor="Note3" w:history="1">
              <w:r w:rsidR="00CB1E41" w:rsidRPr="003B1CC5">
                <w:rPr>
                  <w:rStyle w:val="Hyperlink"/>
                  <w:rFonts w:eastAsia="Calibri" w:cs="Calibri"/>
                  <w:b/>
                  <w:sz w:val="20"/>
                  <w:szCs w:val="20"/>
                  <w:vertAlign w:val="superscript"/>
                </w:rPr>
                <w:t>3</w:t>
              </w:r>
            </w:hyperlink>
            <w:r w:rsidR="00CB1E41" w:rsidRPr="003B1CC5">
              <w:rPr>
                <w:rFonts w:eastAsia="Calibri" w:cs="Calibri"/>
                <w:color w:val="0000FF"/>
                <w:sz w:val="20"/>
                <w:szCs w:val="20"/>
              </w:rPr>
              <w:t xml:space="preserve"> </w:t>
            </w:r>
            <w:r w:rsidRPr="00B35C5F">
              <w:rPr>
                <w:rFonts w:eastAsia="Calibri" w:cs="Calibri"/>
                <w:sz w:val="20"/>
                <w:szCs w:val="20"/>
              </w:rPr>
              <w:t xml:space="preserve">Empirical data demonstrate a relationship between the outcome and at least one healthcare structure, process, intervention, or service.  If not available, wide variation in performance can be used as evidence, assuming the data are from a robust number of providers and results are not subject to systematic bias.  </w:t>
            </w:r>
          </w:p>
          <w:p w14:paraId="55B8DA43" w14:textId="77777777" w:rsidR="008659ED" w:rsidRPr="003B1CC5" w:rsidRDefault="008659ED" w:rsidP="008659ED">
            <w:pPr>
              <w:numPr>
                <w:ilvl w:val="0"/>
                <w:numId w:val="7"/>
              </w:numPr>
              <w:rPr>
                <w:rFonts w:eastAsia="Calibri" w:cs="Calibri"/>
                <w:sz w:val="20"/>
                <w:szCs w:val="20"/>
              </w:rPr>
            </w:pPr>
            <w:r w:rsidRPr="003B1CC5">
              <w:rPr>
                <w:rFonts w:eastAsia="Calibri" w:cs="Calibri"/>
                <w:sz w:val="20"/>
                <w:szCs w:val="20"/>
                <w:u w:val="single"/>
              </w:rPr>
              <w:t>Intermediate clinical outcome</w:t>
            </w:r>
            <w:r w:rsidRPr="003B1CC5">
              <w:rPr>
                <w:rFonts w:eastAsia="Calibri" w:cs="Calibri"/>
                <w:sz w:val="20"/>
                <w:szCs w:val="20"/>
              </w:rPr>
              <w:t xml:space="preserve">: a systematic assessment and grading of the quantity, quality, and consistency of the body of evidence </w:t>
            </w:r>
            <w:hyperlink w:anchor="Note4" w:history="1">
              <w:r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that the measured intermediate clinical outcome leads to a desired health outcome.</w:t>
            </w:r>
          </w:p>
          <w:p w14:paraId="55B8DA44" w14:textId="77777777" w:rsidR="008659ED" w:rsidRPr="002374ED" w:rsidRDefault="008659ED" w:rsidP="008659ED">
            <w:pPr>
              <w:numPr>
                <w:ilvl w:val="0"/>
                <w:numId w:val="7"/>
              </w:numPr>
              <w:rPr>
                <w:rFonts w:eastAsia="Calibri" w:cs="Calibri"/>
                <w:sz w:val="20"/>
                <w:szCs w:val="20"/>
              </w:rPr>
            </w:pPr>
            <w:r w:rsidRPr="002374ED">
              <w:rPr>
                <w:rFonts w:eastAsia="Calibri" w:cs="Calibri"/>
                <w:sz w:val="20"/>
                <w:szCs w:val="20"/>
                <w:u w:val="single"/>
              </w:rPr>
              <w:t>Process</w:t>
            </w:r>
            <w:r w:rsidRPr="002374ED">
              <w:rPr>
                <w:rFonts w:eastAsia="Calibri" w:cs="Calibri"/>
                <w:sz w:val="20"/>
                <w:szCs w:val="20"/>
              </w:rPr>
              <w:t xml:space="preserve">: </w:t>
            </w:r>
            <w:hyperlink w:anchor="Note5" w:history="1">
              <w:r w:rsidRPr="002374ED">
                <w:rPr>
                  <w:rStyle w:val="Hyperlink"/>
                  <w:rFonts w:eastAsia="Calibri" w:cs="Calibri"/>
                  <w:b/>
                  <w:sz w:val="20"/>
                  <w:szCs w:val="20"/>
                  <w:vertAlign w:val="superscript"/>
                </w:rPr>
                <w:t>5</w:t>
              </w:r>
            </w:hyperlink>
            <w:r w:rsidRPr="002374ED">
              <w:rPr>
                <w:rFonts w:eastAsia="Calibri" w:cs="Calibri"/>
                <w:sz w:val="20"/>
                <w:szCs w:val="20"/>
              </w:rPr>
              <w:t xml:space="preserve"> a systematic assessment and grading of the quantity, quality, and consistency of the body of evidence </w:t>
            </w:r>
            <w:hyperlink w:anchor="Note4" w:history="1">
              <w:r w:rsidR="00CB1E41" w:rsidRPr="002374ED">
                <w:rPr>
                  <w:rStyle w:val="Hyperlink"/>
                  <w:rFonts w:eastAsia="Calibri" w:cs="Calibri"/>
                  <w:b/>
                  <w:sz w:val="20"/>
                  <w:szCs w:val="20"/>
                  <w:vertAlign w:val="superscript"/>
                </w:rPr>
                <w:t>4</w:t>
              </w:r>
            </w:hyperlink>
            <w:r w:rsidRPr="002374ED">
              <w:rPr>
                <w:rFonts w:eastAsia="Calibri" w:cs="Calibri"/>
                <w:bCs/>
                <w:sz w:val="20"/>
                <w:szCs w:val="20"/>
              </w:rPr>
              <w:t xml:space="preserve"> that the measured process leads to a desired health outcome.</w:t>
            </w:r>
          </w:p>
          <w:p w14:paraId="55B8DA45" w14:textId="77777777" w:rsidR="008659ED" w:rsidRPr="003B1CC5" w:rsidRDefault="008659ED" w:rsidP="00CB1E41">
            <w:pPr>
              <w:numPr>
                <w:ilvl w:val="0"/>
                <w:numId w:val="8"/>
              </w:numPr>
              <w:autoSpaceDE w:val="0"/>
              <w:autoSpaceDN w:val="0"/>
              <w:adjustRightInd w:val="0"/>
              <w:contextualSpacing/>
              <w:rPr>
                <w:sz w:val="20"/>
                <w:szCs w:val="20"/>
              </w:rPr>
            </w:pPr>
            <w:r w:rsidRPr="003B1CC5">
              <w:rPr>
                <w:rFonts w:eastAsia="Calibri" w:cs="Calibri"/>
                <w:sz w:val="20"/>
                <w:szCs w:val="20"/>
                <w:u w:val="single"/>
              </w:rPr>
              <w:t>Structure</w:t>
            </w:r>
            <w:r w:rsidRPr="003B1CC5">
              <w:rPr>
                <w:rFonts w:eastAsia="Calibri" w:cs="Calibri"/>
                <w:sz w:val="20"/>
                <w:szCs w:val="20"/>
              </w:rPr>
              <w:t xml:space="preserve">: a systematic assessment and grading of the quantity, quality, and consistency of the body of evidence </w:t>
            </w:r>
            <w:hyperlink w:anchor="Note4" w:history="1">
              <w:r w:rsidR="00CB1E41" w:rsidRPr="003B1CC5">
                <w:rPr>
                  <w:rStyle w:val="Hyperlink"/>
                  <w:rFonts w:eastAsia="Calibri" w:cs="Calibri"/>
                  <w:b/>
                  <w:sz w:val="20"/>
                  <w:szCs w:val="20"/>
                  <w:vertAlign w:val="superscript"/>
                </w:rPr>
                <w:t>4</w:t>
              </w:r>
            </w:hyperlink>
            <w:r w:rsidRPr="003B1CC5">
              <w:rPr>
                <w:rFonts w:eastAsia="Calibri" w:cs="Calibri"/>
                <w:b/>
                <w:sz w:val="20"/>
                <w:szCs w:val="20"/>
                <w:vertAlign w:val="superscript"/>
              </w:rPr>
              <w:t xml:space="preserve"> </w:t>
            </w:r>
            <w:r w:rsidRPr="003B1CC5">
              <w:rPr>
                <w:rFonts w:eastAsia="Calibri" w:cs="Calibri"/>
                <w:bCs/>
                <w:sz w:val="20"/>
                <w:szCs w:val="20"/>
              </w:rPr>
              <w:t xml:space="preserve"> that the measured structure leads to a desired health outcome.</w:t>
            </w:r>
          </w:p>
          <w:p w14:paraId="56E2DE06" w14:textId="27691AAB" w:rsidR="00B35C5F" w:rsidRPr="00EE6069" w:rsidRDefault="008659ED"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3B1CC5">
              <w:rPr>
                <w:rFonts w:eastAsia="Calibri" w:cs="Calibri"/>
                <w:sz w:val="20"/>
                <w:szCs w:val="20"/>
                <w:u w:val="single"/>
              </w:rPr>
              <w:t>Efficiency</w:t>
            </w:r>
            <w:r w:rsidR="00E536D3" w:rsidRPr="003B1CC5">
              <w:rPr>
                <w:rFonts w:eastAsia="Calibri" w:cs="Calibri"/>
                <w:sz w:val="20"/>
                <w:szCs w:val="20"/>
              </w:rPr>
              <w:t xml:space="preserve">: </w:t>
            </w:r>
            <w:hyperlink w:anchor="Note6" w:history="1">
              <w:r w:rsidR="00E536D3" w:rsidRPr="003B1CC5">
                <w:rPr>
                  <w:rStyle w:val="Hyperlink"/>
                  <w:rFonts w:eastAsia="Calibri" w:cs="Calibri"/>
                  <w:b/>
                  <w:sz w:val="20"/>
                  <w:szCs w:val="20"/>
                  <w:vertAlign w:val="superscript"/>
                </w:rPr>
                <w:t>6</w:t>
              </w:r>
            </w:hyperlink>
            <w:r w:rsidR="00E536D3" w:rsidRPr="003B1CC5">
              <w:rPr>
                <w:rFonts w:eastAsia="Calibri" w:cs="Calibri"/>
                <w:sz w:val="20"/>
                <w:szCs w:val="20"/>
              </w:rPr>
              <w:t xml:space="preserve"> </w:t>
            </w:r>
            <w:r w:rsidRPr="003B1CC5">
              <w:rPr>
                <w:rFonts w:eastAsia="Calibri" w:cs="Calibri"/>
                <w:sz w:val="20"/>
                <w:szCs w:val="20"/>
              </w:rPr>
              <w:t>evidence not required for the resource use component.</w:t>
            </w:r>
            <w:r w:rsidR="00B35C5F" w:rsidRPr="0039109D">
              <w:rPr>
                <w:rFonts w:ascii="Calibri" w:hAnsi="Calibri" w:cstheme="minorHAnsi"/>
                <w:bCs/>
                <w:iCs/>
                <w:sz w:val="20"/>
                <w:szCs w:val="20"/>
              </w:rPr>
              <w:t xml:space="preserve"> </w:t>
            </w:r>
          </w:p>
          <w:p w14:paraId="586C6545" w14:textId="2A0699B5" w:rsidR="00B35C5F" w:rsidRPr="00EE6069" w:rsidRDefault="00B35C5F" w:rsidP="00B35C5F">
            <w:pPr>
              <w:pStyle w:val="ListParagraph"/>
              <w:numPr>
                <w:ilvl w:val="0"/>
                <w:numId w:val="8"/>
              </w:numPr>
              <w:autoSpaceDE w:val="0"/>
              <w:autoSpaceDN w:val="0"/>
              <w:adjustRightInd w:val="0"/>
              <w:spacing w:after="0" w:line="240" w:lineRule="auto"/>
              <w:rPr>
                <w:rFonts w:ascii="Calibri" w:hAnsi="Calibri" w:cstheme="minorHAnsi"/>
                <w:sz w:val="20"/>
                <w:szCs w:val="20"/>
                <w:u w:val="single"/>
              </w:rPr>
            </w:pPr>
            <w:r w:rsidRPr="00EE6069">
              <w:rPr>
                <w:rFonts w:ascii="Calibri" w:hAnsi="Calibri" w:cstheme="minorHAnsi"/>
                <w:sz w:val="20"/>
                <w:szCs w:val="20"/>
              </w:rPr>
              <w:t xml:space="preserve">For measures derived from </w:t>
            </w:r>
            <w:r w:rsidRPr="00EE6069">
              <w:rPr>
                <w:rFonts w:ascii="Calibri" w:hAnsi="Calibri" w:cstheme="minorHAnsi"/>
                <w:sz w:val="20"/>
                <w:szCs w:val="20"/>
                <w:u w:val="single"/>
              </w:rPr>
              <w:t>patient reports</w:t>
            </w:r>
            <w:r w:rsidRPr="00EE6069">
              <w:rPr>
                <w:rFonts w:ascii="Calibri" w:hAnsi="Calibri" w:cstheme="minorHAnsi"/>
                <w:sz w:val="20"/>
                <w:szCs w:val="20"/>
              </w:rPr>
              <w:t>, evidence should demonstrate that the target population values the measured outcome, process, or st</w:t>
            </w:r>
            <w:r>
              <w:rPr>
                <w:rFonts w:ascii="Calibri" w:hAnsi="Calibri" w:cstheme="minorHAnsi"/>
                <w:sz w:val="20"/>
                <w:szCs w:val="20"/>
              </w:rPr>
              <w:t>ructure and finds it meaningful.</w:t>
            </w:r>
          </w:p>
          <w:p w14:paraId="55B8DA46" w14:textId="429C6E55" w:rsidR="008659ED" w:rsidRPr="003B1CC5" w:rsidRDefault="00B35C5F" w:rsidP="00B35C5F">
            <w:pPr>
              <w:numPr>
                <w:ilvl w:val="0"/>
                <w:numId w:val="8"/>
              </w:numPr>
              <w:autoSpaceDE w:val="0"/>
              <w:autoSpaceDN w:val="0"/>
              <w:adjustRightInd w:val="0"/>
              <w:contextualSpacing/>
              <w:rPr>
                <w:sz w:val="20"/>
                <w:szCs w:val="20"/>
              </w:rPr>
            </w:pPr>
            <w:r>
              <w:rPr>
                <w:rFonts w:ascii="Calibri" w:hAnsi="Calibri" w:cstheme="minorHAnsi"/>
                <w:sz w:val="20"/>
                <w:szCs w:val="20"/>
                <w:u w:val="single"/>
              </w:rPr>
              <w:t>Process m</w:t>
            </w:r>
            <w:r w:rsidRPr="004B26FC">
              <w:rPr>
                <w:rFonts w:ascii="Calibri" w:hAnsi="Calibri" w:cstheme="minorHAnsi"/>
                <w:sz w:val="20"/>
                <w:szCs w:val="20"/>
                <w:u w:val="single"/>
              </w:rPr>
              <w:t>easures incorporating Appropriate Use Criteria:</w:t>
            </w:r>
            <w:r w:rsidRPr="004B26FC">
              <w:rPr>
                <w:sz w:val="20"/>
                <w:szCs w:val="20"/>
              </w:rPr>
              <w:t xml:space="preserve"> </w:t>
            </w:r>
            <w:r>
              <w:rPr>
                <w:sz w:val="20"/>
                <w:szCs w:val="20"/>
              </w:rPr>
              <w:t xml:space="preserve">See </w:t>
            </w:r>
            <w:r w:rsidRPr="004B26FC">
              <w:rPr>
                <w:sz w:val="20"/>
                <w:szCs w:val="20"/>
              </w:rPr>
              <w:t>NQF’s guidance for evidence for measures</w:t>
            </w:r>
            <w:r>
              <w:rPr>
                <w:sz w:val="20"/>
                <w:szCs w:val="20"/>
              </w:rPr>
              <w:t>, in general; guidance for measures</w:t>
            </w:r>
            <w:r w:rsidRPr="004B26FC">
              <w:rPr>
                <w:sz w:val="20"/>
                <w:szCs w:val="20"/>
              </w:rPr>
              <w:t xml:space="preserve"> specifically based on </w:t>
            </w:r>
            <w:r>
              <w:rPr>
                <w:sz w:val="20"/>
                <w:szCs w:val="20"/>
              </w:rPr>
              <w:t>clinical practice guidelines</w:t>
            </w:r>
            <w:r w:rsidRPr="004B26FC">
              <w:rPr>
                <w:sz w:val="20"/>
                <w:szCs w:val="20"/>
              </w:rPr>
              <w:t xml:space="preserve"> apply </w:t>
            </w:r>
            <w:r w:rsidRPr="006D0681">
              <w:rPr>
                <w:sz w:val="20"/>
                <w:szCs w:val="20"/>
              </w:rPr>
              <w:t xml:space="preserve">as well. </w:t>
            </w:r>
          </w:p>
          <w:p w14:paraId="55B8DA47" w14:textId="77777777" w:rsidR="00CB1E41" w:rsidRPr="003B1CC5" w:rsidRDefault="00CB1E41" w:rsidP="008659ED">
            <w:pPr>
              <w:autoSpaceDE w:val="0"/>
              <w:autoSpaceDN w:val="0"/>
              <w:adjustRightInd w:val="0"/>
              <w:rPr>
                <w:rFonts w:eastAsia="Calibri" w:cs="Calibri"/>
                <w:b/>
                <w:bCs/>
                <w:iCs/>
                <w:sz w:val="18"/>
              </w:rPr>
            </w:pPr>
          </w:p>
          <w:p w14:paraId="55B8DA48" w14:textId="77777777" w:rsidR="008659ED" w:rsidRPr="003B1CC5" w:rsidRDefault="008659ED" w:rsidP="008659ED">
            <w:pPr>
              <w:autoSpaceDE w:val="0"/>
              <w:autoSpaceDN w:val="0"/>
              <w:adjustRightInd w:val="0"/>
              <w:rPr>
                <w:rFonts w:eastAsia="Calibri" w:cs="Calibri"/>
                <w:b/>
                <w:bCs/>
                <w:iCs/>
                <w:sz w:val="20"/>
                <w:szCs w:val="20"/>
              </w:rPr>
            </w:pPr>
            <w:r w:rsidRPr="003B1CC5">
              <w:rPr>
                <w:rFonts w:eastAsia="Calibri" w:cs="Calibri"/>
                <w:b/>
                <w:bCs/>
                <w:iCs/>
                <w:sz w:val="20"/>
                <w:szCs w:val="20"/>
              </w:rPr>
              <w:t>Notes</w:t>
            </w:r>
          </w:p>
          <w:p w14:paraId="55B8DA49" w14:textId="77777777" w:rsidR="008659ED" w:rsidRPr="003B1CC5" w:rsidRDefault="008659ED" w:rsidP="00CB1E41">
            <w:pPr>
              <w:ind w:left="0" w:firstLine="0"/>
              <w:rPr>
                <w:rFonts w:eastAsia="Calibri" w:cs="Calibri"/>
                <w:sz w:val="20"/>
                <w:szCs w:val="20"/>
              </w:rPr>
            </w:pPr>
            <w:bookmarkStart w:id="1" w:name="Note3"/>
            <w:bookmarkEnd w:id="1"/>
            <w:r w:rsidRPr="003B1CC5">
              <w:rPr>
                <w:rFonts w:eastAsia="Calibri" w:cs="Calibri"/>
                <w:b/>
                <w:sz w:val="20"/>
                <w:szCs w:val="20"/>
              </w:rPr>
              <w:t>3.</w:t>
            </w:r>
            <w:r w:rsidRPr="003B1CC5">
              <w:rPr>
                <w:rFonts w:eastAsia="Calibri" w:cs="Calibri"/>
                <w:sz w:val="20"/>
                <w:szCs w:val="20"/>
              </w:rPr>
              <w:t xml:space="preserve"> Generally, rare event outcomes do not provide adequate information for improvement or discrimination; however, serious reportable events that are compared to zero are appropriate outcomes for public reporting and quality improvement.           </w:t>
            </w:r>
          </w:p>
          <w:p w14:paraId="55B8DA4A" w14:textId="17E98CB2" w:rsidR="008659ED" w:rsidRPr="003B1CC5" w:rsidRDefault="008659ED" w:rsidP="00CB1E41">
            <w:pPr>
              <w:ind w:left="0" w:firstLine="0"/>
              <w:rPr>
                <w:rFonts w:eastAsia="Calibri" w:cs="Calibri"/>
                <w:sz w:val="20"/>
                <w:szCs w:val="20"/>
              </w:rPr>
            </w:pPr>
            <w:bookmarkStart w:id="2" w:name="Note4"/>
            <w:bookmarkEnd w:id="2"/>
            <w:r w:rsidRPr="003B1CC5">
              <w:rPr>
                <w:rFonts w:eastAsia="Calibri" w:cs="Calibri"/>
                <w:b/>
                <w:sz w:val="20"/>
                <w:szCs w:val="20"/>
              </w:rPr>
              <w:t>4.</w:t>
            </w:r>
            <w:r w:rsidRPr="003B1CC5">
              <w:rPr>
                <w:rFonts w:eastAsia="Calibri" w:cs="Calibri"/>
                <w:sz w:val="20"/>
                <w:szCs w:val="20"/>
              </w:rPr>
              <w:t xml:space="preserve"> The preferred systems for grading the evidence are </w:t>
            </w:r>
            <w:r w:rsidR="00B35C5F">
              <w:rPr>
                <w:rFonts w:eastAsia="Calibri" w:cs="Calibri"/>
                <w:sz w:val="20"/>
                <w:szCs w:val="20"/>
              </w:rPr>
              <w:t xml:space="preserve">the </w:t>
            </w:r>
            <w:r w:rsidRPr="003B1CC5">
              <w:rPr>
                <w:rFonts w:eastAsia="Calibri" w:cs="Calibri"/>
                <w:sz w:val="20"/>
                <w:szCs w:val="20"/>
              </w:rPr>
              <w:t xml:space="preserve">Grading of Recommendations, Assessment, Development and Evaluation </w:t>
            </w:r>
            <w:hyperlink r:id="rId12" w:history="1">
              <w:r w:rsidRPr="003B1CC5">
                <w:rPr>
                  <w:rFonts w:eastAsia="Calibri" w:cs="Calibri"/>
                  <w:color w:val="0000FF"/>
                  <w:sz w:val="20"/>
                  <w:szCs w:val="20"/>
                  <w:u w:val="single"/>
                </w:rPr>
                <w:t>(GRADE) guidelines</w:t>
              </w:r>
            </w:hyperlink>
            <w:r w:rsidR="00B35C5F">
              <w:rPr>
                <w:rFonts w:eastAsia="Calibri" w:cs="Calibri"/>
                <w:sz w:val="20"/>
                <w:szCs w:val="20"/>
              </w:rPr>
              <w:t xml:space="preserve"> and/or modified GRADE.</w:t>
            </w:r>
          </w:p>
          <w:p w14:paraId="55B8DA4B" w14:textId="77777777" w:rsidR="008659ED" w:rsidRPr="003B1CC5" w:rsidRDefault="008659ED" w:rsidP="00CB1E41">
            <w:pPr>
              <w:ind w:left="0" w:firstLine="0"/>
              <w:rPr>
                <w:rFonts w:eastAsia="Calibri" w:cs="Calibri"/>
                <w:sz w:val="20"/>
                <w:szCs w:val="20"/>
              </w:rPr>
            </w:pPr>
            <w:bookmarkStart w:id="3" w:name="Note5"/>
            <w:bookmarkEnd w:id="3"/>
            <w:r w:rsidRPr="003B1CC5">
              <w:rPr>
                <w:rFonts w:eastAsia="Calibri" w:cs="Calibri"/>
                <w:b/>
                <w:sz w:val="20"/>
                <w:szCs w:val="20"/>
              </w:rPr>
              <w:t>5.</w:t>
            </w:r>
            <w:r w:rsidRPr="003B1CC5">
              <w:rPr>
                <w:rFonts w:eastAsia="Calibri" w:cs="Calibri"/>
                <w:sz w:val="20"/>
                <w:szCs w:val="20"/>
              </w:rPr>
              <w:t xml:space="preserve"> Clinical care processes typically include multiple steps: assess </w:t>
            </w:r>
            <w:r w:rsidRPr="003B1CC5">
              <w:rPr>
                <w:rFonts w:eastAsia="Calibri" w:cs="Calibri"/>
                <w:sz w:val="20"/>
                <w:szCs w:val="20"/>
              </w:rPr>
              <w:sym w:font="Symbol" w:char="F0AE"/>
            </w:r>
            <w:r w:rsidRPr="003B1CC5">
              <w:rPr>
                <w:rFonts w:eastAsia="Calibri" w:cs="Calibri"/>
                <w:sz w:val="20"/>
                <w:szCs w:val="20"/>
              </w:rPr>
              <w:t xml:space="preserve"> identify problem/potential problem </w:t>
            </w:r>
            <w:r w:rsidRPr="003B1CC5">
              <w:rPr>
                <w:rFonts w:eastAsia="Calibri" w:cs="Calibri"/>
                <w:sz w:val="20"/>
                <w:szCs w:val="20"/>
              </w:rPr>
              <w:sym w:font="Symbol" w:char="F0AE"/>
            </w:r>
            <w:r w:rsidRPr="003B1CC5">
              <w:rPr>
                <w:rFonts w:eastAsia="Calibri" w:cs="Calibri"/>
                <w:sz w:val="20"/>
                <w:szCs w:val="20"/>
              </w:rPr>
              <w:t xml:space="preserve"> choose/plan intervention (with patient input) </w:t>
            </w:r>
            <w:r w:rsidRPr="003B1CC5">
              <w:rPr>
                <w:rFonts w:eastAsia="Calibri" w:cs="Calibri"/>
                <w:sz w:val="20"/>
                <w:szCs w:val="20"/>
              </w:rPr>
              <w:sym w:font="Symbol" w:char="F0AE"/>
            </w:r>
            <w:r w:rsidRPr="003B1CC5">
              <w:rPr>
                <w:rFonts w:eastAsia="Calibri" w:cs="Calibri"/>
                <w:sz w:val="20"/>
                <w:szCs w:val="20"/>
              </w:rPr>
              <w:t xml:space="preserve"> provide intervention </w:t>
            </w:r>
            <w:r w:rsidRPr="003B1CC5">
              <w:rPr>
                <w:rFonts w:eastAsia="Calibri" w:cs="Calibri"/>
                <w:sz w:val="20"/>
                <w:szCs w:val="20"/>
              </w:rPr>
              <w:sym w:font="Symbol" w:char="F0AE"/>
            </w:r>
            <w:r w:rsidRPr="003B1CC5">
              <w:rPr>
                <w:rFonts w:eastAsia="Calibri" w:cs="Calibri"/>
                <w:sz w:val="20"/>
                <w:szCs w:val="20"/>
              </w:rPr>
              <w:t xml:space="preserve"> evaluate impact on health status. If the measure focus is one </w:t>
            </w:r>
            <w:r w:rsidRPr="003B1CC5">
              <w:rPr>
                <w:rFonts w:eastAsia="Calibri" w:cs="Calibri"/>
                <w:sz w:val="20"/>
                <w:szCs w:val="20"/>
              </w:rPr>
              <w:lastRenderedPageBreak/>
              <w:t>step in such a multistep process, the step with the strongest evidence for the link to the desired outcome should be selected as the focus of measurement. Note: A measure focused only on collecting PROM data is not a PRO-PM.</w:t>
            </w:r>
          </w:p>
          <w:p w14:paraId="55B8DA4C" w14:textId="77777777" w:rsidR="008659ED" w:rsidRPr="003B1CC5" w:rsidRDefault="008659ED" w:rsidP="00CB1E41">
            <w:pPr>
              <w:autoSpaceDE w:val="0"/>
              <w:autoSpaceDN w:val="0"/>
              <w:adjustRightInd w:val="0"/>
              <w:ind w:left="0" w:firstLine="0"/>
              <w:contextualSpacing/>
            </w:pPr>
            <w:bookmarkStart w:id="4" w:name="Note6"/>
            <w:bookmarkEnd w:id="4"/>
            <w:r w:rsidRPr="003B1CC5">
              <w:rPr>
                <w:rFonts w:eastAsia="Calibri" w:cs="Calibri"/>
                <w:b/>
                <w:sz w:val="20"/>
                <w:szCs w:val="20"/>
              </w:rPr>
              <w:t xml:space="preserve">6. </w:t>
            </w:r>
            <w:r w:rsidRPr="003B1CC5">
              <w:rPr>
                <w:rFonts w:eastAsia="Calibri" w:cs="Calibri"/>
                <w:sz w:val="20"/>
                <w:szCs w:val="20"/>
              </w:rPr>
              <w:t xml:space="preserve">Measures of efficiency combine the concepts of resource use </w:t>
            </w:r>
            <w:r w:rsidRPr="003B1CC5">
              <w:rPr>
                <w:rFonts w:eastAsia="Calibri" w:cs="Calibri"/>
                <w:sz w:val="20"/>
                <w:szCs w:val="20"/>
                <w:u w:val="single"/>
              </w:rPr>
              <w:t>and</w:t>
            </w:r>
            <w:r w:rsidRPr="003B1CC5">
              <w:rPr>
                <w:rFonts w:eastAsia="Calibri" w:cs="Calibri"/>
                <w:sz w:val="20"/>
                <w:szCs w:val="20"/>
              </w:rPr>
              <w:t xml:space="preserve"> quality (see NQF’s </w:t>
            </w:r>
            <w:hyperlink r:id="rId13" w:history="1">
              <w:r w:rsidRPr="003B1CC5">
                <w:rPr>
                  <w:rFonts w:eastAsia="Calibri" w:cs="Calibri"/>
                  <w:color w:val="0000FF"/>
                  <w:sz w:val="20"/>
                  <w:szCs w:val="20"/>
                  <w:u w:val="single"/>
                </w:rPr>
                <w:t>Measurement Framework: Evaluating Efficiency Across Episodes of Care</w:t>
              </w:r>
            </w:hyperlink>
            <w:r w:rsidRPr="003B1CC5">
              <w:rPr>
                <w:rFonts w:eastAsia="Calibri" w:cs="Calibri"/>
                <w:sz w:val="20"/>
                <w:szCs w:val="20"/>
              </w:rPr>
              <w:t xml:space="preserve">; </w:t>
            </w:r>
            <w:hyperlink r:id="rId14" w:history="1">
              <w:r w:rsidRPr="003B1CC5">
                <w:rPr>
                  <w:rFonts w:eastAsia="Calibri" w:cs="Calibri"/>
                  <w:color w:val="0000FF"/>
                  <w:sz w:val="20"/>
                  <w:szCs w:val="20"/>
                  <w:u w:val="single"/>
                </w:rPr>
                <w:t>AQA Principles of Efficiency Measures</w:t>
              </w:r>
            </w:hyperlink>
            <w:r w:rsidRPr="003B1CC5">
              <w:rPr>
                <w:rFonts w:eastAsia="Calibri" w:cs="Calibri"/>
                <w:sz w:val="20"/>
                <w:szCs w:val="20"/>
              </w:rPr>
              <w:t>).</w:t>
            </w:r>
          </w:p>
        </w:tc>
      </w:tr>
    </w:tbl>
    <w:p w14:paraId="55B8DA4E" w14:textId="77777777" w:rsidR="00F81FE3" w:rsidRDefault="00F81FE3" w:rsidP="002E2177">
      <w:pPr>
        <w:ind w:left="0" w:firstLine="0"/>
        <w:rPr>
          <w:b/>
          <w:bCs/>
          <w:color w:val="0000FF"/>
        </w:rPr>
      </w:pPr>
    </w:p>
    <w:p w14:paraId="55B8DA4F" w14:textId="77777777" w:rsidR="00A67EB1" w:rsidRPr="003B1CC5" w:rsidRDefault="00496AF8" w:rsidP="002E2177">
      <w:pPr>
        <w:ind w:left="0" w:firstLine="0"/>
        <w:rPr>
          <w:bCs/>
          <w:i/>
        </w:rPr>
      </w:pPr>
      <w:r w:rsidRPr="003B1CC5">
        <w:rPr>
          <w:b/>
          <w:bCs/>
          <w:color w:val="0000FF"/>
        </w:rPr>
        <w:t>1</w:t>
      </w:r>
      <w:r w:rsidR="00773485" w:rsidRPr="003B1CC5">
        <w:rPr>
          <w:b/>
          <w:bCs/>
          <w:color w:val="0000FF"/>
        </w:rPr>
        <w:t>a</w:t>
      </w:r>
      <w:r w:rsidRPr="003B1CC5">
        <w:rPr>
          <w:b/>
          <w:bCs/>
          <w:color w:val="0000FF"/>
        </w:rPr>
        <w:t>.1.</w:t>
      </w:r>
      <w:r w:rsidRPr="008F6F51">
        <w:rPr>
          <w:b/>
          <w:bCs/>
        </w:rPr>
        <w:t>This is a measure</w:t>
      </w:r>
      <w:r w:rsidRPr="003B1CC5">
        <w:rPr>
          <w:b/>
          <w:bCs/>
        </w:rPr>
        <w:t xml:space="preserve"> of</w:t>
      </w:r>
      <w:r w:rsidRPr="003B1CC5">
        <w:rPr>
          <w:bCs/>
        </w:rPr>
        <w:t>:</w:t>
      </w:r>
      <w:r w:rsidR="00A67EB1" w:rsidRPr="003B1CC5">
        <w:rPr>
          <w:bCs/>
        </w:rPr>
        <w:t xml:space="preserve"> (</w:t>
      </w:r>
      <w:r w:rsidR="00A67EB1" w:rsidRPr="003B1CC5">
        <w:rPr>
          <w:bCs/>
          <w:i/>
        </w:rPr>
        <w:t xml:space="preserve">should be consistent with type </w:t>
      </w:r>
      <w:r w:rsidR="00CB1E41" w:rsidRPr="003B1CC5">
        <w:rPr>
          <w:bCs/>
          <w:i/>
        </w:rPr>
        <w:t xml:space="preserve">of measure </w:t>
      </w:r>
      <w:r w:rsidR="00A67EB1" w:rsidRPr="003B1CC5">
        <w:rPr>
          <w:bCs/>
          <w:i/>
        </w:rPr>
        <w:t>entered in De.1</w:t>
      </w:r>
      <w:r w:rsidR="00A67EB1" w:rsidRPr="003B1CC5">
        <w:rPr>
          <w:bCs/>
        </w:rPr>
        <w:t xml:space="preserve">) </w:t>
      </w:r>
    </w:p>
    <w:p w14:paraId="55B8DA50" w14:textId="77777777" w:rsidR="00496AF8" w:rsidRPr="003B1CC5" w:rsidRDefault="00E41417" w:rsidP="00015986">
      <w:pPr>
        <w:ind w:left="432" w:hanging="432"/>
        <w:rPr>
          <w:rFonts w:cs="Calibri"/>
          <w:bCs/>
        </w:rPr>
      </w:pPr>
      <w:r w:rsidRPr="003B1CC5">
        <w:rPr>
          <w:rFonts w:cs="Calibri"/>
          <w:bCs/>
        </w:rPr>
        <w:t>O</w:t>
      </w:r>
      <w:r w:rsidR="00496AF8" w:rsidRPr="003B1CC5">
        <w:rPr>
          <w:rFonts w:cs="Calibri"/>
          <w:bCs/>
        </w:rPr>
        <w:t>utcome</w:t>
      </w:r>
    </w:p>
    <w:p w14:paraId="55B8DA51" w14:textId="22146486" w:rsidR="00496AF8" w:rsidRPr="003B1CC5" w:rsidRDefault="00583C62" w:rsidP="00A9011D">
      <w:pPr>
        <w:ind w:left="432" w:hanging="432"/>
        <w:rPr>
          <w:rStyle w:val="Style2"/>
          <w:rFonts w:cstheme="minorHAnsi"/>
        </w:rPr>
      </w:pPr>
      <w:sdt>
        <w:sdtPr>
          <w:rPr>
            <w:bCs/>
            <w:color w:val="0000FF"/>
            <w:u w:val="single"/>
          </w:rPr>
          <w:id w:val="1077707841"/>
          <w14:checkbox>
            <w14:checked w14:val="0"/>
            <w14:checkedState w14:val="2612" w14:font="MS Gothic"/>
            <w14:uncheckedState w14:val="2610" w14:font="MS Gothic"/>
          </w14:checkbox>
        </w:sdtPr>
        <w:sdtEndPr/>
        <w:sdtContent>
          <w:r w:rsidR="000D17C4">
            <w:rPr>
              <w:rFonts w:ascii="MS Gothic" w:eastAsia="MS Gothic" w:hAnsi="MS Gothic" w:hint="eastAsia"/>
              <w:bCs/>
              <w:color w:val="0000FF"/>
              <w:u w:val="single"/>
            </w:rPr>
            <w:t>☐</w:t>
          </w:r>
        </w:sdtContent>
      </w:sdt>
      <w:r w:rsidR="0015535B" w:rsidRPr="003B1CC5">
        <w:rPr>
          <w:bCs/>
          <w:color w:val="0000FF"/>
        </w:rPr>
        <w:t xml:space="preserve"> </w:t>
      </w:r>
      <w:r w:rsidR="00CC0F87">
        <w:rPr>
          <w:bCs/>
          <w:color w:val="0000FF"/>
        </w:rPr>
        <w:t>O</w:t>
      </w:r>
      <w:r w:rsidR="00BE6373" w:rsidRPr="003B1CC5">
        <w:rPr>
          <w:bCs/>
        </w:rPr>
        <w:t>utc</w:t>
      </w:r>
      <w:r w:rsidR="00496AF8" w:rsidRPr="003B1CC5">
        <w:rPr>
          <w:bCs/>
        </w:rPr>
        <w:t>ome</w:t>
      </w:r>
      <w:r w:rsidR="00B117D0" w:rsidRPr="003B1CC5">
        <w:rPr>
          <w:bCs/>
        </w:rPr>
        <w:t xml:space="preserve">: </w:t>
      </w:r>
      <w:sdt>
        <w:sdtPr>
          <w:rPr>
            <w:rStyle w:val="Style2"/>
            <w:rFonts w:cstheme="minorHAnsi"/>
          </w:rPr>
          <w:id w:val="-768232283"/>
          <w:showingPlcHdr/>
        </w:sdtPr>
        <w:sdtEndPr>
          <w:rPr>
            <w:rStyle w:val="DefaultParagraphFont"/>
            <w:rFonts w:cstheme="minorBidi"/>
            <w:color w:val="auto"/>
            <w:u w:val="none"/>
          </w:rPr>
        </w:sdtEndPr>
        <w:sdtContent>
          <w:r w:rsidR="00496AF8" w:rsidRPr="003B1CC5">
            <w:rPr>
              <w:color w:val="A6A6A6" w:themeColor="background1" w:themeShade="A6"/>
            </w:rPr>
            <w:t>Click here to n</w:t>
          </w:r>
          <w:r w:rsidR="00496AF8" w:rsidRPr="003B1CC5">
            <w:rPr>
              <w:rStyle w:val="PlaceholderText"/>
              <w:rFonts w:cstheme="minorHAnsi"/>
              <w:color w:val="A6A6A6" w:themeColor="background1" w:themeShade="A6"/>
            </w:rPr>
            <w:t>ame the health outcome</w:t>
          </w:r>
        </w:sdtContent>
      </w:sdt>
    </w:p>
    <w:p w14:paraId="55B8DA52" w14:textId="77777777" w:rsidR="00236F87" w:rsidRPr="003B1CC5" w:rsidRDefault="00583C62" w:rsidP="00A9011D">
      <w:pPr>
        <w:ind w:left="864" w:hanging="432"/>
        <w:rPr>
          <w:b/>
          <w:bCs/>
        </w:rPr>
      </w:pPr>
      <w:sdt>
        <w:sdtPr>
          <w:rPr>
            <w:bCs/>
            <w:color w:val="0000FF"/>
          </w:rPr>
          <w:id w:val="-1541041819"/>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236F87" w:rsidRPr="001E6153">
        <w:rPr>
          <w:bCs/>
        </w:rPr>
        <w:t>Patient-reported outc</w:t>
      </w:r>
      <w:r w:rsidR="00C613EB" w:rsidRPr="001E6153">
        <w:rPr>
          <w:bCs/>
        </w:rPr>
        <w:t>o</w:t>
      </w:r>
      <w:r w:rsidR="00236F87" w:rsidRPr="001E6153">
        <w:rPr>
          <w:bCs/>
        </w:rPr>
        <w:t>me</w:t>
      </w:r>
      <w:r w:rsidR="009C291F" w:rsidRPr="001E6153">
        <w:rPr>
          <w:bCs/>
        </w:rPr>
        <w:t xml:space="preserve"> (PRO)</w:t>
      </w:r>
      <w:r w:rsidR="00236F87" w:rsidRPr="003B1CC5">
        <w:rPr>
          <w:bCs/>
        </w:rPr>
        <w:t xml:space="preserve">: </w:t>
      </w:r>
      <w:sdt>
        <w:sdtPr>
          <w:rPr>
            <w:rStyle w:val="Style2"/>
            <w:rFonts w:cstheme="minorHAnsi"/>
          </w:rPr>
          <w:id w:val="528310131"/>
          <w:showingPlcHdr/>
        </w:sdtPr>
        <w:sdtEndPr>
          <w:rPr>
            <w:rStyle w:val="DefaultParagraphFont"/>
            <w:rFonts w:cstheme="minorBidi"/>
            <w:color w:val="auto"/>
            <w:u w:val="none"/>
          </w:rPr>
        </w:sdtEndPr>
        <w:sdtContent>
          <w:r w:rsidR="00236F87" w:rsidRPr="003B1CC5">
            <w:rPr>
              <w:color w:val="A6A6A6" w:themeColor="background1" w:themeShade="A6"/>
            </w:rPr>
            <w:t>Click here to n</w:t>
          </w:r>
          <w:r w:rsidR="00236F87" w:rsidRPr="003B1CC5">
            <w:rPr>
              <w:rStyle w:val="PlaceholderText"/>
              <w:rFonts w:cstheme="minorHAnsi"/>
              <w:color w:val="A6A6A6" w:themeColor="background1" w:themeShade="A6"/>
            </w:rPr>
            <w:t xml:space="preserve">ame the </w:t>
          </w:r>
          <w:r w:rsidR="001E6153">
            <w:rPr>
              <w:rStyle w:val="PlaceholderText"/>
              <w:rFonts w:cstheme="minorHAnsi"/>
              <w:color w:val="A6A6A6" w:themeColor="background1" w:themeShade="A6"/>
            </w:rPr>
            <w:t>PRO</w:t>
          </w:r>
        </w:sdtContent>
      </w:sdt>
    </w:p>
    <w:p w14:paraId="55B8DA53" w14:textId="77777777" w:rsidR="00B117D0" w:rsidRPr="0061327A" w:rsidRDefault="00B117D0" w:rsidP="005857F8">
      <w:pPr>
        <w:ind w:left="720" w:firstLine="0"/>
        <w:rPr>
          <w:rFonts w:eastAsia="MS Gothic" w:cs="MS Gothic"/>
          <w:bCs/>
          <w:i/>
          <w:color w:val="0000FF"/>
        </w:rPr>
      </w:pPr>
      <w:r w:rsidRPr="003B1CC5">
        <w:rPr>
          <w:bCs/>
          <w:i/>
        </w:rPr>
        <w:t>PRO</w:t>
      </w:r>
      <w:r w:rsidR="009C291F" w:rsidRPr="003B1CC5">
        <w:rPr>
          <w:bCs/>
          <w:i/>
        </w:rPr>
        <w:t xml:space="preserve">s include </w:t>
      </w:r>
      <w:proofErr w:type="spellStart"/>
      <w:r w:rsidR="005857F8" w:rsidRPr="003B1CC5">
        <w:rPr>
          <w:bCs/>
          <w:i/>
        </w:rPr>
        <w:t>HRQoL</w:t>
      </w:r>
      <w:proofErr w:type="spellEnd"/>
      <w:r w:rsidR="005857F8" w:rsidRPr="003B1CC5">
        <w:rPr>
          <w:bCs/>
          <w:i/>
        </w:rPr>
        <w:t>/functional status, symptom/</w:t>
      </w:r>
      <w:r w:rsidR="003008F4">
        <w:rPr>
          <w:bCs/>
          <w:i/>
        </w:rPr>
        <w:t xml:space="preserve">symptom </w:t>
      </w:r>
      <w:r w:rsidR="005857F8" w:rsidRPr="003B1CC5">
        <w:rPr>
          <w:bCs/>
          <w:i/>
        </w:rPr>
        <w:t>burden, experience with care, health-related behaviors</w:t>
      </w:r>
      <w:r w:rsidR="0061327A" w:rsidRPr="0061327A">
        <w:rPr>
          <w:bCs/>
          <w:i/>
        </w:rPr>
        <w:t>.</w:t>
      </w:r>
      <w:r w:rsidR="0061327A" w:rsidRPr="0061327A">
        <w:rPr>
          <w:rFonts w:eastAsia="Calibri" w:cs="Calibri"/>
          <w:sz w:val="20"/>
          <w:szCs w:val="20"/>
        </w:rPr>
        <w:t xml:space="preserve"> </w:t>
      </w:r>
      <w:r w:rsidR="0061327A" w:rsidRPr="0061327A">
        <w:rPr>
          <w:rFonts w:eastAsia="Calibri" w:cs="Calibri"/>
        </w:rPr>
        <w:t>(</w:t>
      </w:r>
      <w:r w:rsidR="0061327A" w:rsidRPr="0061327A">
        <w:rPr>
          <w:rFonts w:eastAsia="Calibri" w:cs="Calibri"/>
          <w:i/>
        </w:rPr>
        <w:t>A PRO</w:t>
      </w:r>
      <w:r w:rsidR="00E42FAA">
        <w:rPr>
          <w:rFonts w:eastAsia="Calibri" w:cs="Calibri"/>
          <w:i/>
        </w:rPr>
        <w:t>-based performance</w:t>
      </w:r>
      <w:r w:rsidR="0061327A" w:rsidRPr="0061327A">
        <w:rPr>
          <w:rFonts w:eastAsia="Calibri" w:cs="Calibri"/>
          <w:i/>
        </w:rPr>
        <w:t xml:space="preserve"> measure is not a survey instrument. Data may be collected using a survey instrument to construct a PRO measure.)</w:t>
      </w:r>
    </w:p>
    <w:p w14:paraId="55B8DA54" w14:textId="69007DF7" w:rsidR="00496AF8" w:rsidRPr="003B1CC5" w:rsidRDefault="00583C62" w:rsidP="004E7215">
      <w:pPr>
        <w:rPr>
          <w:bCs/>
        </w:rPr>
      </w:pPr>
      <w:sdt>
        <w:sdtPr>
          <w:rPr>
            <w:bCs/>
            <w:color w:val="0000FF"/>
          </w:rPr>
          <w:id w:val="-720977531"/>
          <w14:checkbox>
            <w14:checked w14:val="0"/>
            <w14:checkedState w14:val="2612" w14:font="MS Gothic"/>
            <w14:uncheckedState w14:val="2610" w14:font="MS Gothic"/>
          </w14:checkbox>
        </w:sdtPr>
        <w:sdtEndPr/>
        <w:sdtContent>
          <w:r w:rsidR="0077267B">
            <w:rPr>
              <w:rFonts w:ascii="MS Gothic" w:eastAsia="MS Gothic" w:hAnsi="MS Gothic" w:hint="eastAsia"/>
              <w:bCs/>
              <w:color w:val="0000FF"/>
            </w:rPr>
            <w:t>☐</w:t>
          </w:r>
        </w:sdtContent>
      </w:sdt>
      <w:r w:rsidR="00D73685" w:rsidRPr="00D73685" w:rsidDel="00D73685">
        <w:rPr>
          <w:bCs/>
          <w:color w:val="0000FF"/>
        </w:rPr>
        <w:t xml:space="preserve"> </w:t>
      </w:r>
      <w:r w:rsidR="00E41417" w:rsidRPr="003B1CC5">
        <w:rPr>
          <w:bCs/>
        </w:rPr>
        <w:t>I</w:t>
      </w:r>
      <w:r w:rsidR="00496AF8" w:rsidRPr="003B1CC5">
        <w:rPr>
          <w:bCs/>
        </w:rPr>
        <w:t>ntermediate clinical outcome</w:t>
      </w:r>
      <w:r w:rsidR="00851466" w:rsidRPr="003B1CC5">
        <w:rPr>
          <w:bCs/>
        </w:rPr>
        <w:t xml:space="preserve"> (</w:t>
      </w:r>
      <w:r w:rsidR="00851466" w:rsidRPr="003B1CC5">
        <w:rPr>
          <w:bCs/>
          <w:i/>
        </w:rPr>
        <w:t>e.g., lab value</w:t>
      </w:r>
      <w:r w:rsidR="00851466" w:rsidRPr="003B1CC5">
        <w:rPr>
          <w:bCs/>
        </w:rPr>
        <w:t>)</w:t>
      </w:r>
      <w:r w:rsidR="00496AF8" w:rsidRPr="003B1CC5">
        <w:rPr>
          <w:bCs/>
        </w:rPr>
        <w:t xml:space="preserve">:  </w:t>
      </w:r>
      <w:sdt>
        <w:sdtPr>
          <w:rPr>
            <w:rStyle w:val="Style2"/>
            <w:rFonts w:cstheme="minorHAnsi"/>
          </w:rPr>
          <w:id w:val="32262878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intermediate outcome</w:t>
          </w:r>
        </w:sdtContent>
      </w:sdt>
    </w:p>
    <w:p w14:paraId="55B8DA55" w14:textId="60CBA568" w:rsidR="00D73685" w:rsidRDefault="00583C62" w:rsidP="00015986">
      <w:pPr>
        <w:ind w:left="432" w:hanging="432"/>
        <w:rPr>
          <w:bCs/>
        </w:rPr>
      </w:pPr>
      <w:sdt>
        <w:sdtPr>
          <w:rPr>
            <w:bCs/>
            <w:color w:val="0000FF"/>
          </w:rPr>
          <w:id w:val="-1535727686"/>
          <w14:checkbox>
            <w14:checked w14:val="1"/>
            <w14:checkedState w14:val="2612" w14:font="MS Gothic"/>
            <w14:uncheckedState w14:val="2610" w14:font="MS Gothic"/>
          </w14:checkbox>
        </w:sdtPr>
        <w:sdtEndPr/>
        <w:sdtContent>
          <w:r w:rsidR="000D17C4">
            <w:rPr>
              <w:rFonts w:ascii="MS Gothic" w:eastAsia="MS Gothic" w:hAnsi="MS Gothic" w:hint="eastAsia"/>
              <w:bCs/>
              <w:color w:val="0000FF"/>
            </w:rPr>
            <w:t>☒</w:t>
          </w:r>
        </w:sdtContent>
      </w:sdt>
      <w:r w:rsidR="0015535B" w:rsidRPr="003B1CC5">
        <w:rPr>
          <w:bCs/>
        </w:rPr>
        <w:t xml:space="preserve"> </w:t>
      </w:r>
      <w:r w:rsidR="00E41417" w:rsidRPr="003B1CC5">
        <w:rPr>
          <w:bCs/>
        </w:rPr>
        <w:t>P</w:t>
      </w:r>
      <w:r w:rsidR="00496AF8" w:rsidRPr="003B1CC5">
        <w:rPr>
          <w:bCs/>
        </w:rPr>
        <w:t>rocess:</w:t>
      </w:r>
      <w:r w:rsidR="00D73685">
        <w:rPr>
          <w:bCs/>
        </w:rPr>
        <w:t xml:space="preserve">  </w:t>
      </w:r>
      <w:sdt>
        <w:sdtPr>
          <w:rPr>
            <w:rStyle w:val="Style2"/>
            <w:rFonts w:cstheme="minorHAnsi"/>
          </w:rPr>
          <w:id w:val="-247648753"/>
        </w:sdtPr>
        <w:sdtEndPr>
          <w:rPr>
            <w:rStyle w:val="DefaultParagraphFont"/>
            <w:rFonts w:cstheme="minorBidi"/>
            <w:bCs/>
            <w:color w:val="auto"/>
            <w:u w:val="none"/>
          </w:rPr>
        </w:sdtEndPr>
        <w:sdtContent>
          <w:r w:rsidR="000D17C4">
            <w:rPr>
              <w:rStyle w:val="Style2"/>
              <w:rFonts w:cstheme="minorHAnsi"/>
            </w:rPr>
            <w:t>Administration of trastuzumab</w:t>
          </w:r>
        </w:sdtContent>
      </w:sdt>
    </w:p>
    <w:p w14:paraId="55B8DA56" w14:textId="77777777" w:rsidR="00496AF8" w:rsidRPr="004E7215" w:rsidRDefault="00D73685" w:rsidP="00D73685">
      <w:pPr>
        <w:ind w:left="432" w:hanging="432"/>
        <w:rPr>
          <w:rFonts w:ascii="MS Gothic" w:eastAsia="MS Gothic" w:hAnsi="MS Gothic"/>
          <w:b/>
          <w:bCs/>
          <w:color w:val="0000FF"/>
        </w:rPr>
      </w:pPr>
      <w:r>
        <w:rPr>
          <w:rFonts w:ascii="MS Gothic" w:eastAsia="MS Gothic" w:hAnsi="MS Gothic" w:hint="eastAsia"/>
          <w:bCs/>
          <w:color w:val="0000FF"/>
        </w:rPr>
        <w:t xml:space="preserve">    </w:t>
      </w:r>
      <w:sdt>
        <w:sdtPr>
          <w:rPr>
            <w:rFonts w:ascii="MS Gothic" w:eastAsia="MS Gothic" w:hAnsi="MS Gothic"/>
            <w:bCs/>
            <w:color w:val="0000FF"/>
          </w:rPr>
          <w:id w:val="1303807965"/>
          <w14:checkbox>
            <w14:checked w14:val="0"/>
            <w14:checkedState w14:val="2612" w14:font="MS Gothic"/>
            <w14:uncheckedState w14:val="2610" w14:font="MS Gothic"/>
          </w14:checkbox>
        </w:sdtPr>
        <w:sdtEndPr/>
        <w:sdtContent>
          <w:r w:rsidRPr="00D73685">
            <w:rPr>
              <w:rFonts w:ascii="MS Gothic" w:eastAsia="MS Gothic" w:hAnsi="MS Gothic" w:hint="eastAsia"/>
              <w:bCs/>
              <w:color w:val="0000FF"/>
            </w:rPr>
            <w:t>☐</w:t>
          </w:r>
        </w:sdtContent>
      </w:sdt>
      <w:r>
        <w:rPr>
          <w:rFonts w:ascii="MS Gothic" w:eastAsia="MS Gothic" w:hAnsi="MS Gothic"/>
          <w:bCs/>
          <w:color w:val="0000FF"/>
        </w:rPr>
        <w:t xml:space="preserve"> </w:t>
      </w:r>
      <w:r w:rsidRPr="004E7215">
        <w:rPr>
          <w:rFonts w:eastAsia="MS Gothic"/>
          <w:bCs/>
        </w:rPr>
        <w:t>Appropriate use measure</w:t>
      </w:r>
      <w:r>
        <w:rPr>
          <w:rFonts w:eastAsia="MS Gothic"/>
          <w:bCs/>
        </w:rPr>
        <w:t>:</w:t>
      </w:r>
      <w:r w:rsidR="00496AF8" w:rsidRPr="00D73685">
        <w:rPr>
          <w:bCs/>
        </w:rPr>
        <w:t xml:space="preserve"> </w:t>
      </w:r>
      <w:r w:rsidRPr="00D73685">
        <w:rPr>
          <w:rStyle w:val="Style2"/>
          <w:rFonts w:cstheme="minorHAnsi"/>
        </w:rPr>
        <w:t xml:space="preserve"> </w:t>
      </w:r>
      <w:sdt>
        <w:sdtPr>
          <w:rPr>
            <w:rStyle w:val="Style2"/>
            <w:rFonts w:cstheme="minorHAnsi"/>
          </w:rPr>
          <w:id w:val="-2123911889"/>
          <w:showingPlcHdr/>
        </w:sdtPr>
        <w:sdtEndPr>
          <w:rPr>
            <w:rStyle w:val="DefaultParagraphFont"/>
            <w:rFonts w:cstheme="minorBidi"/>
            <w:bCs/>
            <w:color w:val="auto"/>
            <w:u w:val="none"/>
          </w:rPr>
        </w:sdtEndPr>
        <w:sdtContent>
          <w:r w:rsidRPr="003B1CC5">
            <w:rPr>
              <w:rStyle w:val="PlaceholderText"/>
              <w:rFonts w:cstheme="minorHAnsi"/>
              <w:color w:val="A6A6A6" w:themeColor="background1" w:themeShade="A6"/>
            </w:rPr>
            <w:t>Click here to name what is being measured</w:t>
          </w:r>
        </w:sdtContent>
      </w:sdt>
      <w:r>
        <w:rPr>
          <w:rStyle w:val="Style2"/>
          <w:rFonts w:cstheme="minorHAnsi"/>
        </w:rPr>
        <w:t xml:space="preserve"> </w:t>
      </w:r>
      <w:sdt>
        <w:sdtPr>
          <w:rPr>
            <w:rStyle w:val="Style2"/>
            <w:rFonts w:cstheme="minorHAnsi"/>
          </w:rPr>
          <w:id w:val="-1371599399"/>
          <w:showingPlcHdr/>
        </w:sdtPr>
        <w:sdtEndPr>
          <w:rPr>
            <w:rStyle w:val="DefaultParagraphFont"/>
            <w:rFonts w:cstheme="minorBidi"/>
            <w:bCs/>
            <w:color w:val="auto"/>
            <w:u w:val="none"/>
          </w:rPr>
        </w:sdtEndPr>
        <w:sdtContent>
          <w:r>
            <w:rPr>
              <w:rStyle w:val="Style2"/>
              <w:rFonts w:cstheme="minorHAnsi"/>
            </w:rPr>
            <w:t xml:space="preserve">     </w:t>
          </w:r>
        </w:sdtContent>
      </w:sdt>
    </w:p>
    <w:p w14:paraId="55B8DA57" w14:textId="77777777" w:rsidR="00496AF8" w:rsidRPr="003B1CC5" w:rsidRDefault="00583C62" w:rsidP="00015986">
      <w:pPr>
        <w:ind w:left="432" w:hanging="432"/>
        <w:rPr>
          <w:bCs/>
        </w:rPr>
      </w:pPr>
      <w:sdt>
        <w:sdtPr>
          <w:rPr>
            <w:bCs/>
            <w:color w:val="0000FF"/>
          </w:rPr>
          <w:id w:val="1676770628"/>
          <w14:checkbox>
            <w14:checked w14:val="0"/>
            <w14:checkedState w14:val="2612" w14:font="MS Gothic"/>
            <w14:uncheckedState w14:val="2610" w14:font="MS Gothic"/>
          </w14:checkbox>
        </w:sdtPr>
        <w:sdtEndPr/>
        <w:sdtContent>
          <w:r w:rsidR="00D73685">
            <w:rPr>
              <w:rFonts w:ascii="MS Gothic" w:eastAsia="MS Gothic" w:hAnsi="MS Gothic" w:hint="eastAsia"/>
              <w:bCs/>
              <w:color w:val="0000FF"/>
            </w:rPr>
            <w:t>☐</w:t>
          </w:r>
        </w:sdtContent>
      </w:sdt>
      <w:r w:rsidR="0015535B" w:rsidRPr="003B1CC5">
        <w:rPr>
          <w:bCs/>
        </w:rPr>
        <w:t xml:space="preserve"> </w:t>
      </w:r>
      <w:r w:rsidR="00E41417" w:rsidRPr="003B1CC5">
        <w:rPr>
          <w:bCs/>
        </w:rPr>
        <w:t>S</w:t>
      </w:r>
      <w:r w:rsidR="00496AF8" w:rsidRPr="003B1CC5">
        <w:rPr>
          <w:bCs/>
        </w:rPr>
        <w:t xml:space="preserve">tructure:  </w:t>
      </w:r>
      <w:sdt>
        <w:sdtPr>
          <w:rPr>
            <w:rStyle w:val="Style2"/>
            <w:rFonts w:cstheme="minorHAnsi"/>
          </w:rPr>
          <w:id w:val="399486169"/>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the structure</w:t>
          </w:r>
        </w:sdtContent>
      </w:sdt>
    </w:p>
    <w:p w14:paraId="55B8DA58" w14:textId="77777777" w:rsidR="00496AF8" w:rsidRPr="003B1CC5" w:rsidRDefault="00583C62" w:rsidP="00015986">
      <w:pPr>
        <w:ind w:left="432" w:hanging="432"/>
        <w:rPr>
          <w:bCs/>
        </w:rPr>
      </w:pPr>
      <w:sdt>
        <w:sdtPr>
          <w:rPr>
            <w:bCs/>
            <w:color w:val="0000FF"/>
          </w:rPr>
          <w:id w:val="1719405626"/>
          <w14:checkbox>
            <w14:checked w14:val="0"/>
            <w14:checkedState w14:val="2612" w14:font="MS Gothic"/>
            <w14:uncheckedState w14:val="2610" w14:font="MS Gothic"/>
          </w14:checkbox>
        </w:sdtPr>
        <w:sdtEndPr/>
        <w:sdtContent>
          <w:r w:rsidR="0015535B" w:rsidRPr="003B1CC5">
            <w:rPr>
              <w:rFonts w:ascii="MS Gothic" w:eastAsia="MS Gothic" w:hAnsi="MS Gothic" w:cs="MS Gothic" w:hint="eastAsia"/>
              <w:bCs/>
              <w:color w:val="0000FF"/>
            </w:rPr>
            <w:t>☐</w:t>
          </w:r>
        </w:sdtContent>
      </w:sdt>
      <w:r w:rsidR="0015535B" w:rsidRPr="003B1CC5">
        <w:rPr>
          <w:bCs/>
        </w:rPr>
        <w:t xml:space="preserve"> </w:t>
      </w:r>
      <w:r w:rsidR="00D73685">
        <w:rPr>
          <w:bCs/>
        </w:rPr>
        <w:t>Composite</w:t>
      </w:r>
      <w:r w:rsidR="00496AF8" w:rsidRPr="003B1CC5">
        <w:rPr>
          <w:bCs/>
        </w:rPr>
        <w:t xml:space="preserve">:  </w:t>
      </w:r>
      <w:sdt>
        <w:sdtPr>
          <w:rPr>
            <w:rStyle w:val="Style2"/>
            <w:rFonts w:cstheme="minorHAnsi"/>
          </w:rPr>
          <w:id w:val="949512032"/>
          <w:showingPlcHdr/>
        </w:sdtPr>
        <w:sdtEndPr>
          <w:rPr>
            <w:rStyle w:val="DefaultParagraphFont"/>
            <w:rFonts w:cstheme="minorBidi"/>
            <w:bCs/>
            <w:color w:val="auto"/>
            <w:u w:val="none"/>
          </w:rPr>
        </w:sdtEndPr>
        <w:sdtContent>
          <w:r w:rsidR="00496AF8" w:rsidRPr="003B1CC5">
            <w:rPr>
              <w:rStyle w:val="PlaceholderText"/>
              <w:rFonts w:cstheme="minorHAnsi"/>
              <w:color w:val="A6A6A6" w:themeColor="background1" w:themeShade="A6"/>
            </w:rPr>
            <w:t>Click here to name what is being measured</w:t>
          </w:r>
        </w:sdtContent>
      </w:sdt>
    </w:p>
    <w:p w14:paraId="55B8DA59" w14:textId="77777777" w:rsidR="00496AF8" w:rsidRPr="003B1CC5" w:rsidRDefault="00496AF8" w:rsidP="002E2177">
      <w:pPr>
        <w:ind w:left="0" w:firstLine="0"/>
        <w:rPr>
          <w:bCs/>
        </w:rPr>
      </w:pPr>
    </w:p>
    <w:p w14:paraId="55B8DA5A" w14:textId="6FD1C64B" w:rsidR="002B06BD" w:rsidRPr="00676BD4" w:rsidRDefault="00676BD4" w:rsidP="002B06BD">
      <w:pPr>
        <w:ind w:left="432" w:hanging="432"/>
        <w:rPr>
          <w:iCs/>
        </w:rPr>
      </w:pPr>
      <w:r w:rsidRPr="00E111E1">
        <w:rPr>
          <w:b/>
          <w:bCs/>
          <w:color w:val="0000FF"/>
        </w:rPr>
        <w:t>1a.</w:t>
      </w:r>
      <w:r w:rsidR="00C41794" w:rsidRPr="00E111E1">
        <w:rPr>
          <w:b/>
          <w:bCs/>
          <w:color w:val="0000FF"/>
        </w:rPr>
        <w:t>2</w:t>
      </w:r>
      <w:r w:rsidR="002B06BD" w:rsidRPr="00E111E1">
        <w:rPr>
          <w:bCs/>
        </w:rPr>
        <w:t xml:space="preserve"> </w:t>
      </w:r>
      <w:r w:rsidRPr="00E111E1">
        <w:rPr>
          <w:b/>
          <w:bCs/>
        </w:rPr>
        <w:t>LOGIC MODEL</w:t>
      </w:r>
      <w:r w:rsidRPr="00E111E1">
        <w:rPr>
          <w:bCs/>
        </w:rPr>
        <w:t xml:space="preserve"> </w:t>
      </w:r>
      <w:r w:rsidRPr="00E111E1">
        <w:rPr>
          <w:iCs/>
        </w:rPr>
        <w:t>Diagram or briefly describe</w:t>
      </w:r>
      <w:r w:rsidR="002B06BD" w:rsidRPr="00E111E1">
        <w:rPr>
          <w:iCs/>
        </w:rPr>
        <w:t xml:space="preserve"> the </w:t>
      </w:r>
      <w:r w:rsidRPr="00E111E1">
        <w:rPr>
          <w:iCs/>
        </w:rPr>
        <w:t>steps</w:t>
      </w:r>
      <w:r w:rsidR="00236F87" w:rsidRPr="00E111E1">
        <w:rPr>
          <w:iCs/>
        </w:rPr>
        <w:t xml:space="preserve"> </w:t>
      </w:r>
      <w:r w:rsidR="002B06BD" w:rsidRPr="00E111E1">
        <w:rPr>
          <w:iCs/>
        </w:rPr>
        <w:t xml:space="preserve">between </w:t>
      </w:r>
      <w:r w:rsidR="00CB06C9" w:rsidRPr="00E111E1">
        <w:rPr>
          <w:iCs/>
        </w:rPr>
        <w:t>the</w:t>
      </w:r>
      <w:r w:rsidR="002B06BD" w:rsidRPr="00E111E1">
        <w:rPr>
          <w:iCs/>
        </w:rPr>
        <w:t xml:space="preserve"> healthcare structure</w:t>
      </w:r>
      <w:r w:rsidR="00CB06C9" w:rsidRPr="00E111E1">
        <w:rPr>
          <w:iCs/>
        </w:rPr>
        <w:t>s</w:t>
      </w:r>
      <w:r w:rsidR="00F90F82" w:rsidRPr="00E111E1">
        <w:rPr>
          <w:iCs/>
        </w:rPr>
        <w:t xml:space="preserve"> and</w:t>
      </w:r>
      <w:r w:rsidR="002B06BD" w:rsidRPr="00E111E1">
        <w:rPr>
          <w:iCs/>
        </w:rPr>
        <w:t xml:space="preserve"> process</w:t>
      </w:r>
      <w:r w:rsidR="00CB06C9" w:rsidRPr="00E111E1">
        <w:rPr>
          <w:iCs/>
        </w:rPr>
        <w:t>es</w:t>
      </w:r>
      <w:r w:rsidRPr="00E111E1">
        <w:rPr>
          <w:iCs/>
        </w:rPr>
        <w:t xml:space="preserve"> (e.g.,</w:t>
      </w:r>
      <w:r w:rsidR="002B06BD" w:rsidRPr="00E111E1">
        <w:rPr>
          <w:iCs/>
        </w:rPr>
        <w:t xml:space="preserve"> intervention</w:t>
      </w:r>
      <w:r w:rsidR="00CB06C9" w:rsidRPr="00E111E1">
        <w:rPr>
          <w:iCs/>
        </w:rPr>
        <w:t>s</w:t>
      </w:r>
      <w:r w:rsidR="002B06BD" w:rsidRPr="00E111E1">
        <w:rPr>
          <w:iCs/>
        </w:rPr>
        <w:t>, or service</w:t>
      </w:r>
      <w:r w:rsidR="00CB06C9" w:rsidRPr="00E111E1">
        <w:rPr>
          <w:iCs/>
        </w:rPr>
        <w:t>s</w:t>
      </w:r>
      <w:r w:rsidRPr="00E111E1">
        <w:rPr>
          <w:iCs/>
        </w:rPr>
        <w:t>)</w:t>
      </w:r>
      <w:r w:rsidR="00CB06C9" w:rsidRPr="00E111E1">
        <w:rPr>
          <w:iCs/>
        </w:rPr>
        <w:t xml:space="preserve"> </w:t>
      </w:r>
      <w:r w:rsidRPr="00E111E1">
        <w:rPr>
          <w:iCs/>
        </w:rPr>
        <w:t>and the patient’s health outcome</w:t>
      </w:r>
      <w:r w:rsidR="00F90F82" w:rsidRPr="00E111E1">
        <w:rPr>
          <w:iCs/>
        </w:rPr>
        <w:t>(s)</w:t>
      </w:r>
      <w:r w:rsidRPr="00E111E1">
        <w:rPr>
          <w:iCs/>
        </w:rPr>
        <w:t xml:space="preserve">. The relationships in the diagram should be easily understood by general, non-technical audiences. Indicate the </w:t>
      </w:r>
      <w:r w:rsidR="00F90F82" w:rsidRPr="00E111E1">
        <w:rPr>
          <w:iCs/>
        </w:rPr>
        <w:t xml:space="preserve">structure, </w:t>
      </w:r>
      <w:r w:rsidRPr="00E111E1">
        <w:rPr>
          <w:iCs/>
        </w:rPr>
        <w:t>process or outcome being measured.</w:t>
      </w:r>
    </w:p>
    <w:p w14:paraId="55B8DA5B" w14:textId="77777777" w:rsidR="002B06BD" w:rsidRPr="003B1CC5" w:rsidRDefault="002B06BD" w:rsidP="002E2177">
      <w:pPr>
        <w:ind w:left="432" w:hanging="432"/>
        <w:rPr>
          <w:color w:val="0000FF"/>
        </w:rPr>
      </w:pPr>
    </w:p>
    <w:p w14:paraId="55B8DA5C" w14:textId="21D59D0D" w:rsidR="00676BD4" w:rsidRDefault="00233AA0" w:rsidP="002E2177">
      <w:pPr>
        <w:ind w:left="432" w:hanging="432"/>
        <w:rPr>
          <w:b/>
          <w:color w:val="0000FF"/>
        </w:rPr>
      </w:pPr>
      <w:r>
        <w:rPr>
          <w:b/>
          <w:noProof/>
          <w:color w:val="0000FF"/>
        </w:rPr>
        <w:drawing>
          <wp:inline distT="0" distB="0" distL="0" distR="0" wp14:anchorId="1AF6BCC3" wp14:editId="61311A0F">
            <wp:extent cx="5372100" cy="2066925"/>
            <wp:effectExtent l="0" t="0" r="19050"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54932A2C" w14:textId="1C67BBA6" w:rsidR="00EA43D2" w:rsidRPr="00D87757" w:rsidRDefault="00EA43D2" w:rsidP="00EA43D2">
      <w:pPr>
        <w:ind w:left="0" w:firstLine="0"/>
        <w:rPr>
          <w:bCs/>
        </w:rPr>
      </w:pPr>
      <w:r w:rsidRPr="00D87757">
        <w:rPr>
          <w:bCs/>
        </w:rPr>
        <w:t>The process</w:t>
      </w:r>
      <w:r w:rsidR="00026810" w:rsidRPr="00D87757">
        <w:rPr>
          <w:bCs/>
        </w:rPr>
        <w:t xml:space="preserve"> evaluated in this measure is</w:t>
      </w:r>
      <w:r w:rsidRPr="00D87757">
        <w:rPr>
          <w:bCs/>
        </w:rPr>
        <w:t xml:space="preserve"> a patient being administered trastuzumab within 12 months of a breast cancer diagnosis.  Multiple randomized controlled trials have demonstrated that administration of trastuzumab improves a patient’s disease-free </w:t>
      </w:r>
      <w:r w:rsidR="00CF23CD" w:rsidRPr="00D87757">
        <w:rPr>
          <w:bCs/>
        </w:rPr>
        <w:t xml:space="preserve">survival (DFS) </w:t>
      </w:r>
      <w:r w:rsidRPr="00D87757">
        <w:rPr>
          <w:bCs/>
        </w:rPr>
        <w:t>and overall survival</w:t>
      </w:r>
      <w:r w:rsidR="00CF23CD" w:rsidRPr="00D87757">
        <w:rPr>
          <w:bCs/>
        </w:rPr>
        <w:t xml:space="preserve"> (OS)</w:t>
      </w:r>
      <w:r w:rsidRPr="00D87757">
        <w:rPr>
          <w:bCs/>
        </w:rPr>
        <w:t xml:space="preserve">.  Additionally, this measure is directly supported by recommendations in </w:t>
      </w:r>
      <w:r w:rsidR="00CF23CD" w:rsidRPr="00D87757">
        <w:rPr>
          <w:bCs/>
        </w:rPr>
        <w:t>National Comprehensive Cancer Network (</w:t>
      </w:r>
      <w:r w:rsidRPr="00D87757">
        <w:rPr>
          <w:bCs/>
        </w:rPr>
        <w:t>NCCN</w:t>
      </w:r>
      <w:r w:rsidR="00CF23CD" w:rsidRPr="00D87757">
        <w:rPr>
          <w:bCs/>
        </w:rPr>
        <w:t>)</w:t>
      </w:r>
      <w:r w:rsidR="0077267B" w:rsidRPr="00D87757">
        <w:rPr>
          <w:bCs/>
        </w:rPr>
        <w:t xml:space="preserve">, </w:t>
      </w:r>
      <w:r w:rsidR="00CF23CD" w:rsidRPr="00D87757">
        <w:rPr>
          <w:bCs/>
        </w:rPr>
        <w:t>Cancer Care Ontario (</w:t>
      </w:r>
      <w:r w:rsidR="0077267B" w:rsidRPr="00D87757">
        <w:rPr>
          <w:bCs/>
        </w:rPr>
        <w:t>CCO</w:t>
      </w:r>
      <w:r w:rsidR="00CF23CD" w:rsidRPr="00D87757">
        <w:rPr>
          <w:bCs/>
        </w:rPr>
        <w:t>)</w:t>
      </w:r>
      <w:r w:rsidR="0077267B" w:rsidRPr="00D87757">
        <w:rPr>
          <w:bCs/>
        </w:rPr>
        <w:t>,</w:t>
      </w:r>
      <w:r w:rsidRPr="00D87757">
        <w:rPr>
          <w:bCs/>
        </w:rPr>
        <w:t xml:space="preserve"> and</w:t>
      </w:r>
      <w:r w:rsidR="00CF23CD" w:rsidRPr="00D87757">
        <w:rPr>
          <w:bCs/>
        </w:rPr>
        <w:t xml:space="preserve"> American Society of Clinical </w:t>
      </w:r>
      <w:proofErr w:type="gramStart"/>
      <w:r w:rsidR="00CF23CD" w:rsidRPr="00D87757">
        <w:rPr>
          <w:bCs/>
        </w:rPr>
        <w:t>Oncology(</w:t>
      </w:r>
      <w:proofErr w:type="gramEnd"/>
      <w:r w:rsidRPr="00D87757">
        <w:rPr>
          <w:bCs/>
        </w:rPr>
        <w:t>ASCO</w:t>
      </w:r>
      <w:r w:rsidR="00CF23CD" w:rsidRPr="00D87757">
        <w:rPr>
          <w:bCs/>
        </w:rPr>
        <w:t>)</w:t>
      </w:r>
      <w:r w:rsidRPr="00D87757">
        <w:rPr>
          <w:bCs/>
        </w:rPr>
        <w:t xml:space="preserve">-CCO clinical practice guidelines.  </w:t>
      </w:r>
    </w:p>
    <w:p w14:paraId="20946368" w14:textId="77B6548F" w:rsidR="00EA43D2" w:rsidRDefault="00EA43D2" w:rsidP="00EA43D2">
      <w:pPr>
        <w:ind w:left="0" w:firstLine="0"/>
        <w:rPr>
          <w:bCs/>
          <w:color w:val="0070C0"/>
        </w:rPr>
      </w:pPr>
    </w:p>
    <w:p w14:paraId="5925D323" w14:textId="77777777" w:rsidR="00EA43D2" w:rsidRDefault="00EA43D2" w:rsidP="00EA43D2">
      <w:pPr>
        <w:rPr>
          <w:rFonts w:cstheme="minorHAnsi"/>
          <w:bCs/>
        </w:rPr>
      </w:pPr>
      <w:r w:rsidRPr="00DB74B2">
        <w:rPr>
          <w:rFonts w:cstheme="minorHAnsi"/>
          <w:bCs/>
        </w:rPr>
        <w:t>The role of trastuzumab in adjuvant and neoadjuvant therapy in women with</w:t>
      </w:r>
    </w:p>
    <w:p w14:paraId="1B21D3B6" w14:textId="77777777" w:rsidR="00EA43D2" w:rsidRDefault="00EA43D2" w:rsidP="00EA43D2">
      <w:pPr>
        <w:rPr>
          <w:rFonts w:cstheme="minorHAnsi"/>
          <w:bCs/>
        </w:rPr>
      </w:pPr>
      <w:r w:rsidRPr="00DB74B2">
        <w:rPr>
          <w:rFonts w:cstheme="minorHAnsi"/>
          <w:bCs/>
        </w:rPr>
        <w:t xml:space="preserve">HER2/neu-overexpressing breast cancer. </w:t>
      </w:r>
      <w:proofErr w:type="spellStart"/>
      <w:r w:rsidRPr="00DB74B2">
        <w:rPr>
          <w:rFonts w:cstheme="minorHAnsi"/>
          <w:bCs/>
        </w:rPr>
        <w:t>Madarnas</w:t>
      </w:r>
      <w:proofErr w:type="spellEnd"/>
      <w:r w:rsidRPr="00DB74B2">
        <w:rPr>
          <w:rFonts w:cstheme="minorHAnsi"/>
          <w:bCs/>
        </w:rPr>
        <w:t xml:space="preserve"> Y, </w:t>
      </w:r>
      <w:proofErr w:type="spellStart"/>
      <w:r w:rsidRPr="00DB74B2">
        <w:rPr>
          <w:rFonts w:cstheme="minorHAnsi"/>
          <w:bCs/>
        </w:rPr>
        <w:t>Tey</w:t>
      </w:r>
      <w:proofErr w:type="spellEnd"/>
      <w:r w:rsidRPr="00DB74B2">
        <w:rPr>
          <w:rFonts w:cstheme="minorHAnsi"/>
          <w:bCs/>
        </w:rPr>
        <w:t xml:space="preserve"> R, reviewers. Toronto</w:t>
      </w:r>
    </w:p>
    <w:p w14:paraId="7BC3B977" w14:textId="77777777" w:rsidR="00EA43D2" w:rsidRDefault="00EA43D2" w:rsidP="00EA43D2">
      <w:pPr>
        <w:rPr>
          <w:rFonts w:cstheme="minorHAnsi"/>
          <w:bCs/>
        </w:rPr>
      </w:pPr>
      <w:r w:rsidRPr="00DB74B2">
        <w:rPr>
          <w:rFonts w:cstheme="minorHAnsi"/>
          <w:bCs/>
        </w:rPr>
        <w:t>(ON): Cancer Care Ontario; 2011 Sep 15 [Endorsed 2010 Jun 11]. Program in</w:t>
      </w:r>
    </w:p>
    <w:p w14:paraId="1EAF0DF5" w14:textId="77777777" w:rsidR="00EA43D2" w:rsidRPr="00DB74B2" w:rsidRDefault="00EA43D2" w:rsidP="00EA43D2">
      <w:pPr>
        <w:rPr>
          <w:rFonts w:cstheme="minorHAnsi"/>
          <w:bCs/>
        </w:rPr>
      </w:pPr>
      <w:r w:rsidRPr="00DB74B2">
        <w:rPr>
          <w:rFonts w:cstheme="minorHAnsi"/>
          <w:bCs/>
        </w:rPr>
        <w:t>Evidence-based Care Evidence-Based Series No.: 1-24 Version 2</w:t>
      </w:r>
    </w:p>
    <w:p w14:paraId="3CB73011" w14:textId="77777777" w:rsidR="00EA43D2" w:rsidRDefault="00583C62" w:rsidP="00EA43D2">
      <w:pPr>
        <w:rPr>
          <w:rFonts w:cstheme="minorHAnsi"/>
          <w:bCs/>
        </w:rPr>
      </w:pPr>
      <w:hyperlink r:id="rId20" w:history="1">
        <w:r w:rsidR="00EA43D2" w:rsidRPr="00DB74B2">
          <w:rPr>
            <w:rStyle w:val="Hyperlink"/>
            <w:rFonts w:cstheme="minorHAnsi"/>
            <w:bCs/>
            <w:color w:val="auto"/>
          </w:rPr>
          <w:t>https://www.cancercare.on.ca/common/pages/UserFile.aspx?fileId=13890</w:t>
        </w:r>
      </w:hyperlink>
      <w:r w:rsidR="00EA43D2">
        <w:rPr>
          <w:rFonts w:cstheme="minorHAnsi"/>
          <w:bCs/>
        </w:rPr>
        <w:t xml:space="preserve"> </w:t>
      </w:r>
    </w:p>
    <w:p w14:paraId="5ABBE1A1" w14:textId="77777777" w:rsidR="00EA43D2" w:rsidRDefault="00EA43D2" w:rsidP="00EA43D2">
      <w:pPr>
        <w:ind w:left="0" w:firstLine="0"/>
        <w:rPr>
          <w:rFonts w:cstheme="minorHAnsi"/>
          <w:bCs/>
        </w:rPr>
      </w:pPr>
    </w:p>
    <w:p w14:paraId="74CBB514" w14:textId="77777777" w:rsidR="00EA43D2" w:rsidRDefault="00EA43D2" w:rsidP="00EA43D2">
      <w:pPr>
        <w:rPr>
          <w:rFonts w:cstheme="minorHAnsi"/>
          <w:bCs/>
        </w:rPr>
      </w:pPr>
      <w:proofErr w:type="spellStart"/>
      <w:r>
        <w:rPr>
          <w:rFonts w:cstheme="minorHAnsi"/>
          <w:bCs/>
        </w:rPr>
        <w:t>Gradishar</w:t>
      </w:r>
      <w:proofErr w:type="spellEnd"/>
      <w:r>
        <w:rPr>
          <w:rFonts w:cstheme="minorHAnsi"/>
          <w:bCs/>
        </w:rPr>
        <w:t xml:space="preserve"> WJ, Anderson BO, Abraham J, et al. NCCN Guidelines Panel.  NCCN Clinical Practice Guidelines</w:t>
      </w:r>
    </w:p>
    <w:p w14:paraId="45EEA711" w14:textId="77777777" w:rsidR="00EA43D2" w:rsidRDefault="00EA43D2" w:rsidP="00EA43D2">
      <w:pPr>
        <w:rPr>
          <w:rFonts w:cstheme="minorHAnsi"/>
          <w:bCs/>
        </w:rPr>
      </w:pPr>
      <w:r>
        <w:rPr>
          <w:rFonts w:cstheme="minorHAnsi"/>
          <w:bCs/>
        </w:rPr>
        <w:t>in Oncology – Breast Cancer.  Version 3.  2019.  September 6, 2019.</w:t>
      </w:r>
    </w:p>
    <w:p w14:paraId="6F8C191B" w14:textId="7D43E91E" w:rsidR="00EA43D2" w:rsidRDefault="00583C62" w:rsidP="00EA43D2">
      <w:pPr>
        <w:ind w:left="0" w:firstLine="0"/>
        <w:rPr>
          <w:rFonts w:cstheme="minorHAnsi"/>
          <w:bCs/>
        </w:rPr>
      </w:pPr>
      <w:hyperlink r:id="rId21" w:history="1">
        <w:r w:rsidR="00271EE4" w:rsidRPr="00320A9C">
          <w:rPr>
            <w:rStyle w:val="Hyperlink"/>
          </w:rPr>
          <w:t>https://www.nccn.org</w:t>
        </w:r>
      </w:hyperlink>
      <w:r w:rsidR="00453CB3">
        <w:rPr>
          <w:rStyle w:val="Hyperlink"/>
        </w:rPr>
        <w:t xml:space="preserve"> (</w:t>
      </w:r>
      <w:r w:rsidR="00453CB3">
        <w:t xml:space="preserve">free account is required to view </w:t>
      </w:r>
      <w:r w:rsidR="00453CB3">
        <w:t>guideline)</w:t>
      </w:r>
    </w:p>
    <w:p w14:paraId="6CAC0A28" w14:textId="77777777" w:rsidR="00EA43D2" w:rsidRDefault="00EA43D2" w:rsidP="00EA43D2">
      <w:pPr>
        <w:ind w:left="0" w:firstLine="0"/>
      </w:pPr>
    </w:p>
    <w:p w14:paraId="1F0E895C" w14:textId="77777777" w:rsidR="00EA43D2" w:rsidRDefault="00EA43D2" w:rsidP="00EA43D2">
      <w:pPr>
        <w:rPr>
          <w:i/>
          <w:noProof/>
        </w:rPr>
      </w:pPr>
      <w:r w:rsidRPr="0037101C">
        <w:rPr>
          <w:noProof/>
        </w:rPr>
        <w:t xml:space="preserve">Denduluri, N., et al., </w:t>
      </w:r>
      <w:r w:rsidRPr="0037101C">
        <w:rPr>
          <w:i/>
          <w:noProof/>
        </w:rPr>
        <w:t>Selection of Optimal Adjuvant Chemotherapy and Targeted</w:t>
      </w:r>
    </w:p>
    <w:p w14:paraId="0BB84666" w14:textId="77777777" w:rsidR="00EA43D2" w:rsidRDefault="00EA43D2" w:rsidP="00EA43D2">
      <w:pPr>
        <w:rPr>
          <w:i/>
          <w:noProof/>
        </w:rPr>
      </w:pPr>
      <w:r w:rsidRPr="0037101C">
        <w:rPr>
          <w:i/>
          <w:noProof/>
        </w:rPr>
        <w:t>Therapy for Early Breast Cancer: ASCO Clinical Practice Guideline Focused</w:t>
      </w:r>
    </w:p>
    <w:p w14:paraId="37715E78" w14:textId="77777777" w:rsidR="00EA43D2" w:rsidRDefault="00EA43D2" w:rsidP="00EA43D2">
      <w:pPr>
        <w:rPr>
          <w:rFonts w:cstheme="minorHAnsi"/>
          <w:bCs/>
        </w:rPr>
      </w:pPr>
      <w:r w:rsidRPr="0037101C">
        <w:rPr>
          <w:i/>
          <w:noProof/>
        </w:rPr>
        <w:t>Update.</w:t>
      </w:r>
      <w:r w:rsidRPr="0037101C">
        <w:rPr>
          <w:noProof/>
        </w:rPr>
        <w:t xml:space="preserve"> J Clin Oncol, 2018. </w:t>
      </w:r>
      <w:r w:rsidRPr="0037101C">
        <w:rPr>
          <w:b/>
          <w:noProof/>
        </w:rPr>
        <w:t>36</w:t>
      </w:r>
      <w:r w:rsidRPr="0037101C">
        <w:rPr>
          <w:noProof/>
        </w:rPr>
        <w:t>(23): p. 2433-2443.</w:t>
      </w:r>
    </w:p>
    <w:p w14:paraId="1341E9E7" w14:textId="7A19CE37" w:rsidR="00EA43D2" w:rsidRDefault="00583C62" w:rsidP="00EA43D2">
      <w:pPr>
        <w:ind w:left="0" w:firstLine="0"/>
        <w:rPr>
          <w:rStyle w:val="Hyperlink"/>
        </w:rPr>
      </w:pPr>
      <w:hyperlink r:id="rId22" w:anchor="/11081" w:history="1">
        <w:r w:rsidR="00EA43D2" w:rsidRPr="00AE18DA">
          <w:rPr>
            <w:rStyle w:val="Hyperlink"/>
          </w:rPr>
          <w:t>https://www.asco.org/practice-guidelines/quality-guidelines/guidelines/breast-cancer#/11081</w:t>
        </w:r>
      </w:hyperlink>
    </w:p>
    <w:p w14:paraId="4B0902F3" w14:textId="3392B3C6" w:rsidR="0077267B" w:rsidRDefault="0077267B" w:rsidP="00EA43D2">
      <w:pPr>
        <w:ind w:left="0" w:firstLine="0"/>
        <w:rPr>
          <w:rStyle w:val="Hyperlink"/>
        </w:rPr>
      </w:pPr>
    </w:p>
    <w:p w14:paraId="2148E368" w14:textId="7868BA19" w:rsidR="0077267B" w:rsidRDefault="0077267B" w:rsidP="0077267B">
      <w:pPr>
        <w:ind w:left="0" w:firstLine="0"/>
        <w:rPr>
          <w:bCs/>
        </w:rPr>
      </w:pPr>
      <w:r>
        <w:t xml:space="preserve">Eisen A, Fletcher GG, Gandhi S, Mates M, Freedman OC, Dent SF, et al. Optimal systematic therapy for early female breast cancer. Toronto (ON): Cancer Care Ontario; 2014 Sep 30 [In Review 2019 Jan]. Program in Evidence-Based Care Evidence-Based Series No.: 1−21 IN REVIEW. </w:t>
      </w:r>
    </w:p>
    <w:p w14:paraId="1E078368" w14:textId="0448D038" w:rsidR="0077267B" w:rsidRDefault="00583C62" w:rsidP="0077267B">
      <w:pPr>
        <w:ind w:left="0" w:firstLine="0"/>
        <w:rPr>
          <w:rFonts w:ascii="Arial Narrow" w:hAnsi="Arial Narrow" w:cs="Arial"/>
          <w:bCs/>
          <w:color w:val="0000FF"/>
        </w:rPr>
      </w:pPr>
      <w:hyperlink r:id="rId23" w:history="1">
        <w:r w:rsidR="0077267B">
          <w:rPr>
            <w:rStyle w:val="Hyperlink"/>
          </w:rPr>
          <w:t>https://www.cancercareontario.ca/en/guidelines-advice/types-of-cancer/331</w:t>
        </w:r>
      </w:hyperlink>
    </w:p>
    <w:p w14:paraId="28D6F29A" w14:textId="77777777" w:rsidR="00EA43D2" w:rsidRPr="00885CA1" w:rsidRDefault="00EA43D2" w:rsidP="00EA43D2">
      <w:pPr>
        <w:ind w:left="0" w:firstLine="0"/>
        <w:rPr>
          <w:rFonts w:cstheme="minorHAnsi"/>
          <w:color w:val="0070C0"/>
        </w:rPr>
      </w:pPr>
    </w:p>
    <w:p w14:paraId="1A97F6F0" w14:textId="77777777" w:rsidR="00EA43D2" w:rsidRDefault="00EA43D2" w:rsidP="002E2177">
      <w:pPr>
        <w:ind w:left="432" w:hanging="432"/>
        <w:rPr>
          <w:b/>
          <w:color w:val="0000FF"/>
        </w:rPr>
      </w:pPr>
    </w:p>
    <w:p w14:paraId="33C7741B" w14:textId="4993289B" w:rsidR="004922E4" w:rsidRPr="002374ED" w:rsidRDefault="004922E4" w:rsidP="004922E4">
      <w:pPr>
        <w:ind w:right="140"/>
        <w:rPr>
          <w:b/>
          <w:iCs/>
        </w:rPr>
      </w:pPr>
      <w:r w:rsidRPr="002374ED">
        <w:rPr>
          <w:b/>
          <w:bCs/>
          <w:color w:val="0000FF"/>
        </w:rPr>
        <w:t>1a.3</w:t>
      </w:r>
      <w:r w:rsidRPr="002374ED">
        <w:rPr>
          <w:bCs/>
        </w:rPr>
        <w:t xml:space="preserve"> </w:t>
      </w:r>
      <w:r w:rsidRPr="002374ED">
        <w:rPr>
          <w:b/>
          <w:bCs/>
        </w:rPr>
        <w:t xml:space="preserve">Value and Meaningfulness:  </w:t>
      </w:r>
      <w:r w:rsidRPr="002374ED">
        <w:rPr>
          <w:bCs/>
        </w:rPr>
        <w:t xml:space="preserve"> </w:t>
      </w:r>
      <w:r w:rsidRPr="002374ED">
        <w:rPr>
          <w:b/>
          <w:iCs/>
        </w:rPr>
        <w:t xml:space="preserve">IF </w:t>
      </w:r>
      <w:r w:rsidRPr="002374ED">
        <w:rPr>
          <w:iCs/>
        </w:rPr>
        <w:t xml:space="preserve">this measure is derived from patient report, provide evidence that the target population values the measured </w:t>
      </w:r>
      <w:r w:rsidRPr="002374ED">
        <w:rPr>
          <w:b/>
          <w:i/>
          <w:iCs/>
        </w:rPr>
        <w:t>outcome, process, or structure</w:t>
      </w:r>
      <w:r w:rsidRPr="002374ED">
        <w:rPr>
          <w:iCs/>
        </w:rPr>
        <w:t xml:space="preserve"> and finds it meaningful. (Describe how and from whom their input was obtained.)</w:t>
      </w:r>
    </w:p>
    <w:p w14:paraId="5BCFDB54" w14:textId="77777777" w:rsidR="004922E4" w:rsidRPr="000D17C4" w:rsidRDefault="004922E4" w:rsidP="002E2177">
      <w:pPr>
        <w:ind w:left="432" w:hanging="432"/>
        <w:rPr>
          <w:b/>
          <w:strike/>
          <w:color w:val="0000FF"/>
        </w:rPr>
      </w:pPr>
    </w:p>
    <w:p w14:paraId="55B8DA5D" w14:textId="77777777" w:rsidR="00676BD4" w:rsidRDefault="00676BD4" w:rsidP="002E2177">
      <w:pPr>
        <w:ind w:left="432" w:hanging="432"/>
        <w:rPr>
          <w:b/>
          <w:color w:val="0000FF"/>
        </w:rPr>
      </w:pPr>
    </w:p>
    <w:p w14:paraId="55B8DA5E" w14:textId="77777777" w:rsidR="00F90F82" w:rsidRDefault="00F90F82" w:rsidP="002E2177">
      <w:pPr>
        <w:ind w:left="432" w:hanging="432"/>
        <w:rPr>
          <w:b/>
          <w:color w:val="0000FF"/>
        </w:rPr>
      </w:pPr>
    </w:p>
    <w:p w14:paraId="55B8DA5F" w14:textId="77777777" w:rsidR="00676BD4" w:rsidRDefault="00676BD4" w:rsidP="00A9011D">
      <w:pPr>
        <w:ind w:left="0" w:firstLine="0"/>
        <w:rPr>
          <w:b/>
          <w:color w:val="0000FF"/>
        </w:rPr>
      </w:pPr>
    </w:p>
    <w:p w14:paraId="55B8DA60" w14:textId="77777777" w:rsidR="00676BD4" w:rsidRDefault="00676BD4" w:rsidP="002E2177">
      <w:pPr>
        <w:ind w:left="432" w:hanging="432"/>
        <w:rPr>
          <w:b/>
          <w:color w:val="0000FF"/>
        </w:rPr>
      </w:pPr>
    </w:p>
    <w:p w14:paraId="55B8DA61" w14:textId="77777777" w:rsidR="00676BD4" w:rsidRDefault="00C41794" w:rsidP="002E2177">
      <w:pPr>
        <w:ind w:left="432" w:hanging="432"/>
        <w:rPr>
          <w:b/>
          <w:color w:val="0000FF"/>
        </w:rPr>
      </w:pPr>
      <w:r>
        <w:rPr>
          <w:b/>
          <w:color w:val="0000FF"/>
        </w:rPr>
        <w:t xml:space="preserve">**RESPOND TO ONLY ONE SECTION </w:t>
      </w:r>
      <w:r w:rsidR="004E7215">
        <w:rPr>
          <w:b/>
          <w:color w:val="0000FF"/>
        </w:rPr>
        <w:t>BELOW -</w:t>
      </w:r>
      <w:r>
        <w:rPr>
          <w:b/>
          <w:color w:val="0000FF"/>
        </w:rPr>
        <w:t xml:space="preserve">EITHER 1a.2, 1a.3 or 1a.4) </w:t>
      </w:r>
      <w:r w:rsidR="00AB4ECE">
        <w:rPr>
          <w:b/>
          <w:color w:val="0000FF"/>
        </w:rPr>
        <w:t>**</w:t>
      </w:r>
    </w:p>
    <w:p w14:paraId="55B8DA62" w14:textId="77777777" w:rsidR="00676BD4" w:rsidRDefault="00676BD4" w:rsidP="002E2177">
      <w:pPr>
        <w:ind w:left="432" w:hanging="432"/>
        <w:rPr>
          <w:b/>
          <w:color w:val="0000FF"/>
        </w:rPr>
      </w:pPr>
    </w:p>
    <w:p w14:paraId="55B8DA63" w14:textId="26AB307C" w:rsidR="00496AF8" w:rsidRPr="00EA43D2" w:rsidRDefault="00B058A6" w:rsidP="00C41794">
      <w:pPr>
        <w:ind w:left="432" w:hanging="432"/>
        <w:rPr>
          <w:b/>
        </w:rPr>
      </w:pPr>
      <w:r w:rsidRPr="00EA43D2">
        <w:rPr>
          <w:b/>
          <w:color w:val="0000FF"/>
        </w:rPr>
        <w:t>1</w:t>
      </w:r>
      <w:r w:rsidR="00773485" w:rsidRPr="00EA43D2">
        <w:rPr>
          <w:b/>
          <w:color w:val="0000FF"/>
        </w:rPr>
        <w:t>a</w:t>
      </w:r>
      <w:r w:rsidRPr="00EA43D2">
        <w:rPr>
          <w:b/>
          <w:color w:val="0000FF"/>
        </w:rPr>
        <w:t>.2</w:t>
      </w:r>
      <w:r w:rsidR="00E41417" w:rsidRPr="00EA43D2">
        <w:rPr>
          <w:iCs/>
        </w:rPr>
        <w:t xml:space="preserve"> </w:t>
      </w:r>
      <w:r w:rsidR="00C41794" w:rsidRPr="00EA43D2">
        <w:rPr>
          <w:b/>
        </w:rPr>
        <w:t>FOR OUTCOME MEASURES including PATIENT REPORTED OUTCOMES</w:t>
      </w:r>
      <w:r w:rsidR="003D6721" w:rsidRPr="00EA43D2">
        <w:rPr>
          <w:b/>
        </w:rPr>
        <w:t xml:space="preserve"> </w:t>
      </w:r>
      <w:r w:rsidR="00C41794" w:rsidRPr="00EA43D2">
        <w:rPr>
          <w:b/>
        </w:rPr>
        <w:t>-</w:t>
      </w:r>
      <w:r w:rsidR="00C41794" w:rsidRPr="00EA43D2">
        <w:rPr>
          <w:b/>
          <w:iCs/>
        </w:rPr>
        <w:t xml:space="preserve"> </w:t>
      </w:r>
      <w:r w:rsidR="003D6721" w:rsidRPr="00EA43D2">
        <w:rPr>
          <w:b/>
          <w:iCs/>
        </w:rPr>
        <w:t xml:space="preserve">Provide empirical data demonstrating </w:t>
      </w:r>
      <w:r w:rsidR="008B51D9" w:rsidRPr="00EA43D2">
        <w:rPr>
          <w:b/>
          <w:iCs/>
        </w:rPr>
        <w:t xml:space="preserve">the </w:t>
      </w:r>
      <w:r w:rsidR="005D25E9" w:rsidRPr="00EA43D2">
        <w:rPr>
          <w:b/>
          <w:iCs/>
        </w:rPr>
        <w:t xml:space="preserve">relationship </w:t>
      </w:r>
      <w:r w:rsidR="00AC1E53" w:rsidRPr="00EA43D2">
        <w:rPr>
          <w:b/>
          <w:iCs/>
        </w:rPr>
        <w:t>between</w:t>
      </w:r>
      <w:r w:rsidR="005D25E9" w:rsidRPr="00EA43D2">
        <w:rPr>
          <w:b/>
          <w:iCs/>
        </w:rPr>
        <w:t xml:space="preserve"> the </w:t>
      </w:r>
      <w:r w:rsidR="008B51D9" w:rsidRPr="00EA43D2">
        <w:rPr>
          <w:b/>
          <w:iCs/>
        </w:rPr>
        <w:t>outcome</w:t>
      </w:r>
      <w:r w:rsidR="005857F8" w:rsidRPr="00EA43D2">
        <w:rPr>
          <w:b/>
          <w:iCs/>
        </w:rPr>
        <w:t xml:space="preserve"> </w:t>
      </w:r>
      <w:r w:rsidR="00AA5587" w:rsidRPr="00EA43D2">
        <w:rPr>
          <w:b/>
          <w:iCs/>
        </w:rPr>
        <w:t>(</w:t>
      </w:r>
      <w:r w:rsidR="005857F8" w:rsidRPr="00EA43D2">
        <w:rPr>
          <w:b/>
          <w:iCs/>
        </w:rPr>
        <w:t>or PRO</w:t>
      </w:r>
      <w:r w:rsidR="00AA5587" w:rsidRPr="00EA43D2">
        <w:rPr>
          <w:b/>
          <w:iCs/>
        </w:rPr>
        <w:t>)</w:t>
      </w:r>
      <w:r w:rsidR="008B51D9" w:rsidRPr="00EA43D2">
        <w:rPr>
          <w:b/>
          <w:iCs/>
        </w:rPr>
        <w:t xml:space="preserve"> </w:t>
      </w:r>
      <w:r w:rsidR="005D25E9" w:rsidRPr="00EA43D2">
        <w:rPr>
          <w:b/>
          <w:iCs/>
        </w:rPr>
        <w:t>to</w:t>
      </w:r>
      <w:r w:rsidR="00236F87" w:rsidRPr="00EA43D2">
        <w:rPr>
          <w:b/>
          <w:iCs/>
        </w:rPr>
        <w:t xml:space="preserve"> </w:t>
      </w:r>
      <w:r w:rsidR="00496AF8" w:rsidRPr="00EA43D2">
        <w:rPr>
          <w:b/>
          <w:iCs/>
        </w:rPr>
        <w:t>at least one</w:t>
      </w:r>
      <w:r w:rsidR="009B5BEA" w:rsidRPr="00EA43D2">
        <w:rPr>
          <w:b/>
          <w:iCs/>
        </w:rPr>
        <w:t xml:space="preserve"> </w:t>
      </w:r>
      <w:r w:rsidR="003D6721" w:rsidRPr="00EA43D2">
        <w:rPr>
          <w:b/>
          <w:iCs/>
        </w:rPr>
        <w:t xml:space="preserve">healthcare structure, process, </w:t>
      </w:r>
      <w:r w:rsidR="00496AF8" w:rsidRPr="00EA43D2">
        <w:rPr>
          <w:b/>
          <w:iCs/>
        </w:rPr>
        <w:t>intervention, or service</w:t>
      </w:r>
      <w:r w:rsidR="00676BD4" w:rsidRPr="00EA43D2">
        <w:rPr>
          <w:b/>
          <w:iCs/>
        </w:rPr>
        <w:t>.</w:t>
      </w:r>
      <w:r w:rsidR="00AC1E53" w:rsidRPr="00EA43D2">
        <w:rPr>
          <w:b/>
          <w:iCs/>
        </w:rPr>
        <w:t xml:space="preserve"> </w:t>
      </w:r>
    </w:p>
    <w:p w14:paraId="55B8DA64" w14:textId="77777777" w:rsidR="00D14F0B" w:rsidRPr="003B1CC5" w:rsidRDefault="00D14F0B" w:rsidP="002E2177">
      <w:pPr>
        <w:ind w:left="0" w:firstLine="0"/>
        <w:rPr>
          <w:iCs/>
        </w:rPr>
      </w:pPr>
    </w:p>
    <w:p w14:paraId="55B8DA65" w14:textId="77777777" w:rsidR="00676BD4" w:rsidRDefault="00676BD4" w:rsidP="002E2177">
      <w:pPr>
        <w:ind w:left="0" w:firstLine="0"/>
        <w:rPr>
          <w:i/>
          <w:iCs/>
          <w:highlight w:val="green"/>
          <w:u w:val="single"/>
        </w:rPr>
      </w:pPr>
    </w:p>
    <w:p w14:paraId="55B8DA66" w14:textId="725FE95F" w:rsidR="00C41794" w:rsidRPr="003B1CC5" w:rsidRDefault="002B06BD" w:rsidP="00C41794">
      <w:pPr>
        <w:ind w:left="0" w:firstLine="0"/>
        <w:rPr>
          <w:b/>
          <w:iCs/>
        </w:rPr>
      </w:pPr>
      <w:bookmarkStart w:id="5" w:name="Section1a3"/>
      <w:bookmarkEnd w:id="5"/>
      <w:r w:rsidRPr="003B1CC5">
        <w:rPr>
          <w:b/>
          <w:iCs/>
          <w:color w:val="0000FF"/>
        </w:rPr>
        <w:t>1a.3.</w:t>
      </w:r>
      <w:r w:rsidRPr="003B1CC5">
        <w:rPr>
          <w:i/>
          <w:iCs/>
          <w:color w:val="0000FF"/>
        </w:rPr>
        <w:t xml:space="preserve"> </w:t>
      </w:r>
      <w:r w:rsidR="00C41794">
        <w:rPr>
          <w:b/>
          <w:iCs/>
          <w:color w:val="0000FF"/>
        </w:rPr>
        <w:t>SYSTEMATIC REVIEW</w:t>
      </w:r>
      <w:r w:rsidR="00AB4ECE">
        <w:rPr>
          <w:b/>
          <w:iCs/>
          <w:color w:val="0000FF"/>
        </w:rPr>
        <w:t>(SR)</w:t>
      </w:r>
      <w:r w:rsidR="00C41794">
        <w:rPr>
          <w:b/>
          <w:iCs/>
          <w:color w:val="0000FF"/>
        </w:rPr>
        <w:t xml:space="preserve"> OF THE EVIDENCE (</w:t>
      </w:r>
      <w:proofErr w:type="gramStart"/>
      <w:r w:rsidR="00C41794" w:rsidRPr="00F90F82">
        <w:rPr>
          <w:b/>
          <w:iCs/>
        </w:rPr>
        <w:t>for</w:t>
      </w:r>
      <w:r w:rsidR="00C41794" w:rsidRPr="00F90F82">
        <w:rPr>
          <w:b/>
          <w:iCs/>
          <w:caps/>
        </w:rPr>
        <w:t xml:space="preserve"> </w:t>
      </w:r>
      <w:r w:rsidR="00C41794">
        <w:rPr>
          <w:b/>
          <w:iCs/>
          <w:caps/>
        </w:rPr>
        <w:t xml:space="preserve"> </w:t>
      </w:r>
      <w:r w:rsidR="00C41794" w:rsidRPr="003B1CC5">
        <w:rPr>
          <w:b/>
          <w:iCs/>
          <w:caps/>
        </w:rPr>
        <w:t>intermediate</w:t>
      </w:r>
      <w:proofErr w:type="gramEnd"/>
      <w:r w:rsidR="00C41794" w:rsidRPr="003B1CC5">
        <w:rPr>
          <w:b/>
          <w:iCs/>
          <w:caps/>
        </w:rPr>
        <w:t xml:space="preserve"> outcome, PROCESS, or STRUCTURE PERFORMANCE measure</w:t>
      </w:r>
      <w:r w:rsidR="00C41794">
        <w:rPr>
          <w:b/>
          <w:iCs/>
          <w:caps/>
        </w:rPr>
        <w:t>s</w:t>
      </w:r>
      <w:r w:rsidR="003D6721">
        <w:rPr>
          <w:b/>
          <w:iCs/>
          <w:caps/>
        </w:rPr>
        <w:t>, including those that are instrument-based</w:t>
      </w:r>
      <w:r w:rsidR="00C41794">
        <w:rPr>
          <w:b/>
          <w:iCs/>
          <w:caps/>
        </w:rPr>
        <w:t>)</w:t>
      </w:r>
      <w:r w:rsidR="00C41794" w:rsidRPr="003B1CC5">
        <w:rPr>
          <w:b/>
          <w:iCs/>
        </w:rPr>
        <w:t xml:space="preserve"> </w:t>
      </w:r>
      <w:r w:rsidR="00C41794">
        <w:rPr>
          <w:b/>
          <w:iCs/>
        </w:rPr>
        <w:t>If the evidence is not based on a system</w:t>
      </w:r>
      <w:r w:rsidR="00AB4ECE">
        <w:rPr>
          <w:b/>
          <w:iCs/>
        </w:rPr>
        <w:t>a</w:t>
      </w:r>
      <w:r w:rsidR="00C41794">
        <w:rPr>
          <w:b/>
          <w:iCs/>
        </w:rPr>
        <w:t>tic review go to section 1a.4)</w:t>
      </w:r>
      <w:r w:rsidR="00AB4ECE">
        <w:rPr>
          <w:b/>
          <w:iCs/>
        </w:rPr>
        <w:t xml:space="preserve"> If you wish to include more than one systematic review, add </w:t>
      </w:r>
      <w:r w:rsidR="000F4A7F">
        <w:rPr>
          <w:b/>
          <w:iCs/>
        </w:rPr>
        <w:t>additional tables.</w:t>
      </w:r>
      <w:r w:rsidR="00AB4ECE">
        <w:rPr>
          <w:b/>
          <w:iCs/>
        </w:rPr>
        <w:t xml:space="preserve"> </w:t>
      </w:r>
    </w:p>
    <w:p w14:paraId="55B8DA67" w14:textId="77777777" w:rsidR="00496AF8" w:rsidRDefault="00496AF8" w:rsidP="002E2177">
      <w:pPr>
        <w:ind w:left="0" w:firstLine="0"/>
        <w:rPr>
          <w:i/>
          <w:iCs/>
        </w:rPr>
      </w:pPr>
    </w:p>
    <w:p w14:paraId="55B8DA68" w14:textId="77777777" w:rsidR="00A9011D" w:rsidRPr="00A9011D" w:rsidRDefault="00A9011D" w:rsidP="00A9011D">
      <w:pPr>
        <w:ind w:left="0" w:firstLine="0"/>
        <w:rPr>
          <w:rFonts w:ascii="Calibri" w:eastAsia="Calibri" w:hAnsi="Calibri" w:cs="Times New Roman"/>
          <w:b/>
        </w:rPr>
      </w:pPr>
      <w:r w:rsidRPr="00A9011D">
        <w:rPr>
          <w:rFonts w:ascii="Calibri" w:eastAsia="Calibri" w:hAnsi="Calibri" w:cs="Times New Roman"/>
          <w:b/>
        </w:rPr>
        <w:t xml:space="preserve">What is the source of the </w:t>
      </w:r>
      <w:r w:rsidRPr="00A9011D">
        <w:rPr>
          <w:rFonts w:ascii="Calibri" w:eastAsia="Calibri" w:hAnsi="Calibri" w:cs="Times New Roman"/>
          <w:b/>
          <w:u w:val="single"/>
        </w:rPr>
        <w:t>systematic review of the body of evidence</w:t>
      </w:r>
      <w:r w:rsidRPr="00A9011D">
        <w:rPr>
          <w:rFonts w:ascii="Calibri" w:eastAsia="Calibri" w:hAnsi="Calibri" w:cs="Times New Roman"/>
          <w:b/>
        </w:rPr>
        <w:t xml:space="preserve"> that supports the performance measure?</w:t>
      </w:r>
      <w:r>
        <w:rPr>
          <w:rFonts w:ascii="Calibri" w:eastAsia="Calibri" w:hAnsi="Calibri" w:cs="Times New Roman"/>
          <w:b/>
        </w:rPr>
        <w:t xml:space="preserve">  A systematic review is a scientific investigation that focuses on a specific question and uses explicit, prespecified scientific methods to identify, select, assess, and summarize the findings of similar but separate studies. It may include a quantitative synthesis (meta-analysis), depending on the available data. (IOM)</w:t>
      </w:r>
    </w:p>
    <w:p w14:paraId="55B8DA69" w14:textId="1D2D17F5" w:rsidR="00A9011D" w:rsidRPr="00A9011D" w:rsidRDefault="00583C62" w:rsidP="00A9011D">
      <w:pPr>
        <w:ind w:left="0" w:firstLine="0"/>
        <w:rPr>
          <w:rFonts w:ascii="Calibri" w:eastAsia="Calibri" w:hAnsi="Calibri" w:cs="Times New Roman"/>
        </w:rPr>
      </w:pPr>
      <w:sdt>
        <w:sdtPr>
          <w:rPr>
            <w:bCs/>
            <w:color w:val="0000FF"/>
          </w:rPr>
          <w:id w:val="-1387639159"/>
          <w14:checkbox>
            <w14:checked w14:val="1"/>
            <w14:checkedState w14:val="2612" w14:font="MS Gothic"/>
            <w14:uncheckedState w14:val="2610" w14:font="MS Gothic"/>
          </w14:checkbox>
        </w:sdtPr>
        <w:sdtEndPr/>
        <w:sdtContent>
          <w:r w:rsidR="00CE6756">
            <w:rPr>
              <w:rFonts w:ascii="MS Gothic" w:eastAsia="MS Gothic" w:hAnsi="MS Gothic" w:hint="eastAsia"/>
              <w:bCs/>
              <w:color w:val="0000FF"/>
            </w:rPr>
            <w:t>☒</w:t>
          </w:r>
        </w:sdtContent>
      </w:sdt>
      <w:r w:rsidR="00EC1225">
        <w:rPr>
          <w:rFonts w:ascii="Times New Roman" w:eastAsia="Arial Unicode MS" w:hAnsi="Times New Roman" w:cs="Mangal"/>
          <w:color w:val="0000FF"/>
          <w:kern w:val="1"/>
          <w:sz w:val="24"/>
          <w:szCs w:val="24"/>
          <w:lang w:eastAsia="hi-IN" w:bidi="hi-IN"/>
        </w:rPr>
        <w:t xml:space="preserve"> </w:t>
      </w:r>
      <w:r w:rsidR="00A9011D" w:rsidRPr="00A9011D">
        <w:rPr>
          <w:rFonts w:ascii="Calibri" w:eastAsia="Calibri" w:hAnsi="Calibri" w:cs="Times New Roman"/>
        </w:rPr>
        <w:t xml:space="preserve">Clinical Practice Guideline </w:t>
      </w:r>
      <w:proofErr w:type="gramStart"/>
      <w:r w:rsidR="00A9011D" w:rsidRPr="00A9011D">
        <w:rPr>
          <w:rFonts w:ascii="Calibri" w:eastAsia="Calibri" w:hAnsi="Calibri" w:cs="Times New Roman"/>
        </w:rPr>
        <w:t xml:space="preserve">recommendation </w:t>
      </w:r>
      <w:r w:rsidR="00EC1225">
        <w:rPr>
          <w:rFonts w:ascii="Calibri" w:eastAsia="Calibri" w:hAnsi="Calibri" w:cs="Times New Roman"/>
        </w:rPr>
        <w:t xml:space="preserve"> (</w:t>
      </w:r>
      <w:proofErr w:type="gramEnd"/>
      <w:r w:rsidR="00EC1225">
        <w:rPr>
          <w:rFonts w:ascii="Calibri" w:eastAsia="Calibri" w:hAnsi="Calibri" w:cs="Times New Roman"/>
        </w:rPr>
        <w:t>with evidence review)</w:t>
      </w:r>
    </w:p>
    <w:p w14:paraId="55B8DA6A" w14:textId="77777777" w:rsidR="00A9011D" w:rsidRPr="00A9011D" w:rsidRDefault="00A9011D" w:rsidP="00A9011D">
      <w:pPr>
        <w:ind w:left="0" w:firstLine="0"/>
        <w:rPr>
          <w:rFonts w:ascii="Calibri" w:eastAsia="Calibri" w:hAnsi="Calibri" w:cs="Times New Roman"/>
          <w:b/>
          <w:i/>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US Preventive Services Task Force Recommendation</w:t>
      </w:r>
    </w:p>
    <w:p w14:paraId="55B8DA6B" w14:textId="77777777" w:rsidR="00A9011D" w:rsidRPr="00A9011D" w:rsidRDefault="00A9011D" w:rsidP="00A9011D">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systematic review and grading of the body of evidence (</w:t>
      </w:r>
      <w:r w:rsidRPr="00A9011D">
        <w:rPr>
          <w:rFonts w:ascii="Calibri" w:eastAsia="Calibri" w:hAnsi="Calibri" w:cs="Times New Roman"/>
          <w:i/>
        </w:rPr>
        <w:t>e.g., Cochrane Collaboration, AHRQ Evidence Practice Center</w:t>
      </w:r>
      <w:r w:rsidRPr="00A9011D">
        <w:rPr>
          <w:rFonts w:ascii="Calibri" w:eastAsia="Calibri" w:hAnsi="Calibri" w:cs="Times New Roman"/>
        </w:rPr>
        <w:t xml:space="preserve">) </w:t>
      </w:r>
    </w:p>
    <w:p w14:paraId="55B8DA6C" w14:textId="66662262" w:rsidR="00A9011D" w:rsidRDefault="00A9011D" w:rsidP="002E2177">
      <w:pPr>
        <w:ind w:left="0" w:firstLine="0"/>
        <w:rPr>
          <w:rFonts w:ascii="Calibri" w:eastAsia="Calibri" w:hAnsi="Calibri" w:cs="Times New Roman"/>
        </w:rPr>
      </w:pPr>
      <w:r w:rsidRPr="00A9011D">
        <w:rPr>
          <w:rFonts w:ascii="Times New Roman" w:eastAsia="Arial Unicode MS" w:hAnsi="Times New Roman" w:cs="Mangal" w:hint="eastAsia"/>
          <w:color w:val="0000FF"/>
          <w:kern w:val="1"/>
          <w:sz w:val="24"/>
          <w:szCs w:val="24"/>
          <w:lang w:eastAsia="hi-IN" w:bidi="hi-IN"/>
        </w:rPr>
        <w:t>☐</w:t>
      </w:r>
      <w:r w:rsidRPr="00A9011D">
        <w:rPr>
          <w:rFonts w:ascii="Calibri" w:eastAsia="Calibri" w:hAnsi="Calibri" w:cs="Times New Roman"/>
        </w:rPr>
        <w:t xml:space="preserve"> Other </w:t>
      </w:r>
    </w:p>
    <w:p w14:paraId="55B8DA6E" w14:textId="77777777" w:rsidR="004E7215" w:rsidRPr="003B1CC5" w:rsidRDefault="004E7215" w:rsidP="002E2177">
      <w:pPr>
        <w:ind w:left="0" w:firstLine="0"/>
        <w:rPr>
          <w:i/>
          <w:iCs/>
        </w:rPr>
      </w:pPr>
    </w:p>
    <w:tbl>
      <w:tblPr>
        <w:tblStyle w:val="TableGrid"/>
        <w:tblW w:w="0" w:type="auto"/>
        <w:tblLook w:val="04A0" w:firstRow="1" w:lastRow="0" w:firstColumn="1" w:lastColumn="0" w:noHBand="0" w:noVBand="1"/>
      </w:tblPr>
      <w:tblGrid>
        <w:gridCol w:w="1975"/>
        <w:gridCol w:w="7375"/>
      </w:tblGrid>
      <w:tr w:rsidR="00AB4ECE" w14:paraId="55B8DA76" w14:textId="77777777" w:rsidTr="009A0D57">
        <w:tc>
          <w:tcPr>
            <w:tcW w:w="1975" w:type="dxa"/>
          </w:tcPr>
          <w:p w14:paraId="55B8DA6F" w14:textId="77777777" w:rsidR="00AB4ECE" w:rsidRPr="00AB4ECE" w:rsidRDefault="00AB4ECE" w:rsidP="002E2177">
            <w:pPr>
              <w:ind w:left="0" w:firstLine="0"/>
              <w:rPr>
                <w:b/>
              </w:rPr>
            </w:pPr>
            <w:r w:rsidRPr="00AB4ECE">
              <w:rPr>
                <w:b/>
              </w:rPr>
              <w:lastRenderedPageBreak/>
              <w:t>Source of Systematic Review:</w:t>
            </w:r>
          </w:p>
          <w:p w14:paraId="55B8DA70" w14:textId="77777777" w:rsidR="00AB4ECE" w:rsidRPr="00AB4ECE" w:rsidRDefault="00AB4ECE" w:rsidP="00AB4ECE">
            <w:pPr>
              <w:pStyle w:val="ListParagraph"/>
              <w:numPr>
                <w:ilvl w:val="0"/>
                <w:numId w:val="9"/>
              </w:numPr>
              <w:rPr>
                <w:b/>
              </w:rPr>
            </w:pPr>
            <w:r w:rsidRPr="00AB4ECE">
              <w:rPr>
                <w:b/>
              </w:rPr>
              <w:t>Title</w:t>
            </w:r>
          </w:p>
          <w:p w14:paraId="55B8DA71" w14:textId="77777777" w:rsidR="00AB4ECE" w:rsidRPr="00AB4ECE" w:rsidRDefault="00AB4ECE" w:rsidP="00AB4ECE">
            <w:pPr>
              <w:pStyle w:val="ListParagraph"/>
              <w:numPr>
                <w:ilvl w:val="0"/>
                <w:numId w:val="9"/>
              </w:numPr>
              <w:rPr>
                <w:b/>
              </w:rPr>
            </w:pPr>
            <w:r w:rsidRPr="00AB4ECE">
              <w:rPr>
                <w:b/>
              </w:rPr>
              <w:t>Author</w:t>
            </w:r>
          </w:p>
          <w:p w14:paraId="55B8DA72" w14:textId="77777777" w:rsidR="00AB4ECE" w:rsidRPr="00AB4ECE" w:rsidRDefault="00AB4ECE" w:rsidP="00AB4ECE">
            <w:pPr>
              <w:pStyle w:val="ListParagraph"/>
              <w:numPr>
                <w:ilvl w:val="0"/>
                <w:numId w:val="9"/>
              </w:numPr>
              <w:rPr>
                <w:b/>
              </w:rPr>
            </w:pPr>
            <w:r w:rsidRPr="00AB4ECE">
              <w:rPr>
                <w:b/>
              </w:rPr>
              <w:t>Date</w:t>
            </w:r>
          </w:p>
          <w:p w14:paraId="55B8DA73" w14:textId="77777777" w:rsidR="00AB4ECE" w:rsidRPr="00AB4ECE" w:rsidRDefault="00AB4ECE" w:rsidP="00AB4ECE">
            <w:pPr>
              <w:pStyle w:val="ListParagraph"/>
              <w:numPr>
                <w:ilvl w:val="0"/>
                <w:numId w:val="9"/>
              </w:numPr>
              <w:rPr>
                <w:b/>
              </w:rPr>
            </w:pPr>
            <w:r w:rsidRPr="00AB4ECE">
              <w:rPr>
                <w:b/>
              </w:rPr>
              <w:t>Citation, including page number</w:t>
            </w:r>
          </w:p>
          <w:p w14:paraId="55B8DA74" w14:textId="77777777" w:rsidR="00AB4ECE" w:rsidRPr="00AB4ECE" w:rsidRDefault="00AB4ECE" w:rsidP="00AB4ECE">
            <w:pPr>
              <w:pStyle w:val="ListParagraph"/>
              <w:numPr>
                <w:ilvl w:val="0"/>
                <w:numId w:val="9"/>
              </w:numPr>
              <w:rPr>
                <w:b/>
              </w:rPr>
            </w:pPr>
            <w:r w:rsidRPr="00AB4ECE">
              <w:rPr>
                <w:b/>
              </w:rPr>
              <w:t>URL</w:t>
            </w:r>
          </w:p>
        </w:tc>
        <w:tc>
          <w:tcPr>
            <w:tcW w:w="7375" w:type="dxa"/>
          </w:tcPr>
          <w:p w14:paraId="160C48C9" w14:textId="66EA1E36" w:rsidR="00CA2E91" w:rsidRPr="00CA2E91" w:rsidRDefault="00CA2E91" w:rsidP="002E2177">
            <w:pPr>
              <w:ind w:left="0" w:firstLine="0"/>
            </w:pPr>
            <w:r w:rsidRPr="00CA2E91">
              <w:t>NCCN Guidelines Version 3.2019 Breast Cancer</w:t>
            </w:r>
          </w:p>
          <w:p w14:paraId="3E95FB46" w14:textId="3ED81E58" w:rsidR="00CA2E91" w:rsidRPr="00CA2E91" w:rsidRDefault="00CA2E91" w:rsidP="002E2177">
            <w:pPr>
              <w:ind w:left="0" w:firstLine="0"/>
            </w:pPr>
            <w:r w:rsidRPr="00CA2E91">
              <w:t>N</w:t>
            </w:r>
            <w:r>
              <w:t>ational Comprehensive Cancer Network</w:t>
            </w:r>
          </w:p>
          <w:p w14:paraId="040BEC81" w14:textId="2916E139" w:rsidR="00CA2E91" w:rsidRPr="00CA2E91" w:rsidRDefault="00CA2E91" w:rsidP="002E2177">
            <w:pPr>
              <w:ind w:left="0" w:firstLine="0"/>
            </w:pPr>
            <w:r w:rsidRPr="00CA2E91">
              <w:t>Version 3.2019 – September 6, 2019</w:t>
            </w:r>
          </w:p>
          <w:p w14:paraId="70CA38CA" w14:textId="2ADD20B7" w:rsidR="00AB4ECE" w:rsidRPr="00CA2E91" w:rsidRDefault="00CA2E91" w:rsidP="002E2177">
            <w:pPr>
              <w:ind w:left="0" w:firstLine="0"/>
            </w:pPr>
            <w:r w:rsidRPr="00A17391">
              <w:t>NCCN Clinical Practice Guidelines in Oncology™. Breast Cancer, V.</w:t>
            </w:r>
            <w:r>
              <w:t>3</w:t>
            </w:r>
            <w:r w:rsidRPr="00A17391">
              <w:t>.2019</w:t>
            </w:r>
            <w:r>
              <w:t xml:space="preserve"> (</w:t>
            </w:r>
            <w:r w:rsidRPr="00CA2E91">
              <w:t>MS-30</w:t>
            </w:r>
            <w:r>
              <w:t>)</w:t>
            </w:r>
          </w:p>
          <w:p w14:paraId="4908B025" w14:textId="16B6A062" w:rsidR="00453CB3" w:rsidRDefault="00583C62" w:rsidP="002E2177">
            <w:pPr>
              <w:ind w:left="0" w:firstLine="0"/>
            </w:pPr>
            <w:r>
              <w:fldChar w:fldCharType="begin"/>
            </w:r>
            <w:r>
              <w:instrText xml:space="preserve"> HYPERLINK "https://www.nccn.org" </w:instrText>
            </w:r>
            <w:r>
              <w:fldChar w:fldCharType="separate"/>
            </w:r>
            <w:r w:rsidR="00271EE4" w:rsidRPr="00320A9C">
              <w:rPr>
                <w:rStyle w:val="Hyperlink"/>
              </w:rPr>
              <w:t>https://www.nccn.org</w:t>
            </w:r>
            <w:r>
              <w:rPr>
                <w:rStyle w:val="Hyperlink"/>
              </w:rPr>
              <w:fldChar w:fldCharType="end"/>
            </w:r>
            <w:r w:rsidR="00453CB3">
              <w:rPr>
                <w:rStyle w:val="Hyperlink"/>
              </w:rPr>
              <w:t xml:space="preserve">  (</w:t>
            </w:r>
            <w:r w:rsidR="00453CB3" w:rsidRPr="00453CB3">
              <w:t xml:space="preserve">free account is required to view </w:t>
            </w:r>
            <w:r w:rsidR="00453CB3">
              <w:t>the guideline, however full pdf is attached below)</w:t>
            </w:r>
            <w:bookmarkStart w:id="6" w:name="_GoBack"/>
            <w:bookmarkEnd w:id="6"/>
          </w:p>
          <w:p w14:paraId="55B8DA75" w14:textId="469E7C05" w:rsidR="00271EE4" w:rsidRPr="00AB4ECE" w:rsidRDefault="00271EE4" w:rsidP="002E2177">
            <w:pPr>
              <w:ind w:left="0" w:firstLine="0"/>
              <w:rPr>
                <w:b/>
              </w:rPr>
            </w:pPr>
            <w:r>
              <w:rPr>
                <w:b/>
              </w:rPr>
              <w:object w:dxaOrig="1482" w:dyaOrig="961" w14:anchorId="2DCEEB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4pt;height:48pt" o:ole="">
                  <v:imagedata r:id="rId24" o:title=""/>
                </v:shape>
                <o:OLEObject Type="Embed" ProgID="AcroExch.Document.DC" ShapeID="_x0000_i1025" DrawAspect="Icon" ObjectID="_1636206612" r:id="rId25"/>
              </w:object>
            </w:r>
          </w:p>
        </w:tc>
      </w:tr>
      <w:tr w:rsidR="00AB4ECE" w14:paraId="55B8DA79" w14:textId="77777777" w:rsidTr="009A0D57">
        <w:tc>
          <w:tcPr>
            <w:tcW w:w="1975" w:type="dxa"/>
          </w:tcPr>
          <w:p w14:paraId="55B8DA77" w14:textId="77777777" w:rsidR="00AB4ECE" w:rsidRDefault="00AB4ECE" w:rsidP="002E2177">
            <w:pPr>
              <w:ind w:left="0" w:firstLine="0"/>
            </w:pPr>
            <w:r>
              <w:t>Quote the guideline or recommendation verbatim about the process, structure or intermediate outcome being measured.</w:t>
            </w:r>
            <w:r w:rsidR="000E5C93">
              <w:t xml:space="preserve"> If not a guideline, summarize the conclusions from the SR.</w:t>
            </w:r>
          </w:p>
        </w:tc>
        <w:tc>
          <w:tcPr>
            <w:tcW w:w="7375" w:type="dxa"/>
          </w:tcPr>
          <w:p w14:paraId="662C8F2E" w14:textId="23B36BBD" w:rsidR="002B6623" w:rsidRDefault="00763450" w:rsidP="002E2177">
            <w:pPr>
              <w:ind w:left="0" w:firstLine="0"/>
            </w:pPr>
            <w:r>
              <w:t>“</w:t>
            </w:r>
            <w:r w:rsidR="002B6623">
              <w:t xml:space="preserve">The panel recommends HER2-targeted therapy in patients with HER2-positive tumors.  Trastuzumab is humanized monoclonal antibody with specificity for the extracellular domain of HER2.  </w:t>
            </w:r>
            <w:proofErr w:type="gramStart"/>
            <w:r w:rsidR="002B6623">
              <w:t>All of</w:t>
            </w:r>
            <w:proofErr w:type="gramEnd"/>
            <w:r w:rsidR="002B6623">
              <w:t xml:space="preserve"> the adjuvant trials of trastuzumab have demonstrated clinically significant improvements in DFS, and the combined analysis from the NSABP B31 and NCCTG N9831 trials, and the HERA trial, showed significant improvement in OS with the use of trastuzumab in patients with high-risk, HER2-positive breast cancer.  Therefore, regimens from each of these trials are included as trastuzumab-containing adjuvant regimen choices in the guideline.  The benefits of trastuzumab are independent of ER status.  Based on these studies, the panel has designated use of trastuzumab with chemotherapy as a category 1 recommendation in patients with HER2-positive tumors greater than 1 cm.” (MS-44-MS-46)</w:t>
            </w:r>
          </w:p>
          <w:p w14:paraId="55B8DA78" w14:textId="087CA504" w:rsidR="00AB4ECE" w:rsidRDefault="00AB4ECE" w:rsidP="002E2177">
            <w:pPr>
              <w:ind w:left="0" w:firstLine="0"/>
            </w:pPr>
          </w:p>
        </w:tc>
      </w:tr>
      <w:tr w:rsidR="00AB4ECE" w14:paraId="55B8DA7C" w14:textId="77777777" w:rsidTr="009A0D57">
        <w:tc>
          <w:tcPr>
            <w:tcW w:w="1975" w:type="dxa"/>
          </w:tcPr>
          <w:p w14:paraId="55B8DA7A" w14:textId="77777777" w:rsidR="00AB4ECE" w:rsidRDefault="00AB4ECE" w:rsidP="00E42FAA">
            <w:pPr>
              <w:ind w:left="0" w:firstLine="0"/>
            </w:pPr>
            <w:r>
              <w:t xml:space="preserve">Grade assigned to the </w:t>
            </w:r>
            <w:r w:rsidRPr="004E7215">
              <w:rPr>
                <w:b/>
              </w:rPr>
              <w:t>evidence</w:t>
            </w:r>
            <w:r>
              <w:t xml:space="preserve"> associated with the recommendation with the definition of the grade</w:t>
            </w:r>
          </w:p>
        </w:tc>
        <w:tc>
          <w:tcPr>
            <w:tcW w:w="7375" w:type="dxa"/>
          </w:tcPr>
          <w:p w14:paraId="55B8DA7B" w14:textId="0B0BD7C4" w:rsidR="00CE6756" w:rsidRDefault="00CE6756" w:rsidP="002E2177">
            <w:pPr>
              <w:ind w:left="0" w:firstLine="0"/>
            </w:pPr>
            <w:r>
              <w:t>Category 1: Based upon high-level evidence, there is uniform NCCN consensus that the intervention is appropriate</w:t>
            </w:r>
          </w:p>
        </w:tc>
      </w:tr>
      <w:tr w:rsidR="00AB4ECE" w14:paraId="55B8DA7F" w14:textId="77777777" w:rsidTr="009A0D57">
        <w:tc>
          <w:tcPr>
            <w:tcW w:w="1975" w:type="dxa"/>
          </w:tcPr>
          <w:p w14:paraId="55B8DA7D" w14:textId="77777777" w:rsidR="00AB4ECE" w:rsidRDefault="00AB4ECE" w:rsidP="00E42FAA">
            <w:pPr>
              <w:ind w:left="0" w:firstLine="0"/>
            </w:pPr>
            <w:r>
              <w:t>Provide all other grades and definitions from the evidence grading system</w:t>
            </w:r>
          </w:p>
        </w:tc>
        <w:tc>
          <w:tcPr>
            <w:tcW w:w="7375" w:type="dxa"/>
          </w:tcPr>
          <w:p w14:paraId="1C7C12B5" w14:textId="77777777" w:rsidR="00CF23CD" w:rsidRPr="002C3311" w:rsidRDefault="00CF23CD" w:rsidP="00CF23CD">
            <w:pPr>
              <w:rPr>
                <w:rFonts w:cstheme="minorHAnsi"/>
                <w:b/>
              </w:rPr>
            </w:pPr>
            <w:r w:rsidRPr="002C3311">
              <w:rPr>
                <w:rFonts w:cstheme="minorHAnsi"/>
              </w:rPr>
              <w:t>NCCN Categories of Evidence and Consensus:</w:t>
            </w:r>
          </w:p>
          <w:p w14:paraId="4960AA8F" w14:textId="77777777" w:rsidR="00CF23CD" w:rsidRDefault="00CF23CD" w:rsidP="00CE6756">
            <w:pPr>
              <w:ind w:left="0" w:firstLine="0"/>
            </w:pPr>
          </w:p>
          <w:p w14:paraId="522AAB57" w14:textId="1C782CF0" w:rsidR="00CE6756" w:rsidRDefault="00CE6756" w:rsidP="00CE6756">
            <w:pPr>
              <w:ind w:left="0" w:firstLine="0"/>
            </w:pPr>
            <w:r>
              <w:t>Category 1: Based upon high-level evidence, there is uniform NCCN consensus that the intervention is appropriate.</w:t>
            </w:r>
          </w:p>
          <w:p w14:paraId="49FC0F8F" w14:textId="77777777" w:rsidR="00CE6756" w:rsidRDefault="00CE6756" w:rsidP="00CE6756">
            <w:pPr>
              <w:ind w:left="0" w:firstLine="0"/>
            </w:pPr>
          </w:p>
          <w:p w14:paraId="65EDAA74" w14:textId="77777777" w:rsidR="00CE6756" w:rsidRDefault="00CE6756" w:rsidP="00CE6756">
            <w:pPr>
              <w:ind w:left="0" w:firstLine="0"/>
            </w:pPr>
            <w:r>
              <w:t>Category 2A: Based upon lower-level evidence, there is uniform NCCN consensus that the intervention is appropriate.</w:t>
            </w:r>
          </w:p>
          <w:p w14:paraId="69B1053F" w14:textId="77777777" w:rsidR="00CE6756" w:rsidRDefault="00CE6756" w:rsidP="00CE6756">
            <w:pPr>
              <w:ind w:left="0" w:firstLine="0"/>
            </w:pPr>
          </w:p>
          <w:p w14:paraId="47232B50" w14:textId="77777777" w:rsidR="00CE6756" w:rsidRDefault="00CE6756" w:rsidP="00CE6756">
            <w:pPr>
              <w:ind w:left="0" w:firstLine="0"/>
            </w:pPr>
            <w:r>
              <w:t>Category 2B: Based upon lower-level evidence, there is NCCN consensus that the intervention is appropriate.</w:t>
            </w:r>
          </w:p>
          <w:p w14:paraId="2B416558" w14:textId="77777777" w:rsidR="00CE6756" w:rsidRDefault="00CE6756" w:rsidP="00CE6756">
            <w:pPr>
              <w:ind w:left="0" w:firstLine="0"/>
            </w:pPr>
          </w:p>
          <w:p w14:paraId="55B8DA7E" w14:textId="06D9AD2D" w:rsidR="00AB4ECE" w:rsidRDefault="00CE6756" w:rsidP="00CE6756">
            <w:pPr>
              <w:ind w:left="0" w:firstLine="0"/>
            </w:pPr>
            <w:r>
              <w:t>Category 3: Based upon any level of evidence, there is major NCCN disagreement that the intervention is appropriate.</w:t>
            </w:r>
          </w:p>
        </w:tc>
      </w:tr>
      <w:tr w:rsidR="00AB4ECE" w14:paraId="55B8DA82" w14:textId="77777777" w:rsidTr="009A0D57">
        <w:tc>
          <w:tcPr>
            <w:tcW w:w="1975" w:type="dxa"/>
          </w:tcPr>
          <w:p w14:paraId="55B8DA80" w14:textId="77777777" w:rsidR="00AB4ECE" w:rsidRDefault="00AB4ECE" w:rsidP="00E42FAA">
            <w:pPr>
              <w:ind w:left="0" w:firstLine="0"/>
            </w:pPr>
            <w:r>
              <w:t xml:space="preserve">Grade assigned to the </w:t>
            </w:r>
            <w:r w:rsidRPr="004E7215">
              <w:rPr>
                <w:b/>
              </w:rPr>
              <w:lastRenderedPageBreak/>
              <w:t>recommendation</w:t>
            </w:r>
            <w:r>
              <w:t xml:space="preserve"> with definition of the grade</w:t>
            </w:r>
          </w:p>
        </w:tc>
        <w:tc>
          <w:tcPr>
            <w:tcW w:w="7375" w:type="dxa"/>
          </w:tcPr>
          <w:p w14:paraId="55B8DA81" w14:textId="72227EB8" w:rsidR="00AB4ECE" w:rsidRDefault="002B6623" w:rsidP="002E2177">
            <w:pPr>
              <w:ind w:left="0" w:firstLine="0"/>
            </w:pPr>
            <w:r>
              <w:lastRenderedPageBreak/>
              <w:t>Category 1</w:t>
            </w:r>
            <w:r w:rsidR="00CE6756">
              <w:t>: Based upon high-level evidence, there is uniform NCCN consensus that the intervention is appropriate</w:t>
            </w:r>
          </w:p>
        </w:tc>
      </w:tr>
      <w:tr w:rsidR="00AB4ECE" w14:paraId="55B8DA85" w14:textId="77777777" w:rsidTr="009A0D57">
        <w:tc>
          <w:tcPr>
            <w:tcW w:w="1975" w:type="dxa"/>
          </w:tcPr>
          <w:p w14:paraId="55B8DA83" w14:textId="77777777" w:rsidR="00AB4ECE" w:rsidRDefault="00AB4ECE" w:rsidP="00E42FAA">
            <w:pPr>
              <w:ind w:left="0" w:firstLine="0"/>
            </w:pPr>
            <w:r>
              <w:t>Provide all other grades and definitions from the recommendation grading system</w:t>
            </w:r>
          </w:p>
        </w:tc>
        <w:tc>
          <w:tcPr>
            <w:tcW w:w="7375" w:type="dxa"/>
          </w:tcPr>
          <w:p w14:paraId="52CFA77E" w14:textId="5E3684AC" w:rsidR="00A10143" w:rsidRDefault="00A10143" w:rsidP="00A10143">
            <w:pPr>
              <w:ind w:left="0" w:firstLine="0"/>
            </w:pPr>
            <w:r>
              <w:t>NCCN Categories of Evidence and Consensus</w:t>
            </w:r>
            <w:r w:rsidR="00CF23CD">
              <w:t>:</w:t>
            </w:r>
          </w:p>
          <w:p w14:paraId="03597381" w14:textId="77777777" w:rsidR="00A10143" w:rsidRDefault="00A10143" w:rsidP="00A10143">
            <w:pPr>
              <w:ind w:left="0" w:firstLine="0"/>
            </w:pPr>
          </w:p>
          <w:p w14:paraId="19B0D077" w14:textId="77777777" w:rsidR="00A10143" w:rsidRDefault="00A10143" w:rsidP="00A10143">
            <w:pPr>
              <w:ind w:left="0" w:firstLine="0"/>
            </w:pPr>
            <w:r>
              <w:t>Category 1: Based upon high-level evidence, there is uniform NCCN consensus that the intervention is appropriate.</w:t>
            </w:r>
          </w:p>
          <w:p w14:paraId="2F3A2C57" w14:textId="77777777" w:rsidR="00A10143" w:rsidRDefault="00A10143" w:rsidP="00A10143">
            <w:pPr>
              <w:ind w:left="0" w:firstLine="0"/>
            </w:pPr>
          </w:p>
          <w:p w14:paraId="65C3C78A" w14:textId="77777777" w:rsidR="00A10143" w:rsidRDefault="00A10143" w:rsidP="00A10143">
            <w:pPr>
              <w:ind w:left="0" w:firstLine="0"/>
            </w:pPr>
            <w:r>
              <w:t>Category 2A: Based upon lower-level evidence, there is uniform NCCN consensus that the intervention is appropriate.</w:t>
            </w:r>
          </w:p>
          <w:p w14:paraId="22CAF358" w14:textId="77777777" w:rsidR="00A10143" w:rsidRDefault="00A10143" w:rsidP="00A10143">
            <w:pPr>
              <w:ind w:left="0" w:firstLine="0"/>
            </w:pPr>
          </w:p>
          <w:p w14:paraId="5EE63442" w14:textId="77777777" w:rsidR="00A10143" w:rsidRDefault="00A10143" w:rsidP="00A10143">
            <w:pPr>
              <w:ind w:left="0" w:firstLine="0"/>
            </w:pPr>
            <w:r>
              <w:t>Category 2B: Based upon lower-level evidence, there is NCCN consensus that the intervention is appropriate.</w:t>
            </w:r>
          </w:p>
          <w:p w14:paraId="406FB825" w14:textId="77777777" w:rsidR="00A10143" w:rsidRDefault="00A10143" w:rsidP="00A10143">
            <w:pPr>
              <w:ind w:left="0" w:firstLine="0"/>
            </w:pPr>
          </w:p>
          <w:p w14:paraId="55B8DA84" w14:textId="23C2DC7B" w:rsidR="00AB4ECE" w:rsidRDefault="00A10143" w:rsidP="002E2177">
            <w:pPr>
              <w:ind w:left="0" w:firstLine="0"/>
            </w:pPr>
            <w:r>
              <w:t>Category 3: Based upon any level of evidence, there is major NCCN disagreement that the intervention is appropriate.</w:t>
            </w:r>
          </w:p>
        </w:tc>
      </w:tr>
      <w:tr w:rsidR="00AB4ECE" w14:paraId="55B8DA8A" w14:textId="77777777" w:rsidTr="009A0D57">
        <w:tc>
          <w:tcPr>
            <w:tcW w:w="1975" w:type="dxa"/>
          </w:tcPr>
          <w:p w14:paraId="55B8DA86" w14:textId="77777777" w:rsidR="00AB4ECE" w:rsidRDefault="000E5C93" w:rsidP="002E2177">
            <w:pPr>
              <w:ind w:left="0" w:firstLine="0"/>
            </w:pPr>
            <w:r>
              <w:t>Body of evidence:</w:t>
            </w:r>
          </w:p>
          <w:p w14:paraId="55B8DA87" w14:textId="77777777" w:rsidR="000E5C93" w:rsidRDefault="000E5C93" w:rsidP="000E5C93">
            <w:pPr>
              <w:pStyle w:val="ListParagraph"/>
              <w:numPr>
                <w:ilvl w:val="0"/>
                <w:numId w:val="10"/>
              </w:numPr>
            </w:pPr>
            <w:r>
              <w:t>Quantity – how many studies?</w:t>
            </w:r>
          </w:p>
          <w:p w14:paraId="55B8DA88" w14:textId="77777777" w:rsidR="000E5C93" w:rsidRDefault="000E5C93" w:rsidP="000E5C93">
            <w:pPr>
              <w:pStyle w:val="ListParagraph"/>
              <w:numPr>
                <w:ilvl w:val="0"/>
                <w:numId w:val="10"/>
              </w:numPr>
            </w:pPr>
            <w:r>
              <w:t>Quality – what type of studies?</w:t>
            </w:r>
          </w:p>
        </w:tc>
        <w:tc>
          <w:tcPr>
            <w:tcW w:w="7375" w:type="dxa"/>
          </w:tcPr>
          <w:p w14:paraId="3A01C3CF" w14:textId="231EAE26" w:rsidR="00AB4ECE" w:rsidRDefault="00C53F10" w:rsidP="00C53F10">
            <w:pPr>
              <w:ind w:left="0" w:hanging="28"/>
              <w:rPr>
                <w:rFonts w:cstheme="minorHAnsi"/>
              </w:rPr>
            </w:pPr>
            <w:r>
              <w:rPr>
                <w:rFonts w:cstheme="minorHAnsi"/>
              </w:rPr>
              <w:t xml:space="preserve">The NCCN guideline notes that results of nine randomized trials testing trastuzumab as adjuvant therapy have been reported, and recounts detailed results for four RCTs of adjuvant trastuzumab, including NSABP B-31, NCCTG N9831, HERA, and BCIRG 006.  NCCN’s </w:t>
            </w:r>
            <w:r w:rsidR="009A499B" w:rsidRPr="00C53F10">
              <w:rPr>
                <w:rFonts w:cstheme="minorHAnsi"/>
              </w:rPr>
              <w:t>analysis</w:t>
            </w:r>
            <w:r>
              <w:rPr>
                <w:rFonts w:cstheme="minorHAnsi"/>
              </w:rPr>
              <w:t xml:space="preserve"> of these trials</w:t>
            </w:r>
            <w:r w:rsidR="009A499B" w:rsidRPr="00C53F10">
              <w:rPr>
                <w:rFonts w:cstheme="minorHAnsi"/>
              </w:rPr>
              <w:t xml:space="preserve"> includes the following summary (</w:t>
            </w:r>
            <w:r w:rsidR="009A499B" w:rsidRPr="00C53F10">
              <w:t>MS-44-MS-46</w:t>
            </w:r>
            <w:r w:rsidR="009A499B" w:rsidRPr="00C53F10">
              <w:rPr>
                <w:rFonts w:cstheme="minorHAnsi"/>
              </w:rPr>
              <w:t>):</w:t>
            </w:r>
          </w:p>
          <w:p w14:paraId="55B8DA89" w14:textId="16D3CE27" w:rsidR="009A499B" w:rsidRPr="009A499B" w:rsidRDefault="009A499B" w:rsidP="009A499B">
            <w:pPr>
              <w:pStyle w:val="ListParagraph"/>
              <w:numPr>
                <w:ilvl w:val="0"/>
                <w:numId w:val="14"/>
              </w:numPr>
            </w:pPr>
            <w:r>
              <w:t xml:space="preserve">“The panel recommends HER2-targeted therapy in patients with HER2-positive tumors.  Trastuzumab is humanized monoclonal antibody with specificity for the extracellular domain of HER2.  </w:t>
            </w:r>
            <w:proofErr w:type="gramStart"/>
            <w:r>
              <w:t>All of</w:t>
            </w:r>
            <w:proofErr w:type="gramEnd"/>
            <w:r>
              <w:t xml:space="preserve"> the adjuvant trials of trastuzumab have demonstrated clinically significant improvements in DFS, and the combined analysis from the NSABP B31 and NCCTG N9831 trials, and the HERA trial, showed significant improvement in OS with the use of trastuzumab in patients with high-risk, HER2-positive breast cancer.  Therefore, regimens from each of these trials are included as trastuzumab-containing adjuvant regimen choices in the guideline.  The benefits of trastuzumab are independent of ER status.  Based on these studies, the panel has designated use of trastuzumab with chemotherapy as a category 1 recommendation in patients with HER2-positive tumors greater than 1 cm.” </w:t>
            </w:r>
          </w:p>
        </w:tc>
      </w:tr>
      <w:tr w:rsidR="00AB4ECE" w14:paraId="55B8DA8D" w14:textId="77777777" w:rsidTr="009A0D57">
        <w:tc>
          <w:tcPr>
            <w:tcW w:w="1975" w:type="dxa"/>
          </w:tcPr>
          <w:p w14:paraId="55B8DA8B" w14:textId="77777777" w:rsidR="00AB4ECE" w:rsidRDefault="000E5C93" w:rsidP="002E2177">
            <w:pPr>
              <w:ind w:left="0" w:firstLine="0"/>
            </w:pPr>
            <w:r>
              <w:t xml:space="preserve">Estimates of benefit and consistency across studies </w:t>
            </w:r>
          </w:p>
        </w:tc>
        <w:tc>
          <w:tcPr>
            <w:tcW w:w="7375" w:type="dxa"/>
          </w:tcPr>
          <w:p w14:paraId="55B8DA8C" w14:textId="6A78D08D" w:rsidR="00AB4ECE" w:rsidRDefault="009A499B" w:rsidP="002E2177">
            <w:pPr>
              <w:ind w:left="0" w:firstLine="0"/>
            </w:pPr>
            <w:r>
              <w:rPr>
                <w:rFonts w:cstheme="minorHAnsi"/>
              </w:rPr>
              <w:t>See Body of Evidence section.</w:t>
            </w:r>
          </w:p>
        </w:tc>
      </w:tr>
      <w:tr w:rsidR="000E5C93" w14:paraId="55B8DA90" w14:textId="77777777" w:rsidTr="009A0D57">
        <w:tc>
          <w:tcPr>
            <w:tcW w:w="1975" w:type="dxa"/>
          </w:tcPr>
          <w:p w14:paraId="55B8DA8E" w14:textId="77777777" w:rsidR="000E5C93" w:rsidRDefault="000E5C93" w:rsidP="002E2177">
            <w:pPr>
              <w:ind w:left="0" w:firstLine="0"/>
            </w:pPr>
            <w:r>
              <w:t>What harms were identified?</w:t>
            </w:r>
          </w:p>
        </w:tc>
        <w:tc>
          <w:tcPr>
            <w:tcW w:w="7375" w:type="dxa"/>
          </w:tcPr>
          <w:p w14:paraId="55B8DA8F" w14:textId="4499ACA1" w:rsidR="000E5C93" w:rsidRDefault="009A499B" w:rsidP="002E2177">
            <w:pPr>
              <w:ind w:left="0" w:firstLine="0"/>
            </w:pPr>
            <w:r>
              <w:rPr>
                <w:rFonts w:cstheme="minorHAnsi"/>
              </w:rPr>
              <w:t>See Body of Evidence section.</w:t>
            </w:r>
          </w:p>
        </w:tc>
      </w:tr>
      <w:tr w:rsidR="000E5C93" w14:paraId="55B8DA93" w14:textId="77777777" w:rsidTr="009A0D57">
        <w:tc>
          <w:tcPr>
            <w:tcW w:w="1975" w:type="dxa"/>
          </w:tcPr>
          <w:p w14:paraId="55B8DA91" w14:textId="77777777" w:rsidR="000E5C93" w:rsidRDefault="000E5C93" w:rsidP="000E5C93">
            <w:pPr>
              <w:ind w:left="0" w:firstLine="0"/>
            </w:pPr>
            <w:r>
              <w:t xml:space="preserve">Identify any new studies conducted since the SR. Do the new studies change the </w:t>
            </w:r>
            <w:r>
              <w:lastRenderedPageBreak/>
              <w:t>conclusions from the SR?</w:t>
            </w:r>
          </w:p>
        </w:tc>
        <w:tc>
          <w:tcPr>
            <w:tcW w:w="7375" w:type="dxa"/>
          </w:tcPr>
          <w:p w14:paraId="46A0F942" w14:textId="4683D33D" w:rsidR="000E5C93" w:rsidRDefault="009A499B" w:rsidP="002E2177">
            <w:pPr>
              <w:ind w:left="0" w:firstLine="0"/>
            </w:pPr>
            <w:r>
              <w:lastRenderedPageBreak/>
              <w:t>Updated guidelines continue to support this measure.</w:t>
            </w:r>
          </w:p>
          <w:p w14:paraId="55B8DA92" w14:textId="6390464C" w:rsidR="009A499B" w:rsidRPr="009A499B" w:rsidRDefault="009A499B" w:rsidP="009A499B">
            <w:pPr>
              <w:tabs>
                <w:tab w:val="left" w:pos="1500"/>
              </w:tabs>
            </w:pPr>
            <w:r>
              <w:tab/>
            </w:r>
            <w:r>
              <w:tab/>
            </w:r>
          </w:p>
        </w:tc>
      </w:tr>
    </w:tbl>
    <w:p w14:paraId="55B8DA94" w14:textId="299FBE0C" w:rsidR="007C1887" w:rsidRDefault="007C1887" w:rsidP="002E2177">
      <w:pPr>
        <w:ind w:left="0" w:firstLine="0"/>
      </w:pPr>
    </w:p>
    <w:tbl>
      <w:tblPr>
        <w:tblStyle w:val="TableGrid"/>
        <w:tblW w:w="9355" w:type="dxa"/>
        <w:tblLook w:val="04A0" w:firstRow="1" w:lastRow="0" w:firstColumn="1" w:lastColumn="0" w:noHBand="0" w:noVBand="1"/>
      </w:tblPr>
      <w:tblGrid>
        <w:gridCol w:w="1975"/>
        <w:gridCol w:w="7380"/>
      </w:tblGrid>
      <w:tr w:rsidR="002C5B82" w14:paraId="1C8ADB68" w14:textId="77777777" w:rsidTr="002C5B82">
        <w:tc>
          <w:tcPr>
            <w:tcW w:w="1975" w:type="dxa"/>
          </w:tcPr>
          <w:p w14:paraId="6D8D6C1C" w14:textId="77777777" w:rsidR="002C5B82" w:rsidRPr="00AB4ECE" w:rsidRDefault="002C5B82" w:rsidP="00726738">
            <w:pPr>
              <w:ind w:left="0" w:firstLine="0"/>
              <w:rPr>
                <w:b/>
              </w:rPr>
            </w:pPr>
            <w:r w:rsidRPr="00AB4ECE">
              <w:rPr>
                <w:b/>
              </w:rPr>
              <w:t>Source of Systematic Review:</w:t>
            </w:r>
          </w:p>
          <w:p w14:paraId="65794E3A" w14:textId="77777777" w:rsidR="002C5B82" w:rsidRPr="00AB4ECE" w:rsidRDefault="002C5B82" w:rsidP="00726738">
            <w:pPr>
              <w:pStyle w:val="ListParagraph"/>
              <w:numPr>
                <w:ilvl w:val="0"/>
                <w:numId w:val="9"/>
              </w:numPr>
              <w:rPr>
                <w:b/>
              </w:rPr>
            </w:pPr>
            <w:r w:rsidRPr="00AB4ECE">
              <w:rPr>
                <w:b/>
              </w:rPr>
              <w:t>Title</w:t>
            </w:r>
          </w:p>
          <w:p w14:paraId="79BB022D" w14:textId="77777777" w:rsidR="002C5B82" w:rsidRPr="00AB4ECE" w:rsidRDefault="002C5B82" w:rsidP="00726738">
            <w:pPr>
              <w:pStyle w:val="ListParagraph"/>
              <w:numPr>
                <w:ilvl w:val="0"/>
                <w:numId w:val="9"/>
              </w:numPr>
              <w:rPr>
                <w:b/>
              </w:rPr>
            </w:pPr>
            <w:r w:rsidRPr="00AB4ECE">
              <w:rPr>
                <w:b/>
              </w:rPr>
              <w:t>Author</w:t>
            </w:r>
          </w:p>
          <w:p w14:paraId="164F62E6" w14:textId="77777777" w:rsidR="002C5B82" w:rsidRPr="00AB4ECE" w:rsidRDefault="002C5B82" w:rsidP="00726738">
            <w:pPr>
              <w:pStyle w:val="ListParagraph"/>
              <w:numPr>
                <w:ilvl w:val="0"/>
                <w:numId w:val="9"/>
              </w:numPr>
              <w:rPr>
                <w:b/>
              </w:rPr>
            </w:pPr>
            <w:r w:rsidRPr="00AB4ECE">
              <w:rPr>
                <w:b/>
              </w:rPr>
              <w:t>Date</w:t>
            </w:r>
          </w:p>
          <w:p w14:paraId="7E91D06B" w14:textId="77777777" w:rsidR="002C5B82" w:rsidRPr="00AB4ECE" w:rsidRDefault="002C5B82" w:rsidP="00726738">
            <w:pPr>
              <w:pStyle w:val="ListParagraph"/>
              <w:numPr>
                <w:ilvl w:val="0"/>
                <w:numId w:val="9"/>
              </w:numPr>
              <w:rPr>
                <w:b/>
              </w:rPr>
            </w:pPr>
            <w:r w:rsidRPr="00AB4ECE">
              <w:rPr>
                <w:b/>
              </w:rPr>
              <w:t>Citation, including page number</w:t>
            </w:r>
          </w:p>
          <w:p w14:paraId="3AF581EC" w14:textId="77777777" w:rsidR="002C5B82" w:rsidRPr="00AB4ECE" w:rsidRDefault="002C5B82" w:rsidP="00726738">
            <w:pPr>
              <w:pStyle w:val="ListParagraph"/>
              <w:numPr>
                <w:ilvl w:val="0"/>
                <w:numId w:val="9"/>
              </w:numPr>
              <w:rPr>
                <w:b/>
              </w:rPr>
            </w:pPr>
            <w:r w:rsidRPr="00AB4ECE">
              <w:rPr>
                <w:b/>
              </w:rPr>
              <w:t>URL</w:t>
            </w:r>
          </w:p>
        </w:tc>
        <w:tc>
          <w:tcPr>
            <w:tcW w:w="7380" w:type="dxa"/>
          </w:tcPr>
          <w:p w14:paraId="4BCC5768" w14:textId="77777777" w:rsidR="002C5B82" w:rsidRPr="000B4DBE" w:rsidRDefault="002C5B82" w:rsidP="002C5B82">
            <w:pPr>
              <w:ind w:left="0" w:firstLine="0"/>
              <w:rPr>
                <w:bCs/>
              </w:rPr>
            </w:pPr>
            <w:r w:rsidRPr="000B4DBE">
              <w:rPr>
                <w:bCs/>
              </w:rPr>
              <w:t>Optimal Systemic Therapy for Early Female Breast Cancer</w:t>
            </w:r>
          </w:p>
          <w:p w14:paraId="5DC61B12" w14:textId="77777777" w:rsidR="002C5B82" w:rsidRPr="000B4DBE" w:rsidRDefault="002C5B82" w:rsidP="002C5B82">
            <w:pPr>
              <w:ind w:left="0" w:firstLine="0"/>
              <w:rPr>
                <w:bCs/>
              </w:rPr>
            </w:pPr>
            <w:r w:rsidRPr="000B4DBE">
              <w:rPr>
                <w:bCs/>
              </w:rPr>
              <w:t xml:space="preserve">Andrea Eisen, Glenn G. Fletcher, </w:t>
            </w:r>
            <w:proofErr w:type="spellStart"/>
            <w:r w:rsidRPr="000B4DBE">
              <w:rPr>
                <w:bCs/>
              </w:rPr>
              <w:t>Sonal</w:t>
            </w:r>
            <w:proofErr w:type="spellEnd"/>
            <w:r w:rsidRPr="000B4DBE">
              <w:rPr>
                <w:bCs/>
              </w:rPr>
              <w:t xml:space="preserve"> Gandhi, Mihaela Mates, Orit C. Freedman, Susan F. Dent, Maureen E. Trudeau, and members of the Early Breast Cancer Systemic Therapy Consensus Panel</w:t>
            </w:r>
          </w:p>
          <w:p w14:paraId="2FCC1000" w14:textId="77777777" w:rsidR="000B4DBE" w:rsidRDefault="002C5B82" w:rsidP="002C5B82">
            <w:pPr>
              <w:ind w:left="0" w:firstLine="0"/>
            </w:pPr>
            <w:r w:rsidRPr="000B4DBE">
              <w:rPr>
                <w:bCs/>
              </w:rPr>
              <w:t>September 30, 201</w:t>
            </w:r>
            <w:r w:rsidR="000B4DBE" w:rsidRPr="000B4DBE">
              <w:rPr>
                <w:bCs/>
              </w:rPr>
              <w:t>4</w:t>
            </w:r>
            <w:r w:rsidR="000B4DBE">
              <w:t xml:space="preserve"> </w:t>
            </w:r>
          </w:p>
          <w:p w14:paraId="4300A10E" w14:textId="635B458C" w:rsidR="002C5B82" w:rsidRDefault="000B4DBE" w:rsidP="002C5B82">
            <w:pPr>
              <w:ind w:left="0" w:firstLine="0"/>
              <w:rPr>
                <w:bCs/>
              </w:rPr>
            </w:pPr>
            <w:r>
              <w:t>Eisen A, Fletcher GG, Gandhi S, Mates M, Freedman OC, Dent SF, et al. Optimal systematic therapy for early female breast cancer. Toronto (ON): Cancer Care Ontario; 2014 Sep 30 [In Review 2019 Jan]. Program in Evidence-Based Care Evidence-Based Series No.: 1−21 IN REVIEW. (pgs. 17-18)</w:t>
            </w:r>
          </w:p>
          <w:p w14:paraId="06203481" w14:textId="23EE3544" w:rsidR="000B4DBE" w:rsidRPr="00AB4ECE" w:rsidRDefault="00583C62" w:rsidP="002C5B82">
            <w:pPr>
              <w:ind w:left="0" w:firstLine="0"/>
              <w:rPr>
                <w:b/>
              </w:rPr>
            </w:pPr>
            <w:hyperlink r:id="rId26" w:history="1">
              <w:r w:rsidR="000B4DBE">
                <w:rPr>
                  <w:rStyle w:val="Hyperlink"/>
                </w:rPr>
                <w:t>https://www.cancercareontario.ca/en/guidelines-advice/types-of-cancer/331</w:t>
              </w:r>
            </w:hyperlink>
          </w:p>
        </w:tc>
      </w:tr>
      <w:tr w:rsidR="002C5B82" w14:paraId="479D7AF6" w14:textId="77777777" w:rsidTr="002C5B82">
        <w:tc>
          <w:tcPr>
            <w:tcW w:w="1975" w:type="dxa"/>
          </w:tcPr>
          <w:p w14:paraId="160FF482" w14:textId="77777777" w:rsidR="002C5B82" w:rsidRDefault="002C5B82" w:rsidP="00726738">
            <w:pPr>
              <w:ind w:left="0" w:firstLine="0"/>
            </w:pPr>
            <w:r>
              <w:t>Quote the guideline or recommendation verbatim about the process, structure or intermediate outcome being measured. If not a guideline, summarize the conclusions from the SR.</w:t>
            </w:r>
          </w:p>
        </w:tc>
        <w:tc>
          <w:tcPr>
            <w:tcW w:w="7380" w:type="dxa"/>
          </w:tcPr>
          <w:p w14:paraId="4F749C50" w14:textId="266823DD" w:rsidR="002C5B82" w:rsidRDefault="002C5B82" w:rsidP="002C5B82">
            <w:r>
              <w:t>R27.  Trastuzumab plus chemotherapy is recommended for all patients with HER2+ node positive breast cancer and for patients with Her2+ node negative breast cancer greater than 1 cm in size</w:t>
            </w:r>
          </w:p>
        </w:tc>
      </w:tr>
      <w:tr w:rsidR="002C5B82" w14:paraId="25510CB2" w14:textId="77777777" w:rsidTr="002C5B82">
        <w:tc>
          <w:tcPr>
            <w:tcW w:w="1975" w:type="dxa"/>
          </w:tcPr>
          <w:p w14:paraId="7F82F74B" w14:textId="77777777" w:rsidR="002C5B82" w:rsidRDefault="002C5B82" w:rsidP="00726738">
            <w:pPr>
              <w:ind w:left="0" w:firstLine="0"/>
            </w:pPr>
            <w:r>
              <w:t xml:space="preserve">Grade assigned to the </w:t>
            </w:r>
            <w:r w:rsidRPr="004E7215">
              <w:rPr>
                <w:b/>
              </w:rPr>
              <w:t>evidence</w:t>
            </w:r>
            <w:r>
              <w:t xml:space="preserve"> associated with the recommendation with the definition of the grade</w:t>
            </w:r>
          </w:p>
        </w:tc>
        <w:tc>
          <w:tcPr>
            <w:tcW w:w="7380" w:type="dxa"/>
          </w:tcPr>
          <w:p w14:paraId="59EAD5D3" w14:textId="59957DCE" w:rsidR="009C46F2" w:rsidRDefault="009C46F2" w:rsidP="00726738">
            <w:pPr>
              <w:ind w:left="0" w:firstLine="0"/>
              <w:rPr>
                <w:rFonts w:cstheme="minorHAnsi"/>
              </w:rPr>
            </w:pPr>
            <w:r>
              <w:rPr>
                <w:rFonts w:cstheme="minorHAnsi"/>
              </w:rPr>
              <w:t>This guideline utilized a modified Delphi technique to reach consensus on final recommendations.</w:t>
            </w:r>
          </w:p>
          <w:p w14:paraId="7A712925" w14:textId="77777777" w:rsidR="009C46F2" w:rsidRDefault="009C46F2" w:rsidP="00726738">
            <w:pPr>
              <w:ind w:left="0" w:firstLine="0"/>
              <w:rPr>
                <w:rFonts w:cstheme="minorHAnsi"/>
              </w:rPr>
            </w:pPr>
          </w:p>
          <w:p w14:paraId="5E5606D5" w14:textId="14B6C185" w:rsidR="009C46F2" w:rsidRPr="00B44165" w:rsidRDefault="009C46F2" w:rsidP="009C46F2">
            <w:pPr>
              <w:ind w:left="0" w:firstLine="0"/>
              <w:rPr>
                <w:rFonts w:cstheme="minorHAnsi"/>
              </w:rPr>
            </w:pPr>
            <w:r>
              <w:rPr>
                <w:rFonts w:cstheme="minorHAnsi"/>
              </w:rPr>
              <w:t xml:space="preserve">The Program in Evidence-Based Care (PEBC) is an initiative of the Ontario provincial caner system, Cancer Care Ontario (CCO).  The PEBC produces evidence-based and evidence-informed guidelines, known as Evidence-Based Series (EBS) reports, using the methods of the Practice Guidelines Development Cycle.  The EBS report consists of an evidentiary base (typically a systematic review), an interpretation of and consensus agreement on that evidence be our Groups or Panels, the resulting recommendations, and an external review by Ontario clinicians and other stakeholders in the province for whom the topic is relevant.  </w:t>
            </w:r>
          </w:p>
        </w:tc>
      </w:tr>
      <w:tr w:rsidR="002C5B82" w14:paraId="474840A2" w14:textId="77777777" w:rsidTr="002C5B82">
        <w:tc>
          <w:tcPr>
            <w:tcW w:w="1975" w:type="dxa"/>
          </w:tcPr>
          <w:p w14:paraId="3160D10C" w14:textId="77777777" w:rsidR="002C5B82" w:rsidRDefault="002C5B82" w:rsidP="00726738">
            <w:pPr>
              <w:ind w:left="0" w:firstLine="0"/>
            </w:pPr>
            <w:r>
              <w:t>Provide all other grades and definitions from the evidence grading system</w:t>
            </w:r>
          </w:p>
        </w:tc>
        <w:tc>
          <w:tcPr>
            <w:tcW w:w="7380" w:type="dxa"/>
          </w:tcPr>
          <w:p w14:paraId="6A407EAA" w14:textId="784CAE22" w:rsidR="002C5B82" w:rsidRDefault="00CF23CD" w:rsidP="00726738">
            <w:pPr>
              <w:ind w:left="0" w:firstLine="0"/>
            </w:pPr>
            <w:r>
              <w:rPr>
                <w:rFonts w:cstheme="minorHAnsi"/>
              </w:rPr>
              <w:t>See Body of Evidence section.</w:t>
            </w:r>
          </w:p>
        </w:tc>
      </w:tr>
      <w:tr w:rsidR="002C5B82" w14:paraId="6BB55043" w14:textId="77777777" w:rsidTr="002C5B82">
        <w:tc>
          <w:tcPr>
            <w:tcW w:w="1975" w:type="dxa"/>
          </w:tcPr>
          <w:p w14:paraId="39E470E0" w14:textId="77777777" w:rsidR="002C5B82" w:rsidRDefault="002C5B82" w:rsidP="00726738">
            <w:pPr>
              <w:ind w:left="0" w:firstLine="0"/>
            </w:pPr>
            <w:r>
              <w:t xml:space="preserve">Grade assigned to the </w:t>
            </w:r>
            <w:r w:rsidRPr="004E7215">
              <w:rPr>
                <w:b/>
              </w:rPr>
              <w:lastRenderedPageBreak/>
              <w:t>recommendation</w:t>
            </w:r>
            <w:r>
              <w:t xml:space="preserve"> with definition of the grade</w:t>
            </w:r>
          </w:p>
        </w:tc>
        <w:tc>
          <w:tcPr>
            <w:tcW w:w="7380" w:type="dxa"/>
          </w:tcPr>
          <w:p w14:paraId="6D40D842" w14:textId="30C14DA8" w:rsidR="002C5B82" w:rsidRDefault="00CF23CD" w:rsidP="00726738">
            <w:pPr>
              <w:pStyle w:val="NoSpacing"/>
            </w:pPr>
            <w:r>
              <w:rPr>
                <w:rFonts w:cstheme="minorHAnsi"/>
              </w:rPr>
              <w:lastRenderedPageBreak/>
              <w:t>See Body of Evidence section.</w:t>
            </w:r>
          </w:p>
        </w:tc>
      </w:tr>
      <w:tr w:rsidR="002C5B82" w14:paraId="0ED4D732" w14:textId="77777777" w:rsidTr="002C5B82">
        <w:tc>
          <w:tcPr>
            <w:tcW w:w="1975" w:type="dxa"/>
          </w:tcPr>
          <w:p w14:paraId="25D516F3" w14:textId="77777777" w:rsidR="002C5B82" w:rsidRDefault="002C5B82" w:rsidP="00726738">
            <w:pPr>
              <w:ind w:left="0" w:firstLine="0"/>
            </w:pPr>
            <w:r>
              <w:t>Provide all other grades and definitions from the recommendation grading system</w:t>
            </w:r>
          </w:p>
        </w:tc>
        <w:tc>
          <w:tcPr>
            <w:tcW w:w="7380" w:type="dxa"/>
          </w:tcPr>
          <w:p w14:paraId="08F735BA" w14:textId="02CCF0E4" w:rsidR="002C5B82" w:rsidRDefault="00CF23CD" w:rsidP="00726738">
            <w:pPr>
              <w:ind w:left="0" w:firstLine="0"/>
            </w:pPr>
            <w:r>
              <w:rPr>
                <w:rFonts w:cstheme="minorHAnsi"/>
              </w:rPr>
              <w:t>See Body of Evidence section.</w:t>
            </w:r>
          </w:p>
        </w:tc>
      </w:tr>
      <w:tr w:rsidR="002C5B82" w14:paraId="768903E7" w14:textId="77777777" w:rsidTr="002C5B82">
        <w:tc>
          <w:tcPr>
            <w:tcW w:w="1975" w:type="dxa"/>
          </w:tcPr>
          <w:p w14:paraId="16505C9A" w14:textId="77777777" w:rsidR="002C5B82" w:rsidRDefault="002C5B82" w:rsidP="00726738">
            <w:pPr>
              <w:ind w:left="0" w:firstLine="0"/>
            </w:pPr>
            <w:r>
              <w:t>Body of evidence:</w:t>
            </w:r>
          </w:p>
          <w:p w14:paraId="23FD45B5" w14:textId="77777777" w:rsidR="002C5B82" w:rsidRDefault="002C5B82" w:rsidP="00726738">
            <w:pPr>
              <w:pStyle w:val="ListParagraph"/>
              <w:numPr>
                <w:ilvl w:val="0"/>
                <w:numId w:val="10"/>
              </w:numPr>
            </w:pPr>
            <w:r>
              <w:t>Quantity – how many studies?</w:t>
            </w:r>
          </w:p>
          <w:p w14:paraId="4667E85A" w14:textId="77777777" w:rsidR="002C5B82" w:rsidRDefault="002C5B82" w:rsidP="00726738">
            <w:pPr>
              <w:pStyle w:val="ListParagraph"/>
              <w:numPr>
                <w:ilvl w:val="0"/>
                <w:numId w:val="10"/>
              </w:numPr>
            </w:pPr>
            <w:r>
              <w:t>Quality – what type of studies?</w:t>
            </w:r>
          </w:p>
        </w:tc>
        <w:tc>
          <w:tcPr>
            <w:tcW w:w="7380" w:type="dxa"/>
          </w:tcPr>
          <w:p w14:paraId="736DA126" w14:textId="77777777" w:rsidR="002C5B82" w:rsidRDefault="002C5B82" w:rsidP="002C5B82">
            <w:r>
              <w:t>Key Evidence and Qualifying Statements</w:t>
            </w:r>
          </w:p>
          <w:p w14:paraId="4FCC286A" w14:textId="0FB487A9" w:rsidR="002C5B82" w:rsidRDefault="002C5B82" w:rsidP="002C5B82">
            <w:pPr>
              <w:pStyle w:val="ListParagraph"/>
              <w:numPr>
                <w:ilvl w:val="0"/>
                <w:numId w:val="15"/>
              </w:numPr>
            </w:pPr>
            <w:r>
              <w:t xml:space="preserve">Phase III clinical studies have demonstrated improved DFS and OS with the addition of trastuzumab to chemotherapy compared with chemotherapy alone in HER2+ early breast cancer (see Table 14 for Evidentiary Base). </w:t>
            </w:r>
          </w:p>
          <w:p w14:paraId="76FAD46E" w14:textId="0B41F98D" w:rsidR="002C5B82" w:rsidRDefault="002C5B82" w:rsidP="002C5B82">
            <w:pPr>
              <w:pStyle w:val="ListParagraph"/>
              <w:numPr>
                <w:ilvl w:val="0"/>
                <w:numId w:val="15"/>
              </w:numPr>
            </w:pPr>
            <w:r>
              <w:t xml:space="preserve">The majority of adjuvant trastuzumab trials included patients with lymph node positive breast cancer, or lymph node negative disease with one of the following high-risk features: ER-, grade 2 or 3, T </w:t>
            </w:r>
            <w:r w:rsidRPr="002C5B82">
              <w:rPr>
                <w:rFonts w:cstheme="minorHAnsi"/>
              </w:rPr>
              <w:t>≥</w:t>
            </w:r>
            <w:r>
              <w:t xml:space="preserve">1cm, or age &lt;35 years.  Trastuzumab may still be considered in patients with HER2+ disease outside these features.  Although most studies excluded patients with tumors &lt;1 cm, the benefit of trastuzumab was equivalent in both node negative and node positive tumors in the HERA trial which included small N0 </w:t>
            </w:r>
            <w:proofErr w:type="spellStart"/>
            <w:r>
              <w:t>tumours</w:t>
            </w:r>
            <w:proofErr w:type="spellEnd"/>
            <w:r>
              <w:t xml:space="preserve"> (1 cm was the formal inclusion criteria, although 60 patients with tumors &lt;1 cm were also enrolled).  The BCIRG 006 trial analysis by </w:t>
            </w:r>
            <w:proofErr w:type="spellStart"/>
            <w:r>
              <w:t>tumour</w:t>
            </w:r>
            <w:proofErr w:type="spellEnd"/>
            <w:r>
              <w:t xml:space="preserve"> size found benefit in </w:t>
            </w:r>
            <w:proofErr w:type="spellStart"/>
            <w:r>
              <w:t>tumours</w:t>
            </w:r>
            <w:proofErr w:type="spellEnd"/>
            <w:r>
              <w:t xml:space="preserve"> &lt;1 cm, &lt;2 cm, and </w:t>
            </w:r>
            <w:r w:rsidRPr="002C5B82">
              <w:rPr>
                <w:rFonts w:cstheme="minorHAnsi"/>
              </w:rPr>
              <w:t>≥</w:t>
            </w:r>
            <w:r>
              <w:t xml:space="preserve">2 cm, but not for </w:t>
            </w:r>
            <w:proofErr w:type="spellStart"/>
            <w:r>
              <w:t>tumours</w:t>
            </w:r>
            <w:proofErr w:type="spellEnd"/>
            <w:r>
              <w:t xml:space="preserve"> 1-2 cm in size; however, interpretation is limited because of the small number of patients in each category.  The review by </w:t>
            </w:r>
            <w:proofErr w:type="spellStart"/>
            <w:r>
              <w:t>Petrelli</w:t>
            </w:r>
            <w:proofErr w:type="spellEnd"/>
            <w:r>
              <w:t xml:space="preserve"> and </w:t>
            </w:r>
            <w:proofErr w:type="spellStart"/>
            <w:r>
              <w:t>Barni</w:t>
            </w:r>
            <w:proofErr w:type="spellEnd"/>
            <w:r>
              <w:t xml:space="preserve"> concluded that patients with HER2+ </w:t>
            </w:r>
            <w:proofErr w:type="spellStart"/>
            <w:r>
              <w:t>tumours</w:t>
            </w:r>
            <w:proofErr w:type="spellEnd"/>
            <w:r>
              <w:t xml:space="preserve"> have a higher rate of recurrence and poorer survival rate than patients with HER2- cancer of the same size/stage, confirming that HER2 positivity itself is a risk factor.  There does not appear to be a threshold according t</w:t>
            </w:r>
            <w:r w:rsidR="00CF23CD">
              <w:t>o</w:t>
            </w:r>
            <w:r>
              <w:t xml:space="preserve"> </w:t>
            </w:r>
            <w:proofErr w:type="spellStart"/>
            <w:r>
              <w:t>tumour</w:t>
            </w:r>
            <w:proofErr w:type="spellEnd"/>
            <w:r>
              <w:t xml:space="preserve"> size, and size alone should not be the deciding factor in whether to administer trastuzumab to patients with </w:t>
            </w:r>
            <w:proofErr w:type="spellStart"/>
            <w:r>
              <w:t>tumours</w:t>
            </w:r>
            <w:proofErr w:type="spellEnd"/>
            <w:r>
              <w:t xml:space="preserve"> &lt;1 cm.  In Ontario, </w:t>
            </w:r>
            <w:proofErr w:type="spellStart"/>
            <w:r>
              <w:t>tumours</w:t>
            </w:r>
            <w:proofErr w:type="spellEnd"/>
            <w:r>
              <w:t xml:space="preserve"> &lt;1 cm can be treated under the Evidence Building Program (EBP).  </w:t>
            </w:r>
          </w:p>
          <w:p w14:paraId="710C0E2F" w14:textId="4DEE0E38" w:rsidR="002C5B82" w:rsidRPr="002C5B82" w:rsidRDefault="002C5B82" w:rsidP="002C5B82">
            <w:pPr>
              <w:pStyle w:val="ListParagraph"/>
              <w:numPr>
                <w:ilvl w:val="0"/>
                <w:numId w:val="15"/>
              </w:numPr>
            </w:pPr>
            <w:r>
              <w:t xml:space="preserve">The meta-analysis by </w:t>
            </w:r>
            <w:proofErr w:type="spellStart"/>
            <w:r>
              <w:t>Moja</w:t>
            </w:r>
            <w:proofErr w:type="spellEnd"/>
            <w:r>
              <w:t xml:space="preserve"> et al (Cochrane Collaboration) found that the hazard ratio for trastuzumab-containing regimens vs. chemotherapy alone was 0.66 for OS and 0.60 for DFS (p&lt;0.00001 for both).  The risk of congestive heart failure and left ventricular ejection decline were higher with trastuzumab (RR=55.1, p&lt;0.00001 and R=1.83, p&lt;0.0008, respectively).  In patients at high risk of recurrence without cardiac problems, there is clear survival rate benefit for trastuzumab.</w:t>
            </w:r>
          </w:p>
        </w:tc>
      </w:tr>
      <w:tr w:rsidR="002C5B82" w14:paraId="29236E67" w14:textId="77777777" w:rsidTr="002C5B82">
        <w:tc>
          <w:tcPr>
            <w:tcW w:w="1975" w:type="dxa"/>
          </w:tcPr>
          <w:p w14:paraId="0167A53D" w14:textId="77777777" w:rsidR="002C5B82" w:rsidRDefault="002C5B82" w:rsidP="00726738">
            <w:pPr>
              <w:ind w:left="0" w:firstLine="0"/>
            </w:pPr>
            <w:r>
              <w:lastRenderedPageBreak/>
              <w:t xml:space="preserve">Estimates of benefit and consistency across studies </w:t>
            </w:r>
          </w:p>
        </w:tc>
        <w:tc>
          <w:tcPr>
            <w:tcW w:w="7380" w:type="dxa"/>
          </w:tcPr>
          <w:p w14:paraId="0112827F" w14:textId="423C1EF2" w:rsidR="002C5B82" w:rsidRPr="00B8113E" w:rsidRDefault="002C5B82" w:rsidP="00726738">
            <w:pPr>
              <w:rPr>
                <w:rFonts w:cstheme="minorHAnsi"/>
              </w:rPr>
            </w:pPr>
            <w:r>
              <w:rPr>
                <w:rFonts w:cstheme="minorHAnsi"/>
              </w:rPr>
              <w:t>See Body of Evidence section</w:t>
            </w:r>
          </w:p>
          <w:p w14:paraId="3E24E9A0" w14:textId="77777777" w:rsidR="002C5B82" w:rsidRPr="00B8113E" w:rsidRDefault="002C5B82" w:rsidP="00726738">
            <w:pPr>
              <w:ind w:left="0" w:firstLine="0"/>
              <w:rPr>
                <w:rFonts w:cstheme="minorHAnsi"/>
              </w:rPr>
            </w:pPr>
          </w:p>
        </w:tc>
      </w:tr>
      <w:tr w:rsidR="002C5B82" w14:paraId="237D0782" w14:textId="77777777" w:rsidTr="002C5B82">
        <w:tc>
          <w:tcPr>
            <w:tcW w:w="1975" w:type="dxa"/>
          </w:tcPr>
          <w:p w14:paraId="4F4F2B1A" w14:textId="77777777" w:rsidR="002C5B82" w:rsidRDefault="002C5B82" w:rsidP="00726738">
            <w:pPr>
              <w:ind w:left="0" w:firstLine="0"/>
            </w:pPr>
            <w:r>
              <w:t>What harms were identified?</w:t>
            </w:r>
          </w:p>
        </w:tc>
        <w:tc>
          <w:tcPr>
            <w:tcW w:w="7380" w:type="dxa"/>
          </w:tcPr>
          <w:p w14:paraId="6E71EC24" w14:textId="6135A631" w:rsidR="002C5B82" w:rsidRPr="00B8113E" w:rsidRDefault="002C5B82" w:rsidP="002C5B82">
            <w:pPr>
              <w:rPr>
                <w:rFonts w:cstheme="minorHAnsi"/>
              </w:rPr>
            </w:pPr>
            <w:r>
              <w:rPr>
                <w:rFonts w:cstheme="minorHAnsi"/>
              </w:rPr>
              <w:t>See Body of Evidence section</w:t>
            </w:r>
          </w:p>
        </w:tc>
      </w:tr>
      <w:tr w:rsidR="002C5B82" w14:paraId="17B1C626" w14:textId="77777777" w:rsidTr="002C5B82">
        <w:tc>
          <w:tcPr>
            <w:tcW w:w="1975" w:type="dxa"/>
          </w:tcPr>
          <w:p w14:paraId="0E95C565" w14:textId="77777777" w:rsidR="002C5B82" w:rsidRDefault="002C5B82" w:rsidP="00726738">
            <w:pPr>
              <w:ind w:left="0" w:firstLine="0"/>
            </w:pPr>
            <w:r>
              <w:t>Identify any new studies conducted since the SR. Do the new studies change the conclusions from the SR?</w:t>
            </w:r>
          </w:p>
        </w:tc>
        <w:tc>
          <w:tcPr>
            <w:tcW w:w="7380" w:type="dxa"/>
          </w:tcPr>
          <w:p w14:paraId="22C26BE4" w14:textId="69AE3F47" w:rsidR="002C5B82" w:rsidRPr="009A499B" w:rsidRDefault="002C5B82" w:rsidP="00726738">
            <w:pPr>
              <w:tabs>
                <w:tab w:val="left" w:pos="1500"/>
              </w:tabs>
              <w:ind w:left="0" w:firstLine="0"/>
            </w:pPr>
            <w:r>
              <w:t>Updated guidelines continue to support this measure.</w:t>
            </w:r>
          </w:p>
        </w:tc>
      </w:tr>
    </w:tbl>
    <w:p w14:paraId="704A96B1" w14:textId="7883F750" w:rsidR="002C5B82" w:rsidRDefault="002C5B82" w:rsidP="002E2177">
      <w:pPr>
        <w:ind w:left="0" w:firstLine="0"/>
      </w:pPr>
    </w:p>
    <w:p w14:paraId="79B3B15E" w14:textId="7DA86658" w:rsidR="002C5B82" w:rsidRDefault="002C5B82" w:rsidP="002E2177">
      <w:pPr>
        <w:ind w:left="0" w:firstLine="0"/>
      </w:pPr>
    </w:p>
    <w:p w14:paraId="406B4045" w14:textId="77777777" w:rsidR="002C5B82" w:rsidRDefault="002C5B82" w:rsidP="002E2177">
      <w:pPr>
        <w:ind w:left="0" w:firstLine="0"/>
      </w:pPr>
    </w:p>
    <w:tbl>
      <w:tblPr>
        <w:tblStyle w:val="TableGrid"/>
        <w:tblW w:w="9355" w:type="dxa"/>
        <w:tblLook w:val="04A0" w:firstRow="1" w:lastRow="0" w:firstColumn="1" w:lastColumn="0" w:noHBand="0" w:noVBand="1"/>
      </w:tblPr>
      <w:tblGrid>
        <w:gridCol w:w="1796"/>
        <w:gridCol w:w="8045"/>
      </w:tblGrid>
      <w:tr w:rsidR="00CB0A63" w14:paraId="3B483A9B" w14:textId="77777777" w:rsidTr="00B8113E">
        <w:tc>
          <w:tcPr>
            <w:tcW w:w="3235" w:type="dxa"/>
          </w:tcPr>
          <w:p w14:paraId="4C30EA7B" w14:textId="77777777" w:rsidR="00CB0A63" w:rsidRPr="00AB4ECE" w:rsidRDefault="00CB0A63" w:rsidP="00DF0A0C">
            <w:pPr>
              <w:ind w:left="0" w:firstLine="0"/>
              <w:rPr>
                <w:b/>
              </w:rPr>
            </w:pPr>
            <w:r w:rsidRPr="00AB4ECE">
              <w:rPr>
                <w:b/>
              </w:rPr>
              <w:t>Source of Systematic Review:</w:t>
            </w:r>
          </w:p>
          <w:p w14:paraId="0BA04A74" w14:textId="77777777" w:rsidR="00CB0A63" w:rsidRPr="00AB4ECE" w:rsidRDefault="00CB0A63" w:rsidP="00DF0A0C">
            <w:pPr>
              <w:pStyle w:val="ListParagraph"/>
              <w:numPr>
                <w:ilvl w:val="0"/>
                <w:numId w:val="9"/>
              </w:numPr>
              <w:rPr>
                <w:b/>
              </w:rPr>
            </w:pPr>
            <w:r w:rsidRPr="00AB4ECE">
              <w:rPr>
                <w:b/>
              </w:rPr>
              <w:t>Title</w:t>
            </w:r>
          </w:p>
          <w:p w14:paraId="1F54E87C" w14:textId="77777777" w:rsidR="00CB0A63" w:rsidRPr="00AB4ECE" w:rsidRDefault="00CB0A63" w:rsidP="00DF0A0C">
            <w:pPr>
              <w:pStyle w:val="ListParagraph"/>
              <w:numPr>
                <w:ilvl w:val="0"/>
                <w:numId w:val="9"/>
              </w:numPr>
              <w:rPr>
                <w:b/>
              </w:rPr>
            </w:pPr>
            <w:r w:rsidRPr="00AB4ECE">
              <w:rPr>
                <w:b/>
              </w:rPr>
              <w:t>Author</w:t>
            </w:r>
          </w:p>
          <w:p w14:paraId="17679432" w14:textId="77777777" w:rsidR="00CB0A63" w:rsidRPr="00AB4ECE" w:rsidRDefault="00CB0A63" w:rsidP="00DF0A0C">
            <w:pPr>
              <w:pStyle w:val="ListParagraph"/>
              <w:numPr>
                <w:ilvl w:val="0"/>
                <w:numId w:val="9"/>
              </w:numPr>
              <w:rPr>
                <w:b/>
              </w:rPr>
            </w:pPr>
            <w:r w:rsidRPr="00AB4ECE">
              <w:rPr>
                <w:b/>
              </w:rPr>
              <w:t>Date</w:t>
            </w:r>
          </w:p>
          <w:p w14:paraId="7BAD1003" w14:textId="77777777" w:rsidR="00CB0A63" w:rsidRPr="00AB4ECE" w:rsidRDefault="00CB0A63" w:rsidP="00DF0A0C">
            <w:pPr>
              <w:pStyle w:val="ListParagraph"/>
              <w:numPr>
                <w:ilvl w:val="0"/>
                <w:numId w:val="9"/>
              </w:numPr>
              <w:rPr>
                <w:b/>
              </w:rPr>
            </w:pPr>
            <w:r w:rsidRPr="00AB4ECE">
              <w:rPr>
                <w:b/>
              </w:rPr>
              <w:t>Citation, including page number</w:t>
            </w:r>
          </w:p>
          <w:p w14:paraId="394C38BA" w14:textId="77777777" w:rsidR="00CB0A63" w:rsidRPr="00AB4ECE" w:rsidRDefault="00CB0A63" w:rsidP="00DF0A0C">
            <w:pPr>
              <w:pStyle w:val="ListParagraph"/>
              <w:numPr>
                <w:ilvl w:val="0"/>
                <w:numId w:val="9"/>
              </w:numPr>
              <w:rPr>
                <w:b/>
              </w:rPr>
            </w:pPr>
            <w:r w:rsidRPr="00AB4ECE">
              <w:rPr>
                <w:b/>
              </w:rPr>
              <w:t>URL</w:t>
            </w:r>
          </w:p>
        </w:tc>
        <w:tc>
          <w:tcPr>
            <w:tcW w:w="6120" w:type="dxa"/>
          </w:tcPr>
          <w:p w14:paraId="6C7376AD" w14:textId="77777777" w:rsidR="00DB74B2" w:rsidRDefault="00DB74B2" w:rsidP="00DB74B2">
            <w:pPr>
              <w:rPr>
                <w:rFonts w:cstheme="minorHAnsi"/>
                <w:bCs/>
              </w:rPr>
            </w:pPr>
            <w:r w:rsidRPr="00DB74B2">
              <w:rPr>
                <w:rFonts w:cstheme="minorHAnsi"/>
                <w:bCs/>
              </w:rPr>
              <w:t>The role of trastuzumab in adjuvant and neoadjuvant therapy in women with</w:t>
            </w:r>
          </w:p>
          <w:p w14:paraId="3A3FD962" w14:textId="77777777" w:rsidR="00DB74B2" w:rsidRDefault="00DB74B2" w:rsidP="00DB74B2">
            <w:pPr>
              <w:rPr>
                <w:rFonts w:cstheme="minorHAnsi"/>
                <w:bCs/>
              </w:rPr>
            </w:pPr>
            <w:r w:rsidRPr="00DB74B2">
              <w:rPr>
                <w:rFonts w:cstheme="minorHAnsi"/>
                <w:bCs/>
              </w:rPr>
              <w:t xml:space="preserve">HER2/neu-overexpressing breast cancer. </w:t>
            </w:r>
            <w:proofErr w:type="spellStart"/>
            <w:r w:rsidRPr="00DB74B2">
              <w:rPr>
                <w:rFonts w:cstheme="minorHAnsi"/>
                <w:bCs/>
              </w:rPr>
              <w:t>Madarnas</w:t>
            </w:r>
            <w:proofErr w:type="spellEnd"/>
            <w:r w:rsidRPr="00DB74B2">
              <w:rPr>
                <w:rFonts w:cstheme="minorHAnsi"/>
                <w:bCs/>
              </w:rPr>
              <w:t xml:space="preserve"> Y, </w:t>
            </w:r>
            <w:proofErr w:type="spellStart"/>
            <w:r w:rsidRPr="00DB74B2">
              <w:rPr>
                <w:rFonts w:cstheme="minorHAnsi"/>
                <w:bCs/>
              </w:rPr>
              <w:t>Tey</w:t>
            </w:r>
            <w:proofErr w:type="spellEnd"/>
            <w:r w:rsidRPr="00DB74B2">
              <w:rPr>
                <w:rFonts w:cstheme="minorHAnsi"/>
                <w:bCs/>
              </w:rPr>
              <w:t xml:space="preserve"> R, reviewers. Toronto</w:t>
            </w:r>
          </w:p>
          <w:p w14:paraId="695DD3C2" w14:textId="77777777" w:rsidR="00DB74B2" w:rsidRDefault="00DB74B2" w:rsidP="00DB74B2">
            <w:pPr>
              <w:rPr>
                <w:rFonts w:cstheme="minorHAnsi"/>
                <w:bCs/>
              </w:rPr>
            </w:pPr>
            <w:r w:rsidRPr="00DB74B2">
              <w:rPr>
                <w:rFonts w:cstheme="minorHAnsi"/>
                <w:bCs/>
              </w:rPr>
              <w:t>(ON): Cancer Care Ontario; 2011 Sep 15 [Endorsed 2010 Jun 11]. Program in</w:t>
            </w:r>
          </w:p>
          <w:p w14:paraId="37299EDB" w14:textId="4F919B08" w:rsidR="00DB74B2" w:rsidRPr="00DB74B2" w:rsidRDefault="00DB74B2" w:rsidP="00DB74B2">
            <w:pPr>
              <w:rPr>
                <w:rFonts w:cstheme="minorHAnsi"/>
                <w:bCs/>
              </w:rPr>
            </w:pPr>
            <w:r w:rsidRPr="00DB74B2">
              <w:rPr>
                <w:rFonts w:cstheme="minorHAnsi"/>
                <w:bCs/>
              </w:rPr>
              <w:t>Evidence-based Care Evidence-Based Series No.: 1-24 Version 2</w:t>
            </w:r>
          </w:p>
          <w:p w14:paraId="25FE513F" w14:textId="69BEB3D2" w:rsidR="000E7ACA" w:rsidRDefault="00583C62" w:rsidP="00DB74B2">
            <w:hyperlink r:id="rId27" w:history="1">
              <w:r w:rsidR="000E7ACA">
                <w:rPr>
                  <w:rStyle w:val="Hyperlink"/>
                </w:rPr>
                <w:t>https://www.cancercareontario.ca/sites/ccocancercare/files/guidelines/full/pebc1-24f.pdf</w:t>
              </w:r>
            </w:hyperlink>
            <w:r w:rsidR="00271EE4">
              <w:t xml:space="preserve"> (a pop-up box will appear, click “OK”)</w:t>
            </w:r>
          </w:p>
          <w:p w14:paraId="54057A52" w14:textId="6CD6529D" w:rsidR="00271EE4" w:rsidRDefault="00271EE4" w:rsidP="00DB74B2">
            <w:pPr>
              <w:rPr>
                <w:rFonts w:cstheme="minorHAnsi"/>
                <w:bCs/>
              </w:rPr>
            </w:pPr>
            <w:r>
              <w:rPr>
                <w:rFonts w:cstheme="minorHAnsi"/>
                <w:bCs/>
              </w:rPr>
              <w:object w:dxaOrig="1482" w:dyaOrig="961" w14:anchorId="752C4865">
                <v:shape id="_x0000_i1026" type="#_x0000_t75" style="width:74pt;height:48pt" o:ole="">
                  <v:imagedata r:id="rId28" o:title=""/>
                </v:shape>
                <o:OLEObject Type="Embed" ProgID="AcroExch.Document.DC" ShapeID="_x0000_i1026" DrawAspect="Icon" ObjectID="_1636206613" r:id="rId29"/>
              </w:object>
            </w:r>
          </w:p>
          <w:p w14:paraId="6B9FF45D" w14:textId="726E71AB" w:rsidR="00DB74B2" w:rsidRDefault="00DB74B2" w:rsidP="00DB74B2">
            <w:pPr>
              <w:rPr>
                <w:rFonts w:ascii="Arial Narrow" w:hAnsi="Arial Narrow" w:cstheme="minorHAnsi"/>
                <w:bCs/>
                <w:color w:val="0000FF"/>
              </w:rPr>
            </w:pPr>
          </w:p>
          <w:p w14:paraId="01BD41B3" w14:textId="77777777" w:rsidR="00DB74B2" w:rsidRDefault="00DB74B2" w:rsidP="00DB74B2">
            <w:pPr>
              <w:rPr>
                <w:rFonts w:cstheme="minorHAnsi"/>
                <w:bCs/>
              </w:rPr>
            </w:pPr>
            <w:r w:rsidRPr="00DB74B2">
              <w:rPr>
                <w:rFonts w:cstheme="minorHAnsi"/>
                <w:bCs/>
              </w:rPr>
              <w:t>Please note the verbatim recommendation (below) appeared in the above</w:t>
            </w:r>
          </w:p>
          <w:p w14:paraId="726CC247" w14:textId="77777777" w:rsidR="00DB74B2" w:rsidRDefault="00DB74B2" w:rsidP="00DB74B2">
            <w:pPr>
              <w:rPr>
                <w:rFonts w:cstheme="minorHAnsi"/>
                <w:bCs/>
              </w:rPr>
            </w:pPr>
            <w:r w:rsidRPr="00DB74B2">
              <w:rPr>
                <w:rFonts w:cstheme="minorHAnsi"/>
                <w:bCs/>
              </w:rPr>
              <w:t>Cancer Care Ontario guideline, which is no longer available via PubMed.  This</w:t>
            </w:r>
          </w:p>
          <w:p w14:paraId="50CCF292" w14:textId="77777777" w:rsidR="00DB74B2" w:rsidRDefault="00DB74B2" w:rsidP="00DB74B2">
            <w:pPr>
              <w:rPr>
                <w:rFonts w:cstheme="minorHAnsi"/>
                <w:bCs/>
              </w:rPr>
            </w:pPr>
            <w:r w:rsidRPr="00DB74B2">
              <w:rPr>
                <w:rFonts w:cstheme="minorHAnsi"/>
                <w:bCs/>
              </w:rPr>
              <w:t>recommendation was reaffirmed in the following 2018 ASCO and Cancer Care</w:t>
            </w:r>
          </w:p>
          <w:p w14:paraId="7EDB0681" w14:textId="51BCBDDF" w:rsidR="00DB74B2" w:rsidRPr="00DB74B2" w:rsidRDefault="00DB74B2" w:rsidP="00DB74B2">
            <w:pPr>
              <w:rPr>
                <w:rFonts w:cstheme="minorHAnsi"/>
                <w:bCs/>
              </w:rPr>
            </w:pPr>
            <w:r w:rsidRPr="00DB74B2">
              <w:rPr>
                <w:rFonts w:cstheme="minorHAnsi"/>
                <w:bCs/>
              </w:rPr>
              <w:t>Ontario guideline update:</w:t>
            </w:r>
          </w:p>
          <w:p w14:paraId="31585D73" w14:textId="77777777" w:rsidR="00DB74B2" w:rsidRDefault="00DB74B2" w:rsidP="00DB74B2">
            <w:pPr>
              <w:rPr>
                <w:rFonts w:cstheme="minorHAnsi"/>
                <w:bCs/>
              </w:rPr>
            </w:pPr>
          </w:p>
          <w:p w14:paraId="1675EDA3" w14:textId="77777777" w:rsidR="00DB74B2" w:rsidRDefault="00DB74B2" w:rsidP="00DB74B2">
            <w:pPr>
              <w:rPr>
                <w:rFonts w:cstheme="minorHAnsi"/>
                <w:bCs/>
              </w:rPr>
            </w:pPr>
            <w:r>
              <w:rPr>
                <w:rFonts w:cstheme="minorHAnsi"/>
                <w:bCs/>
              </w:rPr>
              <w:t>Selection of Optimal Adjuvant Chemotherapy and Targeted Therapy for Early</w:t>
            </w:r>
          </w:p>
          <w:p w14:paraId="4B7F2E09" w14:textId="6D4F4E26" w:rsidR="00DB74B2" w:rsidRDefault="00DB74B2" w:rsidP="00DB74B2">
            <w:pPr>
              <w:rPr>
                <w:rFonts w:cstheme="minorHAnsi"/>
                <w:bCs/>
              </w:rPr>
            </w:pPr>
            <w:r>
              <w:rPr>
                <w:rFonts w:cstheme="minorHAnsi"/>
                <w:bCs/>
              </w:rPr>
              <w:t>Breast Cancer</w:t>
            </w:r>
          </w:p>
          <w:p w14:paraId="13BB1629" w14:textId="77777777" w:rsidR="00DB74B2" w:rsidRDefault="00DB74B2" w:rsidP="00DB74B2">
            <w:pPr>
              <w:rPr>
                <w:i/>
                <w:noProof/>
              </w:rPr>
            </w:pPr>
            <w:r w:rsidRPr="0037101C">
              <w:rPr>
                <w:noProof/>
              </w:rPr>
              <w:t xml:space="preserve">Denduluri, N., et al., </w:t>
            </w:r>
            <w:r w:rsidRPr="0037101C">
              <w:rPr>
                <w:i/>
                <w:noProof/>
              </w:rPr>
              <w:t>Selection of Optimal Adjuvant Chemotherapy and Targeted</w:t>
            </w:r>
          </w:p>
          <w:p w14:paraId="7F09E6DE" w14:textId="77777777" w:rsidR="00DB74B2" w:rsidRDefault="00DB74B2" w:rsidP="00DB74B2">
            <w:pPr>
              <w:rPr>
                <w:i/>
                <w:noProof/>
              </w:rPr>
            </w:pPr>
            <w:r w:rsidRPr="0037101C">
              <w:rPr>
                <w:i/>
                <w:noProof/>
              </w:rPr>
              <w:t>Therapy for Early Breast Cancer: ASCO Clinical Practice Guideline Focused</w:t>
            </w:r>
          </w:p>
          <w:p w14:paraId="31659886" w14:textId="43E68F07" w:rsidR="00DB74B2" w:rsidRDefault="00DB74B2" w:rsidP="00DB74B2">
            <w:pPr>
              <w:rPr>
                <w:rFonts w:cstheme="minorHAnsi"/>
                <w:bCs/>
              </w:rPr>
            </w:pPr>
            <w:r w:rsidRPr="0037101C">
              <w:rPr>
                <w:i/>
                <w:noProof/>
              </w:rPr>
              <w:t>Update.</w:t>
            </w:r>
            <w:r w:rsidRPr="0037101C">
              <w:rPr>
                <w:noProof/>
              </w:rPr>
              <w:t xml:space="preserve"> J Clin Oncol, 2018. </w:t>
            </w:r>
            <w:r w:rsidRPr="0037101C">
              <w:rPr>
                <w:b/>
                <w:noProof/>
              </w:rPr>
              <w:t>36</w:t>
            </w:r>
            <w:r w:rsidRPr="0037101C">
              <w:rPr>
                <w:noProof/>
              </w:rPr>
              <w:t>(23): p. 2433-2443.</w:t>
            </w:r>
          </w:p>
          <w:p w14:paraId="120B9DE4" w14:textId="46C9CDC1" w:rsidR="00DB74B2" w:rsidRDefault="00583C62" w:rsidP="00DB74B2">
            <w:pPr>
              <w:ind w:left="0" w:firstLine="0"/>
              <w:rPr>
                <w:rFonts w:ascii="Arial Narrow" w:hAnsi="Arial Narrow" w:cs="Arial"/>
                <w:bCs/>
                <w:color w:val="0000FF"/>
              </w:rPr>
            </w:pPr>
            <w:hyperlink r:id="rId30" w:anchor="/11081" w:history="1">
              <w:r w:rsidR="00DB74B2" w:rsidRPr="00AE18DA">
                <w:rPr>
                  <w:rStyle w:val="Hyperlink"/>
                </w:rPr>
                <w:t>https://www.asco.org/practice-guidelines/quality-guidelines/guidelines/breast-cancer#/11081</w:t>
              </w:r>
            </w:hyperlink>
          </w:p>
          <w:p w14:paraId="5F4A2A5E" w14:textId="0B4FBFB9" w:rsidR="00CB0A63" w:rsidRPr="00AB4ECE" w:rsidRDefault="00CB0A63" w:rsidP="00DF0A0C">
            <w:pPr>
              <w:ind w:left="0" w:firstLine="0"/>
              <w:rPr>
                <w:b/>
              </w:rPr>
            </w:pPr>
          </w:p>
        </w:tc>
      </w:tr>
      <w:tr w:rsidR="00CB0A63" w14:paraId="02C2A8C3" w14:textId="77777777" w:rsidTr="00B8113E">
        <w:tc>
          <w:tcPr>
            <w:tcW w:w="3235" w:type="dxa"/>
          </w:tcPr>
          <w:p w14:paraId="5CFD19B5" w14:textId="77777777" w:rsidR="00CB0A63" w:rsidRDefault="00CB0A63" w:rsidP="00DF0A0C">
            <w:pPr>
              <w:ind w:left="0" w:firstLine="0"/>
            </w:pPr>
            <w:r>
              <w:t xml:space="preserve">Quote the guideline or recommendation verbatim about the process, structure or intermediate outcome being </w:t>
            </w:r>
            <w:r>
              <w:lastRenderedPageBreak/>
              <w:t>measured. If not a guideline, summarize the conclusions from the SR.</w:t>
            </w:r>
          </w:p>
        </w:tc>
        <w:tc>
          <w:tcPr>
            <w:tcW w:w="6120" w:type="dxa"/>
          </w:tcPr>
          <w:p w14:paraId="2852660C" w14:textId="58D43821" w:rsidR="00B44165" w:rsidRPr="00B44165" w:rsidRDefault="00B44165" w:rsidP="00B44165">
            <w:pPr>
              <w:rPr>
                <w:rFonts w:cstheme="minorHAnsi"/>
                <w:bCs/>
              </w:rPr>
            </w:pPr>
            <w:r>
              <w:rPr>
                <w:rFonts w:cstheme="minorHAnsi"/>
                <w:bCs/>
              </w:rPr>
              <w:lastRenderedPageBreak/>
              <w:t>“</w:t>
            </w:r>
            <w:r w:rsidRPr="00B44165">
              <w:rPr>
                <w:rFonts w:cstheme="minorHAnsi"/>
                <w:bCs/>
              </w:rPr>
              <w:t>Trastuzumab should be offered for one year to all patients with HER2</w:t>
            </w:r>
          </w:p>
          <w:p w14:paraId="7F1FAEEC" w14:textId="77777777" w:rsidR="00B44165" w:rsidRPr="00B44165" w:rsidRDefault="00B44165" w:rsidP="00B44165">
            <w:pPr>
              <w:rPr>
                <w:rFonts w:cstheme="minorHAnsi"/>
                <w:bCs/>
              </w:rPr>
            </w:pPr>
            <w:r w:rsidRPr="00B44165">
              <w:rPr>
                <w:rFonts w:cstheme="minorHAnsi"/>
                <w:bCs/>
              </w:rPr>
              <w:t xml:space="preserve">Positive node-positive or node-negative, </w:t>
            </w:r>
            <w:proofErr w:type="spellStart"/>
            <w:r w:rsidRPr="00B44165">
              <w:rPr>
                <w:rFonts w:cstheme="minorHAnsi"/>
                <w:bCs/>
              </w:rPr>
              <w:t>tumour</w:t>
            </w:r>
            <w:proofErr w:type="spellEnd"/>
            <w:r w:rsidRPr="00B44165">
              <w:rPr>
                <w:rFonts w:cstheme="minorHAnsi"/>
                <w:bCs/>
              </w:rPr>
              <w:t xml:space="preserve"> greater than 1 cm in size,</w:t>
            </w:r>
          </w:p>
          <w:p w14:paraId="4F25B024" w14:textId="77777777" w:rsidR="00B44165" w:rsidRPr="00B44165" w:rsidRDefault="00B44165" w:rsidP="00B44165">
            <w:pPr>
              <w:rPr>
                <w:rFonts w:cstheme="minorHAnsi"/>
                <w:bCs/>
              </w:rPr>
            </w:pPr>
            <w:r w:rsidRPr="00B44165">
              <w:rPr>
                <w:rFonts w:cstheme="minorHAnsi"/>
                <w:bCs/>
              </w:rPr>
              <w:t>and primary breast cancer and who are receiving or have received</w:t>
            </w:r>
          </w:p>
          <w:p w14:paraId="6EB52391" w14:textId="77777777" w:rsidR="00B44165" w:rsidRPr="00B44165" w:rsidRDefault="00B44165" w:rsidP="00B44165">
            <w:pPr>
              <w:rPr>
                <w:rFonts w:cstheme="minorHAnsi"/>
                <w:bCs/>
              </w:rPr>
            </w:pPr>
            <w:r w:rsidRPr="00B44165">
              <w:rPr>
                <w:rFonts w:cstheme="minorHAnsi"/>
                <w:bCs/>
              </w:rPr>
              <w:t>(neo)adjuvant chemotherapy. Trastuzumab should be offered after</w:t>
            </w:r>
          </w:p>
          <w:p w14:paraId="732777B5" w14:textId="18C5B938" w:rsidR="00B44165" w:rsidRPr="00B44165" w:rsidRDefault="00B44165" w:rsidP="00B44165">
            <w:pPr>
              <w:rPr>
                <w:rFonts w:cstheme="minorHAnsi"/>
                <w:bCs/>
              </w:rPr>
            </w:pPr>
            <w:r w:rsidRPr="00B44165">
              <w:rPr>
                <w:rFonts w:cstheme="minorHAnsi"/>
                <w:bCs/>
              </w:rPr>
              <w:t>chemotherapy.</w:t>
            </w:r>
            <w:r>
              <w:rPr>
                <w:rFonts w:cstheme="minorHAnsi"/>
                <w:bCs/>
              </w:rPr>
              <w:t>”</w:t>
            </w:r>
            <w:r w:rsidRPr="00B44165">
              <w:rPr>
                <w:rFonts w:cstheme="minorHAnsi"/>
                <w:bCs/>
              </w:rPr>
              <w:t xml:space="preserve"> (CCO guideline, development and methods </w:t>
            </w:r>
            <w:proofErr w:type="spellStart"/>
            <w:r w:rsidRPr="00B44165">
              <w:rPr>
                <w:rFonts w:cstheme="minorHAnsi"/>
                <w:bCs/>
              </w:rPr>
              <w:t>pg</w:t>
            </w:r>
            <w:proofErr w:type="spellEnd"/>
            <w:r w:rsidRPr="00B44165">
              <w:rPr>
                <w:rFonts w:cstheme="minorHAnsi"/>
                <w:bCs/>
              </w:rPr>
              <w:t xml:space="preserve"> 3/ pdf </w:t>
            </w:r>
            <w:proofErr w:type="spellStart"/>
            <w:r w:rsidRPr="00B44165">
              <w:rPr>
                <w:rFonts w:cstheme="minorHAnsi"/>
                <w:bCs/>
              </w:rPr>
              <w:t>pg</w:t>
            </w:r>
            <w:proofErr w:type="spellEnd"/>
          </w:p>
          <w:p w14:paraId="52FAD98B" w14:textId="36501B95" w:rsidR="00B44165" w:rsidRDefault="00B44165" w:rsidP="00B44165">
            <w:pPr>
              <w:rPr>
                <w:rFonts w:cstheme="minorHAnsi"/>
                <w:bCs/>
              </w:rPr>
            </w:pPr>
            <w:r w:rsidRPr="00B44165">
              <w:rPr>
                <w:rFonts w:cstheme="minorHAnsi"/>
                <w:bCs/>
              </w:rPr>
              <w:t>29;</w:t>
            </w:r>
            <w:r w:rsidR="00AE3FC0">
              <w:t xml:space="preserve"> </w:t>
            </w:r>
            <w:hyperlink r:id="rId31" w:history="1">
              <w:r w:rsidR="00AE3FC0">
                <w:rPr>
                  <w:rStyle w:val="Hyperlink"/>
                </w:rPr>
                <w:t>https://www.cancercareontario.ca/sites/ccocancercare/files/guidelines/full/pebc1-24f.pdf</w:t>
              </w:r>
            </w:hyperlink>
            <w:r w:rsidR="00AE3FC0">
              <w:t xml:space="preserve"> (a pop-up box will appear, click “OK”)</w:t>
            </w:r>
            <w:r w:rsidRPr="00B44165">
              <w:rPr>
                <w:rFonts w:cstheme="minorHAnsi"/>
                <w:bCs/>
              </w:rPr>
              <w:t>.</w:t>
            </w:r>
          </w:p>
          <w:p w14:paraId="09322D86" w14:textId="13394ECB" w:rsidR="00B44165" w:rsidRDefault="00B44165" w:rsidP="00B44165">
            <w:pPr>
              <w:rPr>
                <w:rFonts w:cstheme="minorHAnsi"/>
                <w:bCs/>
              </w:rPr>
            </w:pPr>
          </w:p>
          <w:p w14:paraId="189075E6" w14:textId="49F4D8AC" w:rsidR="00B44165" w:rsidRPr="00B44165" w:rsidRDefault="00B44165" w:rsidP="00B44165">
            <w:pPr>
              <w:ind w:left="0" w:firstLine="0"/>
              <w:rPr>
                <w:rFonts w:cstheme="minorHAnsi"/>
                <w:bCs/>
              </w:rPr>
            </w:pPr>
            <w:r>
              <w:rPr>
                <w:rFonts w:cstheme="minorHAnsi"/>
                <w:bCs/>
              </w:rPr>
              <w:lastRenderedPageBreak/>
              <w:t xml:space="preserve">Please note this </w:t>
            </w:r>
            <w:r w:rsidR="00DB74B2">
              <w:rPr>
                <w:rFonts w:cstheme="minorHAnsi"/>
                <w:bCs/>
              </w:rPr>
              <w:t xml:space="preserve">original </w:t>
            </w:r>
            <w:r>
              <w:rPr>
                <w:rFonts w:cstheme="minorHAnsi"/>
                <w:bCs/>
              </w:rPr>
              <w:t xml:space="preserve">recommendation was reaffirmed in a </w:t>
            </w:r>
            <w:r w:rsidR="00CF1773">
              <w:rPr>
                <w:rFonts w:cstheme="minorHAnsi"/>
                <w:bCs/>
              </w:rPr>
              <w:t>2018</w:t>
            </w:r>
            <w:r w:rsidR="009D4160">
              <w:rPr>
                <w:rFonts w:cstheme="minorHAnsi"/>
                <w:bCs/>
              </w:rPr>
              <w:t xml:space="preserve"> ASCO and Cancer Care Ontario</w:t>
            </w:r>
            <w:r>
              <w:rPr>
                <w:rFonts w:cstheme="minorHAnsi"/>
                <w:bCs/>
              </w:rPr>
              <w:t xml:space="preserve"> guideline update, available at: </w:t>
            </w:r>
            <w:hyperlink r:id="rId32" w:anchor="/11081" w:history="1">
              <w:r w:rsidR="009D4160">
                <w:rPr>
                  <w:rStyle w:val="Hyperlink"/>
                </w:rPr>
                <w:t>https://www.asco.org/practice-guidelines/quality-guidelines/guidelines/breast-cancer#/11081</w:t>
              </w:r>
            </w:hyperlink>
          </w:p>
          <w:p w14:paraId="7072E4DB" w14:textId="77777777" w:rsidR="00CB0A63" w:rsidRDefault="00CB0A63" w:rsidP="00B44165">
            <w:pPr>
              <w:ind w:left="0" w:firstLine="0"/>
            </w:pPr>
          </w:p>
        </w:tc>
      </w:tr>
      <w:tr w:rsidR="00CB0A63" w14:paraId="2B66D969" w14:textId="77777777" w:rsidTr="00B8113E">
        <w:tc>
          <w:tcPr>
            <w:tcW w:w="3235" w:type="dxa"/>
          </w:tcPr>
          <w:p w14:paraId="00D0F66B" w14:textId="77777777" w:rsidR="00CB0A63" w:rsidRDefault="00CB0A63" w:rsidP="00DF0A0C">
            <w:pPr>
              <w:ind w:left="0" w:firstLine="0"/>
            </w:pPr>
            <w:r>
              <w:lastRenderedPageBreak/>
              <w:t xml:space="preserve">Grade assigned to the </w:t>
            </w:r>
            <w:r w:rsidRPr="004E7215">
              <w:rPr>
                <w:b/>
              </w:rPr>
              <w:t>evidence</w:t>
            </w:r>
            <w:r>
              <w:t xml:space="preserve"> associated with the recommendation with the definition of the grade</w:t>
            </w:r>
          </w:p>
        </w:tc>
        <w:tc>
          <w:tcPr>
            <w:tcW w:w="6120" w:type="dxa"/>
          </w:tcPr>
          <w:p w14:paraId="6B8A157A" w14:textId="126F9E4A" w:rsidR="00CB0A63" w:rsidRPr="00B44165" w:rsidRDefault="00B44165" w:rsidP="00DF0A0C">
            <w:pPr>
              <w:ind w:left="0" w:firstLine="0"/>
              <w:rPr>
                <w:rFonts w:cstheme="minorHAnsi"/>
              </w:rPr>
            </w:pPr>
            <w:r w:rsidRPr="00B44165">
              <w:rPr>
                <w:rFonts w:cstheme="minorHAnsi"/>
              </w:rPr>
              <w:t xml:space="preserve">CCO </w:t>
            </w:r>
            <w:r w:rsidR="009D4160">
              <w:rPr>
                <w:rFonts w:cstheme="minorHAnsi"/>
              </w:rPr>
              <w:t>g</w:t>
            </w:r>
            <w:r w:rsidRPr="00B44165">
              <w:rPr>
                <w:rFonts w:cstheme="minorHAnsi"/>
              </w:rPr>
              <w:t>uidelines use a narrative approach in grading the quality of the evidence.</w:t>
            </w:r>
          </w:p>
        </w:tc>
      </w:tr>
      <w:tr w:rsidR="00CB0A63" w14:paraId="79B797C1" w14:textId="77777777" w:rsidTr="00B8113E">
        <w:tc>
          <w:tcPr>
            <w:tcW w:w="3235" w:type="dxa"/>
          </w:tcPr>
          <w:p w14:paraId="23AF4DC3" w14:textId="77777777" w:rsidR="00CB0A63" w:rsidRDefault="00CB0A63" w:rsidP="00DF0A0C">
            <w:pPr>
              <w:ind w:left="0" w:firstLine="0"/>
            </w:pPr>
            <w:r>
              <w:t>Provide all other grades and definitions from the evidence grading system</w:t>
            </w:r>
          </w:p>
        </w:tc>
        <w:tc>
          <w:tcPr>
            <w:tcW w:w="6120" w:type="dxa"/>
          </w:tcPr>
          <w:p w14:paraId="69764811" w14:textId="3700D987" w:rsidR="00CB0A63" w:rsidRDefault="009D4160" w:rsidP="00DF0A0C">
            <w:pPr>
              <w:ind w:left="0" w:firstLine="0"/>
            </w:pPr>
            <w:r>
              <w:t>CCO guidelines use a narrative approach in grading the quality of the evidence.</w:t>
            </w:r>
          </w:p>
        </w:tc>
      </w:tr>
      <w:tr w:rsidR="00CB0A63" w14:paraId="07C2DC0B" w14:textId="77777777" w:rsidTr="00B8113E">
        <w:tc>
          <w:tcPr>
            <w:tcW w:w="3235" w:type="dxa"/>
          </w:tcPr>
          <w:p w14:paraId="1345B051" w14:textId="77777777" w:rsidR="00CB0A63" w:rsidRDefault="00CB0A63" w:rsidP="00DF0A0C">
            <w:pPr>
              <w:ind w:left="0" w:firstLine="0"/>
            </w:pPr>
            <w:r>
              <w:t xml:space="preserve">Grade assigned to the </w:t>
            </w:r>
            <w:r w:rsidRPr="004E7215">
              <w:rPr>
                <w:b/>
              </w:rPr>
              <w:t>recommendation</w:t>
            </w:r>
            <w:r>
              <w:t xml:space="preserve"> with definition of the grade</w:t>
            </w:r>
          </w:p>
        </w:tc>
        <w:tc>
          <w:tcPr>
            <w:tcW w:w="6120" w:type="dxa"/>
          </w:tcPr>
          <w:p w14:paraId="757C9EE0" w14:textId="77777777" w:rsidR="00B44165" w:rsidRDefault="00B44165" w:rsidP="00B44165">
            <w:pPr>
              <w:pStyle w:val="NoSpacing"/>
            </w:pPr>
            <w:r>
              <w:t>The guideline provides strong support for the use of trastuzumab</w:t>
            </w:r>
          </w:p>
          <w:p w14:paraId="3B86F791" w14:textId="77777777" w:rsidR="00CB0A63" w:rsidRDefault="00B44165" w:rsidP="00B44165">
            <w:pPr>
              <w:pStyle w:val="NoSpacing"/>
            </w:pPr>
            <w:r>
              <w:t>in all patients with HER2 positive primary breast cancer.</w:t>
            </w:r>
          </w:p>
          <w:p w14:paraId="43B0647A" w14:textId="77777777" w:rsidR="009D4160" w:rsidRDefault="009D4160" w:rsidP="00B44165">
            <w:pPr>
              <w:pStyle w:val="NoSpacing"/>
            </w:pPr>
          </w:p>
          <w:p w14:paraId="3324A33D" w14:textId="77777777" w:rsidR="009D4160" w:rsidRDefault="009D4160" w:rsidP="00B44165">
            <w:pPr>
              <w:pStyle w:val="NoSpacing"/>
            </w:pPr>
            <w:r>
              <w:t>Strong Recommendation: There is high confidence that the recommendation</w:t>
            </w:r>
          </w:p>
          <w:p w14:paraId="7C741541" w14:textId="77777777" w:rsidR="009D4160" w:rsidRDefault="009D4160" w:rsidP="009D4160">
            <w:pPr>
              <w:pStyle w:val="NoSpacing"/>
            </w:pPr>
            <w:r>
              <w:t>reflects best practice. This is based on (1) strong evidence for a true net effect</w:t>
            </w:r>
          </w:p>
          <w:p w14:paraId="4E45AB5B" w14:textId="77777777" w:rsidR="009D4160" w:rsidRDefault="009D4160" w:rsidP="009D4160">
            <w:pPr>
              <w:pStyle w:val="NoSpacing"/>
            </w:pPr>
            <w:r>
              <w:t>(e.g., benefits exceed harms); (2) consistent results, with no or minor</w:t>
            </w:r>
          </w:p>
          <w:p w14:paraId="69456DFB" w14:textId="77777777" w:rsidR="009D4160" w:rsidRDefault="009D4160" w:rsidP="009D4160">
            <w:pPr>
              <w:pStyle w:val="NoSpacing"/>
            </w:pPr>
            <w:r>
              <w:t>exceptions; (3) minor or no concerns about study quality; and/or (4) the extent</w:t>
            </w:r>
          </w:p>
          <w:p w14:paraId="4D6976D8" w14:textId="77777777" w:rsidR="009D4160" w:rsidRDefault="009D4160" w:rsidP="009D4160">
            <w:pPr>
              <w:pStyle w:val="NoSpacing"/>
            </w:pPr>
            <w:r>
              <w:t>of panelists’ agreement. Other compelling considerations (discussed in the</w:t>
            </w:r>
          </w:p>
          <w:p w14:paraId="43B1A530" w14:textId="77777777" w:rsidR="009D4160" w:rsidRDefault="009D4160" w:rsidP="009D4160">
            <w:pPr>
              <w:pStyle w:val="NoSpacing"/>
            </w:pPr>
            <w:r>
              <w:t>guideline’s literature review and analyses) may also warrant a strong</w:t>
            </w:r>
          </w:p>
          <w:p w14:paraId="7389C7CC" w14:textId="3372519C" w:rsidR="009D4160" w:rsidRDefault="009D4160" w:rsidP="009D4160">
            <w:pPr>
              <w:pStyle w:val="NoSpacing"/>
            </w:pPr>
            <w:r>
              <w:t>recommendation.</w:t>
            </w:r>
          </w:p>
        </w:tc>
      </w:tr>
      <w:tr w:rsidR="00CB0A63" w14:paraId="4C8CCB88" w14:textId="77777777" w:rsidTr="00B8113E">
        <w:tc>
          <w:tcPr>
            <w:tcW w:w="3235" w:type="dxa"/>
          </w:tcPr>
          <w:p w14:paraId="59803A15" w14:textId="77777777" w:rsidR="00CB0A63" w:rsidRDefault="00CB0A63" w:rsidP="00DF0A0C">
            <w:pPr>
              <w:ind w:left="0" w:firstLine="0"/>
            </w:pPr>
            <w:r>
              <w:t>Provide all other grades and definitions from the recommendation grading system</w:t>
            </w:r>
          </w:p>
        </w:tc>
        <w:tc>
          <w:tcPr>
            <w:tcW w:w="6120" w:type="dxa"/>
          </w:tcPr>
          <w:p w14:paraId="1E129161" w14:textId="77777777" w:rsidR="009D4160" w:rsidRDefault="009D4160" w:rsidP="009D4160">
            <w:pPr>
              <w:pStyle w:val="NoSpacing"/>
            </w:pPr>
            <w:r>
              <w:t>Strong Recommendation: There is high confidence that the recommendation</w:t>
            </w:r>
          </w:p>
          <w:p w14:paraId="495FF973" w14:textId="77777777" w:rsidR="009D4160" w:rsidRDefault="009D4160" w:rsidP="009D4160">
            <w:pPr>
              <w:pStyle w:val="NoSpacing"/>
            </w:pPr>
            <w:r>
              <w:t>reflects best practice. This is based on (1) strong evidence for a true net effect</w:t>
            </w:r>
          </w:p>
          <w:p w14:paraId="01F187FF" w14:textId="77777777" w:rsidR="009D4160" w:rsidRDefault="009D4160" w:rsidP="009D4160">
            <w:pPr>
              <w:pStyle w:val="NoSpacing"/>
            </w:pPr>
            <w:r>
              <w:t>(e.g., benefits exceed harms); (2) consistent results, with no or minor</w:t>
            </w:r>
          </w:p>
          <w:p w14:paraId="29FB0599" w14:textId="77777777" w:rsidR="009D4160" w:rsidRDefault="009D4160" w:rsidP="009D4160">
            <w:pPr>
              <w:pStyle w:val="NoSpacing"/>
            </w:pPr>
            <w:r>
              <w:t>exceptions; (3) minor or no concerns about study quality; and/or (4) the extent</w:t>
            </w:r>
          </w:p>
          <w:p w14:paraId="1E128EC3" w14:textId="77777777" w:rsidR="009D4160" w:rsidRDefault="009D4160" w:rsidP="009D4160">
            <w:pPr>
              <w:pStyle w:val="NoSpacing"/>
            </w:pPr>
            <w:r>
              <w:t>of panelists’ agreement. Other compelling considerations (discussed in the</w:t>
            </w:r>
          </w:p>
          <w:p w14:paraId="48FB8098" w14:textId="77777777" w:rsidR="009D4160" w:rsidRDefault="009D4160" w:rsidP="009D4160">
            <w:pPr>
              <w:pStyle w:val="NoSpacing"/>
            </w:pPr>
            <w:r>
              <w:t>guideline’s literature review and analyses) may also warrant a strong</w:t>
            </w:r>
          </w:p>
          <w:p w14:paraId="29CDDAAC" w14:textId="77777777" w:rsidR="00CB0A63" w:rsidRDefault="009D4160" w:rsidP="009D4160">
            <w:r>
              <w:t>recommendation.</w:t>
            </w:r>
          </w:p>
          <w:p w14:paraId="2151E6EE" w14:textId="77777777" w:rsidR="009D4160" w:rsidRDefault="009D4160" w:rsidP="009D4160"/>
          <w:p w14:paraId="17EB0E10" w14:textId="77777777" w:rsidR="009D4160" w:rsidRDefault="009D4160" w:rsidP="009D4160">
            <w:r>
              <w:t>Moderate Recommendation: There is moderate confidence that the</w:t>
            </w:r>
          </w:p>
          <w:p w14:paraId="12E35CB2" w14:textId="77777777" w:rsidR="009D4160" w:rsidRDefault="009D4160" w:rsidP="009D4160">
            <w:r>
              <w:t>recommendation reflects best practice. This is based on (1) good evidence for a</w:t>
            </w:r>
          </w:p>
          <w:p w14:paraId="5F4D0763" w14:textId="77777777" w:rsidR="009D4160" w:rsidRDefault="009D4160" w:rsidP="009D4160">
            <w:r>
              <w:t>true net effect (e.g., benefits exceed harms); (2) consistent results, with minor</w:t>
            </w:r>
          </w:p>
          <w:p w14:paraId="4D3A90D6" w14:textId="77777777" w:rsidR="009D4160" w:rsidRDefault="009D4160" w:rsidP="009D4160">
            <w:r>
              <w:t>and/or few exceptions; (3) minor and/or few concerns about study quality;</w:t>
            </w:r>
          </w:p>
          <w:p w14:paraId="116FB79D" w14:textId="77777777" w:rsidR="009D4160" w:rsidRDefault="009D4160" w:rsidP="009D4160">
            <w:r>
              <w:t>and/or (4) the extent of panelists’ agreement. Other compelling considerations</w:t>
            </w:r>
          </w:p>
          <w:p w14:paraId="4ED3C555" w14:textId="77777777" w:rsidR="009D4160" w:rsidRDefault="009D4160" w:rsidP="009D4160">
            <w:r>
              <w:t>(discussed in the guideline’s literature review and analyses) may also warrant a</w:t>
            </w:r>
          </w:p>
          <w:p w14:paraId="68DEBE46" w14:textId="77777777" w:rsidR="009D4160" w:rsidRDefault="009D4160" w:rsidP="009D4160">
            <w:pPr>
              <w:ind w:left="0" w:firstLine="0"/>
            </w:pPr>
            <w:r>
              <w:t>moderate recommendation.</w:t>
            </w:r>
          </w:p>
          <w:p w14:paraId="760681D4" w14:textId="77777777" w:rsidR="009D4160" w:rsidRDefault="009D4160" w:rsidP="009D4160">
            <w:pPr>
              <w:ind w:left="0" w:firstLine="0"/>
            </w:pPr>
          </w:p>
          <w:p w14:paraId="4871B07F" w14:textId="7C953D04" w:rsidR="009D4160" w:rsidRDefault="009D4160" w:rsidP="009D4160">
            <w:pPr>
              <w:ind w:left="0" w:firstLine="0"/>
            </w:pPr>
            <w:r>
              <w:t xml:space="preserve">Weak Recommendation: There is some confidence that the recommendation offers the best current guidance for practice. This is based on (1) limited evidence for a true net effect (e.g., benefits exceed harms); (2) consistent results, but with important exceptions; (3) concerns about study quality; and/or (4) the extent of panelists’ </w:t>
            </w:r>
            <w:r>
              <w:lastRenderedPageBreak/>
              <w:t>agreement. Other considerations (discussed in the guideline’s literature review and analyses) may also warrant a weak recommendation.</w:t>
            </w:r>
          </w:p>
        </w:tc>
      </w:tr>
      <w:tr w:rsidR="00CB0A63" w14:paraId="06181C61" w14:textId="77777777" w:rsidTr="00B8113E">
        <w:tc>
          <w:tcPr>
            <w:tcW w:w="3235" w:type="dxa"/>
          </w:tcPr>
          <w:p w14:paraId="5069009D" w14:textId="77777777" w:rsidR="00CB0A63" w:rsidRDefault="00CB0A63" w:rsidP="00DF0A0C">
            <w:pPr>
              <w:ind w:left="0" w:firstLine="0"/>
            </w:pPr>
            <w:r>
              <w:lastRenderedPageBreak/>
              <w:t>Body of evidence:</w:t>
            </w:r>
          </w:p>
          <w:p w14:paraId="67496990" w14:textId="77777777" w:rsidR="00CB0A63" w:rsidRDefault="00CB0A63" w:rsidP="00DF0A0C">
            <w:pPr>
              <w:pStyle w:val="ListParagraph"/>
              <w:numPr>
                <w:ilvl w:val="0"/>
                <w:numId w:val="10"/>
              </w:numPr>
            </w:pPr>
            <w:r>
              <w:t>Quantity – how many studies?</w:t>
            </w:r>
          </w:p>
          <w:p w14:paraId="0663B40D" w14:textId="77777777" w:rsidR="00CB0A63" w:rsidRDefault="00CB0A63" w:rsidP="00DF0A0C">
            <w:pPr>
              <w:pStyle w:val="ListParagraph"/>
              <w:numPr>
                <w:ilvl w:val="0"/>
                <w:numId w:val="10"/>
              </w:numPr>
            </w:pPr>
            <w:r>
              <w:t>Quality – what type of studies?</w:t>
            </w:r>
          </w:p>
        </w:tc>
        <w:tc>
          <w:tcPr>
            <w:tcW w:w="6120" w:type="dxa"/>
          </w:tcPr>
          <w:p w14:paraId="31F840EA" w14:textId="77777777" w:rsidR="00B8113E" w:rsidRDefault="00B8113E" w:rsidP="00B44165">
            <w:pPr>
              <w:rPr>
                <w:rFonts w:cstheme="minorHAnsi"/>
              </w:rPr>
            </w:pPr>
            <w:r w:rsidRPr="00B8113E">
              <w:rPr>
                <w:rFonts w:cstheme="minorHAnsi"/>
              </w:rPr>
              <w:t>Six randomized controlled trials were considered in the original CCO</w:t>
            </w:r>
          </w:p>
          <w:p w14:paraId="057F7780" w14:textId="31194852" w:rsidR="00CB0A63" w:rsidRPr="00B8113E" w:rsidRDefault="00B8113E" w:rsidP="00B44165">
            <w:pPr>
              <w:rPr>
                <w:rFonts w:cstheme="minorHAnsi"/>
              </w:rPr>
            </w:pPr>
            <w:r w:rsidRPr="00B8113E">
              <w:rPr>
                <w:rFonts w:cstheme="minorHAnsi"/>
              </w:rPr>
              <w:t>recommendation.</w:t>
            </w:r>
          </w:p>
        </w:tc>
      </w:tr>
      <w:tr w:rsidR="00CB0A63" w14:paraId="4AF49ADC" w14:textId="77777777" w:rsidTr="00B8113E">
        <w:tc>
          <w:tcPr>
            <w:tcW w:w="3235" w:type="dxa"/>
          </w:tcPr>
          <w:p w14:paraId="66057586" w14:textId="77777777" w:rsidR="00CB0A63" w:rsidRDefault="00CB0A63" w:rsidP="00DF0A0C">
            <w:pPr>
              <w:ind w:left="0" w:firstLine="0"/>
            </w:pPr>
            <w:r>
              <w:t xml:space="preserve">Estimates of benefit and consistency across studies </w:t>
            </w:r>
          </w:p>
        </w:tc>
        <w:tc>
          <w:tcPr>
            <w:tcW w:w="6120" w:type="dxa"/>
          </w:tcPr>
          <w:p w14:paraId="344F0291" w14:textId="77777777" w:rsidR="00B8113E" w:rsidRDefault="00B8113E" w:rsidP="00B8113E">
            <w:pPr>
              <w:rPr>
                <w:rFonts w:cstheme="minorHAnsi"/>
              </w:rPr>
            </w:pPr>
            <w:r w:rsidRPr="00B8113E">
              <w:rPr>
                <w:rFonts w:cstheme="minorHAnsi"/>
              </w:rPr>
              <w:t>The evidence described in the RCTs is directly relevant to the measure (use of</w:t>
            </w:r>
          </w:p>
          <w:p w14:paraId="0EB1EB29" w14:textId="77777777" w:rsidR="00B8113E" w:rsidRDefault="00B8113E" w:rsidP="00B8113E">
            <w:pPr>
              <w:rPr>
                <w:rFonts w:cstheme="minorHAnsi"/>
              </w:rPr>
            </w:pPr>
            <w:r w:rsidRPr="00B8113E">
              <w:rPr>
                <w:rFonts w:cstheme="minorHAnsi"/>
              </w:rPr>
              <w:t>trastuzumab in patients with HER2/neu positive breast cancer). All studies</w:t>
            </w:r>
          </w:p>
          <w:p w14:paraId="669F3767" w14:textId="77777777" w:rsidR="00B8113E" w:rsidRDefault="00B8113E" w:rsidP="00B8113E">
            <w:pPr>
              <w:rPr>
                <w:rFonts w:cstheme="minorHAnsi"/>
              </w:rPr>
            </w:pPr>
            <w:r w:rsidRPr="00B8113E">
              <w:rPr>
                <w:rFonts w:cstheme="minorHAnsi"/>
              </w:rPr>
              <w:t>considered women with invasive breast cancer that overexpressed HER2/neu</w:t>
            </w:r>
          </w:p>
          <w:p w14:paraId="3FBC77B2" w14:textId="77777777" w:rsidR="00B8113E" w:rsidRDefault="00B8113E" w:rsidP="00B8113E">
            <w:pPr>
              <w:rPr>
                <w:rFonts w:cstheme="minorHAnsi"/>
              </w:rPr>
            </w:pPr>
            <w:r w:rsidRPr="00B8113E">
              <w:rPr>
                <w:rFonts w:cstheme="minorHAnsi"/>
              </w:rPr>
              <w:t>and outcomes associated with the inclusion of trastuzumab. Five trials included</w:t>
            </w:r>
          </w:p>
          <w:p w14:paraId="4428D418" w14:textId="77777777" w:rsidR="00B8113E" w:rsidRDefault="00B8113E" w:rsidP="00B8113E">
            <w:pPr>
              <w:rPr>
                <w:rFonts w:cstheme="minorHAnsi"/>
              </w:rPr>
            </w:pPr>
            <w:r w:rsidRPr="00B8113E">
              <w:rPr>
                <w:rFonts w:cstheme="minorHAnsi"/>
              </w:rPr>
              <w:t>chemotherapy plus or minus trastuzumab. Some of those also investigated the</w:t>
            </w:r>
          </w:p>
          <w:p w14:paraId="331E6CE0" w14:textId="77777777" w:rsidR="00B8113E" w:rsidRDefault="00B8113E" w:rsidP="00B8113E">
            <w:pPr>
              <w:rPr>
                <w:rFonts w:cstheme="minorHAnsi"/>
              </w:rPr>
            </w:pPr>
            <w:r w:rsidRPr="00B8113E">
              <w:rPr>
                <w:rFonts w:cstheme="minorHAnsi"/>
              </w:rPr>
              <w:t>schedule for trastuzumab delivery; considering schedules concurrent with</w:t>
            </w:r>
          </w:p>
          <w:p w14:paraId="36264E09" w14:textId="77777777" w:rsidR="00B8113E" w:rsidRDefault="00B8113E" w:rsidP="00B8113E">
            <w:pPr>
              <w:rPr>
                <w:rFonts w:cstheme="minorHAnsi"/>
              </w:rPr>
            </w:pPr>
            <w:r w:rsidRPr="00B8113E">
              <w:rPr>
                <w:rFonts w:cstheme="minorHAnsi"/>
              </w:rPr>
              <w:t>chemotherapy, or following chemotherapy completion with various time</w:t>
            </w:r>
          </w:p>
          <w:p w14:paraId="6DE19EE0" w14:textId="77777777" w:rsidR="00B8113E" w:rsidRDefault="00B8113E" w:rsidP="00B8113E">
            <w:pPr>
              <w:rPr>
                <w:rFonts w:cstheme="minorHAnsi"/>
              </w:rPr>
            </w:pPr>
            <w:r w:rsidRPr="00B8113E">
              <w:rPr>
                <w:rFonts w:cstheme="minorHAnsi"/>
              </w:rPr>
              <w:t>periods in between completion of chemotherapy and the start of trastuzumab.</w:t>
            </w:r>
          </w:p>
          <w:p w14:paraId="2F7A48CC" w14:textId="77777777" w:rsidR="00B8113E" w:rsidRDefault="00B8113E" w:rsidP="00B8113E">
            <w:pPr>
              <w:rPr>
                <w:rFonts w:cstheme="minorHAnsi"/>
              </w:rPr>
            </w:pPr>
            <w:r w:rsidRPr="00B8113E">
              <w:rPr>
                <w:rFonts w:cstheme="minorHAnsi"/>
              </w:rPr>
              <w:t>Duration of trastuzumab was also investigated. One trial specifically considered</w:t>
            </w:r>
          </w:p>
          <w:p w14:paraId="30E9B994" w14:textId="77777777" w:rsidR="00B8113E" w:rsidRDefault="00B8113E" w:rsidP="00B8113E">
            <w:pPr>
              <w:rPr>
                <w:rFonts w:cstheme="minorHAnsi"/>
              </w:rPr>
            </w:pPr>
            <w:r w:rsidRPr="00B8113E">
              <w:rPr>
                <w:rFonts w:cstheme="minorHAnsi"/>
              </w:rPr>
              <w:t>cardiac adverse events to assess potential harms, other trials considered</w:t>
            </w:r>
          </w:p>
          <w:p w14:paraId="4E72F282" w14:textId="32D85961" w:rsidR="00B8113E" w:rsidRPr="00B8113E" w:rsidRDefault="00B8113E" w:rsidP="00B8113E">
            <w:pPr>
              <w:rPr>
                <w:rFonts w:cstheme="minorHAnsi"/>
              </w:rPr>
            </w:pPr>
            <w:r w:rsidRPr="00B8113E">
              <w:rPr>
                <w:rFonts w:cstheme="minorHAnsi"/>
              </w:rPr>
              <w:t>adverse events in addition to disease-specific outcomes.</w:t>
            </w:r>
          </w:p>
          <w:p w14:paraId="2ACE425D" w14:textId="77777777" w:rsidR="00B8113E" w:rsidRPr="00B8113E" w:rsidRDefault="00B8113E" w:rsidP="00B8113E">
            <w:pPr>
              <w:rPr>
                <w:rFonts w:cstheme="minorHAnsi"/>
              </w:rPr>
            </w:pPr>
          </w:p>
          <w:p w14:paraId="6C383643" w14:textId="77777777" w:rsidR="00B8113E" w:rsidRDefault="00B8113E" w:rsidP="00B8113E">
            <w:pPr>
              <w:rPr>
                <w:rFonts w:cstheme="minorHAnsi"/>
              </w:rPr>
            </w:pPr>
            <w:r w:rsidRPr="00B8113E">
              <w:rPr>
                <w:rFonts w:cstheme="minorHAnsi"/>
              </w:rPr>
              <w:t>The outcome of disease-free survival is more precise given the limited long-term</w:t>
            </w:r>
          </w:p>
          <w:p w14:paraId="718EB33B" w14:textId="77777777" w:rsidR="00B8113E" w:rsidRDefault="00B8113E" w:rsidP="00B8113E">
            <w:pPr>
              <w:rPr>
                <w:rFonts w:cstheme="minorHAnsi"/>
              </w:rPr>
            </w:pPr>
            <w:r w:rsidRPr="00B8113E">
              <w:rPr>
                <w:rFonts w:cstheme="minorHAnsi"/>
              </w:rPr>
              <w:t>follow-up, with more events for consideration, compared to overall survival.</w:t>
            </w:r>
          </w:p>
          <w:p w14:paraId="3438FCD7" w14:textId="77777777" w:rsidR="00B8113E" w:rsidRDefault="00B8113E" w:rsidP="00B8113E">
            <w:pPr>
              <w:rPr>
                <w:rFonts w:cstheme="minorHAnsi"/>
              </w:rPr>
            </w:pPr>
            <w:r w:rsidRPr="00B8113E">
              <w:rPr>
                <w:rFonts w:cstheme="minorHAnsi"/>
              </w:rPr>
              <w:t>This limits issues with insufficient events. Notably, both outcomes were</w:t>
            </w:r>
          </w:p>
          <w:p w14:paraId="59A9CC7A" w14:textId="77777777" w:rsidR="00B8113E" w:rsidRDefault="00B8113E" w:rsidP="00B8113E">
            <w:pPr>
              <w:rPr>
                <w:rFonts w:cstheme="minorHAnsi"/>
              </w:rPr>
            </w:pPr>
            <w:r w:rsidRPr="00B8113E">
              <w:rPr>
                <w:rFonts w:cstheme="minorHAnsi"/>
              </w:rPr>
              <w:t>reported for consideration, though benefits in overall survival were noted in</w:t>
            </w:r>
          </w:p>
          <w:p w14:paraId="686A5FFF" w14:textId="77777777" w:rsidR="00B8113E" w:rsidRDefault="00B8113E" w:rsidP="00B8113E">
            <w:pPr>
              <w:rPr>
                <w:rFonts w:cstheme="minorHAnsi"/>
              </w:rPr>
            </w:pPr>
            <w:r w:rsidRPr="00B8113E">
              <w:rPr>
                <w:rFonts w:cstheme="minorHAnsi"/>
              </w:rPr>
              <w:t>two individual studies and the combined analysis from NSABP B31 and NCCTG</w:t>
            </w:r>
          </w:p>
          <w:p w14:paraId="45D4BB28" w14:textId="0D71F901" w:rsidR="00B8113E" w:rsidRPr="00B8113E" w:rsidRDefault="00B8113E" w:rsidP="00B8113E">
            <w:pPr>
              <w:rPr>
                <w:rFonts w:cstheme="minorHAnsi"/>
              </w:rPr>
            </w:pPr>
            <w:r w:rsidRPr="00B8113E">
              <w:rPr>
                <w:rFonts w:cstheme="minorHAnsi"/>
              </w:rPr>
              <w:t>N9831.</w:t>
            </w:r>
          </w:p>
          <w:p w14:paraId="14BE53A1" w14:textId="77777777" w:rsidR="00CB0A63" w:rsidRPr="00B8113E" w:rsidRDefault="00CB0A63" w:rsidP="00DF0A0C">
            <w:pPr>
              <w:ind w:left="0" w:firstLine="0"/>
              <w:rPr>
                <w:rFonts w:cstheme="minorHAnsi"/>
              </w:rPr>
            </w:pPr>
          </w:p>
          <w:p w14:paraId="70517C3B" w14:textId="77777777" w:rsidR="00B8113E" w:rsidRDefault="00B8113E" w:rsidP="00B8113E">
            <w:pPr>
              <w:rPr>
                <w:rFonts w:cstheme="minorHAnsi"/>
              </w:rPr>
            </w:pPr>
            <w:r w:rsidRPr="00B8113E">
              <w:rPr>
                <w:rFonts w:cstheme="minorHAnsi"/>
              </w:rPr>
              <w:t>Results were consistent with respect to improvements in disease-free survival</w:t>
            </w:r>
          </w:p>
          <w:p w14:paraId="0FCF9861" w14:textId="77777777" w:rsidR="00B8113E" w:rsidRDefault="00B8113E" w:rsidP="00B8113E">
            <w:pPr>
              <w:rPr>
                <w:rFonts w:cstheme="minorHAnsi"/>
              </w:rPr>
            </w:pPr>
            <w:r w:rsidRPr="00B8113E">
              <w:rPr>
                <w:rFonts w:cstheme="minorHAnsi"/>
              </w:rPr>
              <w:t>among women randomized to trastuzumab-containing arms. Hazard ratios</w:t>
            </w:r>
          </w:p>
          <w:p w14:paraId="2E30FD05" w14:textId="77777777" w:rsidR="00B8113E" w:rsidRDefault="00B8113E" w:rsidP="00B8113E">
            <w:pPr>
              <w:rPr>
                <w:rFonts w:cstheme="minorHAnsi"/>
              </w:rPr>
            </w:pPr>
            <w:r w:rsidRPr="00B8113E">
              <w:rPr>
                <w:rFonts w:cstheme="minorHAnsi"/>
              </w:rPr>
              <w:t>reported for disease free survival were 0.54, 0.55, 0.45 and 0.48. The results for</w:t>
            </w:r>
          </w:p>
          <w:p w14:paraId="03548508" w14:textId="77777777" w:rsidR="00B8113E" w:rsidRDefault="00B8113E" w:rsidP="00B8113E">
            <w:pPr>
              <w:rPr>
                <w:rFonts w:cstheme="minorHAnsi"/>
              </w:rPr>
            </w:pPr>
            <w:r w:rsidRPr="00B8113E">
              <w:rPr>
                <w:rFonts w:cstheme="minorHAnsi"/>
              </w:rPr>
              <w:t>disease-free survival across trials were statistically significant for the treatment</w:t>
            </w:r>
          </w:p>
          <w:p w14:paraId="2A412779" w14:textId="230B4B4D" w:rsidR="00B8113E" w:rsidRPr="00B8113E" w:rsidRDefault="00B8113E" w:rsidP="00B8113E">
            <w:pPr>
              <w:rPr>
                <w:rFonts w:cstheme="minorHAnsi"/>
                <w:i/>
              </w:rPr>
            </w:pPr>
            <w:r w:rsidRPr="00B8113E">
              <w:rPr>
                <w:rFonts w:cstheme="minorHAnsi"/>
              </w:rPr>
              <w:t xml:space="preserve">arm including trastuzumab. </w:t>
            </w:r>
          </w:p>
          <w:p w14:paraId="20940D19" w14:textId="77777777" w:rsidR="00B8113E" w:rsidRPr="00B8113E" w:rsidRDefault="00B8113E" w:rsidP="00B8113E">
            <w:pPr>
              <w:rPr>
                <w:rFonts w:cstheme="minorHAnsi"/>
              </w:rPr>
            </w:pPr>
          </w:p>
          <w:p w14:paraId="18787808" w14:textId="77777777" w:rsidR="00B8113E" w:rsidRDefault="00B8113E" w:rsidP="00B8113E">
            <w:pPr>
              <w:rPr>
                <w:rFonts w:cstheme="minorHAnsi"/>
              </w:rPr>
            </w:pPr>
            <w:r w:rsidRPr="00B8113E">
              <w:rPr>
                <w:rFonts w:cstheme="minorHAnsi"/>
              </w:rPr>
              <w:t>Studies were consistent with respect to the direction of effect. Differences in</w:t>
            </w:r>
          </w:p>
          <w:p w14:paraId="2F959750" w14:textId="77777777" w:rsidR="00B8113E" w:rsidRDefault="00B8113E" w:rsidP="00B8113E">
            <w:pPr>
              <w:rPr>
                <w:rFonts w:cstheme="minorHAnsi"/>
              </w:rPr>
            </w:pPr>
            <w:r w:rsidRPr="00B8113E">
              <w:rPr>
                <w:rFonts w:cstheme="minorHAnsi"/>
              </w:rPr>
              <w:t xml:space="preserve">magnitude </w:t>
            </w:r>
            <w:proofErr w:type="gramStart"/>
            <w:r w:rsidRPr="00B8113E">
              <w:rPr>
                <w:rFonts w:cstheme="minorHAnsi"/>
              </w:rPr>
              <w:t>were</w:t>
            </w:r>
            <w:proofErr w:type="gramEnd"/>
            <w:r w:rsidRPr="00B8113E">
              <w:rPr>
                <w:rFonts w:cstheme="minorHAnsi"/>
              </w:rPr>
              <w:t xml:space="preserve"> noted, but can be attributed to various chemotherapies</w:t>
            </w:r>
          </w:p>
          <w:p w14:paraId="6AC73E23" w14:textId="302C53BF" w:rsidR="00B8113E" w:rsidRPr="00B8113E" w:rsidRDefault="00B8113E" w:rsidP="00B8113E">
            <w:pPr>
              <w:rPr>
                <w:rFonts w:cstheme="minorHAnsi"/>
              </w:rPr>
            </w:pPr>
            <w:r w:rsidRPr="00B8113E">
              <w:rPr>
                <w:rFonts w:cstheme="minorHAnsi"/>
              </w:rPr>
              <w:t>regimens across the studies, as well as slightly different patient populations.</w:t>
            </w:r>
          </w:p>
          <w:p w14:paraId="78A7BE8C" w14:textId="77777777" w:rsidR="00B8113E" w:rsidRPr="00B8113E" w:rsidRDefault="00B8113E" w:rsidP="00B8113E">
            <w:pPr>
              <w:rPr>
                <w:rFonts w:cstheme="minorHAnsi"/>
              </w:rPr>
            </w:pPr>
          </w:p>
          <w:p w14:paraId="689B649A" w14:textId="77777777" w:rsidR="00B8113E" w:rsidRDefault="00B8113E" w:rsidP="00B8113E">
            <w:pPr>
              <w:rPr>
                <w:rFonts w:cstheme="minorHAnsi"/>
              </w:rPr>
            </w:pPr>
            <w:proofErr w:type="gramStart"/>
            <w:r w:rsidRPr="00B8113E">
              <w:rPr>
                <w:rFonts w:cstheme="minorHAnsi"/>
              </w:rPr>
              <w:t>All of</w:t>
            </w:r>
            <w:proofErr w:type="gramEnd"/>
            <w:r w:rsidRPr="00B8113E">
              <w:rPr>
                <w:rFonts w:cstheme="minorHAnsi"/>
              </w:rPr>
              <w:t xml:space="preserve"> the adjuvant trials of trastuzumab have demonstrated clinically significant</w:t>
            </w:r>
          </w:p>
          <w:p w14:paraId="231B7B88" w14:textId="77777777" w:rsidR="00B8113E" w:rsidRDefault="00B8113E" w:rsidP="00B8113E">
            <w:pPr>
              <w:rPr>
                <w:rFonts w:cstheme="minorHAnsi"/>
              </w:rPr>
            </w:pPr>
            <w:r w:rsidRPr="00B8113E">
              <w:rPr>
                <w:rFonts w:cstheme="minorHAnsi"/>
              </w:rPr>
              <w:t>improvements in disease-free survival. The combined analysis from NSABP B31</w:t>
            </w:r>
          </w:p>
          <w:p w14:paraId="0E21F46D" w14:textId="77777777" w:rsidR="00B8113E" w:rsidRDefault="00B8113E" w:rsidP="00B8113E">
            <w:pPr>
              <w:rPr>
                <w:rFonts w:cstheme="minorHAnsi"/>
              </w:rPr>
            </w:pPr>
            <w:r w:rsidRPr="00B8113E">
              <w:rPr>
                <w:rFonts w:cstheme="minorHAnsi"/>
              </w:rPr>
              <w:t>and NCCTG N9831, BCIRG 006, and the HERA trial showed significant</w:t>
            </w:r>
          </w:p>
          <w:p w14:paraId="168ACC68" w14:textId="77777777" w:rsidR="00B8113E" w:rsidRDefault="00B8113E" w:rsidP="00B8113E">
            <w:pPr>
              <w:rPr>
                <w:rFonts w:cstheme="minorHAnsi"/>
              </w:rPr>
            </w:pPr>
            <w:r w:rsidRPr="00B8113E">
              <w:rPr>
                <w:rFonts w:cstheme="minorHAnsi"/>
              </w:rPr>
              <w:t>improvement in overall survival with the use of trastuzumab in patients with</w:t>
            </w:r>
          </w:p>
          <w:p w14:paraId="5645E82F" w14:textId="7A51287A" w:rsidR="00B8113E" w:rsidRPr="00B8113E" w:rsidRDefault="00B8113E" w:rsidP="00B8113E">
            <w:pPr>
              <w:rPr>
                <w:rFonts w:cstheme="minorHAnsi"/>
              </w:rPr>
            </w:pPr>
            <w:r w:rsidRPr="00B8113E">
              <w:rPr>
                <w:rFonts w:cstheme="minorHAnsi"/>
              </w:rPr>
              <w:t>high-risk, HER2 positive breast cancer.</w:t>
            </w:r>
          </w:p>
          <w:p w14:paraId="4E9D9E75" w14:textId="0FD4C340" w:rsidR="00B8113E" w:rsidRPr="00B8113E" w:rsidRDefault="00B8113E" w:rsidP="00B8113E">
            <w:pPr>
              <w:rPr>
                <w:rFonts w:cstheme="minorHAnsi"/>
              </w:rPr>
            </w:pPr>
          </w:p>
          <w:p w14:paraId="2AD8C311" w14:textId="77777777" w:rsidR="00B8113E" w:rsidRDefault="00B8113E" w:rsidP="00B8113E">
            <w:pPr>
              <w:rPr>
                <w:rFonts w:cstheme="minorHAnsi"/>
                <w:bCs/>
              </w:rPr>
            </w:pPr>
            <w:r w:rsidRPr="00B8113E">
              <w:rPr>
                <w:rFonts w:cstheme="minorHAnsi"/>
                <w:bCs/>
              </w:rPr>
              <w:t>Based on preliminary reports of three large RCTs, the addition of one year of</w:t>
            </w:r>
          </w:p>
          <w:p w14:paraId="54F6FCD6" w14:textId="77777777" w:rsidR="00B8113E" w:rsidRDefault="00B8113E" w:rsidP="00B8113E">
            <w:pPr>
              <w:rPr>
                <w:rFonts w:cstheme="minorHAnsi"/>
                <w:bCs/>
              </w:rPr>
            </w:pPr>
            <w:r w:rsidRPr="00B8113E">
              <w:rPr>
                <w:rFonts w:cstheme="minorHAnsi"/>
                <w:bCs/>
              </w:rPr>
              <w:t>trastuzumab, following a variety of adjuvant or neoadjuvant chemotherapy</w:t>
            </w:r>
          </w:p>
          <w:p w14:paraId="17BEC7F6" w14:textId="77777777" w:rsidR="00B8113E" w:rsidRDefault="00B8113E" w:rsidP="00B8113E">
            <w:pPr>
              <w:rPr>
                <w:rFonts w:cstheme="minorHAnsi"/>
                <w:bCs/>
              </w:rPr>
            </w:pPr>
            <w:r w:rsidRPr="00B8113E">
              <w:rPr>
                <w:rFonts w:cstheme="minorHAnsi"/>
                <w:bCs/>
              </w:rPr>
              <w:t>regimens, significantly improved the primary endpoint of DFS in patients with</w:t>
            </w:r>
          </w:p>
          <w:p w14:paraId="21AA32E5" w14:textId="77777777" w:rsidR="00B8113E" w:rsidRDefault="00B8113E" w:rsidP="00B8113E">
            <w:pPr>
              <w:rPr>
                <w:rFonts w:cstheme="minorHAnsi"/>
                <w:bCs/>
              </w:rPr>
            </w:pPr>
            <w:r w:rsidRPr="00B8113E">
              <w:rPr>
                <w:rFonts w:cstheme="minorHAnsi"/>
                <w:bCs/>
              </w:rPr>
              <w:t>HER2/neu positive early breast cancer. Secondary endpoints of RFS, DDFS, and</w:t>
            </w:r>
          </w:p>
          <w:p w14:paraId="77AF2A36" w14:textId="77777777" w:rsidR="00B8113E" w:rsidRDefault="00B8113E" w:rsidP="00B8113E">
            <w:pPr>
              <w:rPr>
                <w:rFonts w:cstheme="minorHAnsi"/>
                <w:bCs/>
              </w:rPr>
            </w:pPr>
            <w:r w:rsidRPr="00B8113E">
              <w:rPr>
                <w:rFonts w:cstheme="minorHAnsi"/>
                <w:bCs/>
              </w:rPr>
              <w:t>TTR in all studies, and OS in one combined study, were also significantly</w:t>
            </w:r>
          </w:p>
          <w:p w14:paraId="7A8F8204" w14:textId="77777777" w:rsidR="00B8113E" w:rsidRDefault="00B8113E" w:rsidP="00B8113E">
            <w:pPr>
              <w:rPr>
                <w:rFonts w:cstheme="minorHAnsi"/>
                <w:bCs/>
              </w:rPr>
            </w:pPr>
            <w:r w:rsidRPr="00B8113E">
              <w:rPr>
                <w:rFonts w:cstheme="minorHAnsi"/>
                <w:bCs/>
              </w:rPr>
              <w:t>improved with the addition of trastuzumab. Those results are only applicable to</w:t>
            </w:r>
          </w:p>
          <w:p w14:paraId="23364901" w14:textId="77777777" w:rsidR="00B8113E" w:rsidRDefault="00B8113E" w:rsidP="00B8113E">
            <w:pPr>
              <w:rPr>
                <w:rFonts w:cstheme="minorHAnsi"/>
                <w:bCs/>
              </w:rPr>
            </w:pPr>
            <w:r w:rsidRPr="00B8113E">
              <w:rPr>
                <w:rFonts w:cstheme="minorHAnsi"/>
                <w:bCs/>
              </w:rPr>
              <w:t>women with HER2/neu overexpressing breast cancer who complete a minimum</w:t>
            </w:r>
          </w:p>
          <w:p w14:paraId="746E23F6" w14:textId="77777777" w:rsidR="00B8113E" w:rsidRDefault="00B8113E" w:rsidP="00B8113E">
            <w:pPr>
              <w:rPr>
                <w:rFonts w:cstheme="minorHAnsi"/>
                <w:bCs/>
              </w:rPr>
            </w:pPr>
            <w:r w:rsidRPr="00B8113E">
              <w:rPr>
                <w:rFonts w:cstheme="minorHAnsi"/>
                <w:bCs/>
              </w:rPr>
              <w:t>of four cycles of adjuvant or neoadjuvant chemotherapy. Although the majority</w:t>
            </w:r>
          </w:p>
          <w:p w14:paraId="12094A0C" w14:textId="77777777" w:rsidR="00B8113E" w:rsidRDefault="00B8113E" w:rsidP="00B8113E">
            <w:pPr>
              <w:rPr>
                <w:rFonts w:cstheme="minorHAnsi"/>
                <w:bCs/>
              </w:rPr>
            </w:pPr>
            <w:r w:rsidRPr="00B8113E">
              <w:rPr>
                <w:rFonts w:cstheme="minorHAnsi"/>
                <w:bCs/>
              </w:rPr>
              <w:t>of the patients in those studies had node-positive breast cancer, women with</w:t>
            </w:r>
          </w:p>
          <w:p w14:paraId="085146E2" w14:textId="77777777" w:rsidR="00B8113E" w:rsidRDefault="00B8113E" w:rsidP="00B8113E">
            <w:pPr>
              <w:rPr>
                <w:rFonts w:cstheme="minorHAnsi"/>
                <w:bCs/>
              </w:rPr>
            </w:pPr>
            <w:r w:rsidRPr="00B8113E">
              <w:rPr>
                <w:rFonts w:cstheme="minorHAnsi"/>
                <w:bCs/>
              </w:rPr>
              <w:t>high-risk node-negative breast cancer were also included in HERA (32% were N0</w:t>
            </w:r>
          </w:p>
          <w:p w14:paraId="72C89DDD" w14:textId="77777777" w:rsidR="00B8113E" w:rsidRDefault="00B8113E" w:rsidP="00B8113E">
            <w:pPr>
              <w:rPr>
                <w:rFonts w:cstheme="minorHAnsi"/>
                <w:bCs/>
              </w:rPr>
            </w:pPr>
            <w:r w:rsidRPr="00B8113E">
              <w:rPr>
                <w:rFonts w:cstheme="minorHAnsi"/>
                <w:bCs/>
              </w:rPr>
              <w:t xml:space="preserve">but had T1c tumors) and NCCTG 9831 (11% were N0 but had </w:t>
            </w:r>
            <w:proofErr w:type="spellStart"/>
            <w:r w:rsidRPr="00B8113E">
              <w:rPr>
                <w:rFonts w:cstheme="minorHAnsi"/>
                <w:bCs/>
              </w:rPr>
              <w:t>tumours</w:t>
            </w:r>
            <w:proofErr w:type="spellEnd"/>
            <w:r w:rsidRPr="00B8113E">
              <w:rPr>
                <w:rFonts w:cstheme="minorHAnsi"/>
                <w:bCs/>
              </w:rPr>
              <w:t xml:space="preserve"> &gt;1cm if</w:t>
            </w:r>
          </w:p>
          <w:p w14:paraId="477ED2D3" w14:textId="77777777" w:rsidR="00B8113E" w:rsidRDefault="00B8113E" w:rsidP="00B8113E">
            <w:pPr>
              <w:rPr>
                <w:rFonts w:cstheme="minorHAnsi"/>
                <w:bCs/>
              </w:rPr>
            </w:pPr>
            <w:r w:rsidRPr="00B8113E">
              <w:rPr>
                <w:rFonts w:cstheme="minorHAnsi"/>
                <w:bCs/>
              </w:rPr>
              <w:t>ER negative, &gt;2cm if ER positive). Therefore, those results are also generalizable</w:t>
            </w:r>
          </w:p>
          <w:p w14:paraId="79CEBE76" w14:textId="77777777" w:rsidR="00B8113E" w:rsidRDefault="00B8113E" w:rsidP="00B8113E">
            <w:pPr>
              <w:rPr>
                <w:rFonts w:cstheme="minorHAnsi"/>
                <w:bCs/>
              </w:rPr>
            </w:pPr>
            <w:r w:rsidRPr="00B8113E">
              <w:rPr>
                <w:rFonts w:cstheme="minorHAnsi"/>
                <w:bCs/>
              </w:rPr>
              <w:t>to women with node-negative breast cancer who meet those criteria. The</w:t>
            </w:r>
          </w:p>
          <w:p w14:paraId="326C2DFB" w14:textId="77777777" w:rsidR="00B8113E" w:rsidRDefault="00B8113E" w:rsidP="00B8113E">
            <w:pPr>
              <w:rPr>
                <w:rFonts w:cstheme="minorHAnsi"/>
                <w:bCs/>
              </w:rPr>
            </w:pPr>
            <w:r w:rsidRPr="00B8113E">
              <w:rPr>
                <w:rFonts w:cstheme="minorHAnsi"/>
                <w:bCs/>
              </w:rPr>
              <w:t>magnitude of incremental benefit conveyed by adjuvant trastuzumab well</w:t>
            </w:r>
          </w:p>
          <w:p w14:paraId="159E97BE" w14:textId="77777777" w:rsidR="00B8113E" w:rsidRDefault="00B8113E" w:rsidP="00B8113E">
            <w:pPr>
              <w:rPr>
                <w:rFonts w:cstheme="minorHAnsi"/>
                <w:bCs/>
              </w:rPr>
            </w:pPr>
            <w:r w:rsidRPr="00B8113E">
              <w:rPr>
                <w:rFonts w:cstheme="minorHAnsi"/>
                <w:bCs/>
              </w:rPr>
              <w:t>exceeds the gains accrued by over three decades of adjuvant chemotherapy</w:t>
            </w:r>
          </w:p>
          <w:p w14:paraId="2AAEAD60" w14:textId="00C80CC5" w:rsidR="00B8113E" w:rsidRPr="00B8113E" w:rsidRDefault="00B8113E" w:rsidP="00B8113E">
            <w:pPr>
              <w:rPr>
                <w:rFonts w:cstheme="minorHAnsi"/>
                <w:bCs/>
              </w:rPr>
            </w:pPr>
            <w:r w:rsidRPr="00B8113E">
              <w:rPr>
                <w:rFonts w:cstheme="minorHAnsi"/>
                <w:bCs/>
              </w:rPr>
              <w:t>use.</w:t>
            </w:r>
          </w:p>
          <w:p w14:paraId="7053326F" w14:textId="77777777" w:rsidR="00B8113E" w:rsidRPr="00B8113E" w:rsidRDefault="00B8113E" w:rsidP="00B8113E">
            <w:pPr>
              <w:rPr>
                <w:rFonts w:cstheme="minorHAnsi"/>
              </w:rPr>
            </w:pPr>
          </w:p>
          <w:p w14:paraId="7A7A9009" w14:textId="345AA6D0" w:rsidR="00B8113E" w:rsidRPr="00B8113E" w:rsidRDefault="00B8113E" w:rsidP="00DF0A0C">
            <w:pPr>
              <w:ind w:left="0" w:firstLine="0"/>
              <w:rPr>
                <w:rFonts w:cstheme="minorHAnsi"/>
              </w:rPr>
            </w:pPr>
          </w:p>
        </w:tc>
      </w:tr>
      <w:tr w:rsidR="00CB0A63" w14:paraId="48F4FB6C" w14:textId="77777777" w:rsidTr="00B8113E">
        <w:tc>
          <w:tcPr>
            <w:tcW w:w="3235" w:type="dxa"/>
          </w:tcPr>
          <w:p w14:paraId="24E5D1D9" w14:textId="77777777" w:rsidR="00CB0A63" w:rsidRDefault="00CB0A63" w:rsidP="00DF0A0C">
            <w:pPr>
              <w:ind w:left="0" w:firstLine="0"/>
            </w:pPr>
            <w:r>
              <w:lastRenderedPageBreak/>
              <w:t>What harms were identified?</w:t>
            </w:r>
          </w:p>
        </w:tc>
        <w:tc>
          <w:tcPr>
            <w:tcW w:w="6120" w:type="dxa"/>
          </w:tcPr>
          <w:p w14:paraId="7B3C4043" w14:textId="77777777" w:rsidR="00B8113E" w:rsidRDefault="00B8113E" w:rsidP="00B8113E">
            <w:pPr>
              <w:rPr>
                <w:rFonts w:cstheme="minorHAnsi"/>
                <w:bCs/>
              </w:rPr>
            </w:pPr>
            <w:r w:rsidRPr="00B8113E">
              <w:rPr>
                <w:rFonts w:cstheme="minorHAnsi"/>
                <w:bCs/>
              </w:rPr>
              <w:t>Based on the current reports, the cardiac toxicity with adjuvant trastuzumab</w:t>
            </w:r>
          </w:p>
          <w:p w14:paraId="1A27E516" w14:textId="77777777" w:rsidR="00B8113E" w:rsidRDefault="00B8113E" w:rsidP="00B8113E">
            <w:pPr>
              <w:rPr>
                <w:rFonts w:cstheme="minorHAnsi"/>
                <w:bCs/>
              </w:rPr>
            </w:pPr>
            <w:r w:rsidRPr="00B8113E">
              <w:rPr>
                <w:rFonts w:cstheme="minorHAnsi"/>
                <w:bCs/>
              </w:rPr>
              <w:t>appears to be acceptable. Notably, the reported rate of cardiac events was</w:t>
            </w:r>
          </w:p>
          <w:p w14:paraId="7D12A070" w14:textId="77777777" w:rsidR="00B8113E" w:rsidRDefault="00B8113E" w:rsidP="00B8113E">
            <w:pPr>
              <w:rPr>
                <w:rFonts w:cstheme="minorHAnsi"/>
                <w:bCs/>
              </w:rPr>
            </w:pPr>
            <w:r w:rsidRPr="00B8113E">
              <w:rPr>
                <w:rFonts w:cstheme="minorHAnsi"/>
                <w:bCs/>
              </w:rPr>
              <w:t>higher in the concurrent versus sequential trastuzumab arm (in NSABP B31 4.1%</w:t>
            </w:r>
          </w:p>
          <w:p w14:paraId="1CD9B94E" w14:textId="77777777" w:rsidR="00B8113E" w:rsidRDefault="00B8113E" w:rsidP="00B8113E">
            <w:pPr>
              <w:rPr>
                <w:rFonts w:cstheme="minorHAnsi"/>
                <w:bCs/>
              </w:rPr>
            </w:pPr>
            <w:r w:rsidRPr="00B8113E">
              <w:rPr>
                <w:rFonts w:cstheme="minorHAnsi"/>
                <w:bCs/>
              </w:rPr>
              <w:t>vs. 0.7%, HR of 7.2; in NCCTG 9831 3.3% vs. 2.2%). The toxicity is considered</w:t>
            </w:r>
          </w:p>
          <w:p w14:paraId="7CF958CD" w14:textId="3478E443" w:rsidR="00B8113E" w:rsidRPr="00B8113E" w:rsidRDefault="00B8113E" w:rsidP="00B8113E">
            <w:pPr>
              <w:rPr>
                <w:rFonts w:cstheme="minorHAnsi"/>
                <w:bCs/>
              </w:rPr>
            </w:pPr>
            <w:r w:rsidRPr="00B8113E">
              <w:rPr>
                <w:rFonts w:cstheme="minorHAnsi"/>
                <w:bCs/>
              </w:rPr>
              <w:t>acceptable, given the increase in survival.</w:t>
            </w:r>
          </w:p>
          <w:p w14:paraId="1FB04933" w14:textId="1430FB7B" w:rsidR="00CB0A63" w:rsidRPr="00B8113E" w:rsidRDefault="00CB0A63" w:rsidP="00DF0A0C">
            <w:pPr>
              <w:ind w:left="0" w:firstLine="0"/>
              <w:rPr>
                <w:rFonts w:cstheme="minorHAnsi"/>
              </w:rPr>
            </w:pPr>
          </w:p>
        </w:tc>
      </w:tr>
      <w:tr w:rsidR="00CB0A63" w14:paraId="70E09332" w14:textId="77777777" w:rsidTr="00B8113E">
        <w:tc>
          <w:tcPr>
            <w:tcW w:w="3235" w:type="dxa"/>
          </w:tcPr>
          <w:p w14:paraId="795E4C87" w14:textId="77777777" w:rsidR="00CB0A63" w:rsidRDefault="00CB0A63" w:rsidP="00DF0A0C">
            <w:pPr>
              <w:ind w:left="0" w:firstLine="0"/>
            </w:pPr>
            <w:r>
              <w:t>Identify any new studies conducted since the SR. Do the new studies change the conclusions from the SR?</w:t>
            </w:r>
          </w:p>
        </w:tc>
        <w:tc>
          <w:tcPr>
            <w:tcW w:w="6120" w:type="dxa"/>
          </w:tcPr>
          <w:p w14:paraId="7E788704" w14:textId="511419DB" w:rsidR="00C97E3B" w:rsidRPr="009A499B" w:rsidRDefault="00C97E3B" w:rsidP="00C97E3B">
            <w:pPr>
              <w:tabs>
                <w:tab w:val="left" w:pos="1500"/>
              </w:tabs>
              <w:ind w:left="0" w:firstLine="0"/>
            </w:pPr>
            <w:r>
              <w:t xml:space="preserve">A 2018 ASCO and Cancer Care Ontario guideline update reaffirmed this recommendation on the use of trastuzumab, following a systematic review.  No new studies changing the conclusions reached by the 2018 guideline update were found in subsequent literature reviews.  </w:t>
            </w:r>
          </w:p>
        </w:tc>
      </w:tr>
    </w:tbl>
    <w:p w14:paraId="206B3730" w14:textId="77777777" w:rsidR="00CB0A63" w:rsidRPr="003B1CC5" w:rsidRDefault="00CB0A63" w:rsidP="002E2177">
      <w:pPr>
        <w:ind w:left="0" w:firstLine="0"/>
      </w:pPr>
    </w:p>
    <w:p w14:paraId="55B8DA95" w14:textId="77777777" w:rsidR="0094689F" w:rsidRPr="003B1CC5" w:rsidRDefault="00925F11" w:rsidP="002E2177">
      <w:pPr>
        <w:ind w:left="0" w:firstLine="0"/>
        <w:rPr>
          <w:b/>
          <w:color w:val="0070C0"/>
        </w:rPr>
      </w:pPr>
      <w:r w:rsidRPr="003B1CC5">
        <w:rPr>
          <w:b/>
          <w:iCs/>
          <w:caps/>
        </w:rPr>
        <w:t>________________________</w:t>
      </w:r>
    </w:p>
    <w:p w14:paraId="55B8DA96" w14:textId="77777777" w:rsidR="00837121" w:rsidRPr="003B1CC5" w:rsidRDefault="000E5C93" w:rsidP="002E2177">
      <w:pPr>
        <w:ind w:left="0" w:firstLine="0"/>
        <w:rPr>
          <w:b/>
        </w:rPr>
      </w:pPr>
      <w:bookmarkStart w:id="7" w:name="Section1a8"/>
      <w:bookmarkEnd w:id="7"/>
      <w:r>
        <w:rPr>
          <w:b/>
          <w:color w:val="0000FF"/>
        </w:rPr>
        <w:t>1a.4</w:t>
      </w:r>
      <w:r w:rsidR="00837121" w:rsidRPr="003B1CC5">
        <w:rPr>
          <w:b/>
          <w:color w:val="0000FF"/>
        </w:rPr>
        <w:t xml:space="preserve"> </w:t>
      </w:r>
      <w:r w:rsidR="00837121" w:rsidRPr="003B1CC5">
        <w:rPr>
          <w:b/>
        </w:rPr>
        <w:t>OTHER SOURCE OF EVIDENCE</w:t>
      </w:r>
    </w:p>
    <w:p w14:paraId="55B8DA97" w14:textId="77777777" w:rsidR="00837121" w:rsidRPr="003B1CC5" w:rsidRDefault="00837121" w:rsidP="002E2177">
      <w:pPr>
        <w:ind w:left="0" w:firstLine="0"/>
        <w:rPr>
          <w:i/>
        </w:rPr>
      </w:pPr>
      <w:r w:rsidRPr="003B1CC5">
        <w:rPr>
          <w:i/>
        </w:rPr>
        <w:t xml:space="preserve">If source of evidence is </w:t>
      </w:r>
      <w:r w:rsidR="002B06BD" w:rsidRPr="003B1CC5">
        <w:rPr>
          <w:i/>
        </w:rPr>
        <w:t xml:space="preserve">NOT </w:t>
      </w:r>
      <w:r w:rsidRPr="003B1CC5">
        <w:rPr>
          <w:i/>
        </w:rPr>
        <w:t xml:space="preserve">from a clinical practice guideline, USPSTF, or systematic review, please describe the evidence on which you are basing </w:t>
      </w:r>
      <w:r w:rsidR="00EE1F87" w:rsidRPr="003B1CC5">
        <w:rPr>
          <w:i/>
        </w:rPr>
        <w:t xml:space="preserve">the </w:t>
      </w:r>
      <w:r w:rsidRPr="003B1CC5">
        <w:rPr>
          <w:i/>
        </w:rPr>
        <w:t>performance measure.</w:t>
      </w:r>
    </w:p>
    <w:p w14:paraId="55B8DA98" w14:textId="77777777" w:rsidR="00837121" w:rsidRPr="003B1CC5" w:rsidRDefault="00837121" w:rsidP="002E2177">
      <w:pPr>
        <w:ind w:left="0" w:firstLine="0"/>
      </w:pPr>
    </w:p>
    <w:p w14:paraId="55B8DA99" w14:textId="77777777" w:rsidR="000E5C93" w:rsidRPr="000E5C93" w:rsidRDefault="000E5C93" w:rsidP="002E2177">
      <w:pPr>
        <w:ind w:left="0" w:firstLine="0"/>
        <w:rPr>
          <w:color w:val="0070C0"/>
        </w:rPr>
      </w:pPr>
      <w:r w:rsidRPr="00E111E1">
        <w:rPr>
          <w:b/>
          <w:color w:val="0000FF"/>
        </w:rPr>
        <w:t>1a.4</w:t>
      </w:r>
      <w:r w:rsidR="00837121" w:rsidRPr="00E111E1">
        <w:rPr>
          <w:b/>
          <w:color w:val="0000FF"/>
        </w:rPr>
        <w:t>.1</w:t>
      </w:r>
      <w:r w:rsidR="00837121" w:rsidRPr="00E111E1">
        <w:rPr>
          <w:color w:val="0070C0"/>
        </w:rPr>
        <w:t xml:space="preserve"> </w:t>
      </w:r>
      <w:r w:rsidRPr="00E111E1">
        <w:rPr>
          <w:b/>
        </w:rPr>
        <w:t xml:space="preserve">Briefly </w:t>
      </w:r>
      <w:r w:rsidR="00E42FAA" w:rsidRPr="00E111E1">
        <w:rPr>
          <w:b/>
        </w:rPr>
        <w:t xml:space="preserve">SYNTHESIZE </w:t>
      </w:r>
      <w:r w:rsidRPr="00E111E1">
        <w:rPr>
          <w:b/>
        </w:rPr>
        <w:t xml:space="preserve">the evidence that supports the measure. </w:t>
      </w:r>
      <w:r w:rsidRPr="00E111E1">
        <w:t>A list of references without a summary is not acceptable.</w:t>
      </w:r>
    </w:p>
    <w:p w14:paraId="43E96529" w14:textId="77777777" w:rsidR="00885CA1" w:rsidRPr="00322FF1" w:rsidRDefault="00885CA1" w:rsidP="002E2177">
      <w:pPr>
        <w:ind w:left="0" w:firstLine="0"/>
        <w:rPr>
          <w:bCs/>
          <w:color w:val="0070C0"/>
        </w:rPr>
      </w:pPr>
    </w:p>
    <w:p w14:paraId="55B8DA9B" w14:textId="4EE477C2" w:rsidR="00837121" w:rsidRDefault="000E5C93" w:rsidP="002E2177">
      <w:pPr>
        <w:ind w:left="0" w:firstLine="0"/>
        <w:rPr>
          <w:b/>
        </w:rPr>
      </w:pPr>
      <w:r w:rsidRPr="000E5C93">
        <w:rPr>
          <w:b/>
          <w:color w:val="244061" w:themeColor="accent1" w:themeShade="80"/>
        </w:rPr>
        <w:t xml:space="preserve">1a.4.2 </w:t>
      </w:r>
      <w:r w:rsidR="00837121" w:rsidRPr="003B1CC5">
        <w:rPr>
          <w:b/>
        </w:rPr>
        <w:t>What process was used to identify the evidence?</w:t>
      </w:r>
    </w:p>
    <w:p w14:paraId="55B8DA9C" w14:textId="77777777" w:rsidR="00837121" w:rsidRPr="003B1CC5" w:rsidRDefault="00837121" w:rsidP="002E2177">
      <w:pPr>
        <w:ind w:left="0" w:firstLine="0"/>
      </w:pPr>
    </w:p>
    <w:p w14:paraId="55B8DA9D" w14:textId="475E5200" w:rsidR="00837121" w:rsidRDefault="000E5C93" w:rsidP="002E2177">
      <w:pPr>
        <w:ind w:left="0" w:firstLine="0"/>
        <w:rPr>
          <w:b/>
        </w:rPr>
      </w:pPr>
      <w:r>
        <w:rPr>
          <w:b/>
          <w:color w:val="0000FF"/>
        </w:rPr>
        <w:t>1a.4.3</w:t>
      </w:r>
      <w:r w:rsidR="00837121" w:rsidRPr="003B1CC5">
        <w:rPr>
          <w:b/>
          <w:color w:val="0000FF"/>
        </w:rPr>
        <w:t>.</w:t>
      </w:r>
      <w:r w:rsidR="00837121" w:rsidRPr="003B1CC5">
        <w:rPr>
          <w:color w:val="0070C0"/>
        </w:rPr>
        <w:t xml:space="preserve"> </w:t>
      </w:r>
      <w:r w:rsidR="006C7F30" w:rsidRPr="003B1CC5">
        <w:rPr>
          <w:b/>
        </w:rPr>
        <w:t>Provide the citation</w:t>
      </w:r>
      <w:r>
        <w:rPr>
          <w:b/>
        </w:rPr>
        <w:t>(s)</w:t>
      </w:r>
      <w:r w:rsidR="009E6B86" w:rsidRPr="003B1CC5">
        <w:rPr>
          <w:b/>
        </w:rPr>
        <w:t xml:space="preserve"> </w:t>
      </w:r>
      <w:r>
        <w:rPr>
          <w:b/>
        </w:rPr>
        <w:t>for the</w:t>
      </w:r>
      <w:r w:rsidR="006C7F30" w:rsidRPr="003B1CC5">
        <w:rPr>
          <w:b/>
        </w:rPr>
        <w:t xml:space="preserve"> evidence.</w:t>
      </w:r>
    </w:p>
    <w:p w14:paraId="12F0A3CE" w14:textId="34C8CAA9" w:rsidR="001D6D0E" w:rsidRDefault="001D6D0E" w:rsidP="00EA43D2">
      <w:pPr>
        <w:ind w:left="0" w:firstLine="0"/>
        <w:rPr>
          <w:rFonts w:cstheme="minorHAnsi"/>
          <w:bCs/>
        </w:rPr>
      </w:pPr>
    </w:p>
    <w:p w14:paraId="28C21653" w14:textId="77777777" w:rsidR="00EA43D2" w:rsidRPr="001B772D" w:rsidRDefault="00EA43D2" w:rsidP="002E2177">
      <w:pPr>
        <w:ind w:left="0" w:firstLine="0"/>
      </w:pPr>
    </w:p>
    <w:sectPr w:rsidR="00EA43D2" w:rsidRPr="001B772D">
      <w:headerReference w:type="default" r:id="rId33"/>
      <w:footerReference w:type="defaul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4B9DB7" w14:textId="77777777" w:rsidR="00583C62" w:rsidRDefault="00583C62" w:rsidP="007E37A5">
      <w:r>
        <w:separator/>
      </w:r>
    </w:p>
  </w:endnote>
  <w:endnote w:type="continuationSeparator" w:id="0">
    <w:p w14:paraId="602BCEAA" w14:textId="77777777" w:rsidR="00583C62" w:rsidRDefault="00583C62" w:rsidP="007E37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auto"/>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B8DAA3" w14:textId="278EF352" w:rsidR="00440687" w:rsidRDefault="00440687">
    <w:pPr>
      <w:pStyle w:val="Footer"/>
    </w:pPr>
    <w:r w:rsidRPr="00395263">
      <w:t xml:space="preserve">Version </w:t>
    </w:r>
    <w:proofErr w:type="gramStart"/>
    <w:r w:rsidR="00DC7F67">
      <w:t>7.1</w:t>
    </w:r>
    <w:r w:rsidR="00F63E8D">
      <w:t xml:space="preserve"> </w:t>
    </w:r>
    <w:r w:rsidRPr="00395263">
      <w:t xml:space="preserve"> </w:t>
    </w:r>
    <w:r w:rsidR="00CC0F87">
      <w:t>9</w:t>
    </w:r>
    <w:proofErr w:type="gramEnd"/>
    <w:r w:rsidR="00CC0F87">
      <w:t>/6</w:t>
    </w:r>
    <w:r w:rsidR="00DC7F67">
      <w:t>/17</w:t>
    </w:r>
    <w:r w:rsidRPr="00395263">
      <w:ptab w:relativeTo="margin" w:alignment="center" w:leader="none"/>
    </w:r>
    <w:r w:rsidRPr="00395263">
      <w:ptab w:relativeTo="margin" w:alignment="right" w:leader="none"/>
    </w:r>
    <w:r w:rsidRPr="00395263">
      <w:fldChar w:fldCharType="begin"/>
    </w:r>
    <w:r w:rsidRPr="00395263">
      <w:instrText xml:space="preserve"> PAGE   \* MERGEFORMAT </w:instrText>
    </w:r>
    <w:r w:rsidRPr="00395263">
      <w:fldChar w:fldCharType="separate"/>
    </w:r>
    <w:r w:rsidR="00194913">
      <w:rPr>
        <w:noProof/>
      </w:rPr>
      <w:t>2</w:t>
    </w:r>
    <w:r w:rsidRPr="00395263">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3D3045" w14:textId="77777777" w:rsidR="00583C62" w:rsidRDefault="00583C62" w:rsidP="007E37A5">
      <w:r>
        <w:separator/>
      </w:r>
    </w:p>
  </w:footnote>
  <w:footnote w:type="continuationSeparator" w:id="0">
    <w:p w14:paraId="61F74D49" w14:textId="77777777" w:rsidR="00583C62" w:rsidRDefault="00583C62" w:rsidP="007E37A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B8DAA2" w14:textId="77777777" w:rsidR="00440687" w:rsidRDefault="00440687" w:rsidP="007E37A5">
    <w:pPr>
      <w:pStyle w:val="Header"/>
      <w:ind w:left="0" w:firstLine="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744C0"/>
    <w:multiLevelType w:val="hybridMultilevel"/>
    <w:tmpl w:val="921EFE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68C2599"/>
    <w:multiLevelType w:val="hybridMultilevel"/>
    <w:tmpl w:val="474205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1D18C8"/>
    <w:multiLevelType w:val="hybridMultilevel"/>
    <w:tmpl w:val="CD8AC0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5155827"/>
    <w:multiLevelType w:val="hybridMultilevel"/>
    <w:tmpl w:val="56464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BC855C2"/>
    <w:multiLevelType w:val="hybridMultilevel"/>
    <w:tmpl w:val="56F0A8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01C61F5"/>
    <w:multiLevelType w:val="hybridMultilevel"/>
    <w:tmpl w:val="887A5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1553E70"/>
    <w:multiLevelType w:val="hybridMultilevel"/>
    <w:tmpl w:val="7FA8F4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363E2748"/>
    <w:multiLevelType w:val="hybridMultilevel"/>
    <w:tmpl w:val="6B9CDD30"/>
    <w:lvl w:ilvl="0" w:tplc="04090001">
      <w:start w:val="1"/>
      <w:numFmt w:val="bullet"/>
      <w:lvlText w:val=""/>
      <w:lvlJc w:val="left"/>
      <w:pPr>
        <w:ind w:left="-304" w:hanging="360"/>
      </w:pPr>
      <w:rPr>
        <w:rFonts w:ascii="Symbol" w:hAnsi="Symbol" w:hint="default"/>
      </w:rPr>
    </w:lvl>
    <w:lvl w:ilvl="1" w:tplc="04090003" w:tentative="1">
      <w:start w:val="1"/>
      <w:numFmt w:val="bullet"/>
      <w:lvlText w:val="o"/>
      <w:lvlJc w:val="left"/>
      <w:pPr>
        <w:ind w:left="416" w:hanging="360"/>
      </w:pPr>
      <w:rPr>
        <w:rFonts w:ascii="Courier New" w:hAnsi="Courier New" w:cs="Courier New" w:hint="default"/>
      </w:rPr>
    </w:lvl>
    <w:lvl w:ilvl="2" w:tplc="04090005" w:tentative="1">
      <w:start w:val="1"/>
      <w:numFmt w:val="bullet"/>
      <w:lvlText w:val=""/>
      <w:lvlJc w:val="left"/>
      <w:pPr>
        <w:ind w:left="1136" w:hanging="360"/>
      </w:pPr>
      <w:rPr>
        <w:rFonts w:ascii="Wingdings" w:hAnsi="Wingdings" w:hint="default"/>
      </w:rPr>
    </w:lvl>
    <w:lvl w:ilvl="3" w:tplc="04090001" w:tentative="1">
      <w:start w:val="1"/>
      <w:numFmt w:val="bullet"/>
      <w:lvlText w:val=""/>
      <w:lvlJc w:val="left"/>
      <w:pPr>
        <w:ind w:left="1856" w:hanging="360"/>
      </w:pPr>
      <w:rPr>
        <w:rFonts w:ascii="Symbol" w:hAnsi="Symbol" w:hint="default"/>
      </w:rPr>
    </w:lvl>
    <w:lvl w:ilvl="4" w:tplc="04090003" w:tentative="1">
      <w:start w:val="1"/>
      <w:numFmt w:val="bullet"/>
      <w:lvlText w:val="o"/>
      <w:lvlJc w:val="left"/>
      <w:pPr>
        <w:ind w:left="2576" w:hanging="360"/>
      </w:pPr>
      <w:rPr>
        <w:rFonts w:ascii="Courier New" w:hAnsi="Courier New" w:cs="Courier New" w:hint="default"/>
      </w:rPr>
    </w:lvl>
    <w:lvl w:ilvl="5" w:tplc="04090005" w:tentative="1">
      <w:start w:val="1"/>
      <w:numFmt w:val="bullet"/>
      <w:lvlText w:val=""/>
      <w:lvlJc w:val="left"/>
      <w:pPr>
        <w:ind w:left="3296" w:hanging="360"/>
      </w:pPr>
      <w:rPr>
        <w:rFonts w:ascii="Wingdings" w:hAnsi="Wingdings" w:hint="default"/>
      </w:rPr>
    </w:lvl>
    <w:lvl w:ilvl="6" w:tplc="04090001" w:tentative="1">
      <w:start w:val="1"/>
      <w:numFmt w:val="bullet"/>
      <w:lvlText w:val=""/>
      <w:lvlJc w:val="left"/>
      <w:pPr>
        <w:ind w:left="4016" w:hanging="360"/>
      </w:pPr>
      <w:rPr>
        <w:rFonts w:ascii="Symbol" w:hAnsi="Symbol" w:hint="default"/>
      </w:rPr>
    </w:lvl>
    <w:lvl w:ilvl="7" w:tplc="04090003" w:tentative="1">
      <w:start w:val="1"/>
      <w:numFmt w:val="bullet"/>
      <w:lvlText w:val="o"/>
      <w:lvlJc w:val="left"/>
      <w:pPr>
        <w:ind w:left="4736" w:hanging="360"/>
      </w:pPr>
      <w:rPr>
        <w:rFonts w:ascii="Courier New" w:hAnsi="Courier New" w:cs="Courier New" w:hint="default"/>
      </w:rPr>
    </w:lvl>
    <w:lvl w:ilvl="8" w:tplc="04090005" w:tentative="1">
      <w:start w:val="1"/>
      <w:numFmt w:val="bullet"/>
      <w:lvlText w:val=""/>
      <w:lvlJc w:val="left"/>
      <w:pPr>
        <w:ind w:left="5456" w:hanging="360"/>
      </w:pPr>
      <w:rPr>
        <w:rFonts w:ascii="Wingdings" w:hAnsi="Wingdings" w:hint="default"/>
      </w:rPr>
    </w:lvl>
  </w:abstractNum>
  <w:abstractNum w:abstractNumId="8" w15:restartNumberingAfterBreak="0">
    <w:nsid w:val="381A0FA6"/>
    <w:multiLevelType w:val="hybridMultilevel"/>
    <w:tmpl w:val="0E1458C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49E22008"/>
    <w:multiLevelType w:val="hybridMultilevel"/>
    <w:tmpl w:val="29FE3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52EF5FC6"/>
    <w:multiLevelType w:val="hybridMultilevel"/>
    <w:tmpl w:val="FCA630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9907C92"/>
    <w:multiLevelType w:val="hybridMultilevel"/>
    <w:tmpl w:val="A34A0150"/>
    <w:lvl w:ilvl="0" w:tplc="D78A6B5C">
      <w:start w:val="1"/>
      <w:numFmt w:val="bullet"/>
      <w:lvlText w:val=""/>
      <w:lvlJc w:val="left"/>
      <w:pPr>
        <w:tabs>
          <w:tab w:val="num" w:pos="216"/>
        </w:tabs>
        <w:ind w:left="216" w:hanging="21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C4A315C"/>
    <w:multiLevelType w:val="hybridMultilevel"/>
    <w:tmpl w:val="F760C256"/>
    <w:lvl w:ilvl="0" w:tplc="D78A6B5C">
      <w:start w:val="1"/>
      <w:numFmt w:val="bullet"/>
      <w:lvlText w:val=""/>
      <w:lvlJc w:val="left"/>
      <w:pPr>
        <w:tabs>
          <w:tab w:val="num" w:pos="216"/>
        </w:tabs>
        <w:ind w:left="216" w:hanging="216"/>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70C05157"/>
    <w:multiLevelType w:val="hybridMultilevel"/>
    <w:tmpl w:val="5BA43E68"/>
    <w:lvl w:ilvl="0" w:tplc="04090001">
      <w:start w:val="1"/>
      <w:numFmt w:val="bullet"/>
      <w:lvlText w:val=""/>
      <w:lvlJc w:val="left"/>
      <w:pPr>
        <w:ind w:left="692" w:hanging="360"/>
      </w:pPr>
      <w:rPr>
        <w:rFonts w:ascii="Symbol" w:hAnsi="Symbol" w:hint="default"/>
      </w:rPr>
    </w:lvl>
    <w:lvl w:ilvl="1" w:tplc="04090003" w:tentative="1">
      <w:start w:val="1"/>
      <w:numFmt w:val="bullet"/>
      <w:lvlText w:val="o"/>
      <w:lvlJc w:val="left"/>
      <w:pPr>
        <w:ind w:left="1412" w:hanging="360"/>
      </w:pPr>
      <w:rPr>
        <w:rFonts w:ascii="Courier New" w:hAnsi="Courier New" w:cs="Courier New" w:hint="default"/>
      </w:rPr>
    </w:lvl>
    <w:lvl w:ilvl="2" w:tplc="04090005" w:tentative="1">
      <w:start w:val="1"/>
      <w:numFmt w:val="bullet"/>
      <w:lvlText w:val=""/>
      <w:lvlJc w:val="left"/>
      <w:pPr>
        <w:ind w:left="2132" w:hanging="360"/>
      </w:pPr>
      <w:rPr>
        <w:rFonts w:ascii="Wingdings" w:hAnsi="Wingdings" w:hint="default"/>
      </w:rPr>
    </w:lvl>
    <w:lvl w:ilvl="3" w:tplc="04090001" w:tentative="1">
      <w:start w:val="1"/>
      <w:numFmt w:val="bullet"/>
      <w:lvlText w:val=""/>
      <w:lvlJc w:val="left"/>
      <w:pPr>
        <w:ind w:left="2852" w:hanging="360"/>
      </w:pPr>
      <w:rPr>
        <w:rFonts w:ascii="Symbol" w:hAnsi="Symbol" w:hint="default"/>
      </w:rPr>
    </w:lvl>
    <w:lvl w:ilvl="4" w:tplc="04090003" w:tentative="1">
      <w:start w:val="1"/>
      <w:numFmt w:val="bullet"/>
      <w:lvlText w:val="o"/>
      <w:lvlJc w:val="left"/>
      <w:pPr>
        <w:ind w:left="3572" w:hanging="360"/>
      </w:pPr>
      <w:rPr>
        <w:rFonts w:ascii="Courier New" w:hAnsi="Courier New" w:cs="Courier New" w:hint="default"/>
      </w:rPr>
    </w:lvl>
    <w:lvl w:ilvl="5" w:tplc="04090005" w:tentative="1">
      <w:start w:val="1"/>
      <w:numFmt w:val="bullet"/>
      <w:lvlText w:val=""/>
      <w:lvlJc w:val="left"/>
      <w:pPr>
        <w:ind w:left="4292" w:hanging="360"/>
      </w:pPr>
      <w:rPr>
        <w:rFonts w:ascii="Wingdings" w:hAnsi="Wingdings" w:hint="default"/>
      </w:rPr>
    </w:lvl>
    <w:lvl w:ilvl="6" w:tplc="04090001" w:tentative="1">
      <w:start w:val="1"/>
      <w:numFmt w:val="bullet"/>
      <w:lvlText w:val=""/>
      <w:lvlJc w:val="left"/>
      <w:pPr>
        <w:ind w:left="5012" w:hanging="360"/>
      </w:pPr>
      <w:rPr>
        <w:rFonts w:ascii="Symbol" w:hAnsi="Symbol" w:hint="default"/>
      </w:rPr>
    </w:lvl>
    <w:lvl w:ilvl="7" w:tplc="04090003" w:tentative="1">
      <w:start w:val="1"/>
      <w:numFmt w:val="bullet"/>
      <w:lvlText w:val="o"/>
      <w:lvlJc w:val="left"/>
      <w:pPr>
        <w:ind w:left="5732" w:hanging="360"/>
      </w:pPr>
      <w:rPr>
        <w:rFonts w:ascii="Courier New" w:hAnsi="Courier New" w:cs="Courier New" w:hint="default"/>
      </w:rPr>
    </w:lvl>
    <w:lvl w:ilvl="8" w:tplc="04090005" w:tentative="1">
      <w:start w:val="1"/>
      <w:numFmt w:val="bullet"/>
      <w:lvlText w:val=""/>
      <w:lvlJc w:val="left"/>
      <w:pPr>
        <w:ind w:left="6452" w:hanging="360"/>
      </w:pPr>
      <w:rPr>
        <w:rFonts w:ascii="Wingdings" w:hAnsi="Wingdings" w:hint="default"/>
      </w:rPr>
    </w:lvl>
  </w:abstractNum>
  <w:abstractNum w:abstractNumId="14" w15:restartNumberingAfterBreak="0">
    <w:nsid w:val="750F11DF"/>
    <w:multiLevelType w:val="hybridMultilevel"/>
    <w:tmpl w:val="A4CEF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3"/>
  </w:num>
  <w:num w:numId="4">
    <w:abstractNumId w:val="4"/>
  </w:num>
  <w:num w:numId="5">
    <w:abstractNumId w:val="6"/>
  </w:num>
  <w:num w:numId="6">
    <w:abstractNumId w:val="5"/>
  </w:num>
  <w:num w:numId="7">
    <w:abstractNumId w:val="12"/>
  </w:num>
  <w:num w:numId="8">
    <w:abstractNumId w:val="11"/>
  </w:num>
  <w:num w:numId="9">
    <w:abstractNumId w:val="14"/>
  </w:num>
  <w:num w:numId="10">
    <w:abstractNumId w:val="2"/>
  </w:num>
  <w:num w:numId="11">
    <w:abstractNumId w:val="9"/>
  </w:num>
  <w:num w:numId="12">
    <w:abstractNumId w:val="7"/>
  </w:num>
  <w:num w:numId="13">
    <w:abstractNumId w:val="13"/>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AF8"/>
    <w:rsid w:val="0000092C"/>
    <w:rsid w:val="00015986"/>
    <w:rsid w:val="000160E6"/>
    <w:rsid w:val="00024526"/>
    <w:rsid w:val="00026810"/>
    <w:rsid w:val="00030F43"/>
    <w:rsid w:val="00040DCF"/>
    <w:rsid w:val="00052C0B"/>
    <w:rsid w:val="00061CF3"/>
    <w:rsid w:val="00063601"/>
    <w:rsid w:val="00073079"/>
    <w:rsid w:val="0007593F"/>
    <w:rsid w:val="00095EC9"/>
    <w:rsid w:val="00096A37"/>
    <w:rsid w:val="000A0810"/>
    <w:rsid w:val="000B4DBE"/>
    <w:rsid w:val="000B627F"/>
    <w:rsid w:val="000D17C4"/>
    <w:rsid w:val="000D649E"/>
    <w:rsid w:val="000D6D06"/>
    <w:rsid w:val="000E5C93"/>
    <w:rsid w:val="000E7ACA"/>
    <w:rsid w:val="000F3863"/>
    <w:rsid w:val="000F4A7F"/>
    <w:rsid w:val="00114848"/>
    <w:rsid w:val="00120934"/>
    <w:rsid w:val="00132070"/>
    <w:rsid w:val="00141875"/>
    <w:rsid w:val="0014347E"/>
    <w:rsid w:val="00154438"/>
    <w:rsid w:val="001551F6"/>
    <w:rsid w:val="0015535B"/>
    <w:rsid w:val="00162036"/>
    <w:rsid w:val="001632DD"/>
    <w:rsid w:val="00167668"/>
    <w:rsid w:val="00176E60"/>
    <w:rsid w:val="00194913"/>
    <w:rsid w:val="00194D9A"/>
    <w:rsid w:val="001A196B"/>
    <w:rsid w:val="001A6D05"/>
    <w:rsid w:val="001B0331"/>
    <w:rsid w:val="001B38BF"/>
    <w:rsid w:val="001B772D"/>
    <w:rsid w:val="001D5B5D"/>
    <w:rsid w:val="001D6D0E"/>
    <w:rsid w:val="001E6153"/>
    <w:rsid w:val="00201FF9"/>
    <w:rsid w:val="00205857"/>
    <w:rsid w:val="00233AA0"/>
    <w:rsid w:val="00235ADC"/>
    <w:rsid w:val="00236F87"/>
    <w:rsid w:val="002374ED"/>
    <w:rsid w:val="00264FE2"/>
    <w:rsid w:val="00265702"/>
    <w:rsid w:val="002662B2"/>
    <w:rsid w:val="002717C7"/>
    <w:rsid w:val="00271EE4"/>
    <w:rsid w:val="002875E9"/>
    <w:rsid w:val="00287EB3"/>
    <w:rsid w:val="002A47BA"/>
    <w:rsid w:val="002A6777"/>
    <w:rsid w:val="002B06BD"/>
    <w:rsid w:val="002B6623"/>
    <w:rsid w:val="002C0E48"/>
    <w:rsid w:val="002C5B82"/>
    <w:rsid w:val="002C6F04"/>
    <w:rsid w:val="002E2177"/>
    <w:rsid w:val="002E2E41"/>
    <w:rsid w:val="002E78CD"/>
    <w:rsid w:val="002F20A7"/>
    <w:rsid w:val="003008F4"/>
    <w:rsid w:val="00302B1D"/>
    <w:rsid w:val="00307FA5"/>
    <w:rsid w:val="00322FF1"/>
    <w:rsid w:val="00324D64"/>
    <w:rsid w:val="00352B52"/>
    <w:rsid w:val="0035760D"/>
    <w:rsid w:val="00363ECC"/>
    <w:rsid w:val="0039020B"/>
    <w:rsid w:val="00395263"/>
    <w:rsid w:val="003956E0"/>
    <w:rsid w:val="0039609A"/>
    <w:rsid w:val="00397500"/>
    <w:rsid w:val="003B1CC5"/>
    <w:rsid w:val="003B65CE"/>
    <w:rsid w:val="003D6721"/>
    <w:rsid w:val="003E039E"/>
    <w:rsid w:val="0040230E"/>
    <w:rsid w:val="0041662F"/>
    <w:rsid w:val="00422917"/>
    <w:rsid w:val="00440687"/>
    <w:rsid w:val="0044131D"/>
    <w:rsid w:val="00441ADA"/>
    <w:rsid w:val="00446272"/>
    <w:rsid w:val="00453CB3"/>
    <w:rsid w:val="00457E46"/>
    <w:rsid w:val="004922E4"/>
    <w:rsid w:val="00496AF8"/>
    <w:rsid w:val="004A575D"/>
    <w:rsid w:val="004B65C6"/>
    <w:rsid w:val="004C73F0"/>
    <w:rsid w:val="004D1DC7"/>
    <w:rsid w:val="004E7215"/>
    <w:rsid w:val="004F7D7E"/>
    <w:rsid w:val="00500B0C"/>
    <w:rsid w:val="00537150"/>
    <w:rsid w:val="00540984"/>
    <w:rsid w:val="00543851"/>
    <w:rsid w:val="0055559D"/>
    <w:rsid w:val="005569AE"/>
    <w:rsid w:val="00583C62"/>
    <w:rsid w:val="005857F8"/>
    <w:rsid w:val="005B0D18"/>
    <w:rsid w:val="005B12C3"/>
    <w:rsid w:val="005B409D"/>
    <w:rsid w:val="005D0FDB"/>
    <w:rsid w:val="005D25E9"/>
    <w:rsid w:val="005D6D59"/>
    <w:rsid w:val="0061327A"/>
    <w:rsid w:val="00617390"/>
    <w:rsid w:val="00623420"/>
    <w:rsid w:val="00634768"/>
    <w:rsid w:val="0063596F"/>
    <w:rsid w:val="006709EB"/>
    <w:rsid w:val="00672824"/>
    <w:rsid w:val="00676BD4"/>
    <w:rsid w:val="0068184A"/>
    <w:rsid w:val="006A0249"/>
    <w:rsid w:val="006B5C51"/>
    <w:rsid w:val="006C7F30"/>
    <w:rsid w:val="006D2D2E"/>
    <w:rsid w:val="006D43FF"/>
    <w:rsid w:val="006E6FDD"/>
    <w:rsid w:val="006F4B7F"/>
    <w:rsid w:val="006F760B"/>
    <w:rsid w:val="00701CC3"/>
    <w:rsid w:val="00724801"/>
    <w:rsid w:val="00734949"/>
    <w:rsid w:val="00736AEC"/>
    <w:rsid w:val="00736E0F"/>
    <w:rsid w:val="007434FA"/>
    <w:rsid w:val="007573F0"/>
    <w:rsid w:val="00763450"/>
    <w:rsid w:val="00765156"/>
    <w:rsid w:val="00767669"/>
    <w:rsid w:val="0077267B"/>
    <w:rsid w:val="00773485"/>
    <w:rsid w:val="00776E8F"/>
    <w:rsid w:val="00776F6D"/>
    <w:rsid w:val="007C0297"/>
    <w:rsid w:val="007C1887"/>
    <w:rsid w:val="007D4775"/>
    <w:rsid w:val="007D5DC6"/>
    <w:rsid w:val="007E37A5"/>
    <w:rsid w:val="007F49D8"/>
    <w:rsid w:val="00805940"/>
    <w:rsid w:val="0081599C"/>
    <w:rsid w:val="00837121"/>
    <w:rsid w:val="008471E5"/>
    <w:rsid w:val="00850C35"/>
    <w:rsid w:val="00851466"/>
    <w:rsid w:val="00863E43"/>
    <w:rsid w:val="008647C3"/>
    <w:rsid w:val="00864812"/>
    <w:rsid w:val="008659ED"/>
    <w:rsid w:val="008708DC"/>
    <w:rsid w:val="00870987"/>
    <w:rsid w:val="0087564A"/>
    <w:rsid w:val="00881160"/>
    <w:rsid w:val="0088371C"/>
    <w:rsid w:val="00885CA1"/>
    <w:rsid w:val="008A45F3"/>
    <w:rsid w:val="008B51D9"/>
    <w:rsid w:val="008B652E"/>
    <w:rsid w:val="008D05B7"/>
    <w:rsid w:val="008F1DC6"/>
    <w:rsid w:val="008F6F51"/>
    <w:rsid w:val="00905C5B"/>
    <w:rsid w:val="00923295"/>
    <w:rsid w:val="00925F11"/>
    <w:rsid w:val="00935265"/>
    <w:rsid w:val="0094689F"/>
    <w:rsid w:val="009477D6"/>
    <w:rsid w:val="00953ED3"/>
    <w:rsid w:val="00965FF6"/>
    <w:rsid w:val="009846D6"/>
    <w:rsid w:val="0098657F"/>
    <w:rsid w:val="009A0D57"/>
    <w:rsid w:val="009A3236"/>
    <w:rsid w:val="009A499B"/>
    <w:rsid w:val="009B5A93"/>
    <w:rsid w:val="009B5BEA"/>
    <w:rsid w:val="009C291F"/>
    <w:rsid w:val="009C46F2"/>
    <w:rsid w:val="009D4160"/>
    <w:rsid w:val="009E37BD"/>
    <w:rsid w:val="009E6B86"/>
    <w:rsid w:val="00A03301"/>
    <w:rsid w:val="00A10143"/>
    <w:rsid w:val="00A12762"/>
    <w:rsid w:val="00A13867"/>
    <w:rsid w:val="00A26FED"/>
    <w:rsid w:val="00A421D4"/>
    <w:rsid w:val="00A44FF0"/>
    <w:rsid w:val="00A50E55"/>
    <w:rsid w:val="00A67EB1"/>
    <w:rsid w:val="00A9011D"/>
    <w:rsid w:val="00A91A47"/>
    <w:rsid w:val="00A95D2B"/>
    <w:rsid w:val="00AA5587"/>
    <w:rsid w:val="00AB4ECE"/>
    <w:rsid w:val="00AC1E53"/>
    <w:rsid w:val="00AD79C8"/>
    <w:rsid w:val="00AE3FC0"/>
    <w:rsid w:val="00AE6CE0"/>
    <w:rsid w:val="00B058A6"/>
    <w:rsid w:val="00B117D0"/>
    <w:rsid w:val="00B13998"/>
    <w:rsid w:val="00B35C5F"/>
    <w:rsid w:val="00B42B42"/>
    <w:rsid w:val="00B439DD"/>
    <w:rsid w:val="00B44165"/>
    <w:rsid w:val="00B52E0F"/>
    <w:rsid w:val="00B64DDA"/>
    <w:rsid w:val="00B74629"/>
    <w:rsid w:val="00B8113E"/>
    <w:rsid w:val="00B91F58"/>
    <w:rsid w:val="00BA579E"/>
    <w:rsid w:val="00BC5E8B"/>
    <w:rsid w:val="00BE2295"/>
    <w:rsid w:val="00BE6373"/>
    <w:rsid w:val="00BF533A"/>
    <w:rsid w:val="00C41794"/>
    <w:rsid w:val="00C46677"/>
    <w:rsid w:val="00C474F7"/>
    <w:rsid w:val="00C5180E"/>
    <w:rsid w:val="00C53F10"/>
    <w:rsid w:val="00C54E40"/>
    <w:rsid w:val="00C55F56"/>
    <w:rsid w:val="00C57BA4"/>
    <w:rsid w:val="00C613EB"/>
    <w:rsid w:val="00C71C1A"/>
    <w:rsid w:val="00C84623"/>
    <w:rsid w:val="00C97E3B"/>
    <w:rsid w:val="00CA2E91"/>
    <w:rsid w:val="00CB06C9"/>
    <w:rsid w:val="00CB0A63"/>
    <w:rsid w:val="00CB1E41"/>
    <w:rsid w:val="00CB271C"/>
    <w:rsid w:val="00CC0F87"/>
    <w:rsid w:val="00CE4F96"/>
    <w:rsid w:val="00CE6756"/>
    <w:rsid w:val="00CF0AB1"/>
    <w:rsid w:val="00CF1773"/>
    <w:rsid w:val="00CF23CD"/>
    <w:rsid w:val="00CF4B9B"/>
    <w:rsid w:val="00CF55E6"/>
    <w:rsid w:val="00CF772F"/>
    <w:rsid w:val="00D048DB"/>
    <w:rsid w:val="00D14F0B"/>
    <w:rsid w:val="00D178CA"/>
    <w:rsid w:val="00D3311C"/>
    <w:rsid w:val="00D53405"/>
    <w:rsid w:val="00D5457B"/>
    <w:rsid w:val="00D72995"/>
    <w:rsid w:val="00D73685"/>
    <w:rsid w:val="00D87757"/>
    <w:rsid w:val="00DA7FA2"/>
    <w:rsid w:val="00DB74B2"/>
    <w:rsid w:val="00DC2D8D"/>
    <w:rsid w:val="00DC3F3C"/>
    <w:rsid w:val="00DC7F67"/>
    <w:rsid w:val="00DE1F5D"/>
    <w:rsid w:val="00DE50D8"/>
    <w:rsid w:val="00DF278A"/>
    <w:rsid w:val="00E111E1"/>
    <w:rsid w:val="00E1664B"/>
    <w:rsid w:val="00E30D12"/>
    <w:rsid w:val="00E3394E"/>
    <w:rsid w:val="00E35241"/>
    <w:rsid w:val="00E3763A"/>
    <w:rsid w:val="00E41417"/>
    <w:rsid w:val="00E42FAA"/>
    <w:rsid w:val="00E44633"/>
    <w:rsid w:val="00E536D3"/>
    <w:rsid w:val="00E57BE2"/>
    <w:rsid w:val="00E62A95"/>
    <w:rsid w:val="00E746A2"/>
    <w:rsid w:val="00E90D06"/>
    <w:rsid w:val="00E97E59"/>
    <w:rsid w:val="00EA43D2"/>
    <w:rsid w:val="00EA79C9"/>
    <w:rsid w:val="00EB66AC"/>
    <w:rsid w:val="00EC1225"/>
    <w:rsid w:val="00EC2247"/>
    <w:rsid w:val="00EE1F87"/>
    <w:rsid w:val="00EE3931"/>
    <w:rsid w:val="00EE5AF6"/>
    <w:rsid w:val="00EF2CEF"/>
    <w:rsid w:val="00F1092D"/>
    <w:rsid w:val="00F37733"/>
    <w:rsid w:val="00F42C20"/>
    <w:rsid w:val="00F431D8"/>
    <w:rsid w:val="00F63E8D"/>
    <w:rsid w:val="00F67706"/>
    <w:rsid w:val="00F81FE3"/>
    <w:rsid w:val="00F90F82"/>
    <w:rsid w:val="00F92D75"/>
    <w:rsid w:val="00F97327"/>
    <w:rsid w:val="00FA296F"/>
    <w:rsid w:val="00FA7323"/>
    <w:rsid w:val="00FB1299"/>
    <w:rsid w:val="00FC32D3"/>
    <w:rsid w:val="00FD4D82"/>
    <w:rsid w:val="00FE57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B8DA2C"/>
  <w15:docId w15:val="{FB4EE7CA-955D-4C98-9B3C-FBF6471F69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ind w:left="360" w:hanging="36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A499B"/>
  </w:style>
  <w:style w:type="paragraph" w:styleId="Heading2">
    <w:name w:val="heading 2"/>
    <w:basedOn w:val="Normal"/>
    <w:next w:val="Normal"/>
    <w:link w:val="Heading2Char"/>
    <w:uiPriority w:val="9"/>
    <w:semiHidden/>
    <w:unhideWhenUsed/>
    <w:qFormat/>
    <w:rsid w:val="008659E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Heading2"/>
    <w:next w:val="Normal"/>
    <w:link w:val="Heading3Char"/>
    <w:uiPriority w:val="9"/>
    <w:qFormat/>
    <w:rsid w:val="008659ED"/>
    <w:pPr>
      <w:keepNext w:val="0"/>
      <w:keepLines w:val="0"/>
      <w:spacing w:before="0"/>
      <w:ind w:left="0" w:firstLine="0"/>
      <w:outlineLvl w:val="2"/>
    </w:pPr>
    <w:rPr>
      <w:rFonts w:ascii="Calibri" w:eastAsia="Calibri" w:hAnsi="Calibri" w:cs="Calibri"/>
      <w:color w:val="auto"/>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496AF8"/>
    <w:pPr>
      <w:spacing w:after="200" w:line="276" w:lineRule="auto"/>
      <w:ind w:left="720"/>
      <w:contextualSpacing/>
    </w:pPr>
    <w:rPr>
      <w:rFonts w:eastAsiaTheme="minorEastAsia"/>
    </w:rPr>
  </w:style>
  <w:style w:type="character" w:styleId="PlaceholderText">
    <w:name w:val="Placeholder Text"/>
    <w:basedOn w:val="DefaultParagraphFont"/>
    <w:uiPriority w:val="99"/>
    <w:semiHidden/>
    <w:rsid w:val="00496AF8"/>
    <w:rPr>
      <w:color w:val="808080"/>
    </w:rPr>
  </w:style>
  <w:style w:type="character" w:styleId="Hyperlink">
    <w:name w:val="Hyperlink"/>
    <w:basedOn w:val="DefaultParagraphFont"/>
    <w:uiPriority w:val="99"/>
    <w:unhideWhenUsed/>
    <w:rsid w:val="00496AF8"/>
    <w:rPr>
      <w:color w:val="0000FF" w:themeColor="hyperlink"/>
      <w:u w:val="single"/>
    </w:rPr>
  </w:style>
  <w:style w:type="character" w:customStyle="1" w:styleId="Style1">
    <w:name w:val="Style1"/>
    <w:basedOn w:val="DefaultParagraphFont"/>
    <w:uiPriority w:val="1"/>
    <w:rsid w:val="00496AF8"/>
    <w:rPr>
      <w:rFonts w:asciiTheme="minorHAnsi" w:hAnsiTheme="minorHAnsi"/>
      <w:color w:val="0000FF"/>
      <w:sz w:val="22"/>
    </w:rPr>
  </w:style>
  <w:style w:type="character" w:customStyle="1" w:styleId="Style2">
    <w:name w:val="Style2"/>
    <w:basedOn w:val="DefaultParagraphFont"/>
    <w:uiPriority w:val="1"/>
    <w:rsid w:val="00496AF8"/>
    <w:rPr>
      <w:rFonts w:asciiTheme="minorHAnsi" w:hAnsiTheme="minorHAnsi"/>
      <w:color w:val="0000FF"/>
      <w:sz w:val="22"/>
      <w:u w:val="single"/>
    </w:rPr>
  </w:style>
  <w:style w:type="table" w:styleId="TableGrid">
    <w:name w:val="Table Grid"/>
    <w:basedOn w:val="TableNormal"/>
    <w:uiPriority w:val="59"/>
    <w:rsid w:val="00496A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C46677"/>
    <w:rPr>
      <w:color w:val="800080" w:themeColor="followedHyperlink"/>
      <w:u w:val="single"/>
    </w:rPr>
  </w:style>
  <w:style w:type="paragraph" w:styleId="Header">
    <w:name w:val="header"/>
    <w:basedOn w:val="Normal"/>
    <w:link w:val="HeaderChar"/>
    <w:uiPriority w:val="99"/>
    <w:unhideWhenUsed/>
    <w:rsid w:val="007E37A5"/>
    <w:pPr>
      <w:tabs>
        <w:tab w:val="center" w:pos="4680"/>
        <w:tab w:val="right" w:pos="9360"/>
      </w:tabs>
    </w:pPr>
  </w:style>
  <w:style w:type="character" w:customStyle="1" w:styleId="HeaderChar">
    <w:name w:val="Header Char"/>
    <w:basedOn w:val="DefaultParagraphFont"/>
    <w:link w:val="Header"/>
    <w:uiPriority w:val="99"/>
    <w:rsid w:val="007E37A5"/>
  </w:style>
  <w:style w:type="paragraph" w:styleId="Footer">
    <w:name w:val="footer"/>
    <w:basedOn w:val="Normal"/>
    <w:link w:val="FooterChar"/>
    <w:uiPriority w:val="99"/>
    <w:unhideWhenUsed/>
    <w:rsid w:val="007E37A5"/>
    <w:pPr>
      <w:tabs>
        <w:tab w:val="center" w:pos="4680"/>
        <w:tab w:val="right" w:pos="9360"/>
      </w:tabs>
    </w:pPr>
  </w:style>
  <w:style w:type="character" w:customStyle="1" w:styleId="FooterChar">
    <w:name w:val="Footer Char"/>
    <w:basedOn w:val="DefaultParagraphFont"/>
    <w:link w:val="Footer"/>
    <w:uiPriority w:val="99"/>
    <w:rsid w:val="007E37A5"/>
  </w:style>
  <w:style w:type="character" w:customStyle="1" w:styleId="Style3">
    <w:name w:val="Style3"/>
    <w:basedOn w:val="DefaultParagraphFont"/>
    <w:uiPriority w:val="1"/>
    <w:rsid w:val="007E37A5"/>
    <w:rPr>
      <w:rFonts w:asciiTheme="minorHAnsi" w:hAnsiTheme="minorHAnsi"/>
      <w:color w:val="808080" w:themeColor="background1" w:themeShade="80"/>
      <w:sz w:val="22"/>
    </w:rPr>
  </w:style>
  <w:style w:type="character" w:styleId="CommentReference">
    <w:name w:val="annotation reference"/>
    <w:basedOn w:val="DefaultParagraphFont"/>
    <w:uiPriority w:val="99"/>
    <w:semiHidden/>
    <w:unhideWhenUsed/>
    <w:rsid w:val="002A47BA"/>
    <w:rPr>
      <w:sz w:val="16"/>
      <w:szCs w:val="16"/>
    </w:rPr>
  </w:style>
  <w:style w:type="paragraph" w:styleId="CommentText">
    <w:name w:val="annotation text"/>
    <w:basedOn w:val="Normal"/>
    <w:link w:val="CommentTextChar"/>
    <w:uiPriority w:val="99"/>
    <w:unhideWhenUsed/>
    <w:rsid w:val="002A47BA"/>
    <w:rPr>
      <w:sz w:val="20"/>
      <w:szCs w:val="20"/>
    </w:rPr>
  </w:style>
  <w:style w:type="character" w:customStyle="1" w:styleId="CommentTextChar">
    <w:name w:val="Comment Text Char"/>
    <w:basedOn w:val="DefaultParagraphFont"/>
    <w:link w:val="CommentText"/>
    <w:uiPriority w:val="99"/>
    <w:rsid w:val="002A47BA"/>
    <w:rPr>
      <w:sz w:val="20"/>
      <w:szCs w:val="20"/>
    </w:rPr>
  </w:style>
  <w:style w:type="paragraph" w:styleId="CommentSubject">
    <w:name w:val="annotation subject"/>
    <w:basedOn w:val="CommentText"/>
    <w:next w:val="CommentText"/>
    <w:link w:val="CommentSubjectChar"/>
    <w:uiPriority w:val="99"/>
    <w:semiHidden/>
    <w:unhideWhenUsed/>
    <w:rsid w:val="002A47BA"/>
    <w:rPr>
      <w:b/>
      <w:bCs/>
    </w:rPr>
  </w:style>
  <w:style w:type="character" w:customStyle="1" w:styleId="CommentSubjectChar">
    <w:name w:val="Comment Subject Char"/>
    <w:basedOn w:val="CommentTextChar"/>
    <w:link w:val="CommentSubject"/>
    <w:uiPriority w:val="99"/>
    <w:semiHidden/>
    <w:rsid w:val="002A47BA"/>
    <w:rPr>
      <w:b/>
      <w:bCs/>
      <w:sz w:val="20"/>
      <w:szCs w:val="20"/>
    </w:rPr>
  </w:style>
  <w:style w:type="paragraph" w:styleId="Revision">
    <w:name w:val="Revision"/>
    <w:hidden/>
    <w:uiPriority w:val="99"/>
    <w:semiHidden/>
    <w:rsid w:val="002A47BA"/>
    <w:pPr>
      <w:ind w:left="0" w:firstLine="0"/>
    </w:pPr>
  </w:style>
  <w:style w:type="paragraph" w:styleId="BalloonText">
    <w:name w:val="Balloon Text"/>
    <w:basedOn w:val="Normal"/>
    <w:link w:val="BalloonTextChar"/>
    <w:uiPriority w:val="99"/>
    <w:semiHidden/>
    <w:unhideWhenUsed/>
    <w:rsid w:val="002A47BA"/>
    <w:rPr>
      <w:rFonts w:ascii="Tahoma" w:hAnsi="Tahoma" w:cs="Tahoma"/>
      <w:sz w:val="16"/>
      <w:szCs w:val="16"/>
    </w:rPr>
  </w:style>
  <w:style w:type="character" w:customStyle="1" w:styleId="BalloonTextChar">
    <w:name w:val="Balloon Text Char"/>
    <w:basedOn w:val="DefaultParagraphFont"/>
    <w:link w:val="BalloonText"/>
    <w:uiPriority w:val="99"/>
    <w:semiHidden/>
    <w:rsid w:val="002A47BA"/>
    <w:rPr>
      <w:rFonts w:ascii="Tahoma" w:hAnsi="Tahoma" w:cs="Tahoma"/>
      <w:sz w:val="16"/>
      <w:szCs w:val="16"/>
    </w:rPr>
  </w:style>
  <w:style w:type="paragraph" w:styleId="FootnoteText">
    <w:name w:val="footnote text"/>
    <w:basedOn w:val="Normal"/>
    <w:link w:val="FootnoteTextChar"/>
    <w:semiHidden/>
    <w:rsid w:val="00765156"/>
    <w:pPr>
      <w:ind w:left="0" w:firstLine="0"/>
    </w:pPr>
    <w:rPr>
      <w:rFonts w:ascii="Times New Roman" w:eastAsia="Calibri" w:hAnsi="Times New Roman" w:cs="Times New Roman"/>
      <w:sz w:val="20"/>
      <w:szCs w:val="20"/>
    </w:rPr>
  </w:style>
  <w:style w:type="character" w:customStyle="1" w:styleId="FootnoteTextChar">
    <w:name w:val="Footnote Text Char"/>
    <w:basedOn w:val="DefaultParagraphFont"/>
    <w:link w:val="FootnoteText"/>
    <w:semiHidden/>
    <w:rsid w:val="00765156"/>
    <w:rPr>
      <w:rFonts w:ascii="Times New Roman" w:eastAsia="Calibri" w:hAnsi="Times New Roman" w:cs="Times New Roman"/>
      <w:sz w:val="20"/>
      <w:szCs w:val="20"/>
    </w:rPr>
  </w:style>
  <w:style w:type="character" w:customStyle="1" w:styleId="Heading3Char">
    <w:name w:val="Heading 3 Char"/>
    <w:basedOn w:val="DefaultParagraphFont"/>
    <w:link w:val="Heading3"/>
    <w:uiPriority w:val="9"/>
    <w:rsid w:val="008659ED"/>
    <w:rPr>
      <w:rFonts w:ascii="Calibri" w:eastAsia="Calibri" w:hAnsi="Calibri" w:cs="Calibri"/>
      <w:b/>
      <w:bCs/>
    </w:rPr>
  </w:style>
  <w:style w:type="character" w:customStyle="1" w:styleId="Heading2Char">
    <w:name w:val="Heading 2 Char"/>
    <w:basedOn w:val="DefaultParagraphFont"/>
    <w:link w:val="Heading2"/>
    <w:uiPriority w:val="9"/>
    <w:semiHidden/>
    <w:rsid w:val="008659ED"/>
    <w:rPr>
      <w:rFonts w:asciiTheme="majorHAnsi" w:eastAsiaTheme="majorEastAsia" w:hAnsiTheme="majorHAnsi" w:cstheme="majorBidi"/>
      <w:b/>
      <w:bCs/>
      <w:color w:val="4F81BD" w:themeColor="accent1"/>
      <w:sz w:val="26"/>
      <w:szCs w:val="26"/>
    </w:rPr>
  </w:style>
  <w:style w:type="character" w:customStyle="1" w:styleId="ListParagraphChar">
    <w:name w:val="List Paragraph Char"/>
    <w:basedOn w:val="DefaultParagraphFont"/>
    <w:link w:val="ListParagraph"/>
    <w:uiPriority w:val="34"/>
    <w:locked/>
    <w:rsid w:val="00B35C5F"/>
    <w:rPr>
      <w:rFonts w:eastAsiaTheme="minorEastAsia"/>
    </w:rPr>
  </w:style>
  <w:style w:type="paragraph" w:styleId="NoSpacing">
    <w:name w:val="No Spacing"/>
    <w:uiPriority w:val="1"/>
    <w:qFormat/>
    <w:rsid w:val="00B44165"/>
  </w:style>
  <w:style w:type="character" w:styleId="UnresolvedMention">
    <w:name w:val="Unresolved Mention"/>
    <w:basedOn w:val="DefaultParagraphFont"/>
    <w:uiPriority w:val="99"/>
    <w:semiHidden/>
    <w:unhideWhenUsed/>
    <w:rsid w:val="00B4416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606195">
      <w:bodyDiv w:val="1"/>
      <w:marLeft w:val="0"/>
      <w:marRight w:val="0"/>
      <w:marTop w:val="0"/>
      <w:marBottom w:val="0"/>
      <w:divBdr>
        <w:top w:val="none" w:sz="0" w:space="0" w:color="auto"/>
        <w:left w:val="none" w:sz="0" w:space="0" w:color="auto"/>
        <w:bottom w:val="none" w:sz="0" w:space="0" w:color="auto"/>
        <w:right w:val="none" w:sz="0" w:space="0" w:color="auto"/>
      </w:divBdr>
      <w:divsChild>
        <w:div w:id="1473904673">
          <w:marLeft w:val="547"/>
          <w:marRight w:val="0"/>
          <w:marTop w:val="0"/>
          <w:marBottom w:val="0"/>
          <w:divBdr>
            <w:top w:val="none" w:sz="0" w:space="0" w:color="auto"/>
            <w:left w:val="none" w:sz="0" w:space="0" w:color="auto"/>
            <w:bottom w:val="none" w:sz="0" w:space="0" w:color="auto"/>
            <w:right w:val="none" w:sz="0" w:space="0" w:color="auto"/>
          </w:divBdr>
        </w:div>
        <w:div w:id="353389001">
          <w:marLeft w:val="547"/>
          <w:marRight w:val="0"/>
          <w:marTop w:val="0"/>
          <w:marBottom w:val="0"/>
          <w:divBdr>
            <w:top w:val="none" w:sz="0" w:space="0" w:color="auto"/>
            <w:left w:val="none" w:sz="0" w:space="0" w:color="auto"/>
            <w:bottom w:val="none" w:sz="0" w:space="0" w:color="auto"/>
            <w:right w:val="none" w:sz="0" w:space="0" w:color="auto"/>
          </w:divBdr>
        </w:div>
        <w:div w:id="925382250">
          <w:marLeft w:val="547"/>
          <w:marRight w:val="0"/>
          <w:marTop w:val="0"/>
          <w:marBottom w:val="0"/>
          <w:divBdr>
            <w:top w:val="none" w:sz="0" w:space="0" w:color="auto"/>
            <w:left w:val="none" w:sz="0" w:space="0" w:color="auto"/>
            <w:bottom w:val="none" w:sz="0" w:space="0" w:color="auto"/>
            <w:right w:val="none" w:sz="0" w:space="0" w:color="auto"/>
          </w:divBdr>
        </w:div>
        <w:div w:id="1154488986">
          <w:marLeft w:val="547"/>
          <w:marRight w:val="0"/>
          <w:marTop w:val="0"/>
          <w:marBottom w:val="0"/>
          <w:divBdr>
            <w:top w:val="none" w:sz="0" w:space="0" w:color="auto"/>
            <w:left w:val="none" w:sz="0" w:space="0" w:color="auto"/>
            <w:bottom w:val="none" w:sz="0" w:space="0" w:color="auto"/>
            <w:right w:val="none" w:sz="0" w:space="0" w:color="auto"/>
          </w:divBdr>
        </w:div>
      </w:divsChild>
    </w:div>
    <w:div w:id="140116810">
      <w:bodyDiv w:val="1"/>
      <w:marLeft w:val="0"/>
      <w:marRight w:val="0"/>
      <w:marTop w:val="0"/>
      <w:marBottom w:val="0"/>
      <w:divBdr>
        <w:top w:val="none" w:sz="0" w:space="0" w:color="auto"/>
        <w:left w:val="none" w:sz="0" w:space="0" w:color="auto"/>
        <w:bottom w:val="none" w:sz="0" w:space="0" w:color="auto"/>
        <w:right w:val="none" w:sz="0" w:space="0" w:color="auto"/>
      </w:divBdr>
    </w:div>
    <w:div w:id="181895047">
      <w:bodyDiv w:val="1"/>
      <w:marLeft w:val="0"/>
      <w:marRight w:val="0"/>
      <w:marTop w:val="0"/>
      <w:marBottom w:val="0"/>
      <w:divBdr>
        <w:top w:val="none" w:sz="0" w:space="0" w:color="auto"/>
        <w:left w:val="none" w:sz="0" w:space="0" w:color="auto"/>
        <w:bottom w:val="none" w:sz="0" w:space="0" w:color="auto"/>
        <w:right w:val="none" w:sz="0" w:space="0" w:color="auto"/>
      </w:divBdr>
    </w:div>
    <w:div w:id="432242420">
      <w:bodyDiv w:val="1"/>
      <w:marLeft w:val="0"/>
      <w:marRight w:val="0"/>
      <w:marTop w:val="0"/>
      <w:marBottom w:val="0"/>
      <w:divBdr>
        <w:top w:val="none" w:sz="0" w:space="0" w:color="auto"/>
        <w:left w:val="none" w:sz="0" w:space="0" w:color="auto"/>
        <w:bottom w:val="none" w:sz="0" w:space="0" w:color="auto"/>
        <w:right w:val="none" w:sz="0" w:space="0" w:color="auto"/>
      </w:divBdr>
    </w:div>
    <w:div w:id="473916432">
      <w:bodyDiv w:val="1"/>
      <w:marLeft w:val="0"/>
      <w:marRight w:val="0"/>
      <w:marTop w:val="0"/>
      <w:marBottom w:val="0"/>
      <w:divBdr>
        <w:top w:val="none" w:sz="0" w:space="0" w:color="auto"/>
        <w:left w:val="none" w:sz="0" w:space="0" w:color="auto"/>
        <w:bottom w:val="none" w:sz="0" w:space="0" w:color="auto"/>
        <w:right w:val="none" w:sz="0" w:space="0" w:color="auto"/>
      </w:divBdr>
    </w:div>
    <w:div w:id="934946017">
      <w:bodyDiv w:val="1"/>
      <w:marLeft w:val="0"/>
      <w:marRight w:val="0"/>
      <w:marTop w:val="0"/>
      <w:marBottom w:val="0"/>
      <w:divBdr>
        <w:top w:val="none" w:sz="0" w:space="0" w:color="auto"/>
        <w:left w:val="none" w:sz="0" w:space="0" w:color="auto"/>
        <w:bottom w:val="none" w:sz="0" w:space="0" w:color="auto"/>
        <w:right w:val="none" w:sz="0" w:space="0" w:color="auto"/>
      </w:divBdr>
    </w:div>
    <w:div w:id="1429109567">
      <w:bodyDiv w:val="1"/>
      <w:marLeft w:val="0"/>
      <w:marRight w:val="0"/>
      <w:marTop w:val="0"/>
      <w:marBottom w:val="0"/>
      <w:divBdr>
        <w:top w:val="none" w:sz="0" w:space="0" w:color="auto"/>
        <w:left w:val="none" w:sz="0" w:space="0" w:color="auto"/>
        <w:bottom w:val="none" w:sz="0" w:space="0" w:color="auto"/>
        <w:right w:val="none" w:sz="0" w:space="0" w:color="auto"/>
      </w:divBdr>
    </w:div>
    <w:div w:id="1490250377">
      <w:bodyDiv w:val="1"/>
      <w:marLeft w:val="0"/>
      <w:marRight w:val="0"/>
      <w:marTop w:val="0"/>
      <w:marBottom w:val="0"/>
      <w:divBdr>
        <w:top w:val="none" w:sz="0" w:space="0" w:color="auto"/>
        <w:left w:val="none" w:sz="0" w:space="0" w:color="auto"/>
        <w:bottom w:val="none" w:sz="0" w:space="0" w:color="auto"/>
        <w:right w:val="none" w:sz="0" w:space="0" w:color="auto"/>
      </w:divBdr>
    </w:div>
    <w:div w:id="1576042342">
      <w:bodyDiv w:val="1"/>
      <w:marLeft w:val="0"/>
      <w:marRight w:val="0"/>
      <w:marTop w:val="0"/>
      <w:marBottom w:val="0"/>
      <w:divBdr>
        <w:top w:val="none" w:sz="0" w:space="0" w:color="auto"/>
        <w:left w:val="none" w:sz="0" w:space="0" w:color="auto"/>
        <w:bottom w:val="none" w:sz="0" w:space="0" w:color="auto"/>
        <w:right w:val="none" w:sz="0" w:space="0" w:color="auto"/>
      </w:divBdr>
    </w:div>
    <w:div w:id="1643003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qualityforum.org/Publications/2010/01/Measurement_Framework__Evaluating_Efficiency_Across_Patient-Focused_Episodes_of_Care.aspx" TargetMode="External"/><Relationship Id="rId18" Type="http://schemas.openxmlformats.org/officeDocument/2006/relationships/diagramColors" Target="diagrams/colors1.xml"/><Relationship Id="rId26" Type="http://schemas.openxmlformats.org/officeDocument/2006/relationships/hyperlink" Target="https://www.cancercareontario.ca/en/guidelines-advice/types-of-cancer/331" TargetMode="External"/><Relationship Id="rId3" Type="http://schemas.openxmlformats.org/officeDocument/2006/relationships/customXml" Target="../customXml/item3.xml"/><Relationship Id="rId21" Type="http://schemas.openxmlformats.org/officeDocument/2006/relationships/hyperlink" Target="https://www.nccn.org" TargetMode="External"/><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www.gradeworkinggroup.org" TargetMode="External"/><Relationship Id="rId17" Type="http://schemas.openxmlformats.org/officeDocument/2006/relationships/diagramQuickStyle" Target="diagrams/quickStyle1.xml"/><Relationship Id="rId25" Type="http://schemas.openxmlformats.org/officeDocument/2006/relationships/oleObject" Target="embeddings/oleObject1.bin"/><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diagramLayout" Target="diagrams/layout1.xml"/><Relationship Id="rId20" Type="http://schemas.openxmlformats.org/officeDocument/2006/relationships/hyperlink" Target="https://www.cancercare.on.ca/common/pages/UserFile.aspx?fileId=13890" TargetMode="External"/><Relationship Id="rId29"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qualityforum.org/Measuring_Performance/Submitting_Standards.aspx" TargetMode="External"/><Relationship Id="rId24" Type="http://schemas.openxmlformats.org/officeDocument/2006/relationships/image" Target="media/image1.emf"/><Relationship Id="rId32" Type="http://schemas.openxmlformats.org/officeDocument/2006/relationships/hyperlink" Target="https://www.asco.org/practice-guidelines/quality-guidelines/guidelines/breast-cancer"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diagramData" Target="diagrams/data1.xml"/><Relationship Id="rId23" Type="http://schemas.openxmlformats.org/officeDocument/2006/relationships/hyperlink" Target="https://www.cancercareontario.ca/en/guidelines-advice/types-of-cancer/331" TargetMode="External"/><Relationship Id="rId28" Type="http://schemas.openxmlformats.org/officeDocument/2006/relationships/image" Target="media/image2.emf"/><Relationship Id="rId36" Type="http://schemas.openxmlformats.org/officeDocument/2006/relationships/glossaryDocument" Target="glossary/document.xml"/><Relationship Id="rId10" Type="http://schemas.openxmlformats.org/officeDocument/2006/relationships/endnotes" Target="endnotes.xml"/><Relationship Id="rId19" Type="http://schemas.microsoft.com/office/2007/relationships/diagramDrawing" Target="diagrams/drawing1.xml"/><Relationship Id="rId31" Type="http://schemas.openxmlformats.org/officeDocument/2006/relationships/hyperlink" Target="https://www.cancercareontario.ca/sites/ccocancercare/files/guidelines/full/pebc1-24f.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aqaalliance.org/files/PrinciplesofEfficiencyMeasurementApril2006.doc" TargetMode="External"/><Relationship Id="rId22" Type="http://schemas.openxmlformats.org/officeDocument/2006/relationships/hyperlink" Target="https://www.asco.org/practice-guidelines/quality-guidelines/guidelines/breast-cancer" TargetMode="External"/><Relationship Id="rId27" Type="http://schemas.openxmlformats.org/officeDocument/2006/relationships/hyperlink" Target="https://www.cancercareontario.ca/sites/ccocancercare/files/guidelines/full/pebc1-24f.pdf" TargetMode="External"/><Relationship Id="rId30" Type="http://schemas.openxmlformats.org/officeDocument/2006/relationships/hyperlink" Target="https://www.asco.org/practice-guidelines/quality-guidelines/guidelines/breast-cancer" TargetMode="External"/><Relationship Id="rId35"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071E58E-6871-4476-AF50-47F0B74D0A32}" type="doc">
      <dgm:prSet loTypeId="urn:microsoft.com/office/officeart/2005/8/layout/process1" loCatId="process" qsTypeId="urn:microsoft.com/office/officeart/2005/8/quickstyle/simple1" qsCatId="simple" csTypeId="urn:microsoft.com/office/officeart/2005/8/colors/accent1_2" csCatId="accent1" phldr="1"/>
      <dgm:spPr/>
    </dgm:pt>
    <dgm:pt modelId="{76DF4660-149D-4AF3-AB41-F9A636BA7AB0}">
      <dgm:prSet phldrT="[Text]"/>
      <dgm:spPr/>
      <dgm:t>
        <a:bodyPr/>
        <a:lstStyle/>
        <a:p>
          <a:pPr algn="ctr"/>
          <a:r>
            <a:rPr lang="en-US"/>
            <a:t>Stage I (T1c) - III breast cancer patient receives chemotherapy</a:t>
          </a:r>
        </a:p>
      </dgm:t>
    </dgm:pt>
    <dgm:pt modelId="{6BA1C371-2187-48AB-ADBB-93CA3ED59CC8}" type="parTrans" cxnId="{7DA1100B-152D-4D13-8396-54F5B8A015D4}">
      <dgm:prSet/>
      <dgm:spPr/>
      <dgm:t>
        <a:bodyPr/>
        <a:lstStyle/>
        <a:p>
          <a:pPr algn="ctr"/>
          <a:endParaRPr lang="en-US"/>
        </a:p>
      </dgm:t>
    </dgm:pt>
    <dgm:pt modelId="{E72A586F-0A6F-48E3-9052-C752215EC468}" type="sibTrans" cxnId="{7DA1100B-152D-4D13-8396-54F5B8A015D4}">
      <dgm:prSet/>
      <dgm:spPr/>
      <dgm:t>
        <a:bodyPr/>
        <a:lstStyle/>
        <a:p>
          <a:pPr algn="ctr"/>
          <a:endParaRPr lang="en-US"/>
        </a:p>
      </dgm:t>
    </dgm:pt>
    <dgm:pt modelId="{01015406-4470-423F-B5EC-6C08B135EB8A}">
      <dgm:prSet phldrT="[Text]"/>
      <dgm:spPr/>
      <dgm:t>
        <a:bodyPr/>
        <a:lstStyle/>
        <a:p>
          <a:pPr algn="ctr"/>
          <a:r>
            <a:rPr lang="en-US"/>
            <a:t>Stage I (T1c) - III breast cancer patient receiving chemotherapy is identified as HER2 positive</a:t>
          </a:r>
        </a:p>
      </dgm:t>
    </dgm:pt>
    <dgm:pt modelId="{3CD13DE3-C8A0-4FF3-9285-A542EA1C80D4}" type="parTrans" cxnId="{540F26E5-EC15-429D-A155-E33C82DC2D8C}">
      <dgm:prSet/>
      <dgm:spPr/>
      <dgm:t>
        <a:bodyPr/>
        <a:lstStyle/>
        <a:p>
          <a:pPr algn="ctr"/>
          <a:endParaRPr lang="en-US"/>
        </a:p>
      </dgm:t>
    </dgm:pt>
    <dgm:pt modelId="{AF3AC9D3-31A8-49B0-B5CE-8A6DFE21E4C0}" type="sibTrans" cxnId="{540F26E5-EC15-429D-A155-E33C82DC2D8C}">
      <dgm:prSet/>
      <dgm:spPr/>
      <dgm:t>
        <a:bodyPr/>
        <a:lstStyle/>
        <a:p>
          <a:pPr algn="ctr"/>
          <a:endParaRPr lang="en-US"/>
        </a:p>
      </dgm:t>
    </dgm:pt>
    <dgm:pt modelId="{3B3019D0-6A6A-43D9-B51E-5B1B9ECBD6BD}">
      <dgm:prSet phldrT="[Text]"/>
      <dgm:spPr/>
      <dgm:t>
        <a:bodyPr/>
        <a:lstStyle/>
        <a:p>
          <a:pPr algn="ctr"/>
          <a:r>
            <a:rPr lang="en-US"/>
            <a:t>Breast cancer patient is adminstered trastuzumab within 12 months of diagnosis</a:t>
          </a:r>
        </a:p>
      </dgm:t>
    </dgm:pt>
    <dgm:pt modelId="{BD5BCBBD-3F74-436C-9ED1-10CF6C167A1B}" type="parTrans" cxnId="{002EC919-0579-4318-B9FC-3AA17573F15C}">
      <dgm:prSet/>
      <dgm:spPr/>
      <dgm:t>
        <a:bodyPr/>
        <a:lstStyle/>
        <a:p>
          <a:pPr algn="ctr"/>
          <a:endParaRPr lang="en-US"/>
        </a:p>
      </dgm:t>
    </dgm:pt>
    <dgm:pt modelId="{8BFDFAAF-30D0-47E8-99FB-440B1DE2C0AA}" type="sibTrans" cxnId="{002EC919-0579-4318-B9FC-3AA17573F15C}">
      <dgm:prSet/>
      <dgm:spPr/>
      <dgm:t>
        <a:bodyPr/>
        <a:lstStyle/>
        <a:p>
          <a:pPr algn="ctr"/>
          <a:endParaRPr lang="en-US"/>
        </a:p>
      </dgm:t>
    </dgm:pt>
    <dgm:pt modelId="{96DC3483-755F-4637-A91B-5886BBDEFB32}">
      <dgm:prSet/>
      <dgm:spPr/>
      <dgm:t>
        <a:bodyPr/>
        <a:lstStyle/>
        <a:p>
          <a:pPr algn="ctr"/>
          <a:r>
            <a:rPr lang="en-US"/>
            <a:t>Patient's disease free survival and overall survival are improved</a:t>
          </a:r>
        </a:p>
      </dgm:t>
    </dgm:pt>
    <dgm:pt modelId="{87F8B358-3906-4300-A36F-13DA7277DC3B}" type="parTrans" cxnId="{5DD2C4D6-6D56-4FF4-85A2-29DAC88F4BD4}">
      <dgm:prSet/>
      <dgm:spPr/>
      <dgm:t>
        <a:bodyPr/>
        <a:lstStyle/>
        <a:p>
          <a:pPr algn="ctr"/>
          <a:endParaRPr lang="en-US"/>
        </a:p>
      </dgm:t>
    </dgm:pt>
    <dgm:pt modelId="{62178F67-969A-40A4-B1A2-92D2ABD38077}" type="sibTrans" cxnId="{5DD2C4D6-6D56-4FF4-85A2-29DAC88F4BD4}">
      <dgm:prSet/>
      <dgm:spPr/>
      <dgm:t>
        <a:bodyPr/>
        <a:lstStyle/>
        <a:p>
          <a:pPr algn="ctr"/>
          <a:endParaRPr lang="en-US"/>
        </a:p>
      </dgm:t>
    </dgm:pt>
    <dgm:pt modelId="{4460577C-3AAC-470A-AF1E-D612BA9ABD7E}" type="pres">
      <dgm:prSet presAssocID="{1071E58E-6871-4476-AF50-47F0B74D0A32}" presName="Name0" presStyleCnt="0">
        <dgm:presLayoutVars>
          <dgm:dir/>
          <dgm:resizeHandles val="exact"/>
        </dgm:presLayoutVars>
      </dgm:prSet>
      <dgm:spPr/>
    </dgm:pt>
    <dgm:pt modelId="{45A6817C-02C8-427E-8634-EA0C8B336F1D}" type="pres">
      <dgm:prSet presAssocID="{76DF4660-149D-4AF3-AB41-F9A636BA7AB0}" presName="node" presStyleLbl="node1" presStyleIdx="0" presStyleCnt="4">
        <dgm:presLayoutVars>
          <dgm:bulletEnabled val="1"/>
        </dgm:presLayoutVars>
      </dgm:prSet>
      <dgm:spPr/>
    </dgm:pt>
    <dgm:pt modelId="{77CC2ECB-40E0-4B98-96B0-7004D542CE56}" type="pres">
      <dgm:prSet presAssocID="{E72A586F-0A6F-48E3-9052-C752215EC468}" presName="sibTrans" presStyleLbl="sibTrans2D1" presStyleIdx="0" presStyleCnt="3"/>
      <dgm:spPr/>
    </dgm:pt>
    <dgm:pt modelId="{01420B8C-5CB3-42AC-894D-8596AC0D1354}" type="pres">
      <dgm:prSet presAssocID="{E72A586F-0A6F-48E3-9052-C752215EC468}" presName="connectorText" presStyleLbl="sibTrans2D1" presStyleIdx="0" presStyleCnt="3"/>
      <dgm:spPr/>
    </dgm:pt>
    <dgm:pt modelId="{644D9A73-7014-4687-B07D-90FB47083D93}" type="pres">
      <dgm:prSet presAssocID="{01015406-4470-423F-B5EC-6C08B135EB8A}" presName="node" presStyleLbl="node1" presStyleIdx="1" presStyleCnt="4">
        <dgm:presLayoutVars>
          <dgm:bulletEnabled val="1"/>
        </dgm:presLayoutVars>
      </dgm:prSet>
      <dgm:spPr/>
    </dgm:pt>
    <dgm:pt modelId="{3AFC2411-85E0-4E83-8ED4-BCE66BA3D441}" type="pres">
      <dgm:prSet presAssocID="{AF3AC9D3-31A8-49B0-B5CE-8A6DFE21E4C0}" presName="sibTrans" presStyleLbl="sibTrans2D1" presStyleIdx="1" presStyleCnt="3"/>
      <dgm:spPr/>
    </dgm:pt>
    <dgm:pt modelId="{58AE3348-4151-4BDA-9964-1A9D4A8D1996}" type="pres">
      <dgm:prSet presAssocID="{AF3AC9D3-31A8-49B0-B5CE-8A6DFE21E4C0}" presName="connectorText" presStyleLbl="sibTrans2D1" presStyleIdx="1" presStyleCnt="3"/>
      <dgm:spPr/>
    </dgm:pt>
    <dgm:pt modelId="{DF82FC78-8E6B-4224-885F-52D8AAE03963}" type="pres">
      <dgm:prSet presAssocID="{3B3019D0-6A6A-43D9-B51E-5B1B9ECBD6BD}" presName="node" presStyleLbl="node1" presStyleIdx="2" presStyleCnt="4">
        <dgm:presLayoutVars>
          <dgm:bulletEnabled val="1"/>
        </dgm:presLayoutVars>
      </dgm:prSet>
      <dgm:spPr/>
    </dgm:pt>
    <dgm:pt modelId="{51689EE0-3B02-4DED-AB6F-53A930FFC904}" type="pres">
      <dgm:prSet presAssocID="{8BFDFAAF-30D0-47E8-99FB-440B1DE2C0AA}" presName="sibTrans" presStyleLbl="sibTrans2D1" presStyleIdx="2" presStyleCnt="3"/>
      <dgm:spPr/>
    </dgm:pt>
    <dgm:pt modelId="{6DA8B99F-E3C5-4DE5-8D0D-1AC7E14D0FF6}" type="pres">
      <dgm:prSet presAssocID="{8BFDFAAF-30D0-47E8-99FB-440B1DE2C0AA}" presName="connectorText" presStyleLbl="sibTrans2D1" presStyleIdx="2" presStyleCnt="3"/>
      <dgm:spPr/>
    </dgm:pt>
    <dgm:pt modelId="{A258AE11-FE39-4A6F-8851-4899B17AE4BA}" type="pres">
      <dgm:prSet presAssocID="{96DC3483-755F-4637-A91B-5886BBDEFB32}" presName="node" presStyleLbl="node1" presStyleIdx="3" presStyleCnt="4">
        <dgm:presLayoutVars>
          <dgm:bulletEnabled val="1"/>
        </dgm:presLayoutVars>
      </dgm:prSet>
      <dgm:spPr/>
    </dgm:pt>
  </dgm:ptLst>
  <dgm:cxnLst>
    <dgm:cxn modelId="{3B6AF104-49B3-47B5-A40B-76CA39CC1E07}" type="presOf" srcId="{8BFDFAAF-30D0-47E8-99FB-440B1DE2C0AA}" destId="{51689EE0-3B02-4DED-AB6F-53A930FFC904}" srcOrd="0" destOrd="0" presId="urn:microsoft.com/office/officeart/2005/8/layout/process1"/>
    <dgm:cxn modelId="{7DA1100B-152D-4D13-8396-54F5B8A015D4}" srcId="{1071E58E-6871-4476-AF50-47F0B74D0A32}" destId="{76DF4660-149D-4AF3-AB41-F9A636BA7AB0}" srcOrd="0" destOrd="0" parTransId="{6BA1C371-2187-48AB-ADBB-93CA3ED59CC8}" sibTransId="{E72A586F-0A6F-48E3-9052-C752215EC468}"/>
    <dgm:cxn modelId="{9B79210C-41AC-4C74-B54E-76DB87134552}" type="presOf" srcId="{AF3AC9D3-31A8-49B0-B5CE-8A6DFE21E4C0}" destId="{58AE3348-4151-4BDA-9964-1A9D4A8D1996}" srcOrd="1" destOrd="0" presId="urn:microsoft.com/office/officeart/2005/8/layout/process1"/>
    <dgm:cxn modelId="{002EC919-0579-4318-B9FC-3AA17573F15C}" srcId="{1071E58E-6871-4476-AF50-47F0B74D0A32}" destId="{3B3019D0-6A6A-43D9-B51E-5B1B9ECBD6BD}" srcOrd="2" destOrd="0" parTransId="{BD5BCBBD-3F74-436C-9ED1-10CF6C167A1B}" sibTransId="{8BFDFAAF-30D0-47E8-99FB-440B1DE2C0AA}"/>
    <dgm:cxn modelId="{AA7CEC2B-CDB5-424F-948F-FB7058CA6054}" type="presOf" srcId="{E72A586F-0A6F-48E3-9052-C752215EC468}" destId="{77CC2ECB-40E0-4B98-96B0-7004D542CE56}" srcOrd="0" destOrd="0" presId="urn:microsoft.com/office/officeart/2005/8/layout/process1"/>
    <dgm:cxn modelId="{D8BFDE34-E8F2-4C23-A3E0-3CFF49DE8F81}" type="presOf" srcId="{01015406-4470-423F-B5EC-6C08B135EB8A}" destId="{644D9A73-7014-4687-B07D-90FB47083D93}" srcOrd="0" destOrd="0" presId="urn:microsoft.com/office/officeart/2005/8/layout/process1"/>
    <dgm:cxn modelId="{49DFA94D-51DB-4749-AD6B-32591231B62B}" type="presOf" srcId="{AF3AC9D3-31A8-49B0-B5CE-8A6DFE21E4C0}" destId="{3AFC2411-85E0-4E83-8ED4-BCE66BA3D441}" srcOrd="0" destOrd="0" presId="urn:microsoft.com/office/officeart/2005/8/layout/process1"/>
    <dgm:cxn modelId="{96432B6E-4F4E-48E0-813F-66340E074440}" type="presOf" srcId="{3B3019D0-6A6A-43D9-B51E-5B1B9ECBD6BD}" destId="{DF82FC78-8E6B-4224-885F-52D8AAE03963}" srcOrd="0" destOrd="0" presId="urn:microsoft.com/office/officeart/2005/8/layout/process1"/>
    <dgm:cxn modelId="{48B87C59-84F3-4FB5-AE35-EBCDCDF7634F}" type="presOf" srcId="{1071E58E-6871-4476-AF50-47F0B74D0A32}" destId="{4460577C-3AAC-470A-AF1E-D612BA9ABD7E}" srcOrd="0" destOrd="0" presId="urn:microsoft.com/office/officeart/2005/8/layout/process1"/>
    <dgm:cxn modelId="{25ECF184-8C9F-4494-9A2D-ABCAEB140D96}" type="presOf" srcId="{E72A586F-0A6F-48E3-9052-C752215EC468}" destId="{01420B8C-5CB3-42AC-894D-8596AC0D1354}" srcOrd="1" destOrd="0" presId="urn:microsoft.com/office/officeart/2005/8/layout/process1"/>
    <dgm:cxn modelId="{66DD9489-A69E-4F12-B70C-7756C5AA1069}" type="presOf" srcId="{76DF4660-149D-4AF3-AB41-F9A636BA7AB0}" destId="{45A6817C-02C8-427E-8634-EA0C8B336F1D}" srcOrd="0" destOrd="0" presId="urn:microsoft.com/office/officeart/2005/8/layout/process1"/>
    <dgm:cxn modelId="{DC59AAB6-3F62-4D03-B1FB-6D683CD5D93D}" type="presOf" srcId="{96DC3483-755F-4637-A91B-5886BBDEFB32}" destId="{A258AE11-FE39-4A6F-8851-4899B17AE4BA}" srcOrd="0" destOrd="0" presId="urn:microsoft.com/office/officeart/2005/8/layout/process1"/>
    <dgm:cxn modelId="{C3D5E4CD-E3B3-43B0-9ED7-5BCAF03B3286}" type="presOf" srcId="{8BFDFAAF-30D0-47E8-99FB-440B1DE2C0AA}" destId="{6DA8B99F-E3C5-4DE5-8D0D-1AC7E14D0FF6}" srcOrd="1" destOrd="0" presId="urn:microsoft.com/office/officeart/2005/8/layout/process1"/>
    <dgm:cxn modelId="{5DD2C4D6-6D56-4FF4-85A2-29DAC88F4BD4}" srcId="{1071E58E-6871-4476-AF50-47F0B74D0A32}" destId="{96DC3483-755F-4637-A91B-5886BBDEFB32}" srcOrd="3" destOrd="0" parTransId="{87F8B358-3906-4300-A36F-13DA7277DC3B}" sibTransId="{62178F67-969A-40A4-B1A2-92D2ABD38077}"/>
    <dgm:cxn modelId="{540F26E5-EC15-429D-A155-E33C82DC2D8C}" srcId="{1071E58E-6871-4476-AF50-47F0B74D0A32}" destId="{01015406-4470-423F-B5EC-6C08B135EB8A}" srcOrd="1" destOrd="0" parTransId="{3CD13DE3-C8A0-4FF3-9285-A542EA1C80D4}" sibTransId="{AF3AC9D3-31A8-49B0-B5CE-8A6DFE21E4C0}"/>
    <dgm:cxn modelId="{C4C257E7-110B-42F4-B60D-C3C8356F1443}" type="presParOf" srcId="{4460577C-3AAC-470A-AF1E-D612BA9ABD7E}" destId="{45A6817C-02C8-427E-8634-EA0C8B336F1D}" srcOrd="0" destOrd="0" presId="urn:microsoft.com/office/officeart/2005/8/layout/process1"/>
    <dgm:cxn modelId="{C54DA185-1E4B-4C8F-BB1D-1B6A48868E22}" type="presParOf" srcId="{4460577C-3AAC-470A-AF1E-D612BA9ABD7E}" destId="{77CC2ECB-40E0-4B98-96B0-7004D542CE56}" srcOrd="1" destOrd="0" presId="urn:microsoft.com/office/officeart/2005/8/layout/process1"/>
    <dgm:cxn modelId="{22540A28-004B-4C4F-8A63-ABA2E71B5531}" type="presParOf" srcId="{77CC2ECB-40E0-4B98-96B0-7004D542CE56}" destId="{01420B8C-5CB3-42AC-894D-8596AC0D1354}" srcOrd="0" destOrd="0" presId="urn:microsoft.com/office/officeart/2005/8/layout/process1"/>
    <dgm:cxn modelId="{6C89D37F-EB68-4FFF-BF87-BB5A7080F851}" type="presParOf" srcId="{4460577C-3AAC-470A-AF1E-D612BA9ABD7E}" destId="{644D9A73-7014-4687-B07D-90FB47083D93}" srcOrd="2" destOrd="0" presId="urn:microsoft.com/office/officeart/2005/8/layout/process1"/>
    <dgm:cxn modelId="{104E9F2D-47CC-4BE5-88FC-A8DB02A009D2}" type="presParOf" srcId="{4460577C-3AAC-470A-AF1E-D612BA9ABD7E}" destId="{3AFC2411-85E0-4E83-8ED4-BCE66BA3D441}" srcOrd="3" destOrd="0" presId="urn:microsoft.com/office/officeart/2005/8/layout/process1"/>
    <dgm:cxn modelId="{53C601CA-8A7A-4500-864D-2FD68FAE7038}" type="presParOf" srcId="{3AFC2411-85E0-4E83-8ED4-BCE66BA3D441}" destId="{58AE3348-4151-4BDA-9964-1A9D4A8D1996}" srcOrd="0" destOrd="0" presId="urn:microsoft.com/office/officeart/2005/8/layout/process1"/>
    <dgm:cxn modelId="{BF3C9340-E6D6-4440-9CFB-B42CEA8ED27D}" type="presParOf" srcId="{4460577C-3AAC-470A-AF1E-D612BA9ABD7E}" destId="{DF82FC78-8E6B-4224-885F-52D8AAE03963}" srcOrd="4" destOrd="0" presId="urn:microsoft.com/office/officeart/2005/8/layout/process1"/>
    <dgm:cxn modelId="{CEE4B7FB-FF73-4B68-9F72-DF7B52CD184F}" type="presParOf" srcId="{4460577C-3AAC-470A-AF1E-D612BA9ABD7E}" destId="{51689EE0-3B02-4DED-AB6F-53A930FFC904}" srcOrd="5" destOrd="0" presId="urn:microsoft.com/office/officeart/2005/8/layout/process1"/>
    <dgm:cxn modelId="{0C48118B-F6AC-4B1B-8FF2-6CC23FACE8E5}" type="presParOf" srcId="{51689EE0-3B02-4DED-AB6F-53A930FFC904}" destId="{6DA8B99F-E3C5-4DE5-8D0D-1AC7E14D0FF6}" srcOrd="0" destOrd="0" presId="urn:microsoft.com/office/officeart/2005/8/layout/process1"/>
    <dgm:cxn modelId="{6EF6570B-C222-453B-A05E-82A9CAF3315C}" type="presParOf" srcId="{4460577C-3AAC-470A-AF1E-D612BA9ABD7E}" destId="{A258AE11-FE39-4A6F-8851-4899B17AE4BA}" srcOrd="6" destOrd="0" presId="urn:microsoft.com/office/officeart/2005/8/layout/process1"/>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5A6817C-02C8-427E-8634-EA0C8B336F1D}">
      <dsp:nvSpPr>
        <dsp:cNvPr id="0" name=""/>
        <dsp:cNvSpPr/>
      </dsp:nvSpPr>
      <dsp:spPr>
        <a:xfrm>
          <a:off x="2360" y="418987"/>
          <a:ext cx="1032188" cy="12289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Stage I (T1c) - III breast cancer patient receives chemotherapy</a:t>
          </a:r>
        </a:p>
      </dsp:txBody>
      <dsp:txXfrm>
        <a:off x="32592" y="449219"/>
        <a:ext cx="971724" cy="1168485"/>
      </dsp:txXfrm>
    </dsp:sp>
    <dsp:sp modelId="{77CC2ECB-40E0-4B98-96B0-7004D542CE56}">
      <dsp:nvSpPr>
        <dsp:cNvPr id="0" name=""/>
        <dsp:cNvSpPr/>
      </dsp:nvSpPr>
      <dsp:spPr>
        <a:xfrm>
          <a:off x="1137767" y="905471"/>
          <a:ext cx="218823" cy="2559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00050">
            <a:lnSpc>
              <a:spcPct val="90000"/>
            </a:lnSpc>
            <a:spcBef>
              <a:spcPct val="0"/>
            </a:spcBef>
            <a:spcAft>
              <a:spcPct val="35000"/>
            </a:spcAft>
            <a:buNone/>
          </a:pPr>
          <a:endParaRPr lang="en-US" sz="900" kern="1200"/>
        </a:p>
      </dsp:txBody>
      <dsp:txXfrm>
        <a:off x="1137767" y="956667"/>
        <a:ext cx="153176" cy="153590"/>
      </dsp:txXfrm>
    </dsp:sp>
    <dsp:sp modelId="{644D9A73-7014-4687-B07D-90FB47083D93}">
      <dsp:nvSpPr>
        <dsp:cNvPr id="0" name=""/>
        <dsp:cNvSpPr/>
      </dsp:nvSpPr>
      <dsp:spPr>
        <a:xfrm>
          <a:off x="1447424" y="418987"/>
          <a:ext cx="1032188" cy="12289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Stage I (T1c) - III breast cancer patient receiving chemotherapy is identified as HER2 positive</a:t>
          </a:r>
        </a:p>
      </dsp:txBody>
      <dsp:txXfrm>
        <a:off x="1477656" y="449219"/>
        <a:ext cx="971724" cy="1168485"/>
      </dsp:txXfrm>
    </dsp:sp>
    <dsp:sp modelId="{3AFC2411-85E0-4E83-8ED4-BCE66BA3D441}">
      <dsp:nvSpPr>
        <dsp:cNvPr id="0" name=""/>
        <dsp:cNvSpPr/>
      </dsp:nvSpPr>
      <dsp:spPr>
        <a:xfrm>
          <a:off x="2582831" y="905471"/>
          <a:ext cx="218823" cy="2559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00050">
            <a:lnSpc>
              <a:spcPct val="90000"/>
            </a:lnSpc>
            <a:spcBef>
              <a:spcPct val="0"/>
            </a:spcBef>
            <a:spcAft>
              <a:spcPct val="35000"/>
            </a:spcAft>
            <a:buNone/>
          </a:pPr>
          <a:endParaRPr lang="en-US" sz="900" kern="1200"/>
        </a:p>
      </dsp:txBody>
      <dsp:txXfrm>
        <a:off x="2582831" y="956667"/>
        <a:ext cx="153176" cy="153590"/>
      </dsp:txXfrm>
    </dsp:sp>
    <dsp:sp modelId="{DF82FC78-8E6B-4224-885F-52D8AAE03963}">
      <dsp:nvSpPr>
        <dsp:cNvPr id="0" name=""/>
        <dsp:cNvSpPr/>
      </dsp:nvSpPr>
      <dsp:spPr>
        <a:xfrm>
          <a:off x="2892487" y="418987"/>
          <a:ext cx="1032188" cy="12289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Breast cancer patient is adminstered trastuzumab within 12 months of diagnosis</a:t>
          </a:r>
        </a:p>
      </dsp:txBody>
      <dsp:txXfrm>
        <a:off x="2922719" y="449219"/>
        <a:ext cx="971724" cy="1168485"/>
      </dsp:txXfrm>
    </dsp:sp>
    <dsp:sp modelId="{51689EE0-3B02-4DED-AB6F-53A930FFC904}">
      <dsp:nvSpPr>
        <dsp:cNvPr id="0" name=""/>
        <dsp:cNvSpPr/>
      </dsp:nvSpPr>
      <dsp:spPr>
        <a:xfrm>
          <a:off x="4027894" y="905471"/>
          <a:ext cx="218823" cy="25598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00050">
            <a:lnSpc>
              <a:spcPct val="90000"/>
            </a:lnSpc>
            <a:spcBef>
              <a:spcPct val="0"/>
            </a:spcBef>
            <a:spcAft>
              <a:spcPct val="35000"/>
            </a:spcAft>
            <a:buNone/>
          </a:pPr>
          <a:endParaRPr lang="en-US" sz="900" kern="1200"/>
        </a:p>
      </dsp:txBody>
      <dsp:txXfrm>
        <a:off x="4027894" y="956667"/>
        <a:ext cx="153176" cy="153590"/>
      </dsp:txXfrm>
    </dsp:sp>
    <dsp:sp modelId="{A258AE11-FE39-4A6F-8851-4899B17AE4BA}">
      <dsp:nvSpPr>
        <dsp:cNvPr id="0" name=""/>
        <dsp:cNvSpPr/>
      </dsp:nvSpPr>
      <dsp:spPr>
        <a:xfrm>
          <a:off x="4337551" y="418987"/>
          <a:ext cx="1032188" cy="1228949"/>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US" sz="1100" kern="1200"/>
            <a:t>Patient's disease free survival and overall survival are improved</a:t>
          </a:r>
        </a:p>
      </dsp:txBody>
      <dsp:txXfrm>
        <a:off x="4367783" y="449219"/>
        <a:ext cx="971724" cy="1168485"/>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1E91D4220034A64A72268AE9C6EBC95"/>
        <w:category>
          <w:name w:val="General"/>
          <w:gallery w:val="placeholder"/>
        </w:category>
        <w:types>
          <w:type w:val="bbPlcHdr"/>
        </w:types>
        <w:behaviors>
          <w:behavior w:val="content"/>
        </w:behaviors>
        <w:guid w:val="{16E6F6D5-FBA9-4F7A-993E-1061F6F5ECD2}"/>
      </w:docPartPr>
      <w:docPartBody>
        <w:p w:rsidR="00C2797F" w:rsidRDefault="005F21F3" w:rsidP="005F21F3">
          <w:pPr>
            <w:pStyle w:val="61E91D4220034A64A72268AE9C6EBC955"/>
          </w:pPr>
          <w:r w:rsidRPr="003B1CC5">
            <w:rPr>
              <w:rStyle w:val="PlaceholderText"/>
              <w:rFonts w:cstheme="minorHAnsi"/>
              <w:color w:val="A6A6A6" w:themeColor="background1" w:themeShade="A6"/>
            </w:rPr>
            <w:t>Click here to enter measure title</w:t>
          </w:r>
        </w:p>
      </w:docPartBody>
    </w:docPart>
    <w:docPart>
      <w:docPartPr>
        <w:name w:val="6A100845774148B09AFD987423307E3B"/>
        <w:category>
          <w:name w:val="General"/>
          <w:gallery w:val="placeholder"/>
        </w:category>
        <w:types>
          <w:type w:val="bbPlcHdr"/>
        </w:types>
        <w:behaviors>
          <w:behavior w:val="content"/>
        </w:behaviors>
        <w:guid w:val="{C93BDEBB-5C33-4CF3-AFAC-47EC13EA404C}"/>
      </w:docPartPr>
      <w:docPartBody>
        <w:p w:rsidR="00C2797F" w:rsidRDefault="005F21F3" w:rsidP="005F21F3">
          <w:pPr>
            <w:pStyle w:val="6A100845774148B09AFD987423307E3B5"/>
          </w:pPr>
          <w:r w:rsidRPr="003B1CC5">
            <w:rPr>
              <w:rStyle w:val="PlaceholderText"/>
              <w:rFonts w:cstheme="minorHAnsi"/>
              <w:color w:val="A6A6A6" w:themeColor="background1" w:themeShade="A6"/>
            </w:rPr>
            <w:t>Click here to enter a date</w:t>
          </w:r>
        </w:p>
      </w:docPartBody>
    </w:docPart>
    <w:docPart>
      <w:docPartPr>
        <w:name w:val="8924E7CB4D5C4CC4905BEA5FE80343E5"/>
        <w:category>
          <w:name w:val="General"/>
          <w:gallery w:val="placeholder"/>
        </w:category>
        <w:types>
          <w:type w:val="bbPlcHdr"/>
        </w:types>
        <w:behaviors>
          <w:behavior w:val="content"/>
        </w:behaviors>
        <w:guid w:val="{2370C905-DBFD-41F3-8967-63518602B157}"/>
      </w:docPartPr>
      <w:docPartBody>
        <w:p w:rsidR="00160241" w:rsidRDefault="005F21F3" w:rsidP="005F21F3">
          <w:pPr>
            <w:pStyle w:val="8924E7CB4D5C4CC4905BEA5FE80343E53"/>
          </w:pPr>
          <w:r w:rsidRPr="003B1CC5">
            <w:rPr>
              <w:rStyle w:val="PlaceholderText"/>
              <w:rFonts w:cstheme="minorHAnsi"/>
              <w:color w:val="A6A6A6" w:themeColor="background1" w:themeShade="A6"/>
            </w:rPr>
            <w:t>Click here to enter composite measure #/ title</w:t>
          </w:r>
        </w:p>
      </w:docPartBody>
    </w:docPart>
    <w:docPart>
      <w:docPartPr>
        <w:name w:val="AB1B0578B87C4E9EA043F449B0E6989F"/>
        <w:category>
          <w:name w:val="General"/>
          <w:gallery w:val="placeholder"/>
        </w:category>
        <w:types>
          <w:type w:val="bbPlcHdr"/>
        </w:types>
        <w:behaviors>
          <w:behavior w:val="content"/>
        </w:behaviors>
        <w:guid w:val="{A95D2EEA-3EEB-40FF-BC18-D5CD98C305C8}"/>
      </w:docPartPr>
      <w:docPartBody>
        <w:p w:rsidR="00BE0F2D" w:rsidRDefault="005F21F3" w:rsidP="005F21F3">
          <w:pPr>
            <w:pStyle w:val="AB1B0578B87C4E9EA043F449B0E6989F2"/>
          </w:pPr>
          <w:r w:rsidRPr="003B1CC5">
            <w:rPr>
              <w:rStyle w:val="PlaceholderText"/>
            </w:rPr>
            <w:t>Click here to enter NQF number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00"/>
    <w:family w:val="auto"/>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C30A1"/>
    <w:rsid w:val="00160241"/>
    <w:rsid w:val="001F47A0"/>
    <w:rsid w:val="002746D0"/>
    <w:rsid w:val="002B5F47"/>
    <w:rsid w:val="003A1E4B"/>
    <w:rsid w:val="00455EB5"/>
    <w:rsid w:val="00461C1C"/>
    <w:rsid w:val="004E2027"/>
    <w:rsid w:val="005F21F3"/>
    <w:rsid w:val="008F6A9B"/>
    <w:rsid w:val="00A43893"/>
    <w:rsid w:val="00A77B15"/>
    <w:rsid w:val="00A8186E"/>
    <w:rsid w:val="00BE0F2D"/>
    <w:rsid w:val="00C03643"/>
    <w:rsid w:val="00C2797F"/>
    <w:rsid w:val="00C80225"/>
    <w:rsid w:val="00D228C9"/>
    <w:rsid w:val="00D2552B"/>
    <w:rsid w:val="00D75B64"/>
    <w:rsid w:val="00DB5324"/>
    <w:rsid w:val="00E97654"/>
    <w:rsid w:val="00EA555A"/>
    <w:rsid w:val="00F87EB9"/>
    <w:rsid w:val="00FC30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EB6041B"/>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F21F3"/>
    <w:rPr>
      <w:color w:val="808080"/>
    </w:rPr>
  </w:style>
  <w:style w:type="paragraph" w:customStyle="1" w:styleId="61E91D4220034A64A72268AE9C6EBC95">
    <w:name w:val="61E91D4220034A64A72268AE9C6EBC95"/>
    <w:rsid w:val="00FC30A1"/>
  </w:style>
  <w:style w:type="paragraph" w:customStyle="1" w:styleId="6A100845774148B09AFD987423307E3B">
    <w:name w:val="6A100845774148B09AFD987423307E3B"/>
    <w:rsid w:val="00FC30A1"/>
  </w:style>
  <w:style w:type="paragraph" w:customStyle="1" w:styleId="B59CD9F2DCBD416F8DD4ACE1656AAD1E">
    <w:name w:val="B59CD9F2DCBD416F8DD4ACE1656AAD1E"/>
    <w:rsid w:val="00FC30A1"/>
  </w:style>
  <w:style w:type="paragraph" w:customStyle="1" w:styleId="8ED943CC099849739225897FA985A43B">
    <w:name w:val="8ED943CC099849739225897FA985A43B"/>
    <w:rsid w:val="00FC30A1"/>
  </w:style>
  <w:style w:type="paragraph" w:customStyle="1" w:styleId="FE39700CCB674637AE5F6C6E2061646C">
    <w:name w:val="FE39700CCB674637AE5F6C6E2061646C"/>
    <w:rsid w:val="00FC30A1"/>
  </w:style>
  <w:style w:type="paragraph" w:customStyle="1" w:styleId="7B079A827B8044F6A41B2928311FF845">
    <w:name w:val="7B079A827B8044F6A41B2928311FF845"/>
    <w:rsid w:val="00FC30A1"/>
  </w:style>
  <w:style w:type="paragraph" w:customStyle="1" w:styleId="7AD354A3534E470A93D37CC867B6592A">
    <w:name w:val="7AD354A3534E470A93D37CC867B6592A"/>
    <w:rsid w:val="00FC30A1"/>
  </w:style>
  <w:style w:type="paragraph" w:customStyle="1" w:styleId="E4B3B6CDCBD242798A4970CADFA5E45C">
    <w:name w:val="E4B3B6CDCBD242798A4970CADFA5E45C"/>
    <w:rsid w:val="00FC30A1"/>
  </w:style>
  <w:style w:type="paragraph" w:customStyle="1" w:styleId="83C1F2711A1D449CA51A71C971CF21CF">
    <w:name w:val="83C1F2711A1D449CA51A71C971CF21CF"/>
    <w:rsid w:val="00FC30A1"/>
  </w:style>
  <w:style w:type="paragraph" w:customStyle="1" w:styleId="02A26E1EFA164EA1871864CD9111681B">
    <w:name w:val="02A26E1EFA164EA1871864CD9111681B"/>
    <w:rsid w:val="00FC30A1"/>
  </w:style>
  <w:style w:type="paragraph" w:customStyle="1" w:styleId="3D9FB160D9F84384B14F2A497B2D7AAC">
    <w:name w:val="3D9FB160D9F84384B14F2A497B2D7AAC"/>
    <w:rsid w:val="00FC30A1"/>
  </w:style>
  <w:style w:type="paragraph" w:customStyle="1" w:styleId="6B50521F14D742858FCF97254FD58AC4">
    <w:name w:val="6B50521F14D742858FCF97254FD58AC4"/>
    <w:rsid w:val="00FC30A1"/>
  </w:style>
  <w:style w:type="paragraph" w:customStyle="1" w:styleId="61E91D4220034A64A72268AE9C6EBC951">
    <w:name w:val="61E91D4220034A64A72268AE9C6EBC951"/>
    <w:rsid w:val="00C2797F"/>
    <w:pPr>
      <w:spacing w:after="0" w:line="240" w:lineRule="auto"/>
      <w:ind w:left="360" w:hanging="360"/>
    </w:pPr>
    <w:rPr>
      <w:rFonts w:eastAsiaTheme="minorHAnsi"/>
    </w:rPr>
  </w:style>
  <w:style w:type="paragraph" w:customStyle="1" w:styleId="6A100845774148B09AFD987423307E3B1">
    <w:name w:val="6A100845774148B09AFD987423307E3B1"/>
    <w:rsid w:val="00C2797F"/>
    <w:pPr>
      <w:spacing w:after="0" w:line="240" w:lineRule="auto"/>
      <w:ind w:left="360" w:hanging="360"/>
    </w:pPr>
    <w:rPr>
      <w:rFonts w:eastAsiaTheme="minorHAnsi"/>
    </w:rPr>
  </w:style>
  <w:style w:type="paragraph" w:customStyle="1" w:styleId="B59CD9F2DCBD416F8DD4ACE1656AAD1E1">
    <w:name w:val="B59CD9F2DCBD416F8DD4ACE1656AAD1E1"/>
    <w:rsid w:val="00C2797F"/>
    <w:pPr>
      <w:spacing w:after="0" w:line="240" w:lineRule="auto"/>
      <w:ind w:left="360" w:hanging="360"/>
    </w:pPr>
    <w:rPr>
      <w:rFonts w:eastAsiaTheme="minorHAnsi"/>
    </w:rPr>
  </w:style>
  <w:style w:type="paragraph" w:customStyle="1" w:styleId="8ED943CC099849739225897FA985A43B1">
    <w:name w:val="8ED943CC099849739225897FA985A43B1"/>
    <w:rsid w:val="00C2797F"/>
    <w:pPr>
      <w:spacing w:after="0" w:line="240" w:lineRule="auto"/>
      <w:ind w:left="360" w:hanging="360"/>
    </w:pPr>
    <w:rPr>
      <w:rFonts w:eastAsiaTheme="minorHAnsi"/>
    </w:rPr>
  </w:style>
  <w:style w:type="paragraph" w:customStyle="1" w:styleId="FE39700CCB674637AE5F6C6E2061646C1">
    <w:name w:val="FE39700CCB674637AE5F6C6E2061646C1"/>
    <w:rsid w:val="00C2797F"/>
    <w:pPr>
      <w:spacing w:after="0" w:line="240" w:lineRule="auto"/>
      <w:ind w:left="360" w:hanging="360"/>
    </w:pPr>
    <w:rPr>
      <w:rFonts w:eastAsiaTheme="minorHAnsi"/>
    </w:rPr>
  </w:style>
  <w:style w:type="paragraph" w:customStyle="1" w:styleId="7B079A827B8044F6A41B2928311FF8451">
    <w:name w:val="7B079A827B8044F6A41B2928311FF8451"/>
    <w:rsid w:val="00C2797F"/>
    <w:pPr>
      <w:spacing w:after="0" w:line="240" w:lineRule="auto"/>
      <w:ind w:left="360" w:hanging="360"/>
    </w:pPr>
    <w:rPr>
      <w:rFonts w:eastAsiaTheme="minorHAnsi"/>
    </w:rPr>
  </w:style>
  <w:style w:type="paragraph" w:customStyle="1" w:styleId="7AD354A3534E470A93D37CC867B6592A1">
    <w:name w:val="7AD354A3534E470A93D37CC867B6592A1"/>
    <w:rsid w:val="00C2797F"/>
    <w:pPr>
      <w:spacing w:after="0" w:line="240" w:lineRule="auto"/>
      <w:ind w:left="360" w:hanging="360"/>
    </w:pPr>
    <w:rPr>
      <w:rFonts w:eastAsiaTheme="minorHAnsi"/>
    </w:rPr>
  </w:style>
  <w:style w:type="paragraph" w:customStyle="1" w:styleId="D7595CF80D4D484686C7EB51E001CF5E">
    <w:name w:val="D7595CF80D4D484686C7EB51E001CF5E"/>
    <w:rsid w:val="00C2797F"/>
    <w:pPr>
      <w:spacing w:after="0" w:line="240" w:lineRule="auto"/>
      <w:ind w:left="360" w:hanging="360"/>
    </w:pPr>
    <w:rPr>
      <w:rFonts w:eastAsiaTheme="minorHAnsi"/>
    </w:rPr>
  </w:style>
  <w:style w:type="paragraph" w:customStyle="1" w:styleId="1FB0BFDDF2E04426AA7D3CB9F5B78DEE">
    <w:name w:val="1FB0BFDDF2E04426AA7D3CB9F5B78DEE"/>
    <w:rsid w:val="00C2797F"/>
    <w:pPr>
      <w:tabs>
        <w:tab w:val="center" w:pos="4680"/>
        <w:tab w:val="right" w:pos="9360"/>
      </w:tabs>
      <w:spacing w:after="0" w:line="240" w:lineRule="auto"/>
      <w:ind w:left="360" w:hanging="360"/>
    </w:pPr>
    <w:rPr>
      <w:rFonts w:eastAsiaTheme="minorHAnsi"/>
    </w:rPr>
  </w:style>
  <w:style w:type="paragraph" w:customStyle="1" w:styleId="F1560DAC280943FAB9895231379C9EBC">
    <w:name w:val="F1560DAC280943FAB9895231379C9EBC"/>
    <w:rsid w:val="00C2797F"/>
  </w:style>
  <w:style w:type="paragraph" w:customStyle="1" w:styleId="72600D3732554DC083A096F37118546F">
    <w:name w:val="72600D3732554DC083A096F37118546F"/>
    <w:rsid w:val="008F6A9B"/>
  </w:style>
  <w:style w:type="paragraph" w:customStyle="1" w:styleId="D591CFA96B3D49F29BCCC4C398F45B0E">
    <w:name w:val="D591CFA96B3D49F29BCCC4C398F45B0E"/>
    <w:rsid w:val="008F6A9B"/>
  </w:style>
  <w:style w:type="paragraph" w:customStyle="1" w:styleId="61E91D4220034A64A72268AE9C6EBC952">
    <w:name w:val="61E91D4220034A64A72268AE9C6EBC952"/>
    <w:rsid w:val="008F6A9B"/>
    <w:pPr>
      <w:spacing w:after="0" w:line="240" w:lineRule="auto"/>
      <w:ind w:left="360" w:hanging="360"/>
    </w:pPr>
    <w:rPr>
      <w:rFonts w:eastAsiaTheme="minorHAnsi"/>
    </w:rPr>
  </w:style>
  <w:style w:type="paragraph" w:customStyle="1" w:styleId="6A100845774148B09AFD987423307E3B2">
    <w:name w:val="6A100845774148B09AFD987423307E3B2"/>
    <w:rsid w:val="008F6A9B"/>
    <w:pPr>
      <w:spacing w:after="0" w:line="240" w:lineRule="auto"/>
      <w:ind w:left="360" w:hanging="360"/>
    </w:pPr>
    <w:rPr>
      <w:rFonts w:eastAsiaTheme="minorHAnsi"/>
    </w:rPr>
  </w:style>
  <w:style w:type="paragraph" w:customStyle="1" w:styleId="B59CD9F2DCBD416F8DD4ACE1656AAD1E2">
    <w:name w:val="B59CD9F2DCBD416F8DD4ACE1656AAD1E2"/>
    <w:rsid w:val="008F6A9B"/>
    <w:pPr>
      <w:spacing w:after="0" w:line="240" w:lineRule="auto"/>
      <w:ind w:left="360" w:hanging="360"/>
    </w:pPr>
    <w:rPr>
      <w:rFonts w:eastAsiaTheme="minorHAnsi"/>
    </w:rPr>
  </w:style>
  <w:style w:type="paragraph" w:customStyle="1" w:styleId="8ED943CC099849739225897FA985A43B2">
    <w:name w:val="8ED943CC099849739225897FA985A43B2"/>
    <w:rsid w:val="008F6A9B"/>
    <w:pPr>
      <w:spacing w:after="0" w:line="240" w:lineRule="auto"/>
      <w:ind w:left="360" w:hanging="360"/>
    </w:pPr>
    <w:rPr>
      <w:rFonts w:eastAsiaTheme="minorHAnsi"/>
    </w:rPr>
  </w:style>
  <w:style w:type="paragraph" w:customStyle="1" w:styleId="FE39700CCB674637AE5F6C6E2061646C2">
    <w:name w:val="FE39700CCB674637AE5F6C6E2061646C2"/>
    <w:rsid w:val="008F6A9B"/>
    <w:pPr>
      <w:spacing w:after="0" w:line="240" w:lineRule="auto"/>
      <w:ind w:left="360" w:hanging="360"/>
    </w:pPr>
    <w:rPr>
      <w:rFonts w:eastAsiaTheme="minorHAnsi"/>
    </w:rPr>
  </w:style>
  <w:style w:type="paragraph" w:customStyle="1" w:styleId="7B079A827B8044F6A41B2928311FF8452">
    <w:name w:val="7B079A827B8044F6A41B2928311FF8452"/>
    <w:rsid w:val="008F6A9B"/>
    <w:pPr>
      <w:spacing w:after="0" w:line="240" w:lineRule="auto"/>
      <w:ind w:left="360" w:hanging="360"/>
    </w:pPr>
    <w:rPr>
      <w:rFonts w:eastAsiaTheme="minorHAnsi"/>
    </w:rPr>
  </w:style>
  <w:style w:type="paragraph" w:customStyle="1" w:styleId="7AD354A3534E470A93D37CC867B6592A2">
    <w:name w:val="7AD354A3534E470A93D37CC867B6592A2"/>
    <w:rsid w:val="008F6A9B"/>
    <w:pPr>
      <w:spacing w:after="0" w:line="240" w:lineRule="auto"/>
      <w:ind w:left="360" w:hanging="360"/>
    </w:pPr>
    <w:rPr>
      <w:rFonts w:eastAsiaTheme="minorHAnsi"/>
    </w:rPr>
  </w:style>
  <w:style w:type="paragraph" w:customStyle="1" w:styleId="690F238D284B4D6FBB345393104A00B7">
    <w:name w:val="690F238D284B4D6FBB345393104A00B7"/>
    <w:rsid w:val="008F6A9B"/>
    <w:pPr>
      <w:spacing w:after="0" w:line="240" w:lineRule="auto"/>
      <w:ind w:left="360" w:hanging="360"/>
    </w:pPr>
    <w:rPr>
      <w:rFonts w:eastAsiaTheme="minorHAnsi"/>
    </w:rPr>
  </w:style>
  <w:style w:type="paragraph" w:customStyle="1" w:styleId="16055023A8FF46AD93F9B03E59DA7CDD">
    <w:name w:val="16055023A8FF46AD93F9B03E59DA7CDD"/>
    <w:rsid w:val="008F6A9B"/>
    <w:pPr>
      <w:tabs>
        <w:tab w:val="center" w:pos="4680"/>
        <w:tab w:val="right" w:pos="9360"/>
      </w:tabs>
      <w:spacing w:after="0" w:line="240" w:lineRule="auto"/>
      <w:ind w:left="360" w:hanging="360"/>
    </w:pPr>
    <w:rPr>
      <w:rFonts w:eastAsiaTheme="minorHAnsi"/>
    </w:rPr>
  </w:style>
  <w:style w:type="paragraph" w:customStyle="1" w:styleId="8924E7CB4D5C4CC4905BEA5FE80343E5">
    <w:name w:val="8924E7CB4D5C4CC4905BEA5FE80343E5"/>
    <w:rsid w:val="00160241"/>
  </w:style>
  <w:style w:type="paragraph" w:customStyle="1" w:styleId="F30279444DFD4347858F1E4C80B7C67C">
    <w:name w:val="F30279444DFD4347858F1E4C80B7C67C"/>
    <w:rsid w:val="00461C1C"/>
  </w:style>
  <w:style w:type="paragraph" w:customStyle="1" w:styleId="61E91D4220034A64A72268AE9C6EBC953">
    <w:name w:val="61E91D4220034A64A72268AE9C6EBC953"/>
    <w:rsid w:val="00F87EB9"/>
    <w:pPr>
      <w:spacing w:after="0" w:line="240" w:lineRule="auto"/>
      <w:ind w:left="360" w:hanging="360"/>
    </w:pPr>
    <w:rPr>
      <w:rFonts w:eastAsiaTheme="minorHAnsi"/>
    </w:rPr>
  </w:style>
  <w:style w:type="paragraph" w:customStyle="1" w:styleId="8924E7CB4D5C4CC4905BEA5FE80343E51">
    <w:name w:val="8924E7CB4D5C4CC4905BEA5FE80343E51"/>
    <w:rsid w:val="00F87EB9"/>
    <w:pPr>
      <w:spacing w:after="0" w:line="240" w:lineRule="auto"/>
      <w:ind w:left="360" w:hanging="360"/>
    </w:pPr>
    <w:rPr>
      <w:rFonts w:eastAsiaTheme="minorHAnsi"/>
    </w:rPr>
  </w:style>
  <w:style w:type="paragraph" w:customStyle="1" w:styleId="6A100845774148B09AFD987423307E3B3">
    <w:name w:val="6A100845774148B09AFD987423307E3B3"/>
    <w:rsid w:val="00F87EB9"/>
    <w:pPr>
      <w:spacing w:after="0" w:line="240" w:lineRule="auto"/>
      <w:ind w:left="360" w:hanging="360"/>
    </w:pPr>
    <w:rPr>
      <w:rFonts w:eastAsiaTheme="minorHAnsi"/>
    </w:rPr>
  </w:style>
  <w:style w:type="paragraph" w:customStyle="1" w:styleId="041DAD2E359F4FA2848EB67C2E48F029">
    <w:name w:val="041DAD2E359F4FA2848EB67C2E48F029"/>
    <w:rsid w:val="00F87EB9"/>
    <w:pPr>
      <w:spacing w:after="0" w:line="240" w:lineRule="auto"/>
      <w:ind w:left="360" w:hanging="360"/>
    </w:pPr>
    <w:rPr>
      <w:rFonts w:eastAsiaTheme="minorHAnsi"/>
    </w:rPr>
  </w:style>
  <w:style w:type="paragraph" w:customStyle="1" w:styleId="8976851BFEE34EC8AB577B36C7EC1773">
    <w:name w:val="8976851BFEE34EC8AB577B36C7EC1773"/>
    <w:rsid w:val="00F87EB9"/>
    <w:pPr>
      <w:spacing w:after="0" w:line="240" w:lineRule="auto"/>
      <w:ind w:left="360" w:hanging="360"/>
    </w:pPr>
    <w:rPr>
      <w:rFonts w:eastAsiaTheme="minorHAnsi"/>
    </w:rPr>
  </w:style>
  <w:style w:type="paragraph" w:customStyle="1" w:styleId="B89F06B695EF41C8905F2C302ADDC341">
    <w:name w:val="B89F06B695EF41C8905F2C302ADDC341"/>
    <w:rsid w:val="00F87EB9"/>
    <w:pPr>
      <w:spacing w:after="0" w:line="240" w:lineRule="auto"/>
      <w:ind w:left="360" w:hanging="360"/>
    </w:pPr>
    <w:rPr>
      <w:rFonts w:eastAsiaTheme="minorHAnsi"/>
    </w:rPr>
  </w:style>
  <w:style w:type="paragraph" w:customStyle="1" w:styleId="18E069800924413B8B0DCF1E4629BFB3">
    <w:name w:val="18E069800924413B8B0DCF1E4629BFB3"/>
    <w:rsid w:val="00F87EB9"/>
    <w:pPr>
      <w:spacing w:after="0" w:line="240" w:lineRule="auto"/>
      <w:ind w:left="360" w:hanging="360"/>
    </w:pPr>
    <w:rPr>
      <w:rFonts w:eastAsiaTheme="minorHAnsi"/>
    </w:rPr>
  </w:style>
  <w:style w:type="paragraph" w:customStyle="1" w:styleId="2258D32411FA4C08AE3CF99A001894E9">
    <w:name w:val="2258D32411FA4C08AE3CF99A001894E9"/>
    <w:rsid w:val="00F87EB9"/>
    <w:pPr>
      <w:spacing w:after="0" w:line="240" w:lineRule="auto"/>
      <w:ind w:left="360" w:hanging="360"/>
    </w:pPr>
    <w:rPr>
      <w:rFonts w:eastAsiaTheme="minorHAnsi"/>
    </w:rPr>
  </w:style>
  <w:style w:type="paragraph" w:customStyle="1" w:styleId="50D6FDEC50A4467E8187F237C444E603">
    <w:name w:val="50D6FDEC50A4467E8187F237C444E603"/>
    <w:rsid w:val="00F87EB9"/>
    <w:pPr>
      <w:spacing w:after="0" w:line="240" w:lineRule="auto"/>
      <w:ind w:left="360" w:hanging="360"/>
    </w:pPr>
    <w:rPr>
      <w:rFonts w:eastAsiaTheme="minorHAnsi"/>
    </w:rPr>
  </w:style>
  <w:style w:type="paragraph" w:customStyle="1" w:styleId="FE4951A9A79F4E89AADB293907F0FCBF">
    <w:name w:val="FE4951A9A79F4E89AADB293907F0FCBF"/>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1">
    <w:name w:val="FE4951A9A79F4E89AADB293907F0FCBF1"/>
    <w:rsid w:val="00F87EB9"/>
    <w:pPr>
      <w:tabs>
        <w:tab w:val="center" w:pos="4680"/>
        <w:tab w:val="right" w:pos="9360"/>
      </w:tabs>
      <w:spacing w:after="0" w:line="240" w:lineRule="auto"/>
      <w:ind w:left="360" w:hanging="360"/>
    </w:pPr>
    <w:rPr>
      <w:rFonts w:eastAsiaTheme="minorHAnsi"/>
    </w:rPr>
  </w:style>
  <w:style w:type="paragraph" w:customStyle="1" w:styleId="FE4951A9A79F4E89AADB293907F0FCBF2">
    <w:name w:val="FE4951A9A79F4E89AADB293907F0FCBF2"/>
    <w:rsid w:val="00F87EB9"/>
    <w:pPr>
      <w:tabs>
        <w:tab w:val="center" w:pos="4680"/>
        <w:tab w:val="right" w:pos="9360"/>
      </w:tabs>
      <w:spacing w:after="0" w:line="240" w:lineRule="auto"/>
      <w:ind w:left="360" w:hanging="360"/>
    </w:pPr>
    <w:rPr>
      <w:rFonts w:eastAsiaTheme="minorHAnsi"/>
    </w:rPr>
  </w:style>
  <w:style w:type="paragraph" w:customStyle="1" w:styleId="AB1B0578B87C4E9EA043F449B0E6989F">
    <w:name w:val="AB1B0578B87C4E9EA043F449B0E6989F"/>
    <w:rsid w:val="002B5F47"/>
  </w:style>
  <w:style w:type="paragraph" w:customStyle="1" w:styleId="AB1B0578B87C4E9EA043F449B0E6989F1">
    <w:name w:val="AB1B0578B87C4E9EA043F449B0E6989F1"/>
    <w:rsid w:val="002B5F47"/>
    <w:pPr>
      <w:spacing w:after="0" w:line="240" w:lineRule="auto"/>
      <w:ind w:left="360" w:hanging="360"/>
    </w:pPr>
    <w:rPr>
      <w:rFonts w:eastAsiaTheme="minorHAnsi"/>
    </w:rPr>
  </w:style>
  <w:style w:type="paragraph" w:customStyle="1" w:styleId="61E91D4220034A64A72268AE9C6EBC954">
    <w:name w:val="61E91D4220034A64A72268AE9C6EBC954"/>
    <w:rsid w:val="002B5F47"/>
    <w:pPr>
      <w:spacing w:after="0" w:line="240" w:lineRule="auto"/>
      <w:ind w:left="360" w:hanging="360"/>
    </w:pPr>
    <w:rPr>
      <w:rFonts w:eastAsiaTheme="minorHAnsi"/>
    </w:rPr>
  </w:style>
  <w:style w:type="paragraph" w:customStyle="1" w:styleId="8924E7CB4D5C4CC4905BEA5FE80343E52">
    <w:name w:val="8924E7CB4D5C4CC4905BEA5FE80343E52"/>
    <w:rsid w:val="002B5F47"/>
    <w:pPr>
      <w:spacing w:after="0" w:line="240" w:lineRule="auto"/>
      <w:ind w:left="360" w:hanging="360"/>
    </w:pPr>
    <w:rPr>
      <w:rFonts w:eastAsiaTheme="minorHAnsi"/>
    </w:rPr>
  </w:style>
  <w:style w:type="paragraph" w:customStyle="1" w:styleId="6A100845774148B09AFD987423307E3B4">
    <w:name w:val="6A100845774148B09AFD987423307E3B4"/>
    <w:rsid w:val="002B5F47"/>
    <w:pPr>
      <w:spacing w:after="0" w:line="240" w:lineRule="auto"/>
      <w:ind w:left="360" w:hanging="360"/>
    </w:pPr>
    <w:rPr>
      <w:rFonts w:eastAsiaTheme="minorHAnsi"/>
    </w:rPr>
  </w:style>
  <w:style w:type="paragraph" w:customStyle="1" w:styleId="9D75847318FD4C758784349FFB06DC38">
    <w:name w:val="9D75847318FD4C758784349FFB06DC38"/>
    <w:rsid w:val="002B5F47"/>
    <w:pPr>
      <w:spacing w:after="0" w:line="240" w:lineRule="auto"/>
      <w:ind w:left="360" w:hanging="360"/>
    </w:pPr>
    <w:rPr>
      <w:rFonts w:eastAsiaTheme="minorHAnsi"/>
    </w:rPr>
  </w:style>
  <w:style w:type="paragraph" w:customStyle="1" w:styleId="2B99015EBC8C42E59EAF748FDFC94310">
    <w:name w:val="2B99015EBC8C42E59EAF748FDFC94310"/>
    <w:rsid w:val="002B5F47"/>
    <w:pPr>
      <w:spacing w:after="0" w:line="240" w:lineRule="auto"/>
      <w:ind w:left="360" w:hanging="360"/>
    </w:pPr>
    <w:rPr>
      <w:rFonts w:eastAsiaTheme="minorHAnsi"/>
    </w:rPr>
  </w:style>
  <w:style w:type="paragraph" w:customStyle="1" w:styleId="B238509E1F334D88A227ED52EA5BF893">
    <w:name w:val="B238509E1F334D88A227ED52EA5BF893"/>
    <w:rsid w:val="002B5F47"/>
    <w:pPr>
      <w:spacing w:after="0" w:line="240" w:lineRule="auto"/>
      <w:ind w:left="360" w:hanging="360"/>
    </w:pPr>
    <w:rPr>
      <w:rFonts w:eastAsiaTheme="minorHAnsi"/>
    </w:rPr>
  </w:style>
  <w:style w:type="paragraph" w:customStyle="1" w:styleId="6FD8CFA6B3E24BCD87EAA8CD44E95587">
    <w:name w:val="6FD8CFA6B3E24BCD87EAA8CD44E95587"/>
    <w:rsid w:val="002B5F47"/>
    <w:pPr>
      <w:spacing w:after="0" w:line="240" w:lineRule="auto"/>
      <w:ind w:left="360" w:hanging="360"/>
    </w:pPr>
    <w:rPr>
      <w:rFonts w:eastAsiaTheme="minorHAnsi"/>
    </w:rPr>
  </w:style>
  <w:style w:type="paragraph" w:customStyle="1" w:styleId="2B38FBE0E45547A4943ABCE42B70AADA">
    <w:name w:val="2B38FBE0E45547A4943ABCE42B70AADA"/>
    <w:rsid w:val="002B5F47"/>
    <w:pPr>
      <w:spacing w:after="0" w:line="240" w:lineRule="auto"/>
      <w:ind w:left="360" w:hanging="360"/>
    </w:pPr>
    <w:rPr>
      <w:rFonts w:eastAsiaTheme="minorHAnsi"/>
    </w:rPr>
  </w:style>
  <w:style w:type="paragraph" w:customStyle="1" w:styleId="7CCD991507AC445D9F97128E4909AC5D">
    <w:name w:val="7CCD991507AC445D9F97128E4909AC5D"/>
    <w:rsid w:val="002B5F47"/>
    <w:pPr>
      <w:spacing w:after="0" w:line="240" w:lineRule="auto"/>
      <w:ind w:left="360" w:hanging="360"/>
    </w:pPr>
    <w:rPr>
      <w:rFonts w:eastAsiaTheme="minorHAnsi"/>
    </w:rPr>
  </w:style>
  <w:style w:type="paragraph" w:customStyle="1" w:styleId="C159F3E80A2E45EF9EE3AB3F0528C605">
    <w:name w:val="C159F3E80A2E45EF9EE3AB3F0528C605"/>
    <w:rsid w:val="002B5F47"/>
    <w:pPr>
      <w:spacing w:after="0" w:line="240" w:lineRule="auto"/>
      <w:ind w:left="360" w:hanging="360"/>
    </w:pPr>
    <w:rPr>
      <w:rFonts w:eastAsiaTheme="minorHAnsi"/>
    </w:rPr>
  </w:style>
  <w:style w:type="paragraph" w:customStyle="1" w:styleId="F166DE160DBD4651BD173FF69E398136">
    <w:name w:val="F166DE160DBD4651BD173FF69E398136"/>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1">
    <w:name w:val="F166DE160DBD4651BD173FF69E3981361"/>
    <w:rsid w:val="002B5F47"/>
    <w:pPr>
      <w:tabs>
        <w:tab w:val="center" w:pos="4680"/>
        <w:tab w:val="right" w:pos="9360"/>
      </w:tabs>
      <w:spacing w:after="0" w:line="240" w:lineRule="auto"/>
      <w:ind w:left="360" w:hanging="360"/>
    </w:pPr>
    <w:rPr>
      <w:rFonts w:eastAsiaTheme="minorHAnsi"/>
    </w:rPr>
  </w:style>
  <w:style w:type="paragraph" w:customStyle="1" w:styleId="F166DE160DBD4651BD173FF69E3981362">
    <w:name w:val="F166DE160DBD4651BD173FF69E3981362"/>
    <w:rsid w:val="002B5F47"/>
    <w:pPr>
      <w:tabs>
        <w:tab w:val="center" w:pos="4680"/>
        <w:tab w:val="right" w:pos="9360"/>
      </w:tabs>
      <w:spacing w:after="0" w:line="240" w:lineRule="auto"/>
      <w:ind w:left="360" w:hanging="360"/>
    </w:pPr>
    <w:rPr>
      <w:rFonts w:eastAsiaTheme="minorHAnsi"/>
    </w:rPr>
  </w:style>
  <w:style w:type="paragraph" w:customStyle="1" w:styleId="AB1B0578B87C4E9EA043F449B0E6989F2">
    <w:name w:val="AB1B0578B87C4E9EA043F449B0E6989F2"/>
    <w:rsid w:val="005F21F3"/>
    <w:pPr>
      <w:spacing w:after="0" w:line="240" w:lineRule="auto"/>
      <w:ind w:left="360" w:hanging="360"/>
    </w:pPr>
    <w:rPr>
      <w:rFonts w:eastAsiaTheme="minorHAnsi"/>
    </w:rPr>
  </w:style>
  <w:style w:type="paragraph" w:customStyle="1" w:styleId="61E91D4220034A64A72268AE9C6EBC955">
    <w:name w:val="61E91D4220034A64A72268AE9C6EBC955"/>
    <w:rsid w:val="005F21F3"/>
    <w:pPr>
      <w:spacing w:after="0" w:line="240" w:lineRule="auto"/>
      <w:ind w:left="360" w:hanging="360"/>
    </w:pPr>
    <w:rPr>
      <w:rFonts w:eastAsiaTheme="minorHAnsi"/>
    </w:rPr>
  </w:style>
  <w:style w:type="paragraph" w:customStyle="1" w:styleId="8924E7CB4D5C4CC4905BEA5FE80343E53">
    <w:name w:val="8924E7CB4D5C4CC4905BEA5FE80343E53"/>
    <w:rsid w:val="005F21F3"/>
    <w:pPr>
      <w:spacing w:after="0" w:line="240" w:lineRule="auto"/>
      <w:ind w:left="360" w:hanging="360"/>
    </w:pPr>
    <w:rPr>
      <w:rFonts w:eastAsiaTheme="minorHAnsi"/>
    </w:rPr>
  </w:style>
  <w:style w:type="paragraph" w:customStyle="1" w:styleId="6A100845774148B09AFD987423307E3B5">
    <w:name w:val="6A100845774148B09AFD987423307E3B5"/>
    <w:rsid w:val="005F21F3"/>
    <w:pPr>
      <w:spacing w:after="0" w:line="240" w:lineRule="auto"/>
      <w:ind w:left="360" w:hanging="360"/>
    </w:pPr>
    <w:rPr>
      <w:rFonts w:eastAsiaTheme="minorHAnsi"/>
    </w:rPr>
  </w:style>
  <w:style w:type="paragraph" w:customStyle="1" w:styleId="8A37B22604104FD58FD9B5969045D3F1">
    <w:name w:val="8A37B22604104FD58FD9B5969045D3F1"/>
    <w:rsid w:val="005F21F3"/>
    <w:pPr>
      <w:spacing w:after="0" w:line="240" w:lineRule="auto"/>
      <w:ind w:left="360" w:hanging="360"/>
    </w:pPr>
    <w:rPr>
      <w:rFonts w:eastAsiaTheme="minorHAnsi"/>
    </w:rPr>
  </w:style>
  <w:style w:type="paragraph" w:customStyle="1" w:styleId="962214A8263E430591B9ED4CADA7154B">
    <w:name w:val="962214A8263E430591B9ED4CADA7154B"/>
    <w:rsid w:val="005F21F3"/>
    <w:pPr>
      <w:spacing w:after="0" w:line="240" w:lineRule="auto"/>
      <w:ind w:left="360" w:hanging="360"/>
    </w:pPr>
    <w:rPr>
      <w:rFonts w:eastAsiaTheme="minorHAnsi"/>
    </w:rPr>
  </w:style>
  <w:style w:type="paragraph" w:customStyle="1" w:styleId="15AC292313CE45DC8AC3FC91D340CC66">
    <w:name w:val="15AC292313CE45DC8AC3FC91D340CC66"/>
    <w:rsid w:val="005F21F3"/>
    <w:pPr>
      <w:spacing w:after="0" w:line="240" w:lineRule="auto"/>
      <w:ind w:left="360" w:hanging="360"/>
    </w:pPr>
    <w:rPr>
      <w:rFonts w:eastAsiaTheme="minorHAnsi"/>
    </w:rPr>
  </w:style>
  <w:style w:type="paragraph" w:customStyle="1" w:styleId="4CBFC8EF1476485CBF0E82C994E3DC6E">
    <w:name w:val="4CBFC8EF1476485CBF0E82C994E3DC6E"/>
    <w:rsid w:val="005F21F3"/>
    <w:pPr>
      <w:spacing w:after="0" w:line="240" w:lineRule="auto"/>
      <w:ind w:left="360" w:hanging="360"/>
    </w:pPr>
    <w:rPr>
      <w:rFonts w:eastAsiaTheme="minorHAnsi"/>
    </w:rPr>
  </w:style>
  <w:style w:type="paragraph" w:customStyle="1" w:styleId="32094DA73C124CA8A717FF8A8F08AF3B">
    <w:name w:val="32094DA73C124CA8A717FF8A8F08AF3B"/>
    <w:rsid w:val="005F21F3"/>
    <w:pPr>
      <w:spacing w:after="0" w:line="240" w:lineRule="auto"/>
      <w:ind w:left="360" w:hanging="360"/>
    </w:pPr>
    <w:rPr>
      <w:rFonts w:eastAsiaTheme="minorHAnsi"/>
    </w:rPr>
  </w:style>
  <w:style w:type="paragraph" w:customStyle="1" w:styleId="A47729CCDE844CBF86BF69FF0481955B">
    <w:name w:val="A47729CCDE844CBF86BF69FF0481955B"/>
    <w:rsid w:val="005F21F3"/>
    <w:pPr>
      <w:spacing w:after="0" w:line="240" w:lineRule="auto"/>
      <w:ind w:left="360" w:hanging="360"/>
    </w:pPr>
    <w:rPr>
      <w:rFonts w:eastAsiaTheme="minorHAnsi"/>
    </w:rPr>
  </w:style>
  <w:style w:type="paragraph" w:customStyle="1" w:styleId="4FF54B78223544A29AA39B5261EBE67D">
    <w:name w:val="4FF54B78223544A29AA39B5261EBE67D"/>
    <w:rsid w:val="005F21F3"/>
    <w:pPr>
      <w:spacing w:after="0" w:line="240" w:lineRule="auto"/>
      <w:ind w:left="360" w:hanging="360"/>
    </w:pPr>
    <w:rPr>
      <w:rFonts w:eastAsiaTheme="minorHAnsi"/>
    </w:rPr>
  </w:style>
  <w:style w:type="paragraph" w:customStyle="1" w:styleId="73B308F1A99D4788BA3E9AC2AFE5C701">
    <w:name w:val="73B308F1A99D4788BA3E9AC2AFE5C701"/>
    <w:rsid w:val="001F47A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207D0C86BB5124AAE0A00EDD783FB60" ma:contentTypeVersion="4" ma:contentTypeDescription="Create a new document." ma:contentTypeScope="" ma:versionID="93be73b6af73a61c50fc399693808de8">
  <xsd:schema xmlns:xsd="http://www.w3.org/2001/XMLSchema" xmlns:xs="http://www.w3.org/2001/XMLSchema" xmlns:p="http://schemas.microsoft.com/office/2006/metadata/properties" xmlns:ns2="2092472d-b0ba-44c3-9af1-5ee06e60b732" targetNamespace="http://schemas.microsoft.com/office/2006/metadata/properties" ma:root="true" ma:fieldsID="da0d1af7ed810bb5eecc2643e4803c01" ns2:_="">
    <xsd:import namespace="2092472d-b0ba-44c3-9af1-5ee06e60b732"/>
    <xsd:element name="properties">
      <xsd:complexType>
        <xsd:sequence>
          <xsd:element name="documentManagement">
            <xsd:complexType>
              <xsd:all>
                <xsd:element ref="ns2:_spia_rule" minOccurs="0"/>
                <xsd:element ref="ns2:_spia_type" minOccurs="0"/>
                <xsd:element ref="ns2:_spia_result" minOccurs="0"/>
                <xsd:element ref="ns2:Target_x0020_Audienc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92472d-b0ba-44c3-9af1-5ee06e60b732" elementFormDefault="qualified">
    <xsd:import namespace="http://schemas.microsoft.com/office/2006/documentManagement/types"/>
    <xsd:import namespace="http://schemas.microsoft.com/office/infopath/2007/PartnerControls"/>
    <xsd:element name="_spia_rule" ma:index="8" nillable="true" ma:displayName="_spia_rule" ma:hidden="true" ma:internalName="_spia_rule">
      <xsd:simpleType>
        <xsd:restriction base="dms:Text"/>
      </xsd:simpleType>
    </xsd:element>
    <xsd:element name="_spia_type" ma:index="9" nillable="true" ma:displayName="_spia_type" ma:hidden="true" ma:internalName="_spia_type">
      <xsd:simpleType>
        <xsd:restriction base="dms:Text"/>
      </xsd:simpleType>
    </xsd:element>
    <xsd:element name="_spia_result" ma:index="10" nillable="true" ma:displayName="_spia_result" ma:hidden="true" ma:internalName="_spia_result">
      <xsd:simpleType>
        <xsd:restriction base="dms:Text"/>
      </xsd:simpleType>
    </xsd:element>
    <xsd:element name="Target_x0020_Audiences" ma:index="11" nillable="true" ma:displayName="Target Audiences" ma:internalName="Target_x0020_Audiences">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spia_rule xmlns="2092472d-b0ba-44c3-9af1-5ee06e60b732" xsi:nil="true"/>
    <_spia_type xmlns="2092472d-b0ba-44c3-9af1-5ee06e60b732" xsi:nil="true"/>
    <_spia_result xmlns="2092472d-b0ba-44c3-9af1-5ee06e60b732" xsi:nil="true"/>
    <Target_x0020_Audiences xmlns="2092472d-b0ba-44c3-9af1-5ee06e60b732"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C91240-191E-4E83-98D5-870B348F9D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92472d-b0ba-44c3-9af1-5ee06e60b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0DB350-FC8B-4433-8EFB-33E9A67FD251}">
  <ds:schemaRefs>
    <ds:schemaRef ds:uri="http://schemas.microsoft.com/sharepoint/v3/contenttype/forms"/>
  </ds:schemaRefs>
</ds:datastoreItem>
</file>

<file path=customXml/itemProps3.xml><?xml version="1.0" encoding="utf-8"?>
<ds:datastoreItem xmlns:ds="http://schemas.openxmlformats.org/officeDocument/2006/customXml" ds:itemID="{DF2CDBE7-7F08-4F52-B308-EE351D989842}">
  <ds:schemaRefs>
    <ds:schemaRef ds:uri="http://schemas.microsoft.com/office/2006/metadata/properties"/>
    <ds:schemaRef ds:uri="http://schemas.microsoft.com/office/infopath/2007/PartnerControls"/>
    <ds:schemaRef ds:uri="2092472d-b0ba-44c3-9af1-5ee06e60b732"/>
  </ds:schemaRefs>
</ds:datastoreItem>
</file>

<file path=customXml/itemProps4.xml><?xml version="1.0" encoding="utf-8"?>
<ds:datastoreItem xmlns:ds="http://schemas.openxmlformats.org/officeDocument/2006/customXml" ds:itemID="{3C30DDDF-8FC0-4A93-98D5-84E31E29FB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11</Pages>
  <Words>4247</Words>
  <Characters>24214</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National Quality Forum</Company>
  <LinksUpToDate>false</LinksUpToDate>
  <CharactersWithSpaces>28405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Pace</dc:creator>
  <cp:keywords/>
  <dc:description/>
  <cp:lastModifiedBy>Angela Nicholas</cp:lastModifiedBy>
  <cp:revision>7</cp:revision>
  <dcterms:created xsi:type="dcterms:W3CDTF">2019-11-12T17:07:00Z</dcterms:created>
  <dcterms:modified xsi:type="dcterms:W3CDTF">2019-11-25T22:04:00Z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0x010100D207D0C86BB5124AAE0A00EDD783FB60</vt:lpwstr>
  </property>
</Properties>
</file>