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5E6F3B85"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E30AFB">
            <w:rPr>
              <w:rStyle w:val="Style1"/>
            </w:rPr>
            <w:t>0384</w:t>
          </w:r>
        </w:sdtContent>
      </w:sdt>
    </w:p>
    <w:p w14:paraId="55B8DA2F" w14:textId="23431B69"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E30AFB">
            <w:rPr>
              <w:rStyle w:val="Style1"/>
            </w:rPr>
            <w:t>Oncology: Medical and Radiation – Pain Intensity Quantified</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5B66C7DF"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04-13T00:00:00Z">
            <w:dateFormat w:val="M/d/yyyy"/>
            <w:lid w:val="en-US"/>
            <w:storeMappedDataAs w:val="dateTime"/>
            <w:calendar w:val="gregorian"/>
          </w:date>
        </w:sdtPr>
        <w:sdtEndPr>
          <w:rPr>
            <w:rStyle w:val="DefaultParagraphFont"/>
            <w:noProof/>
            <w:color w:val="auto"/>
            <w:u w:val="none"/>
          </w:rPr>
        </w:sdtEndPr>
        <w:sdtContent>
          <w:r w:rsidR="00E30AFB">
            <w:rPr>
              <w:rStyle w:val="Style2"/>
            </w:rPr>
            <w:t>4/13/2018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2E58F9"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2E58F9"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2E58F9"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635B9D49" w:rsidR="00D73685" w:rsidRDefault="002E58F9"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EB1561">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532BA6">
            <w:rPr>
              <w:rStyle w:val="Style2"/>
              <w:rFonts w:cstheme="minorHAnsi"/>
              <w:color w:val="FF0000"/>
            </w:rPr>
            <w:t xml:space="preserve">Assessment and quantification of pain </w:t>
          </w:r>
          <w:r w:rsidR="00EB1561" w:rsidRPr="00EB1561">
            <w:rPr>
              <w:rStyle w:val="Style2"/>
              <w:rFonts w:cstheme="minorHAnsi"/>
              <w:color w:val="FF0000"/>
            </w:rPr>
            <w:t>intensity at each visit for patients receiving chemotherapy or radiation therapy</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E58F9"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E58F9"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9DBF99A"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47036735" w14:textId="45E6DB69" w:rsidR="00532BA6" w:rsidRDefault="00532BA6" w:rsidP="002B06BD">
      <w:pPr>
        <w:ind w:left="432" w:hanging="432"/>
        <w:rPr>
          <w:iCs/>
        </w:rPr>
      </w:pPr>
    </w:p>
    <w:p w14:paraId="00568A8F" w14:textId="77777777" w:rsidR="00C013C6" w:rsidRPr="00A72D22" w:rsidRDefault="00C013C6" w:rsidP="00C013C6">
      <w:pPr>
        <w:rPr>
          <w:rFonts w:cstheme="minorHAnsi"/>
          <w:color w:val="0000FF"/>
        </w:rPr>
      </w:pPr>
      <w:r w:rsidRPr="00A72D22">
        <w:rPr>
          <w:rFonts w:cstheme="minorHAnsi"/>
          <w:color w:val="0000FF"/>
        </w:rPr>
        <w:t xml:space="preserve">Initial and ongoing pain assessments, the focus of the measure, are essential to ensure proper pain </w:t>
      </w:r>
    </w:p>
    <w:p w14:paraId="22ED58EA" w14:textId="77777777" w:rsidR="00C013C6" w:rsidRPr="00A72D22" w:rsidRDefault="00C013C6" w:rsidP="00C013C6">
      <w:pPr>
        <w:rPr>
          <w:rFonts w:cstheme="minorHAnsi"/>
          <w:color w:val="0000FF"/>
        </w:rPr>
      </w:pPr>
      <w:r w:rsidRPr="00A72D22">
        <w:rPr>
          <w:rFonts w:cstheme="minorHAnsi"/>
          <w:color w:val="0000FF"/>
        </w:rPr>
        <w:t xml:space="preserve">management among patients with cancer.  "Failure to adequately assess pain frequently leads to poor </w:t>
      </w:r>
    </w:p>
    <w:p w14:paraId="63B75A2E" w14:textId="77777777" w:rsidR="00C013C6" w:rsidRPr="00A72D22" w:rsidRDefault="00C013C6" w:rsidP="00C013C6">
      <w:pPr>
        <w:rPr>
          <w:rFonts w:cstheme="minorHAnsi"/>
          <w:color w:val="0000FF"/>
        </w:rPr>
      </w:pPr>
      <w:r w:rsidRPr="00A72D22">
        <w:rPr>
          <w:rFonts w:cstheme="minorHAnsi"/>
          <w:color w:val="0000FF"/>
        </w:rPr>
        <w:t xml:space="preserve">control."(1)  "Unrelieved pain denies [patients] comfort and greatly affects their activities, motivation, </w:t>
      </w:r>
    </w:p>
    <w:p w14:paraId="11D8B956" w14:textId="0678CF5A" w:rsidR="00C013C6" w:rsidRPr="00A72D22" w:rsidRDefault="00C013C6" w:rsidP="00C013C6">
      <w:pPr>
        <w:rPr>
          <w:rFonts w:cstheme="minorHAnsi"/>
          <w:b/>
        </w:rPr>
      </w:pPr>
      <w:r w:rsidRPr="00A72D22">
        <w:rPr>
          <w:rFonts w:cstheme="minorHAnsi"/>
          <w:color w:val="0000FF"/>
        </w:rPr>
        <w:t>interactions with family and friends, and overall quality of life." (1)</w:t>
      </w:r>
    </w:p>
    <w:p w14:paraId="424ADA1B" w14:textId="77777777" w:rsidR="00C013C6" w:rsidRPr="00A72D22" w:rsidRDefault="00C013C6" w:rsidP="00C013C6">
      <w:pPr>
        <w:rPr>
          <w:rFonts w:cstheme="minorHAnsi"/>
          <w:color w:val="0000FF"/>
        </w:rPr>
      </w:pPr>
    </w:p>
    <w:p w14:paraId="4C9E0AAF" w14:textId="172420B0" w:rsidR="00C013C6" w:rsidRPr="00C013C6" w:rsidRDefault="00C013C6" w:rsidP="00C013C6">
      <w:pPr>
        <w:rPr>
          <w:rFonts w:cstheme="minorHAnsi"/>
          <w:color w:val="0000FF"/>
        </w:rPr>
      </w:pPr>
      <w:r w:rsidRPr="00A72D22">
        <w:rPr>
          <w:rFonts w:cstheme="minorHAnsi"/>
          <w:color w:val="0000FF"/>
        </w:rPr>
        <w:t xml:space="preserve">(1) National Comprehensive Cancer Network (NCCN).  Clinical Practice Guidelines in Oncology:  Adult Cancer Pain.  Version 2, 2011.  Available at:  </w:t>
      </w:r>
      <w:hyperlink r:id="rId15" w:history="1">
        <w:r w:rsidRPr="00A72D22">
          <w:rPr>
            <w:rStyle w:val="Hyperlink"/>
            <w:rFonts w:cstheme="minorHAnsi"/>
          </w:rPr>
          <w:t>http://www.nccn.org</w:t>
        </w:r>
      </w:hyperlink>
      <w:r w:rsidRPr="00A72D22">
        <w:rPr>
          <w:rFonts w:cstheme="minorHAnsi"/>
          <w:color w:val="0000FF"/>
        </w:rPr>
        <w:t>.</w:t>
      </w:r>
    </w:p>
    <w:p w14:paraId="5E79AF11" w14:textId="77777777" w:rsidR="00C013C6" w:rsidRPr="00C013C6" w:rsidRDefault="00C013C6" w:rsidP="00C013C6"/>
    <w:p w14:paraId="55B8DA5B" w14:textId="470F825B" w:rsidR="002B06BD" w:rsidRPr="005556CE" w:rsidRDefault="00C013C6" w:rsidP="005556CE">
      <w:pPr>
        <w:ind w:left="0" w:firstLine="0"/>
        <w:rPr>
          <w:color w:val="FF0000"/>
        </w:rPr>
      </w:pPr>
      <w:r>
        <w:rPr>
          <w:color w:val="FF0000"/>
        </w:rPr>
        <w:t xml:space="preserve">Updated guideline: </w:t>
      </w:r>
      <w:r w:rsidR="005556CE" w:rsidRPr="005556CE">
        <w:rPr>
          <w:color w:val="FF0000"/>
        </w:rPr>
        <w:t xml:space="preserve">There is </w:t>
      </w:r>
      <w:r w:rsidR="00BD079E">
        <w:rPr>
          <w:color w:val="FF0000"/>
        </w:rPr>
        <w:t>mounting</w:t>
      </w:r>
      <w:r w:rsidR="00BD079E" w:rsidRPr="005556CE">
        <w:rPr>
          <w:color w:val="FF0000"/>
        </w:rPr>
        <w:t xml:space="preserve"> </w:t>
      </w:r>
      <w:r w:rsidR="005556CE" w:rsidRPr="005556CE">
        <w:rPr>
          <w:color w:val="FF0000"/>
        </w:rPr>
        <w:t xml:space="preserve">evidence in oncology that </w:t>
      </w:r>
      <w:r w:rsidR="00BD079E">
        <w:rPr>
          <w:color w:val="FF0000"/>
        </w:rPr>
        <w:t xml:space="preserve">quality of life and </w:t>
      </w:r>
      <w:r w:rsidR="005556CE" w:rsidRPr="005556CE">
        <w:rPr>
          <w:color w:val="FF0000"/>
        </w:rPr>
        <w:t xml:space="preserve">survival </w:t>
      </w:r>
      <w:r w:rsidR="00BD079E">
        <w:rPr>
          <w:color w:val="FF0000"/>
        </w:rPr>
        <w:t>are</w:t>
      </w:r>
      <w:r w:rsidR="00BD079E" w:rsidRPr="005556CE">
        <w:rPr>
          <w:color w:val="FF0000"/>
        </w:rPr>
        <w:t xml:space="preserve"> </w:t>
      </w:r>
      <w:r w:rsidR="005556CE" w:rsidRPr="005556CE">
        <w:rPr>
          <w:color w:val="FF0000"/>
        </w:rPr>
        <w:t xml:space="preserve">linked to </w:t>
      </w:r>
      <w:r w:rsidR="00BD079E">
        <w:rPr>
          <w:color w:val="FF0000"/>
        </w:rPr>
        <w:t xml:space="preserve">early and effective palliative care, including pain management. Although improvements have been observed, undertreatment of pain remains an issue in a significant subset of patients with cancer and this issue may be exacerbated by the inappropriate application of recommendations against the use of opioids to patients with cancer in the setting of the United States opioid epidemic. A comprehensive evaluation is essential to ensure proper pain management. </w:t>
      </w:r>
      <w:r w:rsidR="005556CE" w:rsidRPr="005556CE">
        <w:rPr>
          <w:color w:val="FF0000"/>
        </w:rPr>
        <w:t xml:space="preserve"> </w:t>
      </w:r>
    </w:p>
    <w:p w14:paraId="04AA4056" w14:textId="1272DBD1" w:rsidR="005556CE" w:rsidRPr="005556CE" w:rsidRDefault="005556CE" w:rsidP="002E2177">
      <w:pPr>
        <w:ind w:left="432" w:hanging="432"/>
        <w:rPr>
          <w:color w:val="FF0000"/>
        </w:rPr>
      </w:pPr>
    </w:p>
    <w:p w14:paraId="2E367638" w14:textId="2120876A" w:rsidR="005556CE" w:rsidRPr="003E09F0" w:rsidRDefault="005556CE" w:rsidP="003E09F0">
      <w:pPr>
        <w:ind w:firstLine="0"/>
        <w:rPr>
          <w:rFonts w:cstheme="minorHAnsi"/>
          <w:color w:val="FF0000"/>
        </w:rPr>
      </w:pPr>
      <w:bookmarkStart w:id="5" w:name="_Hlk511232038"/>
      <w:r w:rsidRPr="003E09F0">
        <w:rPr>
          <w:rFonts w:cstheme="minorHAnsi"/>
          <w:color w:val="FF0000"/>
        </w:rPr>
        <w:t>National Comprehensive Cancer Network</w:t>
      </w:r>
      <w:r w:rsidR="003E09F0" w:rsidRPr="003E09F0">
        <w:rPr>
          <w:rFonts w:cstheme="minorHAnsi"/>
          <w:color w:val="FF0000"/>
        </w:rPr>
        <w:t xml:space="preserve"> (NCCN)</w:t>
      </w:r>
      <w:r w:rsidRPr="003E09F0">
        <w:rPr>
          <w:rFonts w:cstheme="minorHAnsi"/>
          <w:color w:val="FF0000"/>
        </w:rPr>
        <w:t>.</w:t>
      </w:r>
      <w:r w:rsidR="003E09F0" w:rsidRPr="003E09F0">
        <w:rPr>
          <w:rFonts w:cstheme="minorHAnsi"/>
          <w:color w:val="FF0000"/>
        </w:rPr>
        <w:t xml:space="preserve"> NCCN Clinical Practice Guidelines in Oncology.</w:t>
      </w:r>
      <w:r w:rsidRPr="003E09F0">
        <w:rPr>
          <w:rFonts w:cstheme="minorHAnsi"/>
          <w:color w:val="FF0000"/>
        </w:rPr>
        <w:t xml:space="preserve"> Adult cancer pain</w:t>
      </w:r>
      <w:r w:rsidR="003E09F0">
        <w:rPr>
          <w:rFonts w:cstheme="minorHAnsi"/>
          <w:color w:val="FF0000"/>
        </w:rPr>
        <w:t xml:space="preserve"> </w:t>
      </w:r>
      <w:r w:rsidR="003E09F0" w:rsidRPr="003E09F0">
        <w:rPr>
          <w:rFonts w:cstheme="minorHAnsi"/>
          <w:color w:val="FF0000"/>
        </w:rPr>
        <w:t xml:space="preserve">Version </w:t>
      </w:r>
      <w:r w:rsidR="00A72D22">
        <w:rPr>
          <w:rFonts w:cstheme="minorHAnsi"/>
          <w:color w:val="FF0000"/>
        </w:rPr>
        <w:t>1.2020</w:t>
      </w:r>
      <w:r w:rsidR="003E09F0" w:rsidRPr="003E09F0">
        <w:rPr>
          <w:rFonts w:cstheme="minorHAnsi"/>
          <w:color w:val="FF0000"/>
        </w:rPr>
        <w:t>.</w:t>
      </w:r>
      <w:r w:rsidR="003E09F0">
        <w:rPr>
          <w:rFonts w:cstheme="minorHAnsi"/>
          <w:color w:val="FF0000"/>
        </w:rPr>
        <w:t xml:space="preserve"> </w:t>
      </w:r>
      <w:r w:rsidR="00A72D22">
        <w:rPr>
          <w:rFonts w:cstheme="minorHAnsi"/>
          <w:color w:val="FF0000"/>
        </w:rPr>
        <w:t>April 8, 2020</w:t>
      </w:r>
      <w:r w:rsidR="003E09F0" w:rsidRPr="003E09F0">
        <w:rPr>
          <w:rFonts w:cstheme="minorHAnsi"/>
          <w:color w:val="FF0000"/>
        </w:rPr>
        <w:t xml:space="preserve">. </w:t>
      </w:r>
      <w:r w:rsidR="007E393B">
        <w:rPr>
          <w:rFonts w:cstheme="minorHAnsi"/>
          <w:color w:val="FF0000"/>
        </w:rPr>
        <w:t>http</w:t>
      </w:r>
      <w:r w:rsidR="007E393B" w:rsidRPr="0068465F">
        <w:rPr>
          <w:rFonts w:cstheme="minorHAnsi"/>
          <w:color w:val="FF0000"/>
        </w:rPr>
        <w:t>://</w:t>
      </w:r>
      <w:hyperlink r:id="rId16" w:history="1">
        <w:r w:rsidR="007E393B" w:rsidRPr="0068465F">
          <w:rPr>
            <w:rStyle w:val="Hyperlink"/>
            <w:rFonts w:cstheme="minorHAnsi"/>
            <w:color w:val="FF0000"/>
          </w:rPr>
          <w:t>www.nccn.org</w:t>
        </w:r>
      </w:hyperlink>
    </w:p>
    <w:bookmarkEnd w:id="5"/>
    <w:p w14:paraId="55B8DA5C" w14:textId="7F6499FE" w:rsidR="00676BD4" w:rsidRPr="00EB1561" w:rsidRDefault="00676BD4" w:rsidP="002E2177">
      <w:pPr>
        <w:ind w:left="432" w:hanging="432"/>
        <w:rPr>
          <w:b/>
          <w:color w:val="FF0000"/>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77777777" w:rsidR="00676BD4" w:rsidRDefault="00676BD4" w:rsidP="002E2177">
      <w:pPr>
        <w:ind w:left="432" w:hanging="432"/>
        <w:rPr>
          <w:b/>
          <w:color w:val="0000FF"/>
        </w:rPr>
      </w:pPr>
    </w:p>
    <w:p w14:paraId="55B8DA5E" w14:textId="5EAD4D25" w:rsidR="00F90F82" w:rsidRPr="003E09F0" w:rsidRDefault="00F13F61" w:rsidP="002E2177">
      <w:pPr>
        <w:ind w:left="432" w:hanging="432"/>
        <w:rPr>
          <w:color w:val="0000FF"/>
        </w:rPr>
      </w:pPr>
      <w:r w:rsidRPr="003E09F0">
        <w:rPr>
          <w:color w:val="0000FF"/>
        </w:rPr>
        <w:t>Not applicable</w:t>
      </w: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5D234BD3" w:rsidR="00A9011D" w:rsidRPr="00A9011D" w:rsidRDefault="0068465F" w:rsidP="00A9011D">
      <w:pPr>
        <w:ind w:left="0" w:firstLine="0"/>
        <w:rPr>
          <w:rFonts w:ascii="Calibri" w:eastAsia="Calibri" w:hAnsi="Calibri" w:cs="Times New Roman"/>
        </w:rPr>
      </w:pPr>
      <w:r w:rsidRPr="00945C86">
        <w:rPr>
          <w:rFonts w:ascii="Times New Roman" w:eastAsia="Arial Unicode MS" w:hAnsi="Times New Roman" w:cs="Mangal" w:hint="eastAsia"/>
          <w:color w:val="FF0000"/>
          <w:kern w:val="1"/>
          <w:sz w:val="24"/>
          <w:szCs w:val="24"/>
          <w:lang w:eastAsia="hi-IN" w:bidi="hi-IN"/>
        </w:rPr>
        <w:sym w:font="Wingdings 2" w:char="F053"/>
      </w:r>
      <w:r w:rsidR="00EC1225">
        <w:rPr>
          <w:rFonts w:ascii="Times New Roman" w:eastAsia="Arial Unicode MS" w:hAnsi="Times New Roman" w:cs="Mangal"/>
          <w:color w:val="0000FF"/>
          <w:kern w:val="1"/>
          <w:sz w:val="24"/>
          <w:szCs w:val="24"/>
          <w:lang w:eastAsia="hi-IN" w:bidi="hi-IN"/>
        </w:rPr>
        <w:t xml:space="preserve"> </w:t>
      </w:r>
      <w:r w:rsidR="00A9011D" w:rsidRPr="00945C86">
        <w:rPr>
          <w:rFonts w:ascii="Calibri" w:eastAsia="Calibri" w:hAnsi="Calibri" w:cs="Times New Roman"/>
        </w:rPr>
        <w:t xml:space="preserve">Clinical Practice Guideline </w:t>
      </w:r>
      <w:r w:rsidR="00945C86" w:rsidRPr="00945C86">
        <w:rPr>
          <w:rFonts w:ascii="Calibri" w:eastAsia="Calibri" w:hAnsi="Calibri" w:cs="Times New Roman"/>
        </w:rPr>
        <w:t>recommendation (</w:t>
      </w:r>
      <w:r w:rsidR="00EC1225">
        <w:rPr>
          <w:rFonts w:ascii="Calibri" w:eastAsia="Calibri" w:hAnsi="Calibri" w:cs="Times New Roman"/>
        </w:rPr>
        <w:t>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468F9BEC" w14:textId="41C730D3" w:rsidR="00C013C6" w:rsidRPr="00373768" w:rsidRDefault="004E1F82" w:rsidP="00373768">
            <w:pPr>
              <w:pStyle w:val="ListParagraph"/>
              <w:numPr>
                <w:ilvl w:val="0"/>
                <w:numId w:val="15"/>
              </w:numPr>
              <w:rPr>
                <w:rFonts w:cstheme="minorHAnsi"/>
                <w:color w:val="0000FF"/>
              </w:rPr>
            </w:pPr>
            <w:r w:rsidRPr="004E1F82">
              <w:rPr>
                <w:rFonts w:cstheme="minorHAnsi"/>
                <w:b/>
                <w:bCs/>
              </w:rPr>
              <w:t>Title:</w:t>
            </w:r>
            <w:r w:rsidRPr="004E1F82">
              <w:rPr>
                <w:rFonts w:cstheme="minorHAnsi"/>
                <w:bCs/>
              </w:rPr>
              <w:t xml:space="preserve"> </w:t>
            </w:r>
            <w:r w:rsidR="00C013C6" w:rsidRPr="00373768">
              <w:rPr>
                <w:rFonts w:cstheme="minorHAnsi"/>
                <w:bCs/>
                <w:color w:val="0000FF"/>
              </w:rPr>
              <w:t>Clinical Practice Guidelines in Oncology:  Adult Cancer Pain.  Version 2, 2011</w:t>
            </w:r>
          </w:p>
          <w:p w14:paraId="357381E7" w14:textId="26ED92FA" w:rsidR="00C013C6" w:rsidRPr="00373768" w:rsidRDefault="004E1F82" w:rsidP="00373768">
            <w:pPr>
              <w:pStyle w:val="ListParagraph"/>
              <w:numPr>
                <w:ilvl w:val="0"/>
                <w:numId w:val="15"/>
              </w:numPr>
              <w:rPr>
                <w:rFonts w:cstheme="minorHAnsi"/>
                <w:color w:val="0000FF"/>
              </w:rPr>
            </w:pPr>
            <w:r w:rsidRPr="004E1F82">
              <w:rPr>
                <w:rFonts w:cstheme="minorHAnsi"/>
                <w:b/>
                <w:bCs/>
              </w:rPr>
              <w:t>Author:</w:t>
            </w:r>
            <w:r w:rsidRPr="004E1F82">
              <w:rPr>
                <w:rFonts w:cstheme="minorHAnsi"/>
                <w:bCs/>
              </w:rPr>
              <w:t xml:space="preserve"> </w:t>
            </w:r>
            <w:r w:rsidR="00C013C6" w:rsidRPr="00373768">
              <w:rPr>
                <w:rFonts w:cstheme="minorHAnsi"/>
                <w:bCs/>
                <w:color w:val="0000FF"/>
              </w:rPr>
              <w:t xml:space="preserve">National Comprehensive Cancer Network (NCCN).  </w:t>
            </w:r>
          </w:p>
          <w:p w14:paraId="59E9B9C8" w14:textId="4CD470DA" w:rsidR="00C013C6" w:rsidRPr="00373768" w:rsidRDefault="004E1F82" w:rsidP="00373768">
            <w:pPr>
              <w:pStyle w:val="ListParagraph"/>
              <w:numPr>
                <w:ilvl w:val="0"/>
                <w:numId w:val="15"/>
              </w:numPr>
              <w:rPr>
                <w:rFonts w:cstheme="minorHAnsi"/>
                <w:color w:val="0000FF"/>
              </w:rPr>
            </w:pPr>
            <w:r w:rsidRPr="004E1F82">
              <w:rPr>
                <w:rFonts w:cstheme="minorHAnsi"/>
                <w:b/>
              </w:rPr>
              <w:t>Date:</w:t>
            </w:r>
            <w:r>
              <w:rPr>
                <w:rFonts w:cstheme="minorHAnsi"/>
                <w:color w:val="0000FF"/>
              </w:rPr>
              <w:t xml:space="preserve"> </w:t>
            </w:r>
            <w:r w:rsidR="00C013C6" w:rsidRPr="00373768">
              <w:rPr>
                <w:rFonts w:cstheme="minorHAnsi"/>
                <w:color w:val="0000FF"/>
              </w:rPr>
              <w:t>2011</w:t>
            </w:r>
          </w:p>
          <w:p w14:paraId="185D324E" w14:textId="1B66E9CF" w:rsidR="00C013C6" w:rsidRPr="00373768" w:rsidRDefault="004E1F82" w:rsidP="00373768">
            <w:pPr>
              <w:pStyle w:val="ListParagraph"/>
              <w:numPr>
                <w:ilvl w:val="0"/>
                <w:numId w:val="15"/>
              </w:numPr>
              <w:rPr>
                <w:rFonts w:cstheme="minorHAnsi"/>
                <w:color w:val="0000FF"/>
              </w:rPr>
            </w:pPr>
            <w:r w:rsidRPr="004E1F82">
              <w:rPr>
                <w:rFonts w:cstheme="minorHAnsi"/>
                <w:b/>
                <w:bCs/>
              </w:rPr>
              <w:t>Citation:</w:t>
            </w:r>
            <w:r>
              <w:rPr>
                <w:rFonts w:cstheme="minorHAnsi"/>
                <w:bCs/>
                <w:color w:val="0000FF"/>
              </w:rPr>
              <w:t xml:space="preserve"> </w:t>
            </w:r>
            <w:r w:rsidR="00C013C6" w:rsidRPr="00373768">
              <w:rPr>
                <w:rFonts w:cstheme="minorHAnsi"/>
                <w:bCs/>
                <w:color w:val="0000FF"/>
              </w:rPr>
              <w:t>National Comprehensive Cancer Network (NCCN).  Clinical Practice Guidelines in Oncology:  Adult Cancer Pain.  Version 2, 2011.</w:t>
            </w:r>
          </w:p>
          <w:p w14:paraId="7ED1D5F3" w14:textId="1A903FEB" w:rsidR="00373768" w:rsidRPr="00373768" w:rsidRDefault="004E1F82" w:rsidP="00373768">
            <w:pPr>
              <w:pStyle w:val="ListParagraph"/>
              <w:numPr>
                <w:ilvl w:val="0"/>
                <w:numId w:val="15"/>
              </w:numPr>
              <w:rPr>
                <w:rFonts w:cstheme="minorHAnsi"/>
                <w:color w:val="0000FF"/>
              </w:rPr>
            </w:pPr>
            <w:r w:rsidRPr="004E1F82">
              <w:rPr>
                <w:rFonts w:cstheme="minorHAnsi"/>
                <w:b/>
                <w:bCs/>
              </w:rPr>
              <w:t>URL:</w:t>
            </w:r>
            <w:r>
              <w:rPr>
                <w:rFonts w:cstheme="minorHAnsi"/>
                <w:bCs/>
                <w:color w:val="0000FF"/>
              </w:rPr>
              <w:t xml:space="preserve"> </w:t>
            </w:r>
            <w:hyperlink r:id="rId17" w:history="1">
              <w:r w:rsidRPr="00B51855">
                <w:rPr>
                  <w:rStyle w:val="Hyperlink"/>
                  <w:rFonts w:cstheme="minorHAnsi"/>
                  <w:bCs/>
                </w:rPr>
                <w:t>http://www.nccn.org</w:t>
              </w:r>
            </w:hyperlink>
          </w:p>
          <w:p w14:paraId="1F4FD214" w14:textId="77777777" w:rsidR="007D1874" w:rsidRPr="007D1874" w:rsidRDefault="007D1874" w:rsidP="007D1874">
            <w:pPr>
              <w:ind w:left="0" w:firstLine="0"/>
              <w:rPr>
                <w:rFonts w:cstheme="minorHAnsi"/>
                <w:color w:val="0000FF"/>
              </w:rPr>
            </w:pPr>
          </w:p>
          <w:p w14:paraId="2F78094D" w14:textId="6817EF6F" w:rsidR="00373768" w:rsidRPr="00D065EF" w:rsidRDefault="004E1F82" w:rsidP="00D065EF">
            <w:pPr>
              <w:pStyle w:val="ListParagraph"/>
              <w:numPr>
                <w:ilvl w:val="0"/>
                <w:numId w:val="15"/>
              </w:numPr>
              <w:spacing w:after="0" w:line="240" w:lineRule="auto"/>
              <w:rPr>
                <w:rFonts w:cstheme="minorHAnsi"/>
                <w:color w:val="0000FF"/>
              </w:rPr>
            </w:pPr>
            <w:r w:rsidRPr="004E1F82">
              <w:rPr>
                <w:rFonts w:cstheme="minorHAnsi"/>
                <w:b/>
                <w:bCs/>
              </w:rPr>
              <w:t>Title:</w:t>
            </w:r>
            <w:r>
              <w:rPr>
                <w:rFonts w:cstheme="minorHAnsi"/>
                <w:bCs/>
                <w:color w:val="0000FF"/>
              </w:rPr>
              <w:t xml:space="preserve"> </w:t>
            </w:r>
            <w:r w:rsidR="00C013C6" w:rsidRPr="00373768">
              <w:rPr>
                <w:rFonts w:cstheme="minorHAnsi"/>
                <w:bCs/>
                <w:color w:val="0000FF"/>
              </w:rPr>
              <w:t>American Pain Society Recommendations for Improving the Quality of Acute and Cancer Pain Management</w:t>
            </w:r>
          </w:p>
          <w:p w14:paraId="521FBC7A" w14:textId="0607169D" w:rsidR="00D065EF" w:rsidRPr="00D065EF" w:rsidRDefault="004E1F82" w:rsidP="00D065EF">
            <w:pPr>
              <w:pStyle w:val="ListParagraph"/>
              <w:numPr>
                <w:ilvl w:val="0"/>
                <w:numId w:val="15"/>
              </w:numPr>
              <w:spacing w:after="0" w:line="240" w:lineRule="auto"/>
              <w:rPr>
                <w:rFonts w:cstheme="minorHAnsi"/>
                <w:color w:val="0000FF"/>
              </w:rPr>
            </w:pPr>
            <w:r w:rsidRPr="00F222DC">
              <w:rPr>
                <w:rFonts w:cstheme="minorHAnsi"/>
                <w:b/>
                <w:bCs/>
              </w:rPr>
              <w:t>Author:</w:t>
            </w:r>
            <w:r>
              <w:rPr>
                <w:rFonts w:cstheme="minorHAnsi"/>
                <w:bCs/>
                <w:color w:val="0000FF"/>
              </w:rPr>
              <w:t xml:space="preserve"> </w:t>
            </w:r>
            <w:r w:rsidR="00C013C6" w:rsidRPr="00373768">
              <w:rPr>
                <w:rFonts w:cstheme="minorHAnsi"/>
                <w:bCs/>
                <w:color w:val="0000FF"/>
              </w:rPr>
              <w:t>Gordon DB; Dahl JL, Miaskowski C, et al</w:t>
            </w:r>
          </w:p>
          <w:p w14:paraId="5D767322" w14:textId="523A138C" w:rsidR="00D065EF" w:rsidRPr="00D065EF" w:rsidRDefault="004E1F82" w:rsidP="00D065EF">
            <w:pPr>
              <w:pStyle w:val="ListParagraph"/>
              <w:numPr>
                <w:ilvl w:val="0"/>
                <w:numId w:val="15"/>
              </w:numPr>
              <w:spacing w:after="0" w:line="240" w:lineRule="auto"/>
              <w:rPr>
                <w:rFonts w:cstheme="minorHAnsi"/>
                <w:color w:val="0000FF"/>
              </w:rPr>
            </w:pPr>
            <w:r w:rsidRPr="00F222DC">
              <w:rPr>
                <w:rFonts w:cstheme="minorHAnsi"/>
                <w:b/>
              </w:rPr>
              <w:t>Date:</w:t>
            </w:r>
            <w:r>
              <w:rPr>
                <w:rFonts w:cstheme="minorHAnsi"/>
                <w:color w:val="0000FF"/>
              </w:rPr>
              <w:t xml:space="preserve"> </w:t>
            </w:r>
            <w:r w:rsidR="00F222DC">
              <w:rPr>
                <w:rFonts w:cstheme="minorHAnsi"/>
                <w:color w:val="0000FF"/>
              </w:rPr>
              <w:t xml:space="preserve">July 25, </w:t>
            </w:r>
            <w:r w:rsidR="00C013C6" w:rsidRPr="00D065EF">
              <w:rPr>
                <w:rFonts w:cstheme="minorHAnsi"/>
                <w:color w:val="0000FF"/>
              </w:rPr>
              <w:t>2005</w:t>
            </w:r>
          </w:p>
          <w:p w14:paraId="01A48F4C" w14:textId="456DBA84" w:rsidR="00D065EF" w:rsidRPr="00F222DC" w:rsidRDefault="00F222DC" w:rsidP="00D065EF">
            <w:pPr>
              <w:pStyle w:val="ListParagraph"/>
              <w:numPr>
                <w:ilvl w:val="0"/>
                <w:numId w:val="15"/>
              </w:numPr>
              <w:spacing w:after="0" w:line="240" w:lineRule="auto"/>
              <w:rPr>
                <w:rFonts w:cstheme="minorHAnsi"/>
                <w:color w:val="0000FF"/>
              </w:rPr>
            </w:pPr>
            <w:r w:rsidRPr="00F222DC">
              <w:rPr>
                <w:rFonts w:cstheme="minorHAnsi"/>
                <w:b/>
                <w:bCs/>
              </w:rPr>
              <w:t>Citation:</w:t>
            </w:r>
            <w:r>
              <w:rPr>
                <w:rFonts w:cstheme="minorHAnsi"/>
                <w:bCs/>
                <w:color w:val="0000FF"/>
              </w:rPr>
              <w:t xml:space="preserve"> </w:t>
            </w:r>
            <w:r w:rsidR="00373768" w:rsidRPr="00D065EF">
              <w:rPr>
                <w:rFonts w:cstheme="minorHAnsi"/>
                <w:bCs/>
                <w:color w:val="0000FF"/>
              </w:rPr>
              <w:t xml:space="preserve">Gordon DB; Dahl JL, Miaskowski C, et al.  American Pain Society Recommendations for Improving the Quality of Acute and Cancer Pain Management: American Pain Society Quality of </w:t>
            </w:r>
            <w:r w:rsidR="00373768" w:rsidRPr="00D065EF">
              <w:rPr>
                <w:rFonts w:cstheme="minorHAnsi"/>
                <w:bCs/>
                <w:color w:val="0000FF"/>
              </w:rPr>
              <w:lastRenderedPageBreak/>
              <w:t xml:space="preserve">Care Task Force. </w:t>
            </w:r>
            <w:r w:rsidR="00373768" w:rsidRPr="00F222DC">
              <w:rPr>
                <w:rFonts w:cstheme="minorHAnsi"/>
                <w:bCs/>
                <w:i/>
                <w:color w:val="0000FF"/>
              </w:rPr>
              <w:t>Arch Intern Med.</w:t>
            </w:r>
            <w:r w:rsidR="00373768" w:rsidRPr="00D065EF">
              <w:rPr>
                <w:rFonts w:cstheme="minorHAnsi"/>
                <w:bCs/>
                <w:color w:val="0000FF"/>
              </w:rPr>
              <w:t xml:space="preserve"> 2005;165</w:t>
            </w:r>
            <w:r>
              <w:rPr>
                <w:rFonts w:cstheme="minorHAnsi"/>
                <w:bCs/>
                <w:color w:val="0000FF"/>
              </w:rPr>
              <w:t xml:space="preserve"> (14)</w:t>
            </w:r>
            <w:r w:rsidR="00373768" w:rsidRPr="00D065EF">
              <w:rPr>
                <w:rFonts w:cstheme="minorHAnsi"/>
                <w:bCs/>
                <w:color w:val="0000FF"/>
              </w:rPr>
              <w:t xml:space="preserve">:1574-1580. </w:t>
            </w:r>
          </w:p>
          <w:p w14:paraId="1D993525" w14:textId="0D75C595" w:rsidR="00F222DC" w:rsidRPr="00D065EF" w:rsidRDefault="00F222DC" w:rsidP="00F222DC">
            <w:pPr>
              <w:pStyle w:val="ListParagraph"/>
              <w:numPr>
                <w:ilvl w:val="0"/>
                <w:numId w:val="15"/>
              </w:numPr>
              <w:spacing w:after="0" w:line="240" w:lineRule="auto"/>
              <w:rPr>
                <w:rFonts w:cstheme="minorHAnsi"/>
                <w:color w:val="0000FF"/>
              </w:rPr>
            </w:pPr>
            <w:r>
              <w:rPr>
                <w:rFonts w:cstheme="minorHAnsi"/>
                <w:b/>
                <w:bCs/>
              </w:rPr>
              <w:t>URL:</w:t>
            </w:r>
            <w:r>
              <w:rPr>
                <w:rFonts w:cstheme="minorHAnsi"/>
                <w:color w:val="0000FF"/>
              </w:rPr>
              <w:t xml:space="preserve"> </w:t>
            </w:r>
            <w:hyperlink r:id="rId18" w:history="1">
              <w:r w:rsidRPr="00B51855">
                <w:rPr>
                  <w:rStyle w:val="Hyperlink"/>
                  <w:rFonts w:cstheme="minorHAnsi"/>
                </w:rPr>
                <w:t>https://jamanetwork.com/journals</w:t>
              </w:r>
            </w:hyperlink>
            <w:r>
              <w:rPr>
                <w:rFonts w:cstheme="minorHAnsi"/>
                <w:color w:val="0000FF"/>
              </w:rPr>
              <w:t xml:space="preserve"> </w:t>
            </w:r>
            <w:r w:rsidRPr="00F222DC">
              <w:rPr>
                <w:rFonts w:cstheme="minorHAnsi"/>
                <w:color w:val="0000FF"/>
              </w:rPr>
              <w:t>/jamainternalmedicine/fullarticle/486669</w:t>
            </w:r>
          </w:p>
          <w:p w14:paraId="7D94B016" w14:textId="308F0809" w:rsidR="00D065EF" w:rsidRDefault="00D065EF" w:rsidP="00D065EF">
            <w:pPr>
              <w:pStyle w:val="ListParagraph"/>
              <w:spacing w:after="0" w:line="240" w:lineRule="auto"/>
              <w:ind w:left="432" w:firstLine="0"/>
              <w:rPr>
                <w:rFonts w:cstheme="minorHAnsi"/>
                <w:color w:val="0000FF"/>
              </w:rPr>
            </w:pPr>
          </w:p>
          <w:p w14:paraId="7A3420CD" w14:textId="77777777" w:rsidR="007D1874" w:rsidRDefault="007D1874" w:rsidP="00D065EF">
            <w:pPr>
              <w:pStyle w:val="ListParagraph"/>
              <w:spacing w:after="0" w:line="240" w:lineRule="auto"/>
              <w:ind w:left="432" w:firstLine="0"/>
              <w:rPr>
                <w:rFonts w:cstheme="minorHAnsi"/>
                <w:color w:val="0000FF"/>
              </w:rPr>
            </w:pPr>
          </w:p>
          <w:p w14:paraId="3F89CD98" w14:textId="77F7B68F" w:rsidR="007D1874" w:rsidRPr="00F222DC" w:rsidRDefault="007D1874" w:rsidP="007D1874">
            <w:pPr>
              <w:ind w:left="0" w:firstLine="0"/>
              <w:rPr>
                <w:rFonts w:cstheme="minorHAnsi"/>
                <w:b/>
              </w:rPr>
            </w:pPr>
            <w:r w:rsidRPr="00F222DC">
              <w:rPr>
                <w:rFonts w:cstheme="minorHAnsi"/>
                <w:b/>
              </w:rPr>
              <w:t xml:space="preserve">Updated </w:t>
            </w:r>
            <w:r>
              <w:rPr>
                <w:rFonts w:cstheme="minorHAnsi"/>
                <w:b/>
              </w:rPr>
              <w:t>20</w:t>
            </w:r>
            <w:r w:rsidR="00885955">
              <w:rPr>
                <w:rFonts w:cstheme="minorHAnsi"/>
                <w:b/>
              </w:rPr>
              <w:t>20</w:t>
            </w:r>
            <w:r>
              <w:rPr>
                <w:rFonts w:cstheme="minorHAnsi"/>
                <w:b/>
              </w:rPr>
              <w:t xml:space="preserve"> </w:t>
            </w:r>
            <w:r w:rsidRPr="00F222DC">
              <w:rPr>
                <w:rFonts w:cstheme="minorHAnsi"/>
                <w:b/>
              </w:rPr>
              <w:t>NCCN guideline</w:t>
            </w:r>
          </w:p>
          <w:p w14:paraId="24A10920" w14:textId="77777777" w:rsidR="007D1874" w:rsidRPr="00D065EF" w:rsidRDefault="007D1874" w:rsidP="007D1874">
            <w:pPr>
              <w:pStyle w:val="ListParagraph"/>
              <w:numPr>
                <w:ilvl w:val="0"/>
                <w:numId w:val="15"/>
              </w:numPr>
              <w:spacing w:after="0" w:line="240" w:lineRule="auto"/>
              <w:rPr>
                <w:rFonts w:cstheme="minorHAnsi"/>
                <w:color w:val="FF0000"/>
              </w:rPr>
            </w:pPr>
            <w:r w:rsidRPr="00F222DC">
              <w:rPr>
                <w:b/>
              </w:rPr>
              <w:t>Title:</w:t>
            </w:r>
            <w:r w:rsidRPr="00F222DC">
              <w:t xml:space="preserve"> </w:t>
            </w:r>
            <w:r w:rsidRPr="00D065EF">
              <w:rPr>
                <w:color w:val="FF0000"/>
              </w:rPr>
              <w:t>NCCN Clinical Practice Guidelines in Oncology – Adult Cancer Pain</w:t>
            </w:r>
          </w:p>
          <w:p w14:paraId="50E7E059" w14:textId="22121CDA" w:rsidR="007D1874" w:rsidRPr="00D065EF" w:rsidRDefault="007D1874" w:rsidP="007D1874">
            <w:pPr>
              <w:pStyle w:val="ListParagraph"/>
              <w:numPr>
                <w:ilvl w:val="0"/>
                <w:numId w:val="15"/>
              </w:numPr>
              <w:spacing w:after="0" w:line="240" w:lineRule="auto"/>
              <w:rPr>
                <w:rFonts w:cstheme="minorHAnsi"/>
                <w:color w:val="FF0000"/>
              </w:rPr>
            </w:pPr>
            <w:r w:rsidRPr="00F222DC">
              <w:rPr>
                <w:b/>
              </w:rPr>
              <w:t>Author:</w:t>
            </w:r>
            <w:r w:rsidRPr="00F222DC">
              <w:t xml:space="preserve"> </w:t>
            </w:r>
            <w:r w:rsidRPr="00D065EF">
              <w:rPr>
                <w:color w:val="FF0000"/>
              </w:rPr>
              <w:t xml:space="preserve">Swarm RA, </w:t>
            </w:r>
            <w:r w:rsidR="00885955">
              <w:rPr>
                <w:color w:val="FF0000"/>
              </w:rPr>
              <w:t>Youngwerth JM</w:t>
            </w:r>
            <w:r w:rsidRPr="00D065EF">
              <w:rPr>
                <w:color w:val="FF0000"/>
              </w:rPr>
              <w:t>, Anghelescu DL, et al; NCCN Guidelines Panel</w:t>
            </w:r>
          </w:p>
          <w:p w14:paraId="6A969A5C" w14:textId="21798557" w:rsidR="007D1874" w:rsidRPr="00D065EF" w:rsidRDefault="007D1874" w:rsidP="007D1874">
            <w:pPr>
              <w:pStyle w:val="ListParagraph"/>
              <w:numPr>
                <w:ilvl w:val="0"/>
                <w:numId w:val="15"/>
              </w:numPr>
              <w:spacing w:after="0" w:line="240" w:lineRule="auto"/>
              <w:rPr>
                <w:rFonts w:cstheme="minorHAnsi"/>
                <w:color w:val="FF0000"/>
              </w:rPr>
            </w:pPr>
            <w:r w:rsidRPr="00F222DC">
              <w:rPr>
                <w:b/>
              </w:rPr>
              <w:t>Date:</w:t>
            </w:r>
            <w:r w:rsidRPr="00F222DC">
              <w:t xml:space="preserve"> </w:t>
            </w:r>
            <w:r w:rsidR="00885955">
              <w:rPr>
                <w:color w:val="FF0000"/>
              </w:rPr>
              <w:t>April 8, 2020</w:t>
            </w:r>
          </w:p>
          <w:p w14:paraId="2EACA812" w14:textId="4DFD1400" w:rsidR="007D1874" w:rsidRDefault="007D1874" w:rsidP="007D1874">
            <w:pPr>
              <w:pStyle w:val="ListParagraph"/>
              <w:numPr>
                <w:ilvl w:val="0"/>
                <w:numId w:val="15"/>
              </w:numPr>
              <w:spacing w:after="0" w:line="240" w:lineRule="auto"/>
              <w:rPr>
                <w:rFonts w:cstheme="minorHAnsi"/>
                <w:color w:val="FF0000"/>
              </w:rPr>
            </w:pPr>
            <w:r w:rsidRPr="00F222DC">
              <w:rPr>
                <w:rFonts w:cstheme="minorHAnsi"/>
                <w:b/>
              </w:rPr>
              <w:t>Citation:</w:t>
            </w:r>
            <w:r w:rsidRPr="00F222DC">
              <w:rPr>
                <w:rFonts w:cstheme="minorHAnsi"/>
              </w:rPr>
              <w:t xml:space="preserve"> </w:t>
            </w:r>
            <w:r w:rsidR="00885955">
              <w:rPr>
                <w:rFonts w:cstheme="minorHAnsi"/>
                <w:color w:val="FF0000"/>
              </w:rPr>
              <w:t>Adult Cancer Pain, Version 1.2020, NCCN Clinical Practice Guidelines in Oncology</w:t>
            </w:r>
          </w:p>
          <w:p w14:paraId="30B87C8D" w14:textId="77777777" w:rsidR="007D1874" w:rsidRPr="00D065EF" w:rsidRDefault="007D1874" w:rsidP="007D1874">
            <w:pPr>
              <w:pStyle w:val="ListParagraph"/>
              <w:numPr>
                <w:ilvl w:val="0"/>
                <w:numId w:val="15"/>
              </w:numPr>
              <w:spacing w:after="0" w:line="240" w:lineRule="auto"/>
              <w:rPr>
                <w:rFonts w:cstheme="minorHAnsi"/>
                <w:color w:val="FF0000"/>
              </w:rPr>
            </w:pPr>
            <w:r w:rsidRPr="00F222DC">
              <w:rPr>
                <w:rFonts w:cstheme="minorHAnsi"/>
                <w:b/>
              </w:rPr>
              <w:t xml:space="preserve">URL: </w:t>
            </w:r>
            <w:hyperlink r:id="rId19" w:history="1">
              <w:r w:rsidRPr="00F222DC">
                <w:rPr>
                  <w:rStyle w:val="Hyperlink"/>
                  <w:rFonts w:cstheme="minorHAnsi"/>
                  <w:color w:val="FF0000"/>
                </w:rPr>
                <w:t>http://www.nccn.org</w:t>
              </w:r>
            </w:hyperlink>
          </w:p>
          <w:p w14:paraId="33F902A0" w14:textId="34FB56FF" w:rsidR="00885955" w:rsidRDefault="00885955" w:rsidP="00D065EF">
            <w:pPr>
              <w:rPr>
                <w:rFonts w:cstheme="minorHAnsi"/>
                <w:color w:val="FF0000"/>
              </w:rPr>
            </w:pPr>
          </w:p>
          <w:p w14:paraId="55B8DA75" w14:textId="3BF50043" w:rsidR="00D065EF" w:rsidRPr="00D065EF" w:rsidRDefault="00D065EF" w:rsidP="00D065EF">
            <w:pPr>
              <w:rPr>
                <w:rFonts w:cstheme="minorHAnsi"/>
                <w:color w:val="FF0000"/>
              </w:rPr>
            </w:pPr>
          </w:p>
        </w:tc>
      </w:tr>
      <w:tr w:rsidR="00AB4ECE" w14:paraId="55B8DA79" w14:textId="77777777" w:rsidTr="00F90F82">
        <w:tc>
          <w:tcPr>
            <w:tcW w:w="4068" w:type="dxa"/>
          </w:tcPr>
          <w:p w14:paraId="55B8DA77" w14:textId="77777777" w:rsidR="00AB4ECE" w:rsidRDefault="00AB4ECE" w:rsidP="002E2177">
            <w:pPr>
              <w:ind w:left="0" w:firstLine="0"/>
            </w:pPr>
            <w:r>
              <w:lastRenderedPageBreak/>
              <w:t>Quote the guideline or recommendation verbatim about the process, structure or intermediate outcome being measured.</w:t>
            </w:r>
            <w:r w:rsidR="000E5C93">
              <w:t xml:space="preserve"> If not a guideline, summarize the conclusions from the SR.</w:t>
            </w:r>
          </w:p>
        </w:tc>
        <w:tc>
          <w:tcPr>
            <w:tcW w:w="5130" w:type="dxa"/>
          </w:tcPr>
          <w:p w14:paraId="639B088E" w14:textId="3370B0F9" w:rsidR="001B550F" w:rsidRPr="001B550F" w:rsidRDefault="007D1874" w:rsidP="007D1874">
            <w:pPr>
              <w:rPr>
                <w:rFonts w:cstheme="minorHAnsi"/>
                <w:b/>
                <w:bCs/>
                <w:color w:val="0000FF"/>
              </w:rPr>
            </w:pPr>
            <w:r w:rsidRPr="001B550F">
              <w:rPr>
                <w:rFonts w:cstheme="minorHAnsi"/>
                <w:b/>
                <w:bCs/>
                <w:color w:val="0000FF"/>
              </w:rPr>
              <w:t xml:space="preserve">2011 </w:t>
            </w:r>
            <w:r w:rsidR="001B550F" w:rsidRPr="001B550F">
              <w:rPr>
                <w:rFonts w:cstheme="minorHAnsi"/>
                <w:b/>
                <w:bCs/>
                <w:color w:val="0000FF"/>
              </w:rPr>
              <w:t xml:space="preserve">Clinical Practice Guidelines in Oncology:  Adult </w:t>
            </w:r>
          </w:p>
          <w:p w14:paraId="2E25B54D" w14:textId="59A68076" w:rsidR="007D1874" w:rsidRPr="001B550F" w:rsidRDefault="001B550F" w:rsidP="007D1874">
            <w:pPr>
              <w:rPr>
                <w:rFonts w:cstheme="minorHAnsi"/>
                <w:b/>
                <w:bCs/>
                <w:color w:val="0000FF"/>
              </w:rPr>
            </w:pPr>
            <w:r w:rsidRPr="001B550F">
              <w:rPr>
                <w:rFonts w:cstheme="minorHAnsi"/>
                <w:b/>
                <w:bCs/>
                <w:color w:val="0000FF"/>
              </w:rPr>
              <w:t>Cancer Pain</w:t>
            </w:r>
          </w:p>
          <w:p w14:paraId="2B7A3035" w14:textId="77777777" w:rsidR="001B550F" w:rsidRDefault="001B550F" w:rsidP="007D1874">
            <w:pPr>
              <w:rPr>
                <w:rFonts w:cstheme="minorHAnsi"/>
                <w:bCs/>
                <w:color w:val="0000FF"/>
              </w:rPr>
            </w:pPr>
          </w:p>
          <w:p w14:paraId="2E458EBB" w14:textId="77777777" w:rsidR="001B550F" w:rsidRDefault="007D1874" w:rsidP="007D1874">
            <w:pPr>
              <w:rPr>
                <w:rFonts w:cstheme="minorHAnsi"/>
                <w:bCs/>
                <w:color w:val="0000FF"/>
              </w:rPr>
            </w:pPr>
            <w:r w:rsidRPr="007D1874">
              <w:rPr>
                <w:rFonts w:cstheme="minorHAnsi"/>
                <w:bCs/>
                <w:color w:val="0000FF"/>
              </w:rPr>
              <w:t xml:space="preserve">This algorithm begins with the premise that all </w:t>
            </w:r>
          </w:p>
          <w:p w14:paraId="28E9719D" w14:textId="77777777" w:rsidR="001B550F" w:rsidRDefault="007D1874" w:rsidP="007D1874">
            <w:pPr>
              <w:rPr>
                <w:rFonts w:cstheme="minorHAnsi"/>
                <w:bCs/>
                <w:color w:val="0000FF"/>
              </w:rPr>
            </w:pPr>
            <w:r w:rsidRPr="007D1874">
              <w:rPr>
                <w:rFonts w:cstheme="minorHAnsi"/>
                <w:bCs/>
                <w:color w:val="0000FF"/>
              </w:rPr>
              <w:t xml:space="preserve">patients with cancer should be screened for pain </w:t>
            </w:r>
          </w:p>
          <w:p w14:paraId="23172AAA" w14:textId="18121338" w:rsidR="001B550F" w:rsidRDefault="007D1874" w:rsidP="007D1874">
            <w:pPr>
              <w:rPr>
                <w:rFonts w:cstheme="minorHAnsi"/>
                <w:bCs/>
                <w:color w:val="0000FF"/>
              </w:rPr>
            </w:pPr>
            <w:r w:rsidRPr="007D1874">
              <w:rPr>
                <w:rFonts w:cstheme="minorHAnsi"/>
                <w:bCs/>
                <w:color w:val="0000FF"/>
              </w:rPr>
              <w:t xml:space="preserve">during the initial evaluation, at regular intervals, and </w:t>
            </w:r>
          </w:p>
          <w:p w14:paraId="208EFA11" w14:textId="77777777" w:rsidR="001B550F" w:rsidRDefault="007D1874" w:rsidP="007D1874">
            <w:pPr>
              <w:rPr>
                <w:rFonts w:cstheme="minorHAnsi"/>
                <w:bCs/>
                <w:color w:val="0000FF"/>
              </w:rPr>
            </w:pPr>
            <w:r w:rsidRPr="007D1874">
              <w:rPr>
                <w:rFonts w:cstheme="minorHAnsi"/>
                <w:bCs/>
                <w:color w:val="0000FF"/>
              </w:rPr>
              <w:t xml:space="preserve">whenever new therapy is initiated. If pain is present </w:t>
            </w:r>
          </w:p>
          <w:p w14:paraId="57E6A4F3" w14:textId="77777777" w:rsidR="001B550F" w:rsidRDefault="007D1874" w:rsidP="007D1874">
            <w:pPr>
              <w:rPr>
                <w:rFonts w:cstheme="minorHAnsi"/>
                <w:bCs/>
                <w:color w:val="0000FF"/>
              </w:rPr>
            </w:pPr>
            <w:r w:rsidRPr="007D1874">
              <w:rPr>
                <w:rFonts w:cstheme="minorHAnsi"/>
                <w:bCs/>
                <w:color w:val="0000FF"/>
              </w:rPr>
              <w:t xml:space="preserve">on a screening evaluation, the pain intensity must be </w:t>
            </w:r>
          </w:p>
          <w:p w14:paraId="770DFC78" w14:textId="00F52317" w:rsidR="001B550F" w:rsidRDefault="007D1874" w:rsidP="007D1874">
            <w:pPr>
              <w:rPr>
                <w:rFonts w:cstheme="minorHAnsi"/>
                <w:bCs/>
                <w:color w:val="0000FF"/>
              </w:rPr>
            </w:pPr>
            <w:r w:rsidRPr="007D1874">
              <w:rPr>
                <w:rFonts w:cstheme="minorHAnsi"/>
                <w:bCs/>
                <w:color w:val="0000FF"/>
              </w:rPr>
              <w:t xml:space="preserve">quantified by the patient (whenever possible).  Since </w:t>
            </w:r>
          </w:p>
          <w:p w14:paraId="5C03B97A" w14:textId="54D39332" w:rsidR="001B550F" w:rsidRDefault="007D1874" w:rsidP="002F4E0E">
            <w:pPr>
              <w:rPr>
                <w:rFonts w:cstheme="minorHAnsi"/>
                <w:bCs/>
                <w:color w:val="0000FF"/>
              </w:rPr>
            </w:pPr>
            <w:r w:rsidRPr="007D1874">
              <w:rPr>
                <w:rFonts w:cstheme="minorHAnsi"/>
                <w:bCs/>
                <w:color w:val="0000FF"/>
              </w:rPr>
              <w:t>pain is inherently subjective, patient’s self</w:t>
            </w:r>
            <w:r>
              <w:rPr>
                <w:rFonts w:cstheme="minorHAnsi"/>
                <w:bCs/>
                <w:color w:val="0000FF"/>
              </w:rPr>
              <w:t>-</w:t>
            </w:r>
            <w:r w:rsidRPr="007D1874">
              <w:rPr>
                <w:rFonts w:cstheme="minorHAnsi"/>
                <w:bCs/>
                <w:color w:val="0000FF"/>
              </w:rPr>
              <w:t xml:space="preserve">report to </w:t>
            </w:r>
          </w:p>
          <w:p w14:paraId="1DEEE387" w14:textId="10795BDC" w:rsidR="001B550F" w:rsidRDefault="007D1874" w:rsidP="004966BE">
            <w:pPr>
              <w:rPr>
                <w:rFonts w:cstheme="minorHAnsi"/>
                <w:bCs/>
                <w:color w:val="0000FF"/>
              </w:rPr>
            </w:pPr>
            <w:r w:rsidRPr="007D1874">
              <w:rPr>
                <w:rFonts w:cstheme="minorHAnsi"/>
                <w:bCs/>
                <w:color w:val="0000FF"/>
              </w:rPr>
              <w:t xml:space="preserve">pain is the current standard of care for assessment.  </w:t>
            </w:r>
          </w:p>
          <w:p w14:paraId="18DC7F97" w14:textId="7924E8E0" w:rsidR="001B550F" w:rsidRDefault="007D1874" w:rsidP="007D1874">
            <w:pPr>
              <w:rPr>
                <w:rFonts w:cstheme="minorHAnsi"/>
                <w:bCs/>
                <w:color w:val="0000FF"/>
              </w:rPr>
            </w:pPr>
            <w:r w:rsidRPr="007D1874">
              <w:rPr>
                <w:rFonts w:cstheme="minorHAnsi"/>
                <w:bCs/>
                <w:color w:val="0000FF"/>
              </w:rPr>
              <w:t xml:space="preserve">Intensity of pain should be quantified using a 0-10 </w:t>
            </w:r>
          </w:p>
          <w:p w14:paraId="4504CCA8" w14:textId="7D5E3194" w:rsidR="001B550F" w:rsidRDefault="007D1874" w:rsidP="007D1874">
            <w:pPr>
              <w:rPr>
                <w:rFonts w:cstheme="minorHAnsi"/>
                <w:bCs/>
                <w:color w:val="0000FF"/>
              </w:rPr>
            </w:pPr>
            <w:r w:rsidRPr="007D1874">
              <w:rPr>
                <w:rFonts w:cstheme="minorHAnsi"/>
                <w:bCs/>
                <w:color w:val="0000FF"/>
              </w:rPr>
              <w:t xml:space="preserve">numerical rating scale, a categorical scale, or a </w:t>
            </w:r>
          </w:p>
          <w:p w14:paraId="09C47366" w14:textId="584FCE28" w:rsidR="001B550F" w:rsidRDefault="007D1874" w:rsidP="007D1874">
            <w:pPr>
              <w:rPr>
                <w:rFonts w:cstheme="minorHAnsi"/>
                <w:bCs/>
                <w:color w:val="0000FF"/>
              </w:rPr>
            </w:pPr>
            <w:r w:rsidRPr="007D1874">
              <w:rPr>
                <w:rFonts w:cstheme="minorHAnsi"/>
                <w:bCs/>
                <w:color w:val="0000FF"/>
              </w:rPr>
              <w:t xml:space="preserve">pictorial scale (e.g., The Faces Pain Rating Scale). The </w:t>
            </w:r>
          </w:p>
          <w:p w14:paraId="1BE794F2" w14:textId="77777777" w:rsidR="001B550F" w:rsidRDefault="007D1874" w:rsidP="007D1874">
            <w:pPr>
              <w:rPr>
                <w:rFonts w:cstheme="minorHAnsi"/>
                <w:bCs/>
                <w:color w:val="0000FF"/>
              </w:rPr>
            </w:pPr>
            <w:r w:rsidRPr="007D1874">
              <w:rPr>
                <w:rFonts w:cstheme="minorHAnsi"/>
                <w:bCs/>
                <w:color w:val="0000FF"/>
              </w:rPr>
              <w:t xml:space="preserve">Faces Pain Rating Scale may be successful with </w:t>
            </w:r>
          </w:p>
          <w:p w14:paraId="0DB7FC3A" w14:textId="77777777" w:rsidR="001B550F" w:rsidRDefault="007D1874" w:rsidP="007D1874">
            <w:pPr>
              <w:rPr>
                <w:rFonts w:cstheme="minorHAnsi"/>
                <w:bCs/>
                <w:color w:val="0000FF"/>
              </w:rPr>
            </w:pPr>
            <w:r w:rsidRPr="007D1874">
              <w:rPr>
                <w:rFonts w:cstheme="minorHAnsi"/>
                <w:bCs/>
                <w:color w:val="0000FF"/>
              </w:rPr>
              <w:t xml:space="preserve">patients who have difficulty with other scales, for </w:t>
            </w:r>
          </w:p>
          <w:p w14:paraId="3F39E5C5" w14:textId="77777777" w:rsidR="001B550F" w:rsidRDefault="007D1874" w:rsidP="007D1874">
            <w:pPr>
              <w:rPr>
                <w:rFonts w:cstheme="minorHAnsi"/>
                <w:bCs/>
                <w:color w:val="0000FF"/>
              </w:rPr>
            </w:pPr>
            <w:r w:rsidRPr="007D1874">
              <w:rPr>
                <w:rFonts w:cstheme="minorHAnsi"/>
                <w:bCs/>
                <w:color w:val="0000FF"/>
              </w:rPr>
              <w:t xml:space="preserve">example, children, the elderly, and patients with </w:t>
            </w:r>
          </w:p>
          <w:p w14:paraId="01997207" w14:textId="77777777" w:rsidR="001B550F" w:rsidRDefault="007D1874" w:rsidP="007D1874">
            <w:pPr>
              <w:rPr>
                <w:rFonts w:cstheme="minorHAnsi"/>
                <w:bCs/>
                <w:color w:val="0000FF"/>
              </w:rPr>
            </w:pPr>
            <w:r w:rsidRPr="007D1874">
              <w:rPr>
                <w:rFonts w:cstheme="minorHAnsi"/>
                <w:bCs/>
                <w:color w:val="0000FF"/>
              </w:rPr>
              <w:t xml:space="preserve">language or cultural differences or other </w:t>
            </w:r>
          </w:p>
          <w:p w14:paraId="3D60C97E" w14:textId="153B65C2" w:rsidR="007D1874" w:rsidRPr="007D1874" w:rsidRDefault="007D1874" w:rsidP="007D1874">
            <w:pPr>
              <w:rPr>
                <w:rFonts w:cstheme="minorHAnsi"/>
                <w:bCs/>
              </w:rPr>
            </w:pPr>
            <w:r w:rsidRPr="007D1874">
              <w:rPr>
                <w:rFonts w:cstheme="minorHAnsi"/>
                <w:bCs/>
                <w:color w:val="0000FF"/>
              </w:rPr>
              <w:t xml:space="preserve">communication barriers. </w:t>
            </w:r>
          </w:p>
          <w:p w14:paraId="451EBA18" w14:textId="77777777" w:rsidR="007D1874" w:rsidRPr="007D1874" w:rsidRDefault="007D1874" w:rsidP="007D1874">
            <w:pPr>
              <w:rPr>
                <w:rFonts w:cstheme="minorHAnsi"/>
                <w:bCs/>
                <w:color w:val="0000FF"/>
              </w:rPr>
            </w:pPr>
          </w:p>
          <w:p w14:paraId="79E59F7C" w14:textId="77777777" w:rsidR="001B550F" w:rsidRPr="001B550F" w:rsidRDefault="001B550F" w:rsidP="007D1874">
            <w:pPr>
              <w:rPr>
                <w:rFonts w:cstheme="minorHAnsi"/>
                <w:b/>
                <w:bCs/>
                <w:color w:val="0000FF"/>
              </w:rPr>
            </w:pPr>
            <w:r w:rsidRPr="001B550F">
              <w:rPr>
                <w:rFonts w:cstheme="minorHAnsi"/>
                <w:b/>
                <w:bCs/>
                <w:color w:val="0000FF"/>
              </w:rPr>
              <w:t xml:space="preserve">2005 American Pain Society Recommendations for </w:t>
            </w:r>
          </w:p>
          <w:p w14:paraId="016BE2BD" w14:textId="77777777" w:rsidR="001B550F" w:rsidRPr="001B550F" w:rsidRDefault="001B550F" w:rsidP="007D1874">
            <w:pPr>
              <w:rPr>
                <w:rFonts w:cstheme="minorHAnsi"/>
                <w:b/>
                <w:bCs/>
                <w:color w:val="0000FF"/>
              </w:rPr>
            </w:pPr>
            <w:r w:rsidRPr="001B550F">
              <w:rPr>
                <w:rFonts w:cstheme="minorHAnsi"/>
                <w:b/>
                <w:bCs/>
                <w:color w:val="0000FF"/>
              </w:rPr>
              <w:t xml:space="preserve">Improving the Quality of Acute and Cancer Pain </w:t>
            </w:r>
          </w:p>
          <w:p w14:paraId="73C818E7" w14:textId="46B0DC0D" w:rsidR="001B550F" w:rsidRPr="001B550F" w:rsidRDefault="001B550F" w:rsidP="007D1874">
            <w:pPr>
              <w:rPr>
                <w:rFonts w:cstheme="minorHAnsi"/>
                <w:b/>
                <w:bCs/>
                <w:color w:val="0000FF"/>
              </w:rPr>
            </w:pPr>
            <w:r w:rsidRPr="001B550F">
              <w:rPr>
                <w:rFonts w:cstheme="minorHAnsi"/>
                <w:b/>
                <w:bCs/>
                <w:color w:val="0000FF"/>
              </w:rPr>
              <w:t xml:space="preserve">Management </w:t>
            </w:r>
          </w:p>
          <w:p w14:paraId="09F6BC03" w14:textId="77777777" w:rsidR="001B550F" w:rsidRPr="001B550F" w:rsidRDefault="001B550F" w:rsidP="007D1874">
            <w:pPr>
              <w:rPr>
                <w:rFonts w:cstheme="minorHAnsi"/>
                <w:bCs/>
                <w:color w:val="0000FF"/>
              </w:rPr>
            </w:pPr>
          </w:p>
          <w:p w14:paraId="70913A37" w14:textId="77777777" w:rsidR="001B550F" w:rsidRDefault="007D1874" w:rsidP="007D1874">
            <w:pPr>
              <w:rPr>
                <w:rFonts w:cstheme="minorHAnsi"/>
                <w:bCs/>
                <w:color w:val="0000FF"/>
              </w:rPr>
            </w:pPr>
            <w:r w:rsidRPr="007D1874">
              <w:rPr>
                <w:rFonts w:cstheme="minorHAnsi"/>
                <w:bCs/>
                <w:color w:val="0000FF"/>
              </w:rPr>
              <w:t xml:space="preserve">All patients should be routinely screened for pain, and </w:t>
            </w:r>
          </w:p>
          <w:p w14:paraId="75B1A122" w14:textId="77777777" w:rsidR="001B550F" w:rsidRDefault="007D1874" w:rsidP="007D1874">
            <w:pPr>
              <w:rPr>
                <w:rFonts w:cstheme="minorHAnsi"/>
                <w:bCs/>
                <w:color w:val="0000FF"/>
              </w:rPr>
            </w:pPr>
            <w:r w:rsidRPr="007D1874">
              <w:rPr>
                <w:rFonts w:cstheme="minorHAnsi"/>
                <w:bCs/>
                <w:color w:val="0000FF"/>
              </w:rPr>
              <w:t xml:space="preserve">when it is present, pain intensity should be recorded in </w:t>
            </w:r>
          </w:p>
          <w:p w14:paraId="481B427A" w14:textId="77777777" w:rsidR="001B550F" w:rsidRDefault="007D1874" w:rsidP="007D1874">
            <w:pPr>
              <w:rPr>
                <w:rFonts w:cstheme="minorHAnsi"/>
                <w:bCs/>
                <w:color w:val="0000FF"/>
              </w:rPr>
            </w:pPr>
            <w:r w:rsidRPr="007D1874">
              <w:rPr>
                <w:rFonts w:cstheme="minorHAnsi"/>
                <w:bCs/>
                <w:color w:val="0000FF"/>
              </w:rPr>
              <w:t xml:space="preserve">highly visible ways that facilitate regular review by </w:t>
            </w:r>
          </w:p>
          <w:p w14:paraId="11D6A851" w14:textId="77777777" w:rsidR="001B550F" w:rsidRDefault="007D1874" w:rsidP="007D1874">
            <w:pPr>
              <w:rPr>
                <w:rFonts w:cstheme="minorHAnsi"/>
                <w:bCs/>
                <w:color w:val="0000FF"/>
              </w:rPr>
            </w:pPr>
            <w:r w:rsidRPr="007D1874">
              <w:rPr>
                <w:rFonts w:cstheme="minorHAnsi"/>
                <w:bCs/>
                <w:color w:val="0000FF"/>
              </w:rPr>
              <w:t xml:space="preserve">health care providers. A standard for pain assessment </w:t>
            </w:r>
          </w:p>
          <w:p w14:paraId="7796698F" w14:textId="77777777" w:rsidR="001B550F" w:rsidRDefault="007D1874" w:rsidP="007D1874">
            <w:pPr>
              <w:rPr>
                <w:rFonts w:cstheme="minorHAnsi"/>
                <w:bCs/>
                <w:color w:val="0000FF"/>
              </w:rPr>
            </w:pPr>
            <w:r w:rsidRPr="007D1874">
              <w:rPr>
                <w:rFonts w:cstheme="minorHAnsi"/>
                <w:bCs/>
                <w:color w:val="0000FF"/>
              </w:rPr>
              <w:t xml:space="preserve">and documentation should be established in each </w:t>
            </w:r>
          </w:p>
          <w:p w14:paraId="5A8610EA" w14:textId="77777777" w:rsidR="001B550F" w:rsidRDefault="007D1874" w:rsidP="007D1874">
            <w:pPr>
              <w:rPr>
                <w:rFonts w:cstheme="minorHAnsi"/>
                <w:bCs/>
                <w:color w:val="0000FF"/>
              </w:rPr>
            </w:pPr>
            <w:r w:rsidRPr="007D1874">
              <w:rPr>
                <w:rFonts w:cstheme="minorHAnsi"/>
                <w:bCs/>
                <w:color w:val="0000FF"/>
              </w:rPr>
              <w:t xml:space="preserve">setting to ensure that pain is recognized, documented, </w:t>
            </w:r>
          </w:p>
          <w:p w14:paraId="46D603F5" w14:textId="59977809" w:rsidR="007D1874" w:rsidRDefault="007D1874" w:rsidP="007D1874">
            <w:pPr>
              <w:rPr>
                <w:rFonts w:cstheme="minorHAnsi"/>
                <w:bCs/>
                <w:color w:val="0000FF"/>
              </w:rPr>
            </w:pPr>
            <w:r w:rsidRPr="007D1874">
              <w:rPr>
                <w:rFonts w:cstheme="minorHAnsi"/>
                <w:bCs/>
                <w:color w:val="0000FF"/>
              </w:rPr>
              <w:lastRenderedPageBreak/>
              <w:t xml:space="preserve">and treated promptly. </w:t>
            </w:r>
          </w:p>
          <w:p w14:paraId="22E4CCE9" w14:textId="3E95BFBE" w:rsidR="001B550F" w:rsidRDefault="001B550F" w:rsidP="007D1874">
            <w:pPr>
              <w:rPr>
                <w:rFonts w:cstheme="minorHAnsi"/>
                <w:bCs/>
                <w:color w:val="0000FF"/>
              </w:rPr>
            </w:pPr>
          </w:p>
          <w:p w14:paraId="3EEBB49C" w14:textId="574FC9B9" w:rsidR="001B550F" w:rsidRPr="009E097A" w:rsidRDefault="00A72D22" w:rsidP="007D1874">
            <w:pPr>
              <w:rPr>
                <w:b/>
                <w:color w:val="FF0000"/>
              </w:rPr>
            </w:pPr>
            <w:r w:rsidRPr="009E097A">
              <w:rPr>
                <w:b/>
                <w:color w:val="FF0000"/>
              </w:rPr>
              <w:t>20</w:t>
            </w:r>
            <w:r>
              <w:rPr>
                <w:b/>
                <w:color w:val="FF0000"/>
              </w:rPr>
              <w:t>20</w:t>
            </w:r>
            <w:r w:rsidRPr="009E097A">
              <w:rPr>
                <w:b/>
                <w:color w:val="FF0000"/>
              </w:rPr>
              <w:t xml:space="preserve"> </w:t>
            </w:r>
            <w:r w:rsidR="001B550F" w:rsidRPr="009E097A">
              <w:rPr>
                <w:b/>
                <w:color w:val="FF0000"/>
              </w:rPr>
              <w:t xml:space="preserve">NCCN Clinical Practice Guidelines in Oncology – </w:t>
            </w:r>
          </w:p>
          <w:p w14:paraId="11E99F3D" w14:textId="0B89DF6B" w:rsidR="001B550F" w:rsidRPr="009E097A" w:rsidRDefault="001B550F" w:rsidP="001B550F">
            <w:pPr>
              <w:rPr>
                <w:b/>
                <w:color w:val="FF0000"/>
              </w:rPr>
            </w:pPr>
            <w:r w:rsidRPr="009E097A">
              <w:rPr>
                <w:b/>
                <w:color w:val="FF0000"/>
              </w:rPr>
              <w:t>Adult Cancer Pain</w:t>
            </w:r>
          </w:p>
          <w:p w14:paraId="434CB30F" w14:textId="276C11D5" w:rsidR="001B550F" w:rsidRDefault="001B550F" w:rsidP="001B550F">
            <w:pPr>
              <w:rPr>
                <w:color w:val="FF0000"/>
              </w:rPr>
            </w:pPr>
          </w:p>
          <w:p w14:paraId="77F4E062" w14:textId="77F2D786" w:rsidR="00A72D22" w:rsidRDefault="00A72D22" w:rsidP="001B550F">
            <w:pPr>
              <w:rPr>
                <w:color w:val="FF0000"/>
              </w:rPr>
            </w:pPr>
            <w:r>
              <w:rPr>
                <w:color w:val="FF0000"/>
              </w:rPr>
              <w:t>This algorithm begins with the premise that all</w:t>
            </w:r>
            <w:r w:rsidR="003407F1">
              <w:rPr>
                <w:color w:val="FF0000"/>
              </w:rPr>
              <w:t xml:space="preserve"> </w:t>
            </w:r>
            <w:r>
              <w:rPr>
                <w:color w:val="FF0000"/>
              </w:rPr>
              <w:t xml:space="preserve">patients with cancer should be screened for pain during the initial evaluation, at each subsequent contact, and whenever new therapy is initiated.  If pain is present on a screening evaluation, the pain intensity must be quantified by the patient (whenever possible). Since pain is inherently subjective, patients’ self-reporting of pain is the most current standard of care for assessment. </w:t>
            </w:r>
          </w:p>
          <w:p w14:paraId="7A296DB0" w14:textId="2261F446" w:rsidR="00A72D22" w:rsidRDefault="00A72D22" w:rsidP="001B550F">
            <w:pPr>
              <w:rPr>
                <w:color w:val="FF0000"/>
              </w:rPr>
            </w:pPr>
          </w:p>
          <w:p w14:paraId="6B8E7A1C" w14:textId="77777777" w:rsidR="00AB4ECE" w:rsidRDefault="00A72D22" w:rsidP="00E93C3F">
            <w:pPr>
              <w:rPr>
                <w:color w:val="FF0000"/>
              </w:rPr>
            </w:pPr>
            <w:r>
              <w:rPr>
                <w:color w:val="FF0000"/>
              </w:rPr>
              <w:t xml:space="preserve">Although pain is commonly assessed using numerical or categorical ratings, some patients may experience difficulty with these scales. The Face Pain Rating Scale may be successful with patients who have difficulty with other scales, for example, children, the elderly, and patients with language or cultural differences or other communication barriers. If the patient is unable to verbally report pain, an alternative method to obtain pain rating and pain assessment must be utilized. In addition to pain intensity, the patient should be asked to describe the characteristics of his/her pain (ie, aching, burning). </w:t>
            </w:r>
          </w:p>
          <w:p w14:paraId="264EAD48" w14:textId="77777777" w:rsidR="0061050E" w:rsidRDefault="0061050E" w:rsidP="00E93C3F">
            <w:pPr>
              <w:rPr>
                <w:color w:val="FF0000"/>
              </w:rPr>
            </w:pPr>
          </w:p>
          <w:p w14:paraId="2B30FD70" w14:textId="77777777" w:rsidR="0061050E" w:rsidRDefault="0061050E" w:rsidP="0061050E">
            <w:pPr>
              <w:pStyle w:val="ListParagraph"/>
              <w:numPr>
                <w:ilvl w:val="0"/>
                <w:numId w:val="20"/>
              </w:numPr>
              <w:rPr>
                <w:color w:val="FF0000"/>
              </w:rPr>
            </w:pPr>
            <w:r>
              <w:rPr>
                <w:color w:val="FF0000"/>
              </w:rPr>
              <w:t>Screen all patients for pain at each contact.</w:t>
            </w:r>
          </w:p>
          <w:p w14:paraId="05C3F0DB" w14:textId="77777777" w:rsidR="0061050E" w:rsidRDefault="0061050E" w:rsidP="0061050E">
            <w:pPr>
              <w:pStyle w:val="ListParagraph"/>
              <w:numPr>
                <w:ilvl w:val="0"/>
                <w:numId w:val="20"/>
              </w:numPr>
              <w:rPr>
                <w:color w:val="FF0000"/>
              </w:rPr>
            </w:pPr>
            <w:r>
              <w:rPr>
                <w:color w:val="FF0000"/>
              </w:rPr>
              <w:t>Routinely quantify and document pain intensity and quality as characterized by the patient (whenever possible). Include patient reporting of breakthrough pain, treatments used and their impact on pain, satisfaction with pain relief, pain interference, provider assessment of impact on function, and any special issues for the patient relevant to pain treatment. If necessary, get additional information from caregiver regarding pain and impact on function.</w:t>
            </w:r>
          </w:p>
          <w:p w14:paraId="014F4105" w14:textId="77777777" w:rsidR="0061050E" w:rsidRDefault="0061050E" w:rsidP="0061050E">
            <w:pPr>
              <w:pStyle w:val="ListParagraph"/>
              <w:numPr>
                <w:ilvl w:val="0"/>
                <w:numId w:val="20"/>
              </w:numPr>
              <w:rPr>
                <w:color w:val="FF0000"/>
              </w:rPr>
            </w:pPr>
            <w:r>
              <w:rPr>
                <w:color w:val="FF0000"/>
              </w:rPr>
              <w:t>Perform comprehensive pain assessment if new or worsening pain is present and regularly for persisting pain.</w:t>
            </w:r>
          </w:p>
          <w:p w14:paraId="55B8DA78" w14:textId="7DCE1C17" w:rsidR="0061050E" w:rsidRPr="0061050E" w:rsidRDefault="0061050E" w:rsidP="0061050E">
            <w:pPr>
              <w:pStyle w:val="ListParagraph"/>
              <w:numPr>
                <w:ilvl w:val="0"/>
                <w:numId w:val="20"/>
              </w:numPr>
              <w:rPr>
                <w:color w:val="FF0000"/>
              </w:rPr>
            </w:pPr>
            <w:r>
              <w:rPr>
                <w:color w:val="FF0000"/>
              </w:rPr>
              <w:lastRenderedPageBreak/>
              <w:t xml:space="preserve">Evaluate for risk factors for opioid abuse/misuse/diversion. </w:t>
            </w:r>
          </w:p>
        </w:tc>
      </w:tr>
      <w:tr w:rsidR="00AB4ECE" w14:paraId="55B8DA7C" w14:textId="77777777" w:rsidTr="00F90F82">
        <w:tc>
          <w:tcPr>
            <w:tcW w:w="406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1932EFF1" w14:textId="77777777" w:rsidR="00713A68" w:rsidRPr="001B550F" w:rsidRDefault="00713A68" w:rsidP="00713A68">
            <w:pPr>
              <w:rPr>
                <w:rFonts w:cstheme="minorHAnsi"/>
                <w:b/>
                <w:bCs/>
                <w:color w:val="0000FF"/>
              </w:rPr>
            </w:pPr>
            <w:r w:rsidRPr="001B550F">
              <w:rPr>
                <w:rFonts w:cstheme="minorHAnsi"/>
                <w:b/>
                <w:bCs/>
                <w:color w:val="0000FF"/>
              </w:rPr>
              <w:t xml:space="preserve">2011 Clinical Practice Guidelines in Oncology:  Adult </w:t>
            </w:r>
          </w:p>
          <w:p w14:paraId="522BBE7A" w14:textId="1606E775" w:rsidR="00713A68" w:rsidRPr="00292E97" w:rsidRDefault="00713A68" w:rsidP="00292E97">
            <w:pPr>
              <w:rPr>
                <w:rFonts w:cstheme="minorHAnsi"/>
                <w:bCs/>
                <w:color w:val="0000FF"/>
              </w:rPr>
            </w:pPr>
            <w:r w:rsidRPr="001B550F">
              <w:rPr>
                <w:rFonts w:cstheme="minorHAnsi"/>
                <w:b/>
                <w:bCs/>
                <w:color w:val="0000FF"/>
              </w:rPr>
              <w:t>Cancer Pain</w:t>
            </w:r>
            <w:r w:rsidR="00D47670">
              <w:rPr>
                <w:rFonts w:cstheme="minorHAnsi"/>
                <w:b/>
                <w:bCs/>
                <w:color w:val="0000FF"/>
              </w:rPr>
              <w:t xml:space="preserve">:  </w:t>
            </w:r>
            <w:r w:rsidR="00D47670" w:rsidRPr="00D47670">
              <w:rPr>
                <w:rFonts w:cstheme="minorHAnsi"/>
                <w:bCs/>
                <w:color w:val="0000FF"/>
              </w:rPr>
              <w:t>Category 2A</w:t>
            </w:r>
            <w:r w:rsidR="00D47670">
              <w:rPr>
                <w:rFonts w:cstheme="minorHAnsi"/>
                <w:bCs/>
                <w:color w:val="0000FF"/>
              </w:rPr>
              <w:t xml:space="preserve">; </w:t>
            </w:r>
            <w:r w:rsidR="00D47670" w:rsidRPr="00D47670">
              <w:rPr>
                <w:rFonts w:cstheme="minorHAnsi"/>
                <w:color w:val="0000FF"/>
              </w:rPr>
              <w:t>Based upon lower-level evidence, there is uniform NCCN consensus that the intervention is appropriate.</w:t>
            </w:r>
          </w:p>
          <w:p w14:paraId="7189093D" w14:textId="77777777" w:rsidR="00AB4ECE" w:rsidRDefault="00AB4ECE" w:rsidP="002E2177">
            <w:pPr>
              <w:ind w:left="0" w:firstLine="0"/>
            </w:pPr>
          </w:p>
          <w:p w14:paraId="313453DC" w14:textId="77777777" w:rsidR="00713A68" w:rsidRPr="001B550F" w:rsidRDefault="00713A68" w:rsidP="00713A68">
            <w:pPr>
              <w:rPr>
                <w:rFonts w:cstheme="minorHAnsi"/>
                <w:b/>
                <w:bCs/>
                <w:color w:val="0000FF"/>
              </w:rPr>
            </w:pPr>
            <w:r w:rsidRPr="001B550F">
              <w:rPr>
                <w:rFonts w:cstheme="minorHAnsi"/>
                <w:b/>
                <w:bCs/>
                <w:color w:val="0000FF"/>
              </w:rPr>
              <w:t xml:space="preserve">2005 American Pain Society Recommendations for </w:t>
            </w:r>
          </w:p>
          <w:p w14:paraId="3F81EB93" w14:textId="77777777" w:rsidR="00713A68" w:rsidRPr="001B550F" w:rsidRDefault="00713A68" w:rsidP="00713A68">
            <w:pPr>
              <w:rPr>
                <w:rFonts w:cstheme="minorHAnsi"/>
                <w:b/>
                <w:bCs/>
                <w:color w:val="0000FF"/>
              </w:rPr>
            </w:pPr>
            <w:r w:rsidRPr="001B550F">
              <w:rPr>
                <w:rFonts w:cstheme="minorHAnsi"/>
                <w:b/>
                <w:bCs/>
                <w:color w:val="0000FF"/>
              </w:rPr>
              <w:t xml:space="preserve">Improving the Quality of Acute and Cancer Pain </w:t>
            </w:r>
          </w:p>
          <w:p w14:paraId="10A5A27E" w14:textId="77777777" w:rsidR="00D47670" w:rsidRDefault="00713A68" w:rsidP="00D47670">
            <w:pPr>
              <w:rPr>
                <w:rFonts w:ascii="Arial Narrow" w:hAnsi="Arial Narrow" w:cs="Arial"/>
                <w:color w:val="0000FF"/>
              </w:rPr>
            </w:pPr>
            <w:r w:rsidRPr="001B550F">
              <w:rPr>
                <w:rFonts w:cstheme="minorHAnsi"/>
                <w:b/>
                <w:bCs/>
                <w:color w:val="0000FF"/>
              </w:rPr>
              <w:t>Management</w:t>
            </w:r>
            <w:r w:rsidR="00D47670">
              <w:rPr>
                <w:rFonts w:cstheme="minorHAnsi"/>
                <w:b/>
                <w:bCs/>
                <w:color w:val="0000FF"/>
              </w:rPr>
              <w:t xml:space="preserve">:  </w:t>
            </w:r>
            <w:r w:rsidR="00D47670" w:rsidRPr="00D47670">
              <w:rPr>
                <w:rFonts w:cstheme="minorHAnsi"/>
                <w:color w:val="0000FF"/>
              </w:rPr>
              <w:t>The body of evidence in the APS guideline has not been graded.  However, the APS indicates that recommendations result from literature reviews, expert experience, and consensus.</w:t>
            </w:r>
          </w:p>
          <w:p w14:paraId="5AE0DFE3" w14:textId="77777777" w:rsidR="00713A68" w:rsidRDefault="00713A68" w:rsidP="00713A68">
            <w:pPr>
              <w:ind w:left="0" w:firstLine="0"/>
            </w:pPr>
          </w:p>
          <w:p w14:paraId="6133D051" w14:textId="7F631071" w:rsidR="00713A68" w:rsidRPr="009E097A" w:rsidRDefault="004966BE" w:rsidP="00713A68">
            <w:pPr>
              <w:rPr>
                <w:b/>
                <w:color w:val="FF0000"/>
              </w:rPr>
            </w:pPr>
            <w:r w:rsidRPr="009E097A">
              <w:rPr>
                <w:b/>
                <w:color w:val="FF0000"/>
              </w:rPr>
              <w:t>20</w:t>
            </w:r>
            <w:r>
              <w:rPr>
                <w:b/>
                <w:color w:val="FF0000"/>
              </w:rPr>
              <w:t>20</w:t>
            </w:r>
            <w:r w:rsidRPr="009E097A">
              <w:rPr>
                <w:b/>
                <w:color w:val="FF0000"/>
              </w:rPr>
              <w:t xml:space="preserve"> </w:t>
            </w:r>
            <w:r w:rsidR="00713A68" w:rsidRPr="009E097A">
              <w:rPr>
                <w:b/>
                <w:color w:val="FF0000"/>
              </w:rPr>
              <w:t xml:space="preserve">NCCN Clinical Practice Guidelines in Oncology – </w:t>
            </w:r>
          </w:p>
          <w:p w14:paraId="1BCB92D0" w14:textId="77777777" w:rsidR="00713A68" w:rsidRPr="009E097A" w:rsidRDefault="00713A68" w:rsidP="00713A68">
            <w:pPr>
              <w:rPr>
                <w:b/>
                <w:color w:val="FF0000"/>
              </w:rPr>
            </w:pPr>
            <w:r w:rsidRPr="009E097A">
              <w:rPr>
                <w:b/>
                <w:color w:val="FF0000"/>
              </w:rPr>
              <w:t>Adult Cancer Pain</w:t>
            </w:r>
          </w:p>
          <w:p w14:paraId="55B8DA7B" w14:textId="3D251A1E" w:rsidR="00FF632B" w:rsidRPr="00FF632B" w:rsidRDefault="00292E97" w:rsidP="00292E97">
            <w:pPr>
              <w:rPr>
                <w:rFonts w:cstheme="minorHAnsi"/>
                <w:bCs/>
                <w:color w:val="FF0000"/>
              </w:rPr>
            </w:pPr>
            <w:r w:rsidRPr="00292E97">
              <w:rPr>
                <w:rFonts w:cstheme="minorHAnsi"/>
                <w:bCs/>
                <w:color w:val="FF0000"/>
              </w:rPr>
              <w:t xml:space="preserve">Category 2A; </w:t>
            </w:r>
            <w:r w:rsidRPr="00292E97">
              <w:rPr>
                <w:rFonts w:cstheme="minorHAnsi"/>
                <w:color w:val="FF0000"/>
              </w:rPr>
              <w:t>Based upon lower-level evidence, there is uniform NCCN consensus that the intervention is appropriate</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6162BC85" w14:textId="3ECFA759" w:rsidR="004A7388" w:rsidRPr="004A7388" w:rsidRDefault="004A7388" w:rsidP="004A7388">
            <w:pPr>
              <w:rPr>
                <w:rFonts w:cstheme="minorHAnsi"/>
                <w:b/>
                <w:color w:val="555555"/>
              </w:rPr>
            </w:pPr>
            <w:r w:rsidRPr="004A7388">
              <w:rPr>
                <w:rFonts w:cstheme="minorHAnsi"/>
                <w:color w:val="0000FF"/>
              </w:rPr>
              <w:t>NCCN Categories of Evidence and Consensus</w:t>
            </w:r>
            <w:r>
              <w:rPr>
                <w:rFonts w:cstheme="minorHAnsi"/>
                <w:color w:val="0000FF"/>
              </w:rPr>
              <w:t>:</w:t>
            </w:r>
          </w:p>
          <w:p w14:paraId="23E734C0" w14:textId="77777777" w:rsidR="004A7388" w:rsidRPr="004A7388" w:rsidRDefault="004A7388" w:rsidP="004A7388">
            <w:pPr>
              <w:rPr>
                <w:rFonts w:cstheme="minorHAnsi"/>
                <w:color w:val="0000FF"/>
              </w:rPr>
            </w:pPr>
          </w:p>
          <w:p w14:paraId="77DF7BF1" w14:textId="021FC718" w:rsidR="004A7388" w:rsidRPr="004A7388" w:rsidRDefault="004A7388" w:rsidP="004A7388">
            <w:pPr>
              <w:pStyle w:val="ListParagraph"/>
              <w:numPr>
                <w:ilvl w:val="0"/>
                <w:numId w:val="17"/>
              </w:numPr>
              <w:rPr>
                <w:rFonts w:cstheme="minorHAnsi"/>
                <w:color w:val="0000FF"/>
              </w:rPr>
            </w:pPr>
            <w:r w:rsidRPr="004A7388">
              <w:rPr>
                <w:rFonts w:cstheme="minorHAnsi"/>
                <w:color w:val="0000FF"/>
              </w:rPr>
              <w:t>Category 1: Based upon high-level evidence, there is uniform NCCN consensus that the intervention is appropriate.</w:t>
            </w:r>
          </w:p>
          <w:p w14:paraId="53A2D6B8" w14:textId="1287E318" w:rsidR="004A7388" w:rsidRPr="004A7388" w:rsidRDefault="004A7388" w:rsidP="004A7388">
            <w:pPr>
              <w:pStyle w:val="ListParagraph"/>
              <w:numPr>
                <w:ilvl w:val="0"/>
                <w:numId w:val="17"/>
              </w:numPr>
              <w:rPr>
                <w:rFonts w:cstheme="minorHAnsi"/>
                <w:color w:val="0000FF"/>
              </w:rPr>
            </w:pPr>
            <w:r w:rsidRPr="004A7388">
              <w:rPr>
                <w:rFonts w:cstheme="minorHAnsi"/>
                <w:color w:val="0000FF"/>
              </w:rPr>
              <w:t>Category 2A: Based upon lower-level evidence, there is uniform NCCN consensus that the intervention is appropriate.</w:t>
            </w:r>
          </w:p>
          <w:p w14:paraId="29142896" w14:textId="0E5CA08C" w:rsidR="004A7388" w:rsidRPr="004A7388" w:rsidRDefault="004A7388" w:rsidP="004A7388">
            <w:pPr>
              <w:pStyle w:val="ListParagraph"/>
              <w:numPr>
                <w:ilvl w:val="0"/>
                <w:numId w:val="17"/>
              </w:numPr>
              <w:rPr>
                <w:rFonts w:cstheme="minorHAnsi"/>
                <w:color w:val="0000FF"/>
              </w:rPr>
            </w:pPr>
            <w:r w:rsidRPr="004A7388">
              <w:rPr>
                <w:rFonts w:cstheme="minorHAnsi"/>
                <w:color w:val="0000FF"/>
              </w:rPr>
              <w:t>Category 2B: Based upon lower-level evidence, there is NCCN consensus that the intervention is appropriate.</w:t>
            </w:r>
          </w:p>
          <w:p w14:paraId="0565D0DF" w14:textId="3F53D69A" w:rsidR="004A7388" w:rsidRPr="004A7388" w:rsidRDefault="004A7388" w:rsidP="004A7388">
            <w:pPr>
              <w:pStyle w:val="ListParagraph"/>
              <w:numPr>
                <w:ilvl w:val="0"/>
                <w:numId w:val="17"/>
              </w:numPr>
              <w:rPr>
                <w:rFonts w:cstheme="minorHAnsi"/>
                <w:color w:val="0000FF"/>
              </w:rPr>
            </w:pPr>
            <w:r w:rsidRPr="004A7388">
              <w:rPr>
                <w:rFonts w:cstheme="minorHAnsi"/>
                <w:color w:val="0000FF"/>
              </w:rPr>
              <w:t>Category 3: Based upon any level of evidence, there is major NCCN disagreement that the intervention is appropriate.</w:t>
            </w:r>
          </w:p>
          <w:p w14:paraId="2E0AAE57" w14:textId="77777777" w:rsidR="004A7388" w:rsidRPr="004A7388" w:rsidRDefault="004A7388" w:rsidP="004A7388">
            <w:pPr>
              <w:rPr>
                <w:rFonts w:cstheme="minorHAnsi"/>
                <w:color w:val="0000FF"/>
              </w:rPr>
            </w:pPr>
          </w:p>
          <w:p w14:paraId="6ACF0357" w14:textId="77777777" w:rsidR="004A7388" w:rsidRPr="004A7388" w:rsidRDefault="004A7388" w:rsidP="004A7388">
            <w:pPr>
              <w:rPr>
                <w:rFonts w:cstheme="minorHAnsi"/>
                <w:color w:val="0000FF"/>
              </w:rPr>
            </w:pPr>
            <w:r w:rsidRPr="004A7388">
              <w:rPr>
                <w:rFonts w:cstheme="minorHAnsi"/>
                <w:color w:val="0000FF"/>
              </w:rPr>
              <w:t>The body of evidence in the APS guideline has not been graded.  However, the APS indicates that recommendations result from literature reviews, expert experience, and consensus.</w:t>
            </w:r>
          </w:p>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28A24E36" w14:textId="77777777" w:rsidR="00574E10" w:rsidRPr="001B550F" w:rsidRDefault="00574E10" w:rsidP="00574E10">
            <w:pPr>
              <w:rPr>
                <w:rFonts w:cstheme="minorHAnsi"/>
                <w:b/>
                <w:bCs/>
                <w:color w:val="0000FF"/>
              </w:rPr>
            </w:pPr>
            <w:r w:rsidRPr="001B550F">
              <w:rPr>
                <w:rFonts w:cstheme="minorHAnsi"/>
                <w:b/>
                <w:bCs/>
                <w:color w:val="0000FF"/>
              </w:rPr>
              <w:t xml:space="preserve">2011 Clinical Practice Guidelines in Oncology:  Adult </w:t>
            </w:r>
          </w:p>
          <w:p w14:paraId="759F383E" w14:textId="77777777" w:rsidR="00574E10" w:rsidRPr="00292E97" w:rsidRDefault="00574E10" w:rsidP="00574E10">
            <w:pPr>
              <w:rPr>
                <w:rFonts w:cstheme="minorHAnsi"/>
                <w:bCs/>
                <w:color w:val="0000FF"/>
              </w:rPr>
            </w:pPr>
            <w:r w:rsidRPr="001B550F">
              <w:rPr>
                <w:rFonts w:cstheme="minorHAnsi"/>
                <w:b/>
                <w:bCs/>
                <w:color w:val="0000FF"/>
              </w:rPr>
              <w:t>Cancer Pain</w:t>
            </w:r>
            <w:r>
              <w:rPr>
                <w:rFonts w:cstheme="minorHAnsi"/>
                <w:b/>
                <w:bCs/>
                <w:color w:val="0000FF"/>
              </w:rPr>
              <w:t xml:space="preserve">:  </w:t>
            </w:r>
            <w:r w:rsidRPr="00D47670">
              <w:rPr>
                <w:rFonts w:cstheme="minorHAnsi"/>
                <w:bCs/>
                <w:color w:val="0000FF"/>
              </w:rPr>
              <w:t>Category 2A</w:t>
            </w:r>
            <w:r>
              <w:rPr>
                <w:rFonts w:cstheme="minorHAnsi"/>
                <w:bCs/>
                <w:color w:val="0000FF"/>
              </w:rPr>
              <w:t xml:space="preserve">; </w:t>
            </w:r>
            <w:r w:rsidRPr="00D47670">
              <w:rPr>
                <w:rFonts w:cstheme="minorHAnsi"/>
                <w:color w:val="0000FF"/>
              </w:rPr>
              <w:t>Based upon lower-level evidence, there is uniform NCCN consensus that the intervention is appropriate.</w:t>
            </w:r>
          </w:p>
          <w:p w14:paraId="783D9F6D" w14:textId="77777777" w:rsidR="00574E10" w:rsidRDefault="00574E10" w:rsidP="00574E10">
            <w:pPr>
              <w:ind w:left="0" w:firstLine="0"/>
            </w:pPr>
          </w:p>
          <w:p w14:paraId="6F1A1101" w14:textId="77777777" w:rsidR="00574E10" w:rsidRPr="001B550F" w:rsidRDefault="00574E10" w:rsidP="00574E10">
            <w:pPr>
              <w:rPr>
                <w:rFonts w:cstheme="minorHAnsi"/>
                <w:b/>
                <w:bCs/>
                <w:color w:val="0000FF"/>
              </w:rPr>
            </w:pPr>
            <w:r w:rsidRPr="001B550F">
              <w:rPr>
                <w:rFonts w:cstheme="minorHAnsi"/>
                <w:b/>
                <w:bCs/>
                <w:color w:val="0000FF"/>
              </w:rPr>
              <w:t xml:space="preserve">2005 American Pain Society Recommendations for </w:t>
            </w:r>
          </w:p>
          <w:p w14:paraId="560B4FAB" w14:textId="77777777" w:rsidR="00574E10" w:rsidRPr="001B550F" w:rsidRDefault="00574E10" w:rsidP="00574E10">
            <w:pPr>
              <w:rPr>
                <w:rFonts w:cstheme="minorHAnsi"/>
                <w:b/>
                <w:bCs/>
                <w:color w:val="0000FF"/>
              </w:rPr>
            </w:pPr>
            <w:r w:rsidRPr="001B550F">
              <w:rPr>
                <w:rFonts w:cstheme="minorHAnsi"/>
                <w:b/>
                <w:bCs/>
                <w:color w:val="0000FF"/>
              </w:rPr>
              <w:t xml:space="preserve">Improving the Quality of Acute and Cancer Pain </w:t>
            </w:r>
          </w:p>
          <w:p w14:paraId="0AFC3A27" w14:textId="77777777" w:rsidR="00574E10" w:rsidRDefault="00574E10" w:rsidP="00574E10">
            <w:pPr>
              <w:rPr>
                <w:rFonts w:ascii="Arial Narrow" w:hAnsi="Arial Narrow" w:cs="Arial"/>
                <w:color w:val="0000FF"/>
              </w:rPr>
            </w:pPr>
            <w:r w:rsidRPr="001B550F">
              <w:rPr>
                <w:rFonts w:cstheme="minorHAnsi"/>
                <w:b/>
                <w:bCs/>
                <w:color w:val="0000FF"/>
              </w:rPr>
              <w:t>Management</w:t>
            </w:r>
            <w:r>
              <w:rPr>
                <w:rFonts w:cstheme="minorHAnsi"/>
                <w:b/>
                <w:bCs/>
                <w:color w:val="0000FF"/>
              </w:rPr>
              <w:t xml:space="preserve">:  </w:t>
            </w:r>
            <w:r w:rsidRPr="00D47670">
              <w:rPr>
                <w:rFonts w:cstheme="minorHAnsi"/>
                <w:color w:val="0000FF"/>
              </w:rPr>
              <w:t>The body of evidence in the APS guideline has not been graded.  However, the APS indicates that recommendations result from literature reviews, expert experience, and consensus.</w:t>
            </w:r>
          </w:p>
          <w:p w14:paraId="094F9448" w14:textId="77777777" w:rsidR="00574E10" w:rsidRDefault="00574E10" w:rsidP="00574E10">
            <w:pPr>
              <w:ind w:left="0" w:firstLine="0"/>
            </w:pPr>
          </w:p>
          <w:p w14:paraId="4CF844C7" w14:textId="167AC4A7" w:rsidR="00574E10" w:rsidRPr="009E097A" w:rsidRDefault="004966BE" w:rsidP="00574E10">
            <w:pPr>
              <w:rPr>
                <w:b/>
                <w:color w:val="FF0000"/>
              </w:rPr>
            </w:pPr>
            <w:r w:rsidRPr="009E097A">
              <w:rPr>
                <w:b/>
                <w:color w:val="FF0000"/>
              </w:rPr>
              <w:t>20</w:t>
            </w:r>
            <w:r>
              <w:rPr>
                <w:b/>
                <w:color w:val="FF0000"/>
              </w:rPr>
              <w:t>20</w:t>
            </w:r>
            <w:r w:rsidRPr="009E097A">
              <w:rPr>
                <w:b/>
                <w:color w:val="FF0000"/>
              </w:rPr>
              <w:t xml:space="preserve"> </w:t>
            </w:r>
            <w:r w:rsidR="00574E10" w:rsidRPr="009E097A">
              <w:rPr>
                <w:b/>
                <w:color w:val="FF0000"/>
              </w:rPr>
              <w:t xml:space="preserve">NCCN Clinical Practice Guidelines in Oncology – </w:t>
            </w:r>
          </w:p>
          <w:p w14:paraId="6B737017" w14:textId="77777777" w:rsidR="00574E10" w:rsidRPr="009E097A" w:rsidRDefault="00574E10" w:rsidP="00574E10">
            <w:pPr>
              <w:rPr>
                <w:b/>
                <w:color w:val="FF0000"/>
              </w:rPr>
            </w:pPr>
            <w:r w:rsidRPr="009E097A">
              <w:rPr>
                <w:b/>
                <w:color w:val="FF0000"/>
              </w:rPr>
              <w:t>Adult Cancer Pain</w:t>
            </w:r>
          </w:p>
          <w:p w14:paraId="55B8DA81" w14:textId="0FC358D8" w:rsidR="00FF632B" w:rsidRDefault="00574E10" w:rsidP="00FF632B">
            <w:pPr>
              <w:ind w:left="0" w:firstLine="0"/>
            </w:pPr>
            <w:r w:rsidRPr="00292E97">
              <w:rPr>
                <w:rFonts w:cstheme="minorHAnsi"/>
                <w:bCs/>
                <w:color w:val="FF0000"/>
              </w:rPr>
              <w:t xml:space="preserve">Category 2A; </w:t>
            </w:r>
            <w:r w:rsidRPr="00292E97">
              <w:rPr>
                <w:rFonts w:cstheme="minorHAnsi"/>
                <w:color w:val="FF0000"/>
              </w:rPr>
              <w:t>Based upon lower-level evidence, there is uniform NCCN consensus that the intervention is appropriate</w:t>
            </w:r>
          </w:p>
        </w:tc>
      </w:tr>
      <w:tr w:rsidR="00AB4ECE" w14:paraId="55B8DA85" w14:textId="77777777" w:rsidTr="00F90F82">
        <w:tc>
          <w:tcPr>
            <w:tcW w:w="4068" w:type="dxa"/>
          </w:tcPr>
          <w:p w14:paraId="55B8DA83" w14:textId="77777777" w:rsidR="00AB4ECE" w:rsidRDefault="00AB4ECE" w:rsidP="00E42FAA">
            <w:pPr>
              <w:ind w:left="0" w:firstLine="0"/>
            </w:pPr>
            <w:r>
              <w:lastRenderedPageBreak/>
              <w:t>Provide all other grades and definitions from the recommendation grading system</w:t>
            </w:r>
          </w:p>
        </w:tc>
        <w:tc>
          <w:tcPr>
            <w:tcW w:w="5130" w:type="dxa"/>
          </w:tcPr>
          <w:p w14:paraId="2D21D352" w14:textId="77777777" w:rsidR="00574E10" w:rsidRPr="004A7388" w:rsidRDefault="00574E10" w:rsidP="00574E10">
            <w:pPr>
              <w:rPr>
                <w:rFonts w:cstheme="minorHAnsi"/>
                <w:b/>
                <w:color w:val="555555"/>
              </w:rPr>
            </w:pPr>
            <w:r w:rsidRPr="004A7388">
              <w:rPr>
                <w:rFonts w:cstheme="minorHAnsi"/>
                <w:color w:val="0000FF"/>
              </w:rPr>
              <w:t>NCCN Categories of Evidence and Consensus</w:t>
            </w:r>
            <w:r>
              <w:rPr>
                <w:rFonts w:cstheme="minorHAnsi"/>
                <w:color w:val="0000FF"/>
              </w:rPr>
              <w:t>:</w:t>
            </w:r>
          </w:p>
          <w:p w14:paraId="05B4B700" w14:textId="77777777" w:rsidR="00574E10" w:rsidRPr="004A7388" w:rsidRDefault="00574E10" w:rsidP="00574E10">
            <w:pPr>
              <w:rPr>
                <w:rFonts w:cstheme="minorHAnsi"/>
                <w:color w:val="0000FF"/>
              </w:rPr>
            </w:pPr>
          </w:p>
          <w:p w14:paraId="00DD360C" w14:textId="77777777" w:rsidR="00574E10" w:rsidRPr="004A7388" w:rsidRDefault="00574E10" w:rsidP="00574E10">
            <w:pPr>
              <w:pStyle w:val="ListParagraph"/>
              <w:numPr>
                <w:ilvl w:val="0"/>
                <w:numId w:val="17"/>
              </w:numPr>
              <w:rPr>
                <w:rFonts w:cstheme="minorHAnsi"/>
                <w:color w:val="0000FF"/>
              </w:rPr>
            </w:pPr>
            <w:r w:rsidRPr="004A7388">
              <w:rPr>
                <w:rFonts w:cstheme="minorHAnsi"/>
                <w:color w:val="0000FF"/>
              </w:rPr>
              <w:t>Category 1: Based upon high-level evidence, there is uniform NCCN consensus that the intervention is appropriate.</w:t>
            </w:r>
          </w:p>
          <w:p w14:paraId="416F22EE" w14:textId="77777777" w:rsidR="00574E10" w:rsidRPr="004A7388" w:rsidRDefault="00574E10" w:rsidP="00574E10">
            <w:pPr>
              <w:pStyle w:val="ListParagraph"/>
              <w:numPr>
                <w:ilvl w:val="0"/>
                <w:numId w:val="17"/>
              </w:numPr>
              <w:rPr>
                <w:rFonts w:cstheme="minorHAnsi"/>
                <w:color w:val="0000FF"/>
              </w:rPr>
            </w:pPr>
            <w:r w:rsidRPr="004A7388">
              <w:rPr>
                <w:rFonts w:cstheme="minorHAnsi"/>
                <w:color w:val="0000FF"/>
              </w:rPr>
              <w:t>Category 2A: Based upon lower-level evidence, there is uniform NCCN consensus that the intervention is appropriate.</w:t>
            </w:r>
          </w:p>
          <w:p w14:paraId="5F9BE39F" w14:textId="77777777" w:rsidR="00574E10" w:rsidRPr="004A7388" w:rsidRDefault="00574E10" w:rsidP="00574E10">
            <w:pPr>
              <w:pStyle w:val="ListParagraph"/>
              <w:numPr>
                <w:ilvl w:val="0"/>
                <w:numId w:val="17"/>
              </w:numPr>
              <w:rPr>
                <w:rFonts w:cstheme="minorHAnsi"/>
                <w:color w:val="0000FF"/>
              </w:rPr>
            </w:pPr>
            <w:r w:rsidRPr="004A7388">
              <w:rPr>
                <w:rFonts w:cstheme="minorHAnsi"/>
                <w:color w:val="0000FF"/>
              </w:rPr>
              <w:t>Category 2B: Based upon lower-level evidence, there is NCCN consensus that the intervention is appropriate.</w:t>
            </w:r>
          </w:p>
          <w:p w14:paraId="7A7823EC" w14:textId="77777777" w:rsidR="00574E10" w:rsidRPr="004A7388" w:rsidRDefault="00574E10" w:rsidP="00574E10">
            <w:pPr>
              <w:pStyle w:val="ListParagraph"/>
              <w:numPr>
                <w:ilvl w:val="0"/>
                <w:numId w:val="17"/>
              </w:numPr>
              <w:rPr>
                <w:rFonts w:cstheme="minorHAnsi"/>
                <w:color w:val="0000FF"/>
              </w:rPr>
            </w:pPr>
            <w:r w:rsidRPr="004A7388">
              <w:rPr>
                <w:rFonts w:cstheme="minorHAnsi"/>
                <w:color w:val="0000FF"/>
              </w:rPr>
              <w:t>Category 3: Based upon any level of evidence, there is major NCCN disagreement that the intervention is appropriate.</w:t>
            </w:r>
          </w:p>
          <w:p w14:paraId="6E071AC7" w14:textId="77777777" w:rsidR="00574E10" w:rsidRPr="004A7388" w:rsidRDefault="00574E10" w:rsidP="00574E10">
            <w:pPr>
              <w:rPr>
                <w:rFonts w:cstheme="minorHAnsi"/>
                <w:color w:val="0000FF"/>
              </w:rPr>
            </w:pPr>
          </w:p>
          <w:p w14:paraId="219B42D9" w14:textId="77777777" w:rsidR="00574E10" w:rsidRPr="004A7388" w:rsidRDefault="00574E10" w:rsidP="00574E10">
            <w:pPr>
              <w:rPr>
                <w:rFonts w:cstheme="minorHAnsi"/>
                <w:color w:val="0000FF"/>
              </w:rPr>
            </w:pPr>
            <w:r w:rsidRPr="004A7388">
              <w:rPr>
                <w:rFonts w:cstheme="minorHAnsi"/>
                <w:color w:val="0000FF"/>
              </w:rPr>
              <w:t>The body of evidence in the APS guideline has not been graded.  However, the APS indicates that recommendations result from literature reviews, expert experience, and consensus.</w:t>
            </w:r>
          </w:p>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24E6864F" w14:textId="384D02E6" w:rsidR="00203FC4" w:rsidRPr="00AE0EE2" w:rsidRDefault="00582DDD" w:rsidP="00582DDD">
            <w:pPr>
              <w:pStyle w:val="ListParagraph"/>
              <w:numPr>
                <w:ilvl w:val="0"/>
                <w:numId w:val="19"/>
              </w:numPr>
              <w:rPr>
                <w:rFonts w:cstheme="minorHAnsi"/>
                <w:i/>
              </w:rPr>
            </w:pPr>
            <w:r w:rsidRPr="00582DDD">
              <w:rPr>
                <w:rFonts w:cstheme="minorHAnsi"/>
                <w:b/>
              </w:rPr>
              <w:t>Quantity:</w:t>
            </w:r>
            <w:r w:rsidRPr="00582DDD">
              <w:rPr>
                <w:rFonts w:cstheme="minorHAnsi"/>
              </w:rPr>
              <w:t xml:space="preserve"> </w:t>
            </w:r>
            <w:r w:rsidR="00203FC4" w:rsidRPr="00AE0EE2">
              <w:rPr>
                <w:rFonts w:cstheme="minorHAnsi"/>
                <w:color w:val="0000FF"/>
              </w:rPr>
              <w:t xml:space="preserve">The description of the evidence review in the NCCN guideline did not address the overall quantity of studies in the body of evidence.  However, 105 articles are cited.    </w:t>
            </w:r>
          </w:p>
          <w:p w14:paraId="7D74F570" w14:textId="7ED6E90C" w:rsidR="00AE0EE2" w:rsidRPr="00AE0EE2" w:rsidRDefault="00AE0EE2" w:rsidP="00AE0EE2">
            <w:pPr>
              <w:rPr>
                <w:rFonts w:cstheme="minorHAnsi"/>
                <w:color w:val="FF0000"/>
              </w:rPr>
            </w:pPr>
            <w:r w:rsidRPr="00E93C3F">
              <w:rPr>
                <w:rFonts w:cstheme="minorHAnsi"/>
                <w:color w:val="FF0000"/>
              </w:rPr>
              <w:t xml:space="preserve">The </w:t>
            </w:r>
            <w:r w:rsidR="004966BE" w:rsidRPr="00E93C3F">
              <w:rPr>
                <w:rFonts w:cstheme="minorHAnsi"/>
                <w:color w:val="FF0000"/>
              </w:rPr>
              <w:t xml:space="preserve">2020 </w:t>
            </w:r>
            <w:r w:rsidRPr="00E93C3F">
              <w:rPr>
                <w:rFonts w:cstheme="minorHAnsi"/>
                <w:color w:val="FF0000"/>
              </w:rPr>
              <w:t>NCCN guideline also does not provide a description of the body of evidence. However, the overview and pain assessment section within the guideline</w:t>
            </w:r>
            <w:r w:rsidR="00436144" w:rsidRPr="00E93C3F">
              <w:rPr>
                <w:rFonts w:cstheme="minorHAnsi"/>
                <w:color w:val="FF0000"/>
              </w:rPr>
              <w:t xml:space="preserve"> </w:t>
            </w:r>
            <w:r w:rsidRPr="00E93C3F">
              <w:rPr>
                <w:rFonts w:cstheme="minorHAnsi"/>
                <w:color w:val="FF0000"/>
              </w:rPr>
              <w:t>cites 36 articles in support of the pain assessment concept and recommendations.</w:t>
            </w:r>
            <w:r>
              <w:rPr>
                <w:rFonts w:cstheme="minorHAnsi"/>
                <w:color w:val="FF0000"/>
              </w:rPr>
              <w:t xml:space="preserve"> </w:t>
            </w:r>
          </w:p>
          <w:p w14:paraId="3ABB57F2" w14:textId="77777777" w:rsidR="00203FC4" w:rsidRPr="00AE0EE2" w:rsidRDefault="00203FC4" w:rsidP="00203FC4">
            <w:pPr>
              <w:rPr>
                <w:rFonts w:cstheme="minorHAnsi"/>
                <w:color w:val="0000FF"/>
              </w:rPr>
            </w:pPr>
          </w:p>
          <w:p w14:paraId="4029B130" w14:textId="73C6000E" w:rsidR="00203FC4" w:rsidRPr="00AE0EE2" w:rsidRDefault="00203FC4" w:rsidP="00203FC4">
            <w:pPr>
              <w:rPr>
                <w:rFonts w:cstheme="minorHAnsi"/>
                <w:color w:val="0000FF"/>
              </w:rPr>
            </w:pPr>
            <w:r w:rsidRPr="00AE0EE2">
              <w:rPr>
                <w:rFonts w:cstheme="minorHAnsi"/>
                <w:color w:val="0000FF"/>
              </w:rPr>
              <w:lastRenderedPageBreak/>
              <w:t>Similarly, the description of the evidence review in the APS guideline did not address the overall quantity of studies in the body of evidence.  However, 82 articles are cited.</w:t>
            </w:r>
          </w:p>
          <w:p w14:paraId="0DFCFC98" w14:textId="3D730F16" w:rsidR="00582DDD" w:rsidRPr="00AE0EE2" w:rsidRDefault="00582DDD" w:rsidP="00203FC4">
            <w:pPr>
              <w:rPr>
                <w:rFonts w:cstheme="minorHAnsi"/>
                <w:color w:val="0000FF"/>
              </w:rPr>
            </w:pPr>
          </w:p>
          <w:p w14:paraId="0B7E5D5D" w14:textId="36B99137" w:rsidR="00582DDD" w:rsidRPr="00582DDD" w:rsidRDefault="00582DDD" w:rsidP="00582DDD">
            <w:pPr>
              <w:pStyle w:val="ListParagraph"/>
              <w:numPr>
                <w:ilvl w:val="0"/>
                <w:numId w:val="19"/>
              </w:numPr>
              <w:rPr>
                <w:rFonts w:cstheme="minorHAnsi"/>
                <w:color w:val="0000FF"/>
              </w:rPr>
            </w:pPr>
            <w:r w:rsidRPr="00582DDD">
              <w:rPr>
                <w:rFonts w:cstheme="minorHAnsi"/>
                <w:b/>
              </w:rPr>
              <w:t>Quality:</w:t>
            </w:r>
            <w:r w:rsidRPr="00582DDD">
              <w:rPr>
                <w:rFonts w:cstheme="minorHAnsi"/>
              </w:rPr>
              <w:t xml:space="preserve"> </w:t>
            </w:r>
            <w:r w:rsidRPr="00582DDD">
              <w:rPr>
                <w:rFonts w:cstheme="minorHAnsi"/>
                <w:color w:val="0000FF"/>
              </w:rPr>
              <w:t>The quality of the body of evidence supporting the NCCN guideline recommendations are summarized according to the NCCN categories of evidence and consensus as being based on "lower-level evidence".  Lower-level evidence is later described as evidence that may include non-randomized trials; case series; or when other data are lacking, the clinical experience of expert physicians.</w:t>
            </w:r>
          </w:p>
          <w:p w14:paraId="09D07DA6" w14:textId="77777777" w:rsidR="00582DDD" w:rsidRPr="00582DDD" w:rsidRDefault="00582DDD" w:rsidP="00582DDD">
            <w:pPr>
              <w:rPr>
                <w:rFonts w:cstheme="minorHAnsi"/>
                <w:color w:val="0000FF"/>
              </w:rPr>
            </w:pPr>
          </w:p>
          <w:p w14:paraId="1E70FA03" w14:textId="77777777" w:rsidR="00582DDD" w:rsidRPr="00582DDD" w:rsidRDefault="00582DDD" w:rsidP="00582DDD">
            <w:pPr>
              <w:rPr>
                <w:rFonts w:cstheme="minorHAnsi"/>
                <w:color w:val="0000FF"/>
              </w:rPr>
            </w:pPr>
            <w:r w:rsidRPr="00582DDD">
              <w:rPr>
                <w:rFonts w:cstheme="minorHAnsi"/>
                <w:color w:val="0000FF"/>
              </w:rPr>
              <w:t>The quality of the body of evidence supporting the APS guideline recommendation is not provided.</w:t>
            </w:r>
          </w:p>
          <w:p w14:paraId="6F33FB1C" w14:textId="77777777" w:rsidR="00582DDD" w:rsidRPr="00CD35D2" w:rsidRDefault="00582DDD" w:rsidP="00582DDD">
            <w:pPr>
              <w:rPr>
                <w:rFonts w:ascii="Arial Narrow" w:hAnsi="Arial Narrow" w:cs="Arial"/>
                <w:i/>
              </w:rPr>
            </w:pPr>
          </w:p>
          <w:p w14:paraId="02169DDB" w14:textId="77777777" w:rsidR="00582DDD" w:rsidRPr="00203FC4" w:rsidRDefault="00582DDD" w:rsidP="00203FC4">
            <w:pPr>
              <w:rPr>
                <w:rFonts w:cstheme="minorHAnsi"/>
                <w:color w:val="0000FF"/>
              </w:rPr>
            </w:pPr>
          </w:p>
          <w:p w14:paraId="55B8DA89" w14:textId="77777777" w:rsidR="00AB4ECE" w:rsidRPr="00203FC4" w:rsidRDefault="00AB4ECE" w:rsidP="002E2177">
            <w:pPr>
              <w:ind w:left="0" w:firstLine="0"/>
              <w:rPr>
                <w:rFonts w:cstheme="minorHAnsi"/>
              </w:rPr>
            </w:pPr>
          </w:p>
        </w:tc>
      </w:tr>
      <w:tr w:rsidR="00AB4ECE" w14:paraId="55B8DA8D" w14:textId="77777777" w:rsidTr="00F90F82">
        <w:tc>
          <w:tcPr>
            <w:tcW w:w="4068" w:type="dxa"/>
          </w:tcPr>
          <w:p w14:paraId="55B8DA8B" w14:textId="77777777" w:rsidR="00AB4ECE" w:rsidRDefault="000E5C93" w:rsidP="002E2177">
            <w:pPr>
              <w:ind w:left="0" w:firstLine="0"/>
            </w:pPr>
            <w:r>
              <w:lastRenderedPageBreak/>
              <w:t xml:space="preserve">Estimates of benefit and consistency across studies </w:t>
            </w:r>
          </w:p>
        </w:tc>
        <w:tc>
          <w:tcPr>
            <w:tcW w:w="5130" w:type="dxa"/>
          </w:tcPr>
          <w:p w14:paraId="45B30F43" w14:textId="0805FF8F" w:rsidR="007F01B3" w:rsidRPr="007F01B3" w:rsidRDefault="007F01B3" w:rsidP="007F01B3">
            <w:pPr>
              <w:rPr>
                <w:rFonts w:cstheme="minorHAnsi"/>
                <w:i/>
              </w:rPr>
            </w:pPr>
            <w:r w:rsidRPr="007F01B3">
              <w:rPr>
                <w:rFonts w:cstheme="minorHAnsi"/>
                <w:color w:val="0000FF"/>
              </w:rPr>
              <w:t>Although there is no explicit statement regarding the overall consistency of results across studies in the NCCN guidelines supporting the measure, the recommendation received uniform NCCN consensus that the intervention is appropriate</w:t>
            </w:r>
            <w:r>
              <w:rPr>
                <w:rFonts w:cstheme="minorHAnsi"/>
                <w:color w:val="0000FF"/>
              </w:rPr>
              <w:t xml:space="preserve"> and </w:t>
            </w:r>
            <w:r>
              <w:rPr>
                <w:rFonts w:cstheme="minorHAnsi"/>
                <w:bCs/>
                <w:color w:val="0000FF"/>
              </w:rPr>
              <w:t>i</w:t>
            </w:r>
            <w:r w:rsidRPr="007F01B3">
              <w:rPr>
                <w:rFonts w:cstheme="minorHAnsi"/>
                <w:bCs/>
                <w:color w:val="0000FF"/>
              </w:rPr>
              <w:t>nitial and ongoing pain assessments are essential to ensure proper pain management.</w:t>
            </w:r>
          </w:p>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0B4A78EF" w14:textId="77777777" w:rsidR="000E5C93" w:rsidRDefault="007802D2" w:rsidP="002E2177">
            <w:pPr>
              <w:ind w:left="0" w:firstLine="0"/>
              <w:rPr>
                <w:rFonts w:cstheme="minorHAnsi"/>
                <w:bCs/>
                <w:color w:val="0000FF"/>
              </w:rPr>
            </w:pPr>
            <w:r w:rsidRPr="007802D2">
              <w:rPr>
                <w:rFonts w:cstheme="minorHAnsi"/>
                <w:bCs/>
                <w:color w:val="0000FF"/>
              </w:rPr>
              <w:t>Initial and ongoing pain assessments are essential to ensure proper pain management.</w:t>
            </w:r>
          </w:p>
          <w:p w14:paraId="10D07718" w14:textId="77777777" w:rsidR="00665CE9" w:rsidRDefault="00665CE9" w:rsidP="002E2177">
            <w:pPr>
              <w:ind w:left="0" w:firstLine="0"/>
              <w:rPr>
                <w:rFonts w:cstheme="minorHAnsi"/>
              </w:rPr>
            </w:pPr>
          </w:p>
          <w:p w14:paraId="28B8A3C9" w14:textId="364DB883" w:rsidR="00665CE9" w:rsidRPr="00CE08B5" w:rsidRDefault="00665CE9" w:rsidP="002E2177">
            <w:pPr>
              <w:ind w:left="0" w:firstLine="0"/>
              <w:rPr>
                <w:rFonts w:cstheme="minorHAnsi"/>
                <w:color w:val="FF0000"/>
              </w:rPr>
            </w:pPr>
            <w:r w:rsidRPr="00CE08B5">
              <w:rPr>
                <w:rFonts w:cstheme="minorHAnsi"/>
                <w:color w:val="FF0000"/>
              </w:rPr>
              <w:t xml:space="preserve">The NCCN guideline states that “…attempts should be made to determine the underlying pain mechanism and diagnose the pain syndrome.” The selection of analgesic for optimal outcomes will depend on the intensity of pain, </w:t>
            </w:r>
            <w:r w:rsidR="00B2798D" w:rsidRPr="00CE08B5">
              <w:rPr>
                <w:rFonts w:cstheme="minorHAnsi"/>
                <w:color w:val="FF0000"/>
              </w:rPr>
              <w:t xml:space="preserve">current analgesic therapy and </w:t>
            </w:r>
            <w:r w:rsidR="005C3A3B">
              <w:rPr>
                <w:rFonts w:cstheme="minorHAnsi"/>
                <w:color w:val="FF0000"/>
              </w:rPr>
              <w:t>concomitant illnesses</w:t>
            </w:r>
            <w:r w:rsidR="00B2798D" w:rsidRPr="00CE08B5">
              <w:rPr>
                <w:rFonts w:cstheme="minorHAnsi"/>
                <w:color w:val="FF0000"/>
              </w:rPr>
              <w:t xml:space="preserve">. </w:t>
            </w:r>
          </w:p>
          <w:p w14:paraId="3C6DFBB2" w14:textId="77777777" w:rsidR="00B2798D" w:rsidRPr="00CE08B5" w:rsidRDefault="00B2798D" w:rsidP="002E2177">
            <w:pPr>
              <w:ind w:left="0" w:firstLine="0"/>
              <w:rPr>
                <w:rFonts w:cstheme="minorHAnsi"/>
                <w:color w:val="FF0000"/>
              </w:rPr>
            </w:pPr>
          </w:p>
          <w:p w14:paraId="1352C72C" w14:textId="2C8A5E4F" w:rsidR="005C3A3B" w:rsidRDefault="005C3A3B" w:rsidP="002E2177">
            <w:pPr>
              <w:ind w:left="0" w:firstLine="0"/>
              <w:rPr>
                <w:rFonts w:cstheme="minorHAnsi"/>
                <w:color w:val="FF0000"/>
              </w:rPr>
            </w:pPr>
            <w:r>
              <w:rPr>
                <w:rFonts w:cstheme="minorHAnsi"/>
                <w:color w:val="FF0000"/>
              </w:rPr>
              <w:t xml:space="preserve">The NCCN Panel recommends monitoring patients for opioid dose reduction, such as situations in which the patient rarely or never needs breakthrough analgesics, the completion of an acute pain event, improvement of pain control through non-opioid or interventional pain management therapies, or well-controlled pain in the setting of stable disease.  Additionally, the panel notes that opioid dose reduction may be considered if </w:t>
            </w:r>
            <w:r>
              <w:rPr>
                <w:rFonts w:cstheme="minorHAnsi"/>
                <w:color w:val="FF0000"/>
              </w:rPr>
              <w:lastRenderedPageBreak/>
              <w:t>a patient experiences unmanageable adverse effects and/or significant safety concerns.</w:t>
            </w:r>
          </w:p>
          <w:p w14:paraId="1281E3A4" w14:textId="77777777" w:rsidR="005C3A3B" w:rsidRDefault="005C3A3B" w:rsidP="002E2177">
            <w:pPr>
              <w:ind w:left="0" w:firstLine="0"/>
              <w:rPr>
                <w:rFonts w:cstheme="minorHAnsi"/>
                <w:color w:val="FF0000"/>
              </w:rPr>
            </w:pPr>
          </w:p>
          <w:p w14:paraId="55B8DA8F" w14:textId="4145FE18" w:rsidR="00B2798D" w:rsidRPr="007802D2" w:rsidRDefault="00B2798D" w:rsidP="002E2177">
            <w:pPr>
              <w:ind w:left="0" w:firstLine="0"/>
              <w:rPr>
                <w:rFonts w:cstheme="minorHAnsi"/>
              </w:rPr>
            </w:pPr>
            <w:r w:rsidRPr="00CE08B5">
              <w:rPr>
                <w:rFonts w:cstheme="minorHAnsi"/>
                <w:color w:val="FF0000"/>
              </w:rPr>
              <w:t xml:space="preserve">The NCCN </w:t>
            </w:r>
            <w:r w:rsidR="005C3A3B">
              <w:rPr>
                <w:rFonts w:cstheme="minorHAnsi"/>
                <w:color w:val="FF0000"/>
              </w:rPr>
              <w:t xml:space="preserve">Panel </w:t>
            </w:r>
            <w:r w:rsidRPr="00CE08B5">
              <w:rPr>
                <w:rFonts w:cstheme="minorHAnsi"/>
                <w:color w:val="FF0000"/>
              </w:rPr>
              <w:t xml:space="preserve">acknowledges the potential for misuse and abuse of opioids and </w:t>
            </w:r>
            <w:r w:rsidR="00CE08B5" w:rsidRPr="00CE08B5">
              <w:rPr>
                <w:rFonts w:cstheme="minorHAnsi"/>
                <w:color w:val="FF0000"/>
              </w:rPr>
              <w:t xml:space="preserve">recommends monitoring for aberrant </w:t>
            </w:r>
            <w:r w:rsidR="005C3A3B">
              <w:rPr>
                <w:rFonts w:cstheme="minorHAnsi"/>
                <w:color w:val="FF0000"/>
              </w:rPr>
              <w:t>medication drug-related</w:t>
            </w:r>
            <w:r w:rsidR="00CE08B5" w:rsidRPr="00CE08B5">
              <w:rPr>
                <w:rFonts w:cstheme="minorHAnsi"/>
                <w:color w:val="FF0000"/>
              </w:rPr>
              <w:t xml:space="preserve"> </w:t>
            </w:r>
            <w:r w:rsidR="005C3A3B">
              <w:rPr>
                <w:rFonts w:cstheme="minorHAnsi"/>
                <w:color w:val="FF0000"/>
              </w:rPr>
              <w:t xml:space="preserve">behaviors over the course of treatment, such as with the use of the COMM (Current Opioid Misuse Measure) which helps clinicians identifying whether patients on long-term opioid therapy is exhibiting aberrant behaviors associated with opioid misuse. </w:t>
            </w:r>
            <w:r w:rsidR="00CE08B5" w:rsidRPr="00CE08B5">
              <w:rPr>
                <w:rFonts w:cstheme="minorHAnsi"/>
                <w:color w:val="FF0000"/>
              </w:rPr>
              <w:t xml:space="preserve"> </w:t>
            </w:r>
          </w:p>
        </w:tc>
      </w:tr>
      <w:tr w:rsidR="000E5C93" w14:paraId="55B8DA93" w14:textId="77777777" w:rsidTr="00F90F82">
        <w:tc>
          <w:tcPr>
            <w:tcW w:w="4068" w:type="dxa"/>
          </w:tcPr>
          <w:p w14:paraId="55B8DA91" w14:textId="77777777" w:rsidR="000E5C93" w:rsidRDefault="000E5C93" w:rsidP="000E5C93">
            <w:pPr>
              <w:ind w:left="0" w:firstLine="0"/>
            </w:pPr>
            <w:r>
              <w:lastRenderedPageBreak/>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C17160" w14:textId="77777777" w:rsidR="002E58F9" w:rsidRDefault="002E58F9" w:rsidP="007E37A5">
      <w:r>
        <w:separator/>
      </w:r>
    </w:p>
  </w:endnote>
  <w:endnote w:type="continuationSeparator" w:id="0">
    <w:p w14:paraId="4383D9DC" w14:textId="77777777" w:rsidR="002E58F9" w:rsidRDefault="002E58F9"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EB49B6" w14:textId="77777777" w:rsidR="002E58F9" w:rsidRDefault="002E58F9" w:rsidP="007E37A5">
      <w:r>
        <w:separator/>
      </w:r>
    </w:p>
  </w:footnote>
  <w:footnote w:type="continuationSeparator" w:id="0">
    <w:p w14:paraId="4B65E8B8" w14:textId="77777777" w:rsidR="002E58F9" w:rsidRDefault="002E58F9"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0C4A"/>
    <w:multiLevelType w:val="hybridMultilevel"/>
    <w:tmpl w:val="3218360E"/>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25767B"/>
    <w:multiLevelType w:val="hybridMultilevel"/>
    <w:tmpl w:val="2E025E52"/>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D18C8"/>
    <w:multiLevelType w:val="hybridMultilevel"/>
    <w:tmpl w:val="1008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0C7AD1"/>
    <w:multiLevelType w:val="hybridMultilevel"/>
    <w:tmpl w:val="0246B46E"/>
    <w:lvl w:ilvl="0" w:tplc="7BCC9EC4">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66960"/>
    <w:multiLevelType w:val="hybridMultilevel"/>
    <w:tmpl w:val="85CED352"/>
    <w:lvl w:ilvl="0" w:tplc="F2B6C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806D75"/>
    <w:multiLevelType w:val="hybridMultilevel"/>
    <w:tmpl w:val="D5A6BE76"/>
    <w:lvl w:ilvl="0" w:tplc="4A481EF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CF391F"/>
    <w:multiLevelType w:val="hybridMultilevel"/>
    <w:tmpl w:val="A4E0A7D6"/>
    <w:lvl w:ilvl="0" w:tplc="8C7CFC5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A96D86"/>
    <w:multiLevelType w:val="hybridMultilevel"/>
    <w:tmpl w:val="1008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20607D5"/>
    <w:multiLevelType w:val="hybridMultilevel"/>
    <w:tmpl w:val="689A5188"/>
    <w:lvl w:ilvl="0" w:tplc="86200A98">
      <w:start w:val="1"/>
      <w:numFmt w:val="bullet"/>
      <w:lvlText w:val=""/>
      <w:lvlJc w:val="left"/>
      <w:pPr>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F7B4E77"/>
    <w:multiLevelType w:val="hybridMultilevel"/>
    <w:tmpl w:val="D6005E8C"/>
    <w:lvl w:ilvl="0" w:tplc="2406758C">
      <w:start w:val="1"/>
      <w:numFmt w:val="bullet"/>
      <w:lvlText w:val=""/>
      <w:lvlJc w:val="left"/>
      <w:pPr>
        <w:ind w:left="432"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0F11DF"/>
    <w:multiLevelType w:val="hybridMultilevel"/>
    <w:tmpl w:val="E0387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5"/>
  </w:num>
  <w:num w:numId="4">
    <w:abstractNumId w:val="8"/>
  </w:num>
  <w:num w:numId="5">
    <w:abstractNumId w:val="11"/>
  </w:num>
  <w:num w:numId="6">
    <w:abstractNumId w:val="9"/>
  </w:num>
  <w:num w:numId="7">
    <w:abstractNumId w:val="18"/>
  </w:num>
  <w:num w:numId="8">
    <w:abstractNumId w:val="17"/>
  </w:num>
  <w:num w:numId="9">
    <w:abstractNumId w:val="19"/>
  </w:num>
  <w:num w:numId="10">
    <w:abstractNumId w:val="2"/>
  </w:num>
  <w:num w:numId="11">
    <w:abstractNumId w:val="13"/>
  </w:num>
  <w:num w:numId="12">
    <w:abstractNumId w:val="3"/>
  </w:num>
  <w:num w:numId="13">
    <w:abstractNumId w:val="14"/>
  </w:num>
  <w:num w:numId="14">
    <w:abstractNumId w:val="4"/>
  </w:num>
  <w:num w:numId="15">
    <w:abstractNumId w:val="0"/>
  </w:num>
  <w:num w:numId="16">
    <w:abstractNumId w:val="16"/>
  </w:num>
  <w:num w:numId="17">
    <w:abstractNumId w:val="1"/>
  </w:num>
  <w:num w:numId="18">
    <w:abstractNumId w:val="10"/>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10F5"/>
    <w:rsid w:val="00015986"/>
    <w:rsid w:val="000160E6"/>
    <w:rsid w:val="00024526"/>
    <w:rsid w:val="00030F43"/>
    <w:rsid w:val="00031F30"/>
    <w:rsid w:val="00040DCF"/>
    <w:rsid w:val="00052C0B"/>
    <w:rsid w:val="00061CF3"/>
    <w:rsid w:val="00063601"/>
    <w:rsid w:val="00073079"/>
    <w:rsid w:val="0007593F"/>
    <w:rsid w:val="00095EC9"/>
    <w:rsid w:val="00096A37"/>
    <w:rsid w:val="000A0810"/>
    <w:rsid w:val="000B627F"/>
    <w:rsid w:val="000D649E"/>
    <w:rsid w:val="000D6D06"/>
    <w:rsid w:val="000E4467"/>
    <w:rsid w:val="000E5C93"/>
    <w:rsid w:val="000F4A7F"/>
    <w:rsid w:val="000F4CEA"/>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550F"/>
    <w:rsid w:val="001B711E"/>
    <w:rsid w:val="001B772D"/>
    <w:rsid w:val="001C0A4D"/>
    <w:rsid w:val="001D3DA7"/>
    <w:rsid w:val="001D5B5D"/>
    <w:rsid w:val="001E3AF6"/>
    <w:rsid w:val="001E6153"/>
    <w:rsid w:val="00201FF9"/>
    <w:rsid w:val="00203FC4"/>
    <w:rsid w:val="00205857"/>
    <w:rsid w:val="00235ADC"/>
    <w:rsid w:val="00236F87"/>
    <w:rsid w:val="00237078"/>
    <w:rsid w:val="002408CE"/>
    <w:rsid w:val="00265702"/>
    <w:rsid w:val="002662B2"/>
    <w:rsid w:val="002717C7"/>
    <w:rsid w:val="002875E9"/>
    <w:rsid w:val="00287EB3"/>
    <w:rsid w:val="00292E97"/>
    <w:rsid w:val="002A47BA"/>
    <w:rsid w:val="002A6777"/>
    <w:rsid w:val="002B06BD"/>
    <w:rsid w:val="002C0E48"/>
    <w:rsid w:val="002C6F04"/>
    <w:rsid w:val="002E2177"/>
    <w:rsid w:val="002E2E41"/>
    <w:rsid w:val="002E58F9"/>
    <w:rsid w:val="002E78CD"/>
    <w:rsid w:val="002F20A7"/>
    <w:rsid w:val="002F4E0E"/>
    <w:rsid w:val="003008F4"/>
    <w:rsid w:val="00302B1D"/>
    <w:rsid w:val="00307BB6"/>
    <w:rsid w:val="00307FA5"/>
    <w:rsid w:val="00324D64"/>
    <w:rsid w:val="003407F1"/>
    <w:rsid w:val="00352B52"/>
    <w:rsid w:val="0035760D"/>
    <w:rsid w:val="0036299A"/>
    <w:rsid w:val="00363ECC"/>
    <w:rsid w:val="00373768"/>
    <w:rsid w:val="0039020B"/>
    <w:rsid w:val="00395263"/>
    <w:rsid w:val="003956E0"/>
    <w:rsid w:val="0039609A"/>
    <w:rsid w:val="00397500"/>
    <w:rsid w:val="003B1CC5"/>
    <w:rsid w:val="003B65CE"/>
    <w:rsid w:val="003D6721"/>
    <w:rsid w:val="003E039E"/>
    <w:rsid w:val="003E09F0"/>
    <w:rsid w:val="0040230E"/>
    <w:rsid w:val="0041662F"/>
    <w:rsid w:val="00422917"/>
    <w:rsid w:val="00436144"/>
    <w:rsid w:val="00440687"/>
    <w:rsid w:val="0044131D"/>
    <w:rsid w:val="00441ADA"/>
    <w:rsid w:val="00457E46"/>
    <w:rsid w:val="00474717"/>
    <w:rsid w:val="004922E4"/>
    <w:rsid w:val="004966BE"/>
    <w:rsid w:val="00496AF8"/>
    <w:rsid w:val="004A575D"/>
    <w:rsid w:val="004A7388"/>
    <w:rsid w:val="004B65C6"/>
    <w:rsid w:val="004D1DC7"/>
    <w:rsid w:val="004E1F82"/>
    <w:rsid w:val="004E7215"/>
    <w:rsid w:val="004F7D7E"/>
    <w:rsid w:val="00500B0C"/>
    <w:rsid w:val="00532BA6"/>
    <w:rsid w:val="00537150"/>
    <w:rsid w:val="00540984"/>
    <w:rsid w:val="00543851"/>
    <w:rsid w:val="005529B3"/>
    <w:rsid w:val="0055559D"/>
    <w:rsid w:val="005556CE"/>
    <w:rsid w:val="005569AE"/>
    <w:rsid w:val="00574E10"/>
    <w:rsid w:val="00582DDD"/>
    <w:rsid w:val="005857F8"/>
    <w:rsid w:val="005B0D18"/>
    <w:rsid w:val="005B12C3"/>
    <w:rsid w:val="005B409D"/>
    <w:rsid w:val="005C3A3B"/>
    <w:rsid w:val="005D0FDB"/>
    <w:rsid w:val="005D25E9"/>
    <w:rsid w:val="005D5F22"/>
    <w:rsid w:val="005D6D59"/>
    <w:rsid w:val="0061050E"/>
    <w:rsid w:val="0061327A"/>
    <w:rsid w:val="00617390"/>
    <w:rsid w:val="00623420"/>
    <w:rsid w:val="00634768"/>
    <w:rsid w:val="0063596F"/>
    <w:rsid w:val="0065545A"/>
    <w:rsid w:val="00665CE9"/>
    <w:rsid w:val="006709EB"/>
    <w:rsid w:val="00672824"/>
    <w:rsid w:val="00676BD4"/>
    <w:rsid w:val="0068184A"/>
    <w:rsid w:val="0068465F"/>
    <w:rsid w:val="006A0249"/>
    <w:rsid w:val="006B5C51"/>
    <w:rsid w:val="006C7F30"/>
    <w:rsid w:val="006D43FF"/>
    <w:rsid w:val="006E6FDD"/>
    <w:rsid w:val="006F4B7F"/>
    <w:rsid w:val="006F760B"/>
    <w:rsid w:val="00701CC3"/>
    <w:rsid w:val="00713A68"/>
    <w:rsid w:val="00724801"/>
    <w:rsid w:val="00734949"/>
    <w:rsid w:val="00736AEC"/>
    <w:rsid w:val="00736E0F"/>
    <w:rsid w:val="007434FA"/>
    <w:rsid w:val="007573F0"/>
    <w:rsid w:val="00765156"/>
    <w:rsid w:val="00767669"/>
    <w:rsid w:val="00773485"/>
    <w:rsid w:val="00776E8F"/>
    <w:rsid w:val="00776F6D"/>
    <w:rsid w:val="007802D2"/>
    <w:rsid w:val="007B3DB4"/>
    <w:rsid w:val="007B7E0E"/>
    <w:rsid w:val="007C0297"/>
    <w:rsid w:val="007C1887"/>
    <w:rsid w:val="007D1874"/>
    <w:rsid w:val="007D4775"/>
    <w:rsid w:val="007D5DC6"/>
    <w:rsid w:val="007E37A5"/>
    <w:rsid w:val="007E393B"/>
    <w:rsid w:val="007F01B3"/>
    <w:rsid w:val="007F1647"/>
    <w:rsid w:val="007F49D8"/>
    <w:rsid w:val="007F7412"/>
    <w:rsid w:val="00805940"/>
    <w:rsid w:val="0081599C"/>
    <w:rsid w:val="00820FB1"/>
    <w:rsid w:val="00837121"/>
    <w:rsid w:val="008471E5"/>
    <w:rsid w:val="00850C35"/>
    <w:rsid w:val="00851466"/>
    <w:rsid w:val="00863E43"/>
    <w:rsid w:val="008647C3"/>
    <w:rsid w:val="008659ED"/>
    <w:rsid w:val="008708DC"/>
    <w:rsid w:val="00870987"/>
    <w:rsid w:val="0087564A"/>
    <w:rsid w:val="00881160"/>
    <w:rsid w:val="0088371C"/>
    <w:rsid w:val="00885955"/>
    <w:rsid w:val="008A45F3"/>
    <w:rsid w:val="008B51D9"/>
    <w:rsid w:val="008B652E"/>
    <w:rsid w:val="008D05B7"/>
    <w:rsid w:val="008F1DC6"/>
    <w:rsid w:val="008F6F51"/>
    <w:rsid w:val="00905C5B"/>
    <w:rsid w:val="00923295"/>
    <w:rsid w:val="00925F11"/>
    <w:rsid w:val="00935265"/>
    <w:rsid w:val="009416C3"/>
    <w:rsid w:val="00945C86"/>
    <w:rsid w:val="0094689F"/>
    <w:rsid w:val="009477D6"/>
    <w:rsid w:val="00953ED3"/>
    <w:rsid w:val="00965FF6"/>
    <w:rsid w:val="009846D6"/>
    <w:rsid w:val="0098657F"/>
    <w:rsid w:val="009A3236"/>
    <w:rsid w:val="009B06C8"/>
    <w:rsid w:val="009B5A93"/>
    <w:rsid w:val="009B5BEA"/>
    <w:rsid w:val="009C291F"/>
    <w:rsid w:val="009E097A"/>
    <w:rsid w:val="009E37BD"/>
    <w:rsid w:val="009E6B86"/>
    <w:rsid w:val="009F7D87"/>
    <w:rsid w:val="00A03301"/>
    <w:rsid w:val="00A12762"/>
    <w:rsid w:val="00A13867"/>
    <w:rsid w:val="00A26FED"/>
    <w:rsid w:val="00A421D4"/>
    <w:rsid w:val="00A44FF0"/>
    <w:rsid w:val="00A50E55"/>
    <w:rsid w:val="00A61661"/>
    <w:rsid w:val="00A67EB1"/>
    <w:rsid w:val="00A72D22"/>
    <w:rsid w:val="00A9011D"/>
    <w:rsid w:val="00A91A47"/>
    <w:rsid w:val="00A95D2B"/>
    <w:rsid w:val="00AA5587"/>
    <w:rsid w:val="00AB4ECE"/>
    <w:rsid w:val="00AC1E53"/>
    <w:rsid w:val="00AD79C8"/>
    <w:rsid w:val="00AE0EE2"/>
    <w:rsid w:val="00AE6CE0"/>
    <w:rsid w:val="00B058A6"/>
    <w:rsid w:val="00B117D0"/>
    <w:rsid w:val="00B13998"/>
    <w:rsid w:val="00B2798D"/>
    <w:rsid w:val="00B30F24"/>
    <w:rsid w:val="00B35C5F"/>
    <w:rsid w:val="00B43505"/>
    <w:rsid w:val="00B439DD"/>
    <w:rsid w:val="00B52E0F"/>
    <w:rsid w:val="00B74629"/>
    <w:rsid w:val="00B91F58"/>
    <w:rsid w:val="00BA579E"/>
    <w:rsid w:val="00BB5E08"/>
    <w:rsid w:val="00BD079E"/>
    <w:rsid w:val="00BE2295"/>
    <w:rsid w:val="00BE6373"/>
    <w:rsid w:val="00BF3706"/>
    <w:rsid w:val="00BF533A"/>
    <w:rsid w:val="00C013C6"/>
    <w:rsid w:val="00C10B55"/>
    <w:rsid w:val="00C41794"/>
    <w:rsid w:val="00C46677"/>
    <w:rsid w:val="00C5180E"/>
    <w:rsid w:val="00C54E40"/>
    <w:rsid w:val="00C55F56"/>
    <w:rsid w:val="00C57BA4"/>
    <w:rsid w:val="00C613EB"/>
    <w:rsid w:val="00C71C1A"/>
    <w:rsid w:val="00C84623"/>
    <w:rsid w:val="00CB06C9"/>
    <w:rsid w:val="00CB1E41"/>
    <w:rsid w:val="00CB271C"/>
    <w:rsid w:val="00CC0F87"/>
    <w:rsid w:val="00CE08B5"/>
    <w:rsid w:val="00CE4F96"/>
    <w:rsid w:val="00CF0AB1"/>
    <w:rsid w:val="00CF4B9B"/>
    <w:rsid w:val="00CF55E6"/>
    <w:rsid w:val="00CF772F"/>
    <w:rsid w:val="00D03180"/>
    <w:rsid w:val="00D048DB"/>
    <w:rsid w:val="00D065EF"/>
    <w:rsid w:val="00D14F0B"/>
    <w:rsid w:val="00D178CA"/>
    <w:rsid w:val="00D3311C"/>
    <w:rsid w:val="00D47670"/>
    <w:rsid w:val="00D53405"/>
    <w:rsid w:val="00D5457B"/>
    <w:rsid w:val="00D72995"/>
    <w:rsid w:val="00D73685"/>
    <w:rsid w:val="00DA7FA2"/>
    <w:rsid w:val="00DC2D8D"/>
    <w:rsid w:val="00DC7F67"/>
    <w:rsid w:val="00DE1F5D"/>
    <w:rsid w:val="00DE50D8"/>
    <w:rsid w:val="00DF278A"/>
    <w:rsid w:val="00E1664B"/>
    <w:rsid w:val="00E30AFB"/>
    <w:rsid w:val="00E30D12"/>
    <w:rsid w:val="00E3394E"/>
    <w:rsid w:val="00E35241"/>
    <w:rsid w:val="00E41417"/>
    <w:rsid w:val="00E42FAA"/>
    <w:rsid w:val="00E536D3"/>
    <w:rsid w:val="00E57BE2"/>
    <w:rsid w:val="00E62A95"/>
    <w:rsid w:val="00E746A2"/>
    <w:rsid w:val="00E90D06"/>
    <w:rsid w:val="00E93C3F"/>
    <w:rsid w:val="00E97E59"/>
    <w:rsid w:val="00EA106C"/>
    <w:rsid w:val="00EA50E7"/>
    <w:rsid w:val="00EA79C9"/>
    <w:rsid w:val="00EB1561"/>
    <w:rsid w:val="00EB66AC"/>
    <w:rsid w:val="00EC1225"/>
    <w:rsid w:val="00EC2247"/>
    <w:rsid w:val="00EE1F87"/>
    <w:rsid w:val="00EE3931"/>
    <w:rsid w:val="00EE5AF6"/>
    <w:rsid w:val="00EF2CEF"/>
    <w:rsid w:val="00F1092D"/>
    <w:rsid w:val="00F13F61"/>
    <w:rsid w:val="00F222DC"/>
    <w:rsid w:val="00F42C20"/>
    <w:rsid w:val="00F431D8"/>
    <w:rsid w:val="00F63E8D"/>
    <w:rsid w:val="00F67051"/>
    <w:rsid w:val="00F67706"/>
    <w:rsid w:val="00F81FE3"/>
    <w:rsid w:val="00F90F82"/>
    <w:rsid w:val="00F92D75"/>
    <w:rsid w:val="00F97327"/>
    <w:rsid w:val="00FA296F"/>
    <w:rsid w:val="00FA7323"/>
    <w:rsid w:val="00FB08C8"/>
    <w:rsid w:val="00FB1299"/>
    <w:rsid w:val="00FC32D3"/>
    <w:rsid w:val="00FD4D82"/>
    <w:rsid w:val="00FE1EEB"/>
    <w:rsid w:val="00FE57AE"/>
    <w:rsid w:val="00FF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3E09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s://jamanetwork.com/journal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www.nccn.org" TargetMode="External"/><Relationship Id="rId2" Type="http://schemas.openxmlformats.org/officeDocument/2006/relationships/customXml" Target="../customXml/item2.xml"/><Relationship Id="rId16" Type="http://schemas.openxmlformats.org/officeDocument/2006/relationships/hyperlink" Target="http://www.nccn.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ccn.org"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ncc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71932"/>
    <w:rsid w:val="00160241"/>
    <w:rsid w:val="001F47A0"/>
    <w:rsid w:val="002B5F47"/>
    <w:rsid w:val="003A1E4B"/>
    <w:rsid w:val="004526C5"/>
    <w:rsid w:val="00455EB5"/>
    <w:rsid w:val="00461C1C"/>
    <w:rsid w:val="004908B7"/>
    <w:rsid w:val="004E2027"/>
    <w:rsid w:val="005F21F3"/>
    <w:rsid w:val="00860799"/>
    <w:rsid w:val="008F6A9B"/>
    <w:rsid w:val="00A72239"/>
    <w:rsid w:val="00A77B15"/>
    <w:rsid w:val="00AA4750"/>
    <w:rsid w:val="00B06ECD"/>
    <w:rsid w:val="00BE0F2D"/>
    <w:rsid w:val="00C03643"/>
    <w:rsid w:val="00C2797F"/>
    <w:rsid w:val="00C76863"/>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6F15E894A20AB4A8C08CB36E56A7D57" ma:contentTypeVersion="12" ma:contentTypeDescription="Create a new document." ma:contentTypeScope="" ma:versionID="3caabfd3478285525bb3af3b76742076">
  <xsd:schema xmlns:xsd="http://www.w3.org/2001/XMLSchema" xmlns:xs="http://www.w3.org/2001/XMLSchema" xmlns:p="http://schemas.microsoft.com/office/2006/metadata/properties" xmlns:ns2="729ba519-fdf0-4d1e-822f-a497148b3b76" xmlns:ns3="c2b84374-c7b4-4c9f-a8cd-f2be2dc14ae3" targetNamespace="http://schemas.microsoft.com/office/2006/metadata/properties" ma:root="true" ma:fieldsID="eec9d5db75df79bc8bd8df0f0cf355c8" ns2:_="" ns3:_="">
    <xsd:import namespace="729ba519-fdf0-4d1e-822f-a497148b3b76"/>
    <xsd:import namespace="c2b84374-c7b4-4c9f-a8cd-f2be2dc14a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9ba519-fdf0-4d1e-822f-a497148b3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b84374-c7b4-4c9f-a8cd-f2be2dc14ae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83D984-C24B-47F3-8429-4FDAE8BE6996}">
  <ds:schemaRefs>
    <ds:schemaRef ds:uri="http://schemas.openxmlformats.org/officeDocument/2006/bibliography"/>
  </ds:schemaRefs>
</ds:datastoreItem>
</file>

<file path=customXml/itemProps2.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D0CCC85E-659F-4AE3-A006-F697D1169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9ba519-fdf0-4d1e-822f-a497148b3b76"/>
    <ds:schemaRef ds:uri="c2b84374-c7b4-4c9f-a8cd-f2be2dc14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2947</Words>
  <Characters>16799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Caitlin Drumheller</cp:lastModifiedBy>
  <cp:revision>11</cp:revision>
  <dcterms:created xsi:type="dcterms:W3CDTF">2021-01-04T20:10:00Z</dcterms:created>
  <dcterms:modified xsi:type="dcterms:W3CDTF">2021-01-04T21:14:00Z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0x01010056F15E894A20AB4A8C08CB36E56A7D57</vt:lpwstr>
  </property>
</Properties>
</file>