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4DA750F3" w:rsidR="00927027" w:rsidRPr="00B23543"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color w:val="auto"/>
          </w:rPr>
          <w:id w:val="1103681744"/>
          <w:placeholder>
            <w:docPart w:val="D06AB11FD608490E9B47857CE12EB3BD"/>
          </w:placeholder>
        </w:sdtPr>
        <w:sdtEndPr>
          <w:rPr>
            <w:rStyle w:val="DefaultParagraphFont"/>
            <w:rFonts w:cstheme="minorHAnsi"/>
            <w:b/>
            <w:noProof/>
          </w:rPr>
        </w:sdtEndPr>
        <w:sdtContent>
          <w:r w:rsidR="00A422A6" w:rsidRPr="00B23543">
            <w:rPr>
              <w:rStyle w:val="Style1"/>
              <w:color w:val="auto"/>
            </w:rPr>
            <w:t>0384</w:t>
          </w:r>
          <w:r w:rsidR="000D48C0">
            <w:rPr>
              <w:rStyle w:val="Style1"/>
              <w:color w:val="auto"/>
            </w:rPr>
            <w:t>e</w:t>
          </w:r>
        </w:sdtContent>
      </w:sdt>
    </w:p>
    <w:p w14:paraId="0CABCF56" w14:textId="62598929" w:rsidR="00105D8B" w:rsidRPr="00B23543" w:rsidRDefault="00105D8B" w:rsidP="00105D8B">
      <w:pPr>
        <w:contextualSpacing/>
        <w:rPr>
          <w:rFonts w:cstheme="minorHAnsi"/>
          <w:noProof/>
        </w:rPr>
      </w:pPr>
      <w:r w:rsidRPr="00B23543">
        <w:rPr>
          <w:rFonts w:cstheme="minorHAnsi"/>
          <w:b/>
          <w:noProof/>
        </w:rPr>
        <w:t>Measure Title</w:t>
      </w:r>
      <w:r w:rsidRPr="00B23543">
        <w:rPr>
          <w:rFonts w:cstheme="minorHAnsi"/>
          <w:noProof/>
        </w:rPr>
        <w:t xml:space="preserve">:  </w:t>
      </w:r>
      <w:bookmarkStart w:id="0" w:name="_Hlk511139406"/>
      <w:sdt>
        <w:sdtPr>
          <w:rPr>
            <w:rStyle w:val="Style1"/>
            <w:rFonts w:cstheme="minorHAnsi"/>
            <w:color w:val="auto"/>
          </w:rPr>
          <w:id w:val="-882640736"/>
          <w:placeholder>
            <w:docPart w:val="00949831315D4E1BAFC508BD77E32A40"/>
          </w:placeholder>
        </w:sdtPr>
        <w:sdtEndPr>
          <w:rPr>
            <w:rStyle w:val="DefaultParagraphFont"/>
            <w:noProof/>
          </w:rPr>
        </w:sdtEndPr>
        <w:sdtContent>
          <w:r w:rsidR="00A422A6" w:rsidRPr="00B23543">
            <w:rPr>
              <w:rStyle w:val="Style1"/>
              <w:rFonts w:cstheme="minorHAnsi"/>
              <w:color w:val="auto"/>
            </w:rPr>
            <w:t>Oncology: Pain Intensity Quantified – Medical Oncology and Radiation Oncology</w:t>
          </w:r>
          <w:bookmarkEnd w:id="0"/>
          <w:r w:rsidR="00A422A6" w:rsidRPr="00B23543">
            <w:rPr>
              <w:rStyle w:val="Style1"/>
              <w:rFonts w:cstheme="minorHAnsi"/>
              <w:color w:val="auto"/>
            </w:rPr>
            <w:t xml:space="preserve"> </w:t>
          </w:r>
        </w:sdtContent>
      </w:sdt>
    </w:p>
    <w:p w14:paraId="0CABCF57" w14:textId="14B4B34A" w:rsidR="005C73CA" w:rsidRPr="00B23543" w:rsidRDefault="00105D8B" w:rsidP="009E1846">
      <w:pPr>
        <w:spacing w:after="0"/>
        <w:rPr>
          <w:rStyle w:val="Style2"/>
          <w:rFonts w:cstheme="minorHAnsi"/>
          <w:color w:val="auto"/>
        </w:rPr>
      </w:pPr>
      <w:r w:rsidRPr="00B23543">
        <w:rPr>
          <w:rFonts w:cstheme="minorHAnsi"/>
          <w:b/>
          <w:noProof/>
        </w:rPr>
        <w:t>Date of Submission</w:t>
      </w:r>
      <w:r w:rsidR="00923170">
        <w:rPr>
          <w:rFonts w:cstheme="minorHAnsi"/>
          <w:b/>
          <w:noProof/>
        </w:rPr>
        <w:t xml:space="preserve">: </w:t>
      </w:r>
      <w:r w:rsidR="002A76E6" w:rsidRPr="002A76E6">
        <w:rPr>
          <w:rFonts w:cstheme="minorHAnsi"/>
          <w:bCs/>
          <w:noProof/>
        </w:rPr>
        <w:t>0</w:t>
      </w:r>
      <w:r w:rsidR="000D48C0" w:rsidRPr="002A76E6">
        <w:rPr>
          <w:rFonts w:cstheme="minorHAnsi"/>
          <w:bCs/>
          <w:noProof/>
        </w:rPr>
        <w:t>1/</w:t>
      </w:r>
      <w:r w:rsidR="002A76E6">
        <w:rPr>
          <w:rFonts w:cstheme="minorHAnsi"/>
          <w:bCs/>
          <w:noProof/>
        </w:rPr>
        <w:t>0</w:t>
      </w:r>
      <w:r w:rsidR="002A76E6" w:rsidRPr="002A76E6">
        <w:rPr>
          <w:rFonts w:cstheme="minorHAnsi"/>
          <w:bCs/>
          <w:noProof/>
        </w:rPr>
        <w:t>5</w:t>
      </w:r>
      <w:r w:rsidR="000D48C0" w:rsidRPr="002A76E6">
        <w:rPr>
          <w:rFonts w:cstheme="minorHAnsi"/>
          <w:bCs/>
          <w:noProof/>
        </w:rPr>
        <w:t>/</w:t>
      </w:r>
      <w:r w:rsidR="002A76E6">
        <w:rPr>
          <w:rFonts w:cstheme="minorHAnsi"/>
          <w:bCs/>
          <w:noProof/>
        </w:rPr>
        <w:t>2020</w:t>
      </w:r>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77777777" w:rsidR="000B7D57" w:rsidRPr="00C775CE" w:rsidRDefault="00D10E4F"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D10E4F"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D10E4F"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D10E4F"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163B198B" w:rsidR="000B7D57" w:rsidRPr="00C775CE" w:rsidRDefault="00D10E4F"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A422A6">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D10E4F"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D10E4F"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1"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1"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15C300D3" w:rsidR="00145149" w:rsidRPr="000F034A" w:rsidRDefault="00145149" w:rsidP="00145149">
            <w:pPr>
              <w:rPr>
                <w:rFonts w:cstheme="minorHAnsi"/>
              </w:rPr>
            </w:pPr>
            <w:r w:rsidRPr="000F034A">
              <w:rPr>
                <w:rFonts w:cstheme="minorHAnsi"/>
              </w:rPr>
              <w:t xml:space="preserve">If patient preference (e.g., informed </w:t>
            </w:r>
            <w:r w:rsidR="00732EC3" w:rsidRPr="000F034A">
              <w:rPr>
                <w:rFonts w:cstheme="minorHAnsi"/>
              </w:rPr>
              <w:t>decision making</w:t>
            </w:r>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2"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2"/>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1"/>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3" w:name="Note8"/>
            <w:bookmarkStart w:id="4" w:name="Note9"/>
            <w:bookmarkStart w:id="5" w:name="Note10"/>
            <w:bookmarkEnd w:id="3"/>
            <w:bookmarkEnd w:id="4"/>
            <w:bookmarkEnd w:id="5"/>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w:t>
            </w:r>
            <w:proofErr w:type="gramStart"/>
            <w:r w:rsidRPr="00A831B4">
              <w:rPr>
                <w:rFonts w:cstheme="minorHAnsi"/>
                <w:sz w:val="20"/>
                <w:szCs w:val="20"/>
              </w:rPr>
              <w:t>include, but</w:t>
            </w:r>
            <w:proofErr w:type="gramEnd"/>
            <w:r w:rsidRPr="00A831B4">
              <w:rPr>
                <w:rFonts w:cstheme="minorHAnsi"/>
                <w:sz w:val="20"/>
                <w:szCs w:val="20"/>
              </w:rPr>
              <w:t xml:space="preserve">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6" w:name="Note11"/>
            <w:bookmarkEnd w:id="6"/>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7" w:name="Note12"/>
            <w:bookmarkEnd w:id="7"/>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8" w:name="Note13"/>
            <w:bookmarkEnd w:id="8"/>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9" w:name="Note14"/>
            <w:bookmarkEnd w:id="9"/>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10" w:name="Note15"/>
            <w:bookmarkEnd w:id="10"/>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1" w:name="Note16"/>
            <w:bookmarkEnd w:id="11"/>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D10E4F"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D10E4F"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07A77AD8" w:rsidR="00A01494" w:rsidRPr="000F1B7A" w:rsidRDefault="00D10E4F"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871DBAE" w:rsidR="00A01494" w:rsidRPr="000F1B7A" w:rsidRDefault="00D10E4F"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D10E4F"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D10E4F"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63FAFC16" w:rsidR="00A01494" w:rsidRPr="000F1B7A" w:rsidRDefault="00D10E4F"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575613">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294A5706" w:rsidR="00A01494" w:rsidRPr="000F1B7A" w:rsidRDefault="00D10E4F"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575613">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52CEE65" w:rsidR="00A01494" w:rsidRPr="000F1B7A" w:rsidRDefault="00D10E4F" w:rsidP="00B82A57">
            <w:pPr>
              <w:autoSpaceDE w:val="0"/>
              <w:autoSpaceDN w:val="0"/>
              <w:adjustRightInd w:val="0"/>
              <w:rPr>
                <w:rFonts w:cstheme="minorHAnsi"/>
                <w:bCs/>
              </w:rPr>
            </w:pPr>
            <w:sdt>
              <w:sdtPr>
                <w:rPr>
                  <w:rFonts w:cstheme="minorHAnsi"/>
                  <w:bCs/>
                  <w:color w:val="0000FF"/>
                </w:rPr>
                <w:id w:val="615648267"/>
                <w14:checkbox>
                  <w14:checked w14:val="1"/>
                  <w14:checkedState w14:val="2612" w14:font="MS Gothic"/>
                  <w14:uncheckedState w14:val="2610" w14:font="MS Gothic"/>
                </w14:checkbox>
              </w:sdtPr>
              <w:sdtEndPr/>
              <w:sdtContent>
                <w:r w:rsidR="00A422A6">
                  <w:rPr>
                    <w:rFonts w:ascii="MS Gothic" w:eastAsia="MS Gothic" w:hAnsi="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00A8386F" w:rsidR="00A01494" w:rsidRPr="000F1B7A" w:rsidRDefault="00D10E4F" w:rsidP="00DB3627">
            <w:pPr>
              <w:autoSpaceDE w:val="0"/>
              <w:autoSpaceDN w:val="0"/>
              <w:adjustRightInd w:val="0"/>
              <w:rPr>
                <w:rFonts w:cstheme="minorHAnsi"/>
                <w:bCs/>
              </w:rPr>
            </w:pPr>
            <w:sdt>
              <w:sdtPr>
                <w:rPr>
                  <w:rFonts w:cstheme="minorHAnsi"/>
                  <w:bCs/>
                  <w:color w:val="0000FF"/>
                </w:rPr>
                <w:id w:val="498854310"/>
                <w14:checkbox>
                  <w14:checked w14:val="1"/>
                  <w14:checkedState w14:val="2612" w14:font="MS Gothic"/>
                  <w14:uncheckedState w14:val="2610" w14:font="MS Gothic"/>
                </w14:checkbox>
              </w:sdtPr>
              <w:sdtEndPr/>
              <w:sdtContent>
                <w:r w:rsidR="00A422A6">
                  <w:rPr>
                    <w:rFonts w:ascii="MS Gothic" w:eastAsia="MS Gothic" w:hAnsi="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D10E4F"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D10E4F"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2AAD5FD5" w14:textId="77777777" w:rsidR="00802DBF" w:rsidRDefault="00802DBF" w:rsidP="00335F01">
      <w:pPr>
        <w:autoSpaceDE w:val="0"/>
        <w:autoSpaceDN w:val="0"/>
        <w:adjustRightInd w:val="0"/>
        <w:spacing w:after="0" w:line="240" w:lineRule="auto"/>
        <w:rPr>
          <w:color w:val="C00000"/>
          <w:szCs w:val="20"/>
          <w:u w:val="single"/>
        </w:rPr>
      </w:pPr>
    </w:p>
    <w:p w14:paraId="2C836130" w14:textId="0788EB09" w:rsidR="00335F01" w:rsidRPr="00B80617" w:rsidRDefault="00335F01" w:rsidP="00335F01">
      <w:pPr>
        <w:autoSpaceDE w:val="0"/>
        <w:autoSpaceDN w:val="0"/>
        <w:adjustRightInd w:val="0"/>
        <w:spacing w:after="0" w:line="240" w:lineRule="auto"/>
        <w:rPr>
          <w:color w:val="C00000"/>
          <w:szCs w:val="20"/>
          <w:u w:val="single"/>
        </w:rPr>
      </w:pPr>
      <w:r w:rsidRPr="00B80617">
        <w:rPr>
          <w:color w:val="C00000"/>
          <w:szCs w:val="20"/>
          <w:u w:val="single"/>
        </w:rPr>
        <w:t>Current Testing</w:t>
      </w:r>
    </w:p>
    <w:p w14:paraId="5660F098" w14:textId="77777777" w:rsidR="00B31688" w:rsidRPr="008A7596" w:rsidRDefault="00B31688" w:rsidP="00A422A6">
      <w:pPr>
        <w:autoSpaceDE w:val="0"/>
        <w:autoSpaceDN w:val="0"/>
        <w:adjustRightInd w:val="0"/>
        <w:spacing w:after="0" w:line="240" w:lineRule="auto"/>
        <w:rPr>
          <w:b/>
          <w:color w:val="0000FF"/>
          <w:szCs w:val="20"/>
          <w:u w:val="single"/>
        </w:rPr>
      </w:pPr>
    </w:p>
    <w:p w14:paraId="5812782B" w14:textId="04DEA0EB" w:rsidR="00266101" w:rsidRDefault="001140F9" w:rsidP="00DB3627">
      <w:pPr>
        <w:autoSpaceDE w:val="0"/>
        <w:autoSpaceDN w:val="0"/>
        <w:adjustRightInd w:val="0"/>
        <w:spacing w:after="0" w:line="240" w:lineRule="auto"/>
        <w:rPr>
          <w:color w:val="C00000"/>
        </w:rPr>
      </w:pPr>
      <w:r>
        <w:rPr>
          <w:color w:val="C00000"/>
        </w:rPr>
        <w:t xml:space="preserve">The </w:t>
      </w:r>
      <w:r w:rsidR="00140541">
        <w:rPr>
          <w:color w:val="C00000"/>
        </w:rPr>
        <w:t xml:space="preserve">first </w:t>
      </w:r>
      <w:r>
        <w:rPr>
          <w:color w:val="C00000"/>
        </w:rPr>
        <w:t xml:space="preserve">dataset used for </w:t>
      </w:r>
      <w:r w:rsidR="00EC3A23">
        <w:rPr>
          <w:color w:val="C00000"/>
        </w:rPr>
        <w:t xml:space="preserve">testing the measure consisted of </w:t>
      </w:r>
      <w:r w:rsidR="004C0EDD">
        <w:rPr>
          <w:color w:val="C00000"/>
        </w:rPr>
        <w:t xml:space="preserve">2581 </w:t>
      </w:r>
      <w:r w:rsidR="00C0493A">
        <w:rPr>
          <w:color w:val="C00000"/>
        </w:rPr>
        <w:t>qualifying events</w:t>
      </w:r>
      <w:r w:rsidR="004D5A3D">
        <w:rPr>
          <w:color w:val="C00000"/>
        </w:rPr>
        <w:t xml:space="preserve"> </w:t>
      </w:r>
      <w:r w:rsidR="004C0EDD">
        <w:rPr>
          <w:color w:val="C00000"/>
        </w:rPr>
        <w:t xml:space="preserve">across </w:t>
      </w:r>
      <w:r w:rsidR="00435225">
        <w:rPr>
          <w:color w:val="C00000"/>
        </w:rPr>
        <w:t xml:space="preserve">46 </w:t>
      </w:r>
      <w:r w:rsidR="001071C8">
        <w:rPr>
          <w:color w:val="C00000"/>
        </w:rPr>
        <w:t xml:space="preserve">oncology </w:t>
      </w:r>
      <w:r w:rsidR="00435225">
        <w:rPr>
          <w:color w:val="C00000"/>
        </w:rPr>
        <w:t>physicians</w:t>
      </w:r>
      <w:r w:rsidR="001071C8">
        <w:rPr>
          <w:color w:val="C00000"/>
        </w:rPr>
        <w:t xml:space="preserve">. </w:t>
      </w:r>
      <w:r w:rsidR="002C719B">
        <w:rPr>
          <w:color w:val="C00000"/>
        </w:rPr>
        <w:t xml:space="preserve">EHR </w:t>
      </w:r>
      <w:r w:rsidR="001832E7">
        <w:rPr>
          <w:color w:val="C00000"/>
        </w:rPr>
        <w:t xml:space="preserve">data was </w:t>
      </w:r>
      <w:r w:rsidR="00A86434">
        <w:rPr>
          <w:color w:val="C00000"/>
        </w:rPr>
        <w:t>pulled from ASCO’s</w:t>
      </w:r>
      <w:r w:rsidR="0008273A">
        <w:rPr>
          <w:color w:val="C00000"/>
        </w:rPr>
        <w:t xml:space="preserve"> </w:t>
      </w:r>
      <w:proofErr w:type="spellStart"/>
      <w:r w:rsidR="0008273A">
        <w:rPr>
          <w:color w:val="C00000"/>
        </w:rPr>
        <w:t>CancerLinQ</w:t>
      </w:r>
      <w:proofErr w:type="spellEnd"/>
      <w:r w:rsidR="0008273A">
        <w:rPr>
          <w:color w:val="C00000"/>
        </w:rPr>
        <w:t xml:space="preserve"> </w:t>
      </w:r>
      <w:r w:rsidR="00D65B27">
        <w:rPr>
          <w:color w:val="C00000"/>
        </w:rPr>
        <w:t>real world data platform</w:t>
      </w:r>
      <w:r w:rsidR="000C12F0">
        <w:rPr>
          <w:color w:val="C00000"/>
        </w:rPr>
        <w:t xml:space="preserve"> and summarized at the physician level</w:t>
      </w:r>
      <w:r w:rsidR="00E66234">
        <w:rPr>
          <w:color w:val="C00000"/>
        </w:rPr>
        <w:t xml:space="preserve">. </w:t>
      </w:r>
      <w:proofErr w:type="spellStart"/>
      <w:r w:rsidR="00DE0701" w:rsidRPr="00DE0701">
        <w:rPr>
          <w:color w:val="C00000"/>
        </w:rPr>
        <w:t>CancerLinQ</w:t>
      </w:r>
      <w:proofErr w:type="spellEnd"/>
      <w:r w:rsidR="00DE0701" w:rsidRPr="00DE0701">
        <w:rPr>
          <w:color w:val="C00000"/>
        </w:rPr>
        <w:t xml:space="preserve"> collects, organizes, cleans, structures, and analyzes real-world cancer care data from multiple healthcare IT systems and practices across the United States.</w:t>
      </w:r>
      <w:r w:rsidR="00502E81">
        <w:rPr>
          <w:color w:val="C00000"/>
        </w:rPr>
        <w:t xml:space="preserve"> </w:t>
      </w:r>
    </w:p>
    <w:p w14:paraId="23742856" w14:textId="77777777" w:rsidR="00266101" w:rsidRDefault="00266101" w:rsidP="00DB3627">
      <w:pPr>
        <w:autoSpaceDE w:val="0"/>
        <w:autoSpaceDN w:val="0"/>
        <w:adjustRightInd w:val="0"/>
        <w:spacing w:after="0" w:line="240" w:lineRule="auto"/>
        <w:rPr>
          <w:color w:val="C00000"/>
        </w:rPr>
      </w:pPr>
    </w:p>
    <w:p w14:paraId="4488DE58" w14:textId="1602C0FA" w:rsidR="00CC4774" w:rsidRDefault="00CC4774" w:rsidP="00A70F1F">
      <w:pPr>
        <w:autoSpaceDE w:val="0"/>
        <w:autoSpaceDN w:val="0"/>
        <w:adjustRightInd w:val="0"/>
        <w:spacing w:after="0" w:line="240" w:lineRule="auto"/>
        <w:rPr>
          <w:color w:val="C00000"/>
        </w:rPr>
      </w:pPr>
      <w:r w:rsidRPr="00CC4774">
        <w:rPr>
          <w:color w:val="C00000"/>
        </w:rPr>
        <w:t xml:space="preserve">The </w:t>
      </w:r>
      <w:r w:rsidR="00140541">
        <w:rPr>
          <w:color w:val="C00000"/>
        </w:rPr>
        <w:t>second</w:t>
      </w:r>
      <w:r w:rsidR="00FF4B3A">
        <w:rPr>
          <w:color w:val="C00000"/>
        </w:rPr>
        <w:t xml:space="preserve"> dataset used for testing</w:t>
      </w:r>
      <w:r w:rsidR="00F81A5B">
        <w:rPr>
          <w:color w:val="C00000"/>
        </w:rPr>
        <w:t xml:space="preserve"> consisted of </w:t>
      </w:r>
      <w:r w:rsidR="00177C3E" w:rsidRPr="00177C3E">
        <w:rPr>
          <w:color w:val="C00000"/>
          <w:szCs w:val="20"/>
        </w:rPr>
        <w:t>22,235</w:t>
      </w:r>
      <w:r w:rsidR="00FC7822">
        <w:rPr>
          <w:color w:val="C00000"/>
          <w:szCs w:val="20"/>
        </w:rPr>
        <w:t xml:space="preserve"> </w:t>
      </w:r>
      <w:r w:rsidR="004D5A3D">
        <w:rPr>
          <w:color w:val="C00000"/>
          <w:szCs w:val="20"/>
        </w:rPr>
        <w:t>qualifying events</w:t>
      </w:r>
      <w:r w:rsidR="00C0493A">
        <w:rPr>
          <w:color w:val="C00000"/>
          <w:szCs w:val="20"/>
        </w:rPr>
        <w:t xml:space="preserve"> across </w:t>
      </w:r>
      <w:r w:rsidR="00952850">
        <w:rPr>
          <w:rFonts w:cstheme="minorHAnsi"/>
          <w:bCs/>
          <w:color w:val="C00000"/>
        </w:rPr>
        <w:t xml:space="preserve">31 </w:t>
      </w:r>
      <w:r w:rsidR="001D10E3">
        <w:rPr>
          <w:color w:val="C00000"/>
          <w:szCs w:val="20"/>
        </w:rPr>
        <w:t xml:space="preserve">providers </w:t>
      </w:r>
      <w:r w:rsidR="00B51D00">
        <w:rPr>
          <w:color w:val="C00000"/>
          <w:szCs w:val="20"/>
        </w:rPr>
        <w:t>–</w:t>
      </w:r>
      <w:r w:rsidR="00947806">
        <w:rPr>
          <w:color w:val="C00000"/>
          <w:szCs w:val="20"/>
        </w:rPr>
        <w:t xml:space="preserve"> </w:t>
      </w:r>
      <w:r w:rsidR="00B51D00">
        <w:rPr>
          <w:color w:val="C00000"/>
          <w:szCs w:val="20"/>
        </w:rPr>
        <w:t xml:space="preserve">both oncology </w:t>
      </w:r>
      <w:r w:rsidR="001F20B3">
        <w:rPr>
          <w:color w:val="C00000"/>
          <w:szCs w:val="20"/>
        </w:rPr>
        <w:t xml:space="preserve">practices and individual </w:t>
      </w:r>
      <w:r w:rsidR="00B51D00">
        <w:rPr>
          <w:color w:val="C00000"/>
          <w:szCs w:val="20"/>
        </w:rPr>
        <w:t xml:space="preserve">oncology </w:t>
      </w:r>
      <w:r w:rsidR="00947806">
        <w:rPr>
          <w:color w:val="C00000"/>
          <w:szCs w:val="20"/>
        </w:rPr>
        <w:t>physicians</w:t>
      </w:r>
      <w:r w:rsidR="00B561E9">
        <w:rPr>
          <w:color w:val="C00000"/>
          <w:szCs w:val="20"/>
        </w:rPr>
        <w:t xml:space="preserve">. The data was provided </w:t>
      </w:r>
      <w:r w:rsidR="00B561E9" w:rsidRPr="00CC4774">
        <w:rPr>
          <w:color w:val="C00000"/>
        </w:rPr>
        <w:t>by the Center for Medicare &amp; Medicaid Services (CMS)</w:t>
      </w:r>
      <w:r w:rsidR="00B561E9">
        <w:rPr>
          <w:color w:val="C00000"/>
        </w:rPr>
        <w:t xml:space="preserve"> </w:t>
      </w:r>
      <w:r w:rsidR="001D10E3">
        <w:rPr>
          <w:color w:val="C00000"/>
        </w:rPr>
        <w:t xml:space="preserve">through their </w:t>
      </w:r>
      <w:r w:rsidRPr="00CC4774">
        <w:rPr>
          <w:color w:val="C00000"/>
        </w:rPr>
        <w:t>PQRS program</w:t>
      </w:r>
      <w:r w:rsidR="00CB0B21">
        <w:rPr>
          <w:color w:val="C00000"/>
        </w:rPr>
        <w:t>.</w:t>
      </w:r>
      <w:r w:rsidR="00151E72">
        <w:rPr>
          <w:color w:val="C00000"/>
        </w:rPr>
        <w:t xml:space="preserve"> </w:t>
      </w:r>
      <w:r w:rsidR="00A74210" w:rsidRPr="00A74210">
        <w:rPr>
          <w:color w:val="C00000"/>
        </w:rPr>
        <w:t>PQRS</w:t>
      </w:r>
      <w:r w:rsidR="00266D09">
        <w:rPr>
          <w:color w:val="C00000"/>
        </w:rPr>
        <w:t xml:space="preserve"> allowed eligible p</w:t>
      </w:r>
      <w:r w:rsidR="00A74210" w:rsidRPr="00A74210">
        <w:rPr>
          <w:color w:val="C00000"/>
        </w:rPr>
        <w:t xml:space="preserve">roviders (EPs) </w:t>
      </w:r>
      <w:r w:rsidR="00266D09">
        <w:rPr>
          <w:color w:val="C00000"/>
        </w:rPr>
        <w:t xml:space="preserve">to </w:t>
      </w:r>
      <w:r w:rsidR="00A74210" w:rsidRPr="00A74210">
        <w:rPr>
          <w:color w:val="C00000"/>
        </w:rPr>
        <w:t>submit data directly through a qualified EHR product or through a qualified data submission vendor</w:t>
      </w:r>
      <w:r w:rsidR="00BB1402">
        <w:rPr>
          <w:color w:val="C00000"/>
        </w:rPr>
        <w:t xml:space="preserve"> </w:t>
      </w:r>
      <w:r w:rsidR="00682CFB">
        <w:rPr>
          <w:color w:val="C00000"/>
        </w:rPr>
        <w:t xml:space="preserve">using certified </w:t>
      </w:r>
      <w:r w:rsidR="00A74210" w:rsidRPr="00A74210">
        <w:rPr>
          <w:color w:val="C00000"/>
        </w:rPr>
        <w:t xml:space="preserve">EHR </w:t>
      </w:r>
      <w:r w:rsidR="00266D09">
        <w:rPr>
          <w:color w:val="C00000"/>
        </w:rPr>
        <w:t>t</w:t>
      </w:r>
      <w:r w:rsidR="00A74210" w:rsidRPr="00A74210">
        <w:rPr>
          <w:color w:val="C00000"/>
        </w:rPr>
        <w:t xml:space="preserve">echnology. </w:t>
      </w:r>
      <w:r w:rsidR="00266D09">
        <w:rPr>
          <w:color w:val="C00000"/>
        </w:rPr>
        <w:t>It also allowed g</w:t>
      </w:r>
      <w:r w:rsidR="00A74210" w:rsidRPr="00A74210">
        <w:rPr>
          <w:color w:val="C00000"/>
        </w:rPr>
        <w:t xml:space="preserve">roup practices with 2 or more EPs </w:t>
      </w:r>
      <w:r w:rsidR="00266D09">
        <w:rPr>
          <w:color w:val="C00000"/>
        </w:rPr>
        <w:t xml:space="preserve">to </w:t>
      </w:r>
      <w:r w:rsidR="00A74210" w:rsidRPr="00A74210">
        <w:rPr>
          <w:color w:val="C00000"/>
        </w:rPr>
        <w:t xml:space="preserve">participate through the group practice reporting option (GPRO) using an EHR direct submission or qualified data submission vendor </w:t>
      </w:r>
      <w:r w:rsidR="00A70F1F">
        <w:rPr>
          <w:color w:val="C00000"/>
        </w:rPr>
        <w:t xml:space="preserve">using </w:t>
      </w:r>
      <w:r w:rsidR="006D60E7">
        <w:rPr>
          <w:color w:val="C00000"/>
        </w:rPr>
        <w:t>c</w:t>
      </w:r>
      <w:r w:rsidR="00A74210" w:rsidRPr="00A74210">
        <w:rPr>
          <w:color w:val="C00000"/>
        </w:rPr>
        <w:t>ertified</w:t>
      </w:r>
      <w:r w:rsidR="00A70F1F">
        <w:rPr>
          <w:color w:val="C00000"/>
        </w:rPr>
        <w:t xml:space="preserve"> </w:t>
      </w:r>
      <w:r w:rsidR="00A74210" w:rsidRPr="00A74210">
        <w:rPr>
          <w:color w:val="C00000"/>
        </w:rPr>
        <w:t>EHR Technology.</w:t>
      </w:r>
      <w:r w:rsidR="00A70F1F">
        <w:rPr>
          <w:color w:val="C00000"/>
        </w:rPr>
        <w:t xml:space="preserve"> </w:t>
      </w:r>
      <w:r w:rsidR="00411D5B">
        <w:rPr>
          <w:color w:val="C00000"/>
        </w:rPr>
        <w:t>PQRS d</w:t>
      </w:r>
      <w:r w:rsidRPr="00CC4774">
        <w:rPr>
          <w:color w:val="C00000"/>
        </w:rPr>
        <w:t>ata is</w:t>
      </w:r>
      <w:r w:rsidR="00411D5B">
        <w:rPr>
          <w:color w:val="C00000"/>
        </w:rPr>
        <w:t xml:space="preserve"> </w:t>
      </w:r>
      <w:r w:rsidRPr="00CC4774">
        <w:rPr>
          <w:color w:val="C00000"/>
        </w:rPr>
        <w:t xml:space="preserve">summarized at the practice level and includes both EPs participating individually as well as group practices participating through GPRO. </w:t>
      </w:r>
    </w:p>
    <w:p w14:paraId="02B1F1B8" w14:textId="7F92CA79" w:rsidR="00140541" w:rsidRDefault="00140541" w:rsidP="00A70F1F">
      <w:pPr>
        <w:autoSpaceDE w:val="0"/>
        <w:autoSpaceDN w:val="0"/>
        <w:adjustRightInd w:val="0"/>
        <w:spacing w:after="0" w:line="240" w:lineRule="auto"/>
        <w:rPr>
          <w:color w:val="C00000"/>
        </w:rPr>
      </w:pPr>
    </w:p>
    <w:p w14:paraId="3D6E91B9" w14:textId="680C5F12" w:rsidR="00140541" w:rsidRPr="00CC4774" w:rsidRDefault="00915A97" w:rsidP="00A70F1F">
      <w:pPr>
        <w:autoSpaceDE w:val="0"/>
        <w:autoSpaceDN w:val="0"/>
        <w:adjustRightInd w:val="0"/>
        <w:spacing w:after="0" w:line="240" w:lineRule="auto"/>
        <w:rPr>
          <w:color w:val="C00000"/>
        </w:rPr>
      </w:pPr>
      <w:r>
        <w:rPr>
          <w:color w:val="C00000"/>
        </w:rPr>
        <w:t>The third dataset used for testing consisted of</w:t>
      </w:r>
      <w:r w:rsidR="00815E57">
        <w:rPr>
          <w:color w:val="C00000"/>
        </w:rPr>
        <w:t xml:space="preserve"> </w:t>
      </w:r>
      <w:r w:rsidR="00685239" w:rsidRPr="00685239">
        <w:rPr>
          <w:color w:val="C00000"/>
        </w:rPr>
        <w:t>1,306</w:t>
      </w:r>
      <w:r w:rsidR="00685239">
        <w:rPr>
          <w:color w:val="C00000"/>
        </w:rPr>
        <w:t xml:space="preserve"> </w:t>
      </w:r>
      <w:r w:rsidR="00474365">
        <w:rPr>
          <w:color w:val="C00000"/>
        </w:rPr>
        <w:t xml:space="preserve">qualifying events </w:t>
      </w:r>
      <w:r w:rsidR="00685239">
        <w:rPr>
          <w:color w:val="C00000"/>
        </w:rPr>
        <w:t xml:space="preserve">on measure </w:t>
      </w:r>
      <w:r w:rsidR="00033840" w:rsidRPr="003674BB">
        <w:rPr>
          <w:color w:val="C00000"/>
          <w:szCs w:val="20"/>
        </w:rPr>
        <w:t>PQRS #</w:t>
      </w:r>
      <w:r w:rsidR="00033840">
        <w:rPr>
          <w:color w:val="C00000"/>
          <w:szCs w:val="20"/>
        </w:rPr>
        <w:t xml:space="preserve">071: </w:t>
      </w:r>
      <w:r w:rsidR="00033840" w:rsidRPr="002E78E8">
        <w:rPr>
          <w:color w:val="C00000"/>
          <w:szCs w:val="20"/>
        </w:rPr>
        <w:t>Hormonal Therapy for Stage IC - IIIC Estrogen Receptor/Progesterone Receptor (ER/PR) Positive Breast Cancer</w:t>
      </w:r>
      <w:r w:rsidR="00033840">
        <w:rPr>
          <w:color w:val="C00000"/>
          <w:szCs w:val="20"/>
        </w:rPr>
        <w:t xml:space="preserve"> </w:t>
      </w:r>
      <w:r w:rsidR="00D711C1">
        <w:rPr>
          <w:color w:val="C00000"/>
          <w:szCs w:val="20"/>
        </w:rPr>
        <w:t>across</w:t>
      </w:r>
      <w:r w:rsidR="00033840">
        <w:rPr>
          <w:color w:val="C00000"/>
          <w:szCs w:val="20"/>
        </w:rPr>
        <w:t xml:space="preserve"> the same 31 providers </w:t>
      </w:r>
      <w:r w:rsidR="00D711C1">
        <w:rPr>
          <w:color w:val="C00000"/>
          <w:szCs w:val="20"/>
        </w:rPr>
        <w:t xml:space="preserve">identified in the second dataset. </w:t>
      </w:r>
    </w:p>
    <w:p w14:paraId="4B5000CA" w14:textId="77777777" w:rsidR="00CC4774" w:rsidRDefault="00CC4774" w:rsidP="00DB3627">
      <w:pPr>
        <w:autoSpaceDE w:val="0"/>
        <w:autoSpaceDN w:val="0"/>
        <w:adjustRightInd w:val="0"/>
        <w:spacing w:after="0" w:line="240" w:lineRule="auto"/>
        <w:rPr>
          <w:rFonts w:cstheme="minorHAnsi"/>
          <w:b/>
        </w:rPr>
      </w:pPr>
    </w:p>
    <w:p w14:paraId="0CABCFB0" w14:textId="3DB78F17"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p>
    <w:p w14:paraId="46897F16" w14:textId="540A0146" w:rsidR="0004664A" w:rsidRDefault="0004664A" w:rsidP="0004664A">
      <w:pPr>
        <w:tabs>
          <w:tab w:val="left" w:pos="330"/>
        </w:tabs>
        <w:spacing w:after="0" w:line="240" w:lineRule="auto"/>
        <w:rPr>
          <w:rFonts w:cstheme="minorHAnsi"/>
          <w:bCs/>
        </w:rPr>
      </w:pPr>
    </w:p>
    <w:p w14:paraId="1EDFCE6C" w14:textId="1E867EAC" w:rsidR="00335F01" w:rsidRPr="00335F01" w:rsidRDefault="00335F01" w:rsidP="00335F01">
      <w:pPr>
        <w:autoSpaceDE w:val="0"/>
        <w:autoSpaceDN w:val="0"/>
        <w:adjustRightInd w:val="0"/>
        <w:spacing w:after="0" w:line="240" w:lineRule="auto"/>
        <w:rPr>
          <w:rFonts w:cs="Calibri"/>
          <w:bCs/>
          <w:color w:val="002060"/>
          <w:u w:val="single"/>
        </w:rPr>
      </w:pPr>
      <w:r w:rsidRPr="00335F01">
        <w:rPr>
          <w:rFonts w:cs="Calibri"/>
          <w:bCs/>
          <w:color w:val="002060"/>
          <w:u w:val="single"/>
        </w:rPr>
        <w:t>Previous 201</w:t>
      </w:r>
      <w:r>
        <w:rPr>
          <w:rFonts w:cs="Calibri"/>
          <w:bCs/>
          <w:color w:val="002060"/>
          <w:u w:val="single"/>
        </w:rPr>
        <w:t>1</w:t>
      </w:r>
      <w:r w:rsidRPr="00335F01">
        <w:rPr>
          <w:rFonts w:cs="Calibri"/>
          <w:bCs/>
          <w:color w:val="002060"/>
          <w:u w:val="single"/>
        </w:rPr>
        <w:t xml:space="preserve"> Testing</w:t>
      </w:r>
    </w:p>
    <w:p w14:paraId="23E99BC8" w14:textId="77777777" w:rsidR="00335F01" w:rsidRDefault="00335F01" w:rsidP="0004664A">
      <w:pPr>
        <w:tabs>
          <w:tab w:val="left" w:pos="330"/>
        </w:tabs>
        <w:spacing w:after="0" w:line="240" w:lineRule="auto"/>
        <w:rPr>
          <w:rFonts w:cstheme="minorHAnsi"/>
          <w:bCs/>
        </w:rPr>
      </w:pPr>
    </w:p>
    <w:p w14:paraId="4E050E5C" w14:textId="40399E6C" w:rsidR="00A422A6" w:rsidRDefault="00A422A6" w:rsidP="0004664A">
      <w:pPr>
        <w:tabs>
          <w:tab w:val="left" w:pos="330"/>
        </w:tabs>
        <w:spacing w:after="0" w:line="240" w:lineRule="auto"/>
        <w:rPr>
          <w:iCs/>
          <w:color w:val="333399"/>
        </w:rPr>
      </w:pPr>
      <w:bookmarkStart w:id="12" w:name="_Hlk502922667"/>
      <w:r w:rsidRPr="009060B7">
        <w:rPr>
          <w:iCs/>
          <w:color w:val="333399"/>
        </w:rPr>
        <w:t>The measurement period (</w:t>
      </w:r>
      <w:r w:rsidRPr="009060B7">
        <w:rPr>
          <w:color w:val="333399"/>
        </w:rPr>
        <w:t>data collected from patients seen</w:t>
      </w:r>
      <w:r w:rsidRPr="009060B7">
        <w:rPr>
          <w:iCs/>
          <w:color w:val="333399"/>
        </w:rPr>
        <w:t xml:space="preserve">) was 1/1/2010 through 12/31/2010. </w:t>
      </w:r>
      <w:r w:rsidRPr="0004664A">
        <w:rPr>
          <w:iCs/>
          <w:color w:val="333399"/>
        </w:rPr>
        <w:t>Chart abstraction was performed between 8/8/2011 and 11/3/2011.</w:t>
      </w:r>
    </w:p>
    <w:p w14:paraId="7D7F700B" w14:textId="77777777" w:rsidR="00BA632D" w:rsidRPr="0004664A" w:rsidRDefault="00BA632D" w:rsidP="0004664A">
      <w:pPr>
        <w:tabs>
          <w:tab w:val="left" w:pos="330"/>
        </w:tabs>
        <w:spacing w:after="0" w:line="240" w:lineRule="auto"/>
        <w:rPr>
          <w:iCs/>
          <w:color w:val="333399"/>
        </w:rPr>
      </w:pPr>
    </w:p>
    <w:bookmarkEnd w:id="12"/>
    <w:p w14:paraId="3304AC39" w14:textId="117E957D" w:rsidR="00A422A6" w:rsidRPr="00BA632D" w:rsidRDefault="00335F01" w:rsidP="00A422A6">
      <w:pPr>
        <w:autoSpaceDE w:val="0"/>
        <w:autoSpaceDN w:val="0"/>
        <w:adjustRightInd w:val="0"/>
        <w:spacing w:after="0" w:line="240" w:lineRule="auto"/>
        <w:rPr>
          <w:color w:val="C00000"/>
          <w:szCs w:val="20"/>
          <w:u w:val="single"/>
        </w:rPr>
      </w:pPr>
      <w:r w:rsidRPr="00B80617">
        <w:rPr>
          <w:color w:val="C00000"/>
          <w:szCs w:val="20"/>
          <w:u w:val="single"/>
        </w:rPr>
        <w:t>Current Testing</w:t>
      </w:r>
    </w:p>
    <w:p w14:paraId="0082C8E8" w14:textId="1DB29810" w:rsidR="002E7433" w:rsidRDefault="002E7433" w:rsidP="00DB3627">
      <w:pPr>
        <w:autoSpaceDE w:val="0"/>
        <w:autoSpaceDN w:val="0"/>
        <w:adjustRightInd w:val="0"/>
        <w:spacing w:after="0" w:line="240" w:lineRule="auto"/>
        <w:rPr>
          <w:rFonts w:cstheme="minorHAnsi"/>
          <w:bCs/>
        </w:rPr>
      </w:pPr>
    </w:p>
    <w:p w14:paraId="1C6C4C5E" w14:textId="5EDCB3E2" w:rsidR="007E75FB" w:rsidRPr="00A556CC" w:rsidRDefault="007E75FB" w:rsidP="00DB3627">
      <w:pPr>
        <w:autoSpaceDE w:val="0"/>
        <w:autoSpaceDN w:val="0"/>
        <w:adjustRightInd w:val="0"/>
        <w:spacing w:after="0" w:line="240" w:lineRule="auto"/>
        <w:rPr>
          <w:color w:val="C00000"/>
        </w:rPr>
      </w:pPr>
      <w:r w:rsidRPr="00A556CC">
        <w:rPr>
          <w:color w:val="C00000"/>
        </w:rPr>
        <w:t xml:space="preserve">EHR data </w:t>
      </w:r>
      <w:r w:rsidR="00F2055B" w:rsidRPr="00A556CC">
        <w:rPr>
          <w:color w:val="C00000"/>
        </w:rPr>
        <w:t xml:space="preserve">retrieved from </w:t>
      </w:r>
      <w:proofErr w:type="spellStart"/>
      <w:r w:rsidR="00F2055B" w:rsidRPr="00A556CC">
        <w:rPr>
          <w:color w:val="C00000"/>
        </w:rPr>
        <w:t>CancerLinQ</w:t>
      </w:r>
      <w:proofErr w:type="spellEnd"/>
      <w:r w:rsidR="00F2055B" w:rsidRPr="00A556CC">
        <w:rPr>
          <w:color w:val="C00000"/>
        </w:rPr>
        <w:t xml:space="preserve"> span the </w:t>
      </w:r>
      <w:proofErr w:type="gramStart"/>
      <w:r w:rsidR="00F2055B" w:rsidRPr="00A556CC">
        <w:rPr>
          <w:color w:val="C00000"/>
        </w:rPr>
        <w:t>time period</w:t>
      </w:r>
      <w:proofErr w:type="gramEnd"/>
      <w:r w:rsidR="00F2055B" w:rsidRPr="00A556CC">
        <w:rPr>
          <w:color w:val="C00000"/>
        </w:rPr>
        <w:t xml:space="preserve"> of 01/01/2018 to </w:t>
      </w:r>
      <w:r w:rsidR="00A556CC" w:rsidRPr="00A556CC">
        <w:rPr>
          <w:color w:val="C00000"/>
        </w:rPr>
        <w:t>12/31/2018.</w:t>
      </w:r>
    </w:p>
    <w:p w14:paraId="53EDCFF3" w14:textId="77777777" w:rsidR="00A556CC" w:rsidRDefault="00A556CC" w:rsidP="00DB3627">
      <w:pPr>
        <w:autoSpaceDE w:val="0"/>
        <w:autoSpaceDN w:val="0"/>
        <w:adjustRightInd w:val="0"/>
        <w:spacing w:after="0" w:line="240" w:lineRule="auto"/>
        <w:rPr>
          <w:rFonts w:cstheme="minorHAnsi"/>
          <w:bCs/>
        </w:rPr>
      </w:pPr>
    </w:p>
    <w:p w14:paraId="1271C8C8" w14:textId="22770688" w:rsidR="00A422A6" w:rsidRPr="007E75FB" w:rsidRDefault="009B7BDD" w:rsidP="00DB3627">
      <w:pPr>
        <w:autoSpaceDE w:val="0"/>
        <w:autoSpaceDN w:val="0"/>
        <w:adjustRightInd w:val="0"/>
        <w:spacing w:after="0" w:line="240" w:lineRule="auto"/>
        <w:rPr>
          <w:color w:val="C00000"/>
        </w:rPr>
      </w:pPr>
      <w:r>
        <w:rPr>
          <w:color w:val="C00000"/>
        </w:rPr>
        <w:t>D</w:t>
      </w:r>
      <w:r w:rsidR="00A556CC">
        <w:rPr>
          <w:color w:val="C00000"/>
        </w:rPr>
        <w:t xml:space="preserve">ata provided by </w:t>
      </w:r>
      <w:r w:rsidRPr="00CC4774">
        <w:rPr>
          <w:color w:val="C00000"/>
        </w:rPr>
        <w:t>the Center for Medicare &amp; Medicaid Services (CMS)</w:t>
      </w:r>
      <w:r>
        <w:rPr>
          <w:color w:val="C00000"/>
        </w:rPr>
        <w:t xml:space="preserve"> </w:t>
      </w:r>
      <w:r w:rsidR="008C448C">
        <w:rPr>
          <w:color w:val="C00000"/>
        </w:rPr>
        <w:t xml:space="preserve">span the </w:t>
      </w:r>
      <w:proofErr w:type="gramStart"/>
      <w:r w:rsidR="008C448C">
        <w:rPr>
          <w:color w:val="C00000"/>
        </w:rPr>
        <w:t>time period</w:t>
      </w:r>
      <w:proofErr w:type="gramEnd"/>
      <w:r w:rsidR="008C448C">
        <w:rPr>
          <w:color w:val="C00000"/>
        </w:rPr>
        <w:t xml:space="preserve"> from 01/01/2016 to 12/31/2016.</w:t>
      </w:r>
    </w:p>
    <w:p w14:paraId="7AE7CD3E" w14:textId="77777777" w:rsidR="00A422A6" w:rsidRDefault="00A422A6"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029C3D99" w:rsidR="000414E8" w:rsidRPr="00A01494" w:rsidRDefault="00D10E4F"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A422A6">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14:paraId="0CABCFB8" w14:textId="38A160C0" w:rsidR="000414E8" w:rsidRPr="00A01494" w:rsidRDefault="00D10E4F"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A422A6">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447C11C5" w:rsidR="000414E8" w:rsidRPr="00A01494" w:rsidRDefault="00D10E4F"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EndPr/>
              <w:sdtContent>
                <w:r w:rsidR="00265663">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0781C788" w:rsidR="000414E8" w:rsidRPr="00A01494" w:rsidRDefault="00D10E4F"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EndPr/>
              <w:sdtContent>
                <w:r w:rsidR="00265663">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77777777" w:rsidR="000414E8" w:rsidRPr="00A01494" w:rsidRDefault="00D10E4F"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77777777" w:rsidR="000414E8" w:rsidRPr="00A01494" w:rsidRDefault="00D10E4F"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D10E4F"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D10E4F"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D10E4F"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D10E4F"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642C0BC3" w14:textId="77777777" w:rsidR="009B1235" w:rsidRDefault="009B1235" w:rsidP="009B1235">
      <w:pPr>
        <w:autoSpaceDE w:val="0"/>
        <w:autoSpaceDN w:val="0"/>
        <w:adjustRightInd w:val="0"/>
        <w:spacing w:after="0" w:line="240" w:lineRule="auto"/>
        <w:rPr>
          <w:rFonts w:cs="Calibri"/>
          <w:bCs/>
          <w:color w:val="002060"/>
          <w:u w:val="single"/>
        </w:rPr>
      </w:pPr>
    </w:p>
    <w:p w14:paraId="55D887DC" w14:textId="449A07DA" w:rsidR="00862904" w:rsidRPr="009B1235" w:rsidRDefault="00335F01" w:rsidP="009B1235">
      <w:pPr>
        <w:autoSpaceDE w:val="0"/>
        <w:autoSpaceDN w:val="0"/>
        <w:adjustRightInd w:val="0"/>
        <w:spacing w:after="0" w:line="240" w:lineRule="auto"/>
        <w:rPr>
          <w:rFonts w:cs="Calibri"/>
          <w:bCs/>
          <w:color w:val="002060"/>
          <w:u w:val="single"/>
        </w:rPr>
      </w:pPr>
      <w:r w:rsidRPr="00335F01">
        <w:rPr>
          <w:rFonts w:cs="Calibri"/>
          <w:bCs/>
          <w:color w:val="002060"/>
          <w:u w:val="single"/>
        </w:rPr>
        <w:t>Previous 201</w:t>
      </w:r>
      <w:r>
        <w:rPr>
          <w:rFonts w:cs="Calibri"/>
          <w:bCs/>
          <w:color w:val="002060"/>
          <w:u w:val="single"/>
        </w:rPr>
        <w:t>1</w:t>
      </w:r>
      <w:r w:rsidRPr="00335F01">
        <w:rPr>
          <w:rFonts w:cs="Calibri"/>
          <w:bCs/>
          <w:color w:val="002060"/>
          <w:u w:val="single"/>
        </w:rPr>
        <w:t xml:space="preserve"> Testing</w:t>
      </w:r>
    </w:p>
    <w:p w14:paraId="23C3F82E" w14:textId="557DCAC3" w:rsidR="00862904" w:rsidRPr="00FA654B" w:rsidRDefault="00862904" w:rsidP="00862904">
      <w:pPr>
        <w:tabs>
          <w:tab w:val="left" w:pos="330"/>
        </w:tabs>
        <w:spacing w:after="0" w:line="240" w:lineRule="auto"/>
        <w:rPr>
          <w:rFonts w:eastAsia="MS Mincho" w:cstheme="minorHAnsi"/>
          <w:color w:val="333399"/>
          <w:lang w:eastAsia="ja-JP"/>
        </w:rPr>
      </w:pPr>
      <w:r w:rsidRPr="00FA654B">
        <w:rPr>
          <w:rFonts w:eastAsia="MS Mincho" w:cstheme="minorHAnsi"/>
          <w:color w:val="333399"/>
          <w:lang w:eastAsia="ja-JP"/>
        </w:rPr>
        <w:t>Data abstracted from patient records were used to calculate inter-rater reliability for the measure.</w:t>
      </w:r>
    </w:p>
    <w:p w14:paraId="0974B3EA" w14:textId="3FCD063A" w:rsidR="00862904" w:rsidRPr="00862904" w:rsidRDefault="00862904" w:rsidP="00862904">
      <w:pPr>
        <w:tabs>
          <w:tab w:val="left" w:pos="330"/>
        </w:tabs>
        <w:spacing w:after="0" w:line="240" w:lineRule="auto"/>
        <w:ind w:left="330" w:hanging="330"/>
        <w:rPr>
          <w:rFonts w:eastAsia="MS Mincho" w:cstheme="minorHAnsi"/>
          <w:iCs/>
          <w:color w:val="333399"/>
          <w:lang w:eastAsia="ja-JP"/>
        </w:rPr>
      </w:pPr>
      <w:r w:rsidRPr="00FA654B">
        <w:rPr>
          <w:rFonts w:eastAsia="MS Mincho" w:cstheme="minorHAnsi"/>
          <w:iCs/>
          <w:color w:val="333399"/>
          <w:lang w:eastAsia="ja-JP"/>
        </w:rPr>
        <w:t>862 patient visits were reviewed.</w:t>
      </w:r>
    </w:p>
    <w:p w14:paraId="03987203" w14:textId="77777777" w:rsidR="00335F01" w:rsidRDefault="00335F01" w:rsidP="00335F01">
      <w:pPr>
        <w:autoSpaceDE w:val="0"/>
        <w:autoSpaceDN w:val="0"/>
        <w:adjustRightInd w:val="0"/>
        <w:spacing w:after="0" w:line="240" w:lineRule="auto"/>
        <w:rPr>
          <w:color w:val="C00000"/>
          <w:szCs w:val="20"/>
          <w:u w:val="single"/>
        </w:rPr>
      </w:pPr>
    </w:p>
    <w:p w14:paraId="5D8A9D62" w14:textId="08CC2251" w:rsidR="00862904" w:rsidRPr="009B1235" w:rsidRDefault="00335F01" w:rsidP="009B1235">
      <w:pPr>
        <w:autoSpaceDE w:val="0"/>
        <w:autoSpaceDN w:val="0"/>
        <w:adjustRightInd w:val="0"/>
        <w:spacing w:after="0" w:line="240" w:lineRule="auto"/>
        <w:rPr>
          <w:color w:val="C00000"/>
          <w:szCs w:val="20"/>
          <w:u w:val="single"/>
        </w:rPr>
      </w:pPr>
      <w:r w:rsidRPr="00B80617">
        <w:rPr>
          <w:color w:val="C00000"/>
          <w:szCs w:val="20"/>
          <w:u w:val="single"/>
        </w:rPr>
        <w:t>Current Testing</w:t>
      </w:r>
    </w:p>
    <w:p w14:paraId="3C350BCD" w14:textId="0471BA7D" w:rsidR="00964BF7" w:rsidRDefault="00964BF7" w:rsidP="00A422A6">
      <w:pPr>
        <w:autoSpaceDE w:val="0"/>
        <w:autoSpaceDN w:val="0"/>
        <w:adjustRightInd w:val="0"/>
        <w:spacing w:after="0" w:line="240" w:lineRule="auto"/>
        <w:rPr>
          <w:color w:val="C00000"/>
          <w:szCs w:val="20"/>
        </w:rPr>
      </w:pPr>
    </w:p>
    <w:p w14:paraId="1A0C004A" w14:textId="6F6ACCBE" w:rsidR="00917CB5" w:rsidRDefault="0008368D" w:rsidP="00A422A6">
      <w:pPr>
        <w:autoSpaceDE w:val="0"/>
        <w:autoSpaceDN w:val="0"/>
        <w:adjustRightInd w:val="0"/>
        <w:spacing w:after="0" w:line="240" w:lineRule="auto"/>
        <w:rPr>
          <w:color w:val="C00000"/>
          <w:szCs w:val="20"/>
        </w:rPr>
      </w:pPr>
      <w:r>
        <w:rPr>
          <w:color w:val="C00000"/>
          <w:szCs w:val="20"/>
        </w:rPr>
        <w:t xml:space="preserve">For </w:t>
      </w:r>
      <w:proofErr w:type="spellStart"/>
      <w:r>
        <w:rPr>
          <w:color w:val="C00000"/>
          <w:szCs w:val="20"/>
        </w:rPr>
        <w:t>CancerLinQ</w:t>
      </w:r>
      <w:proofErr w:type="spellEnd"/>
      <w:r>
        <w:rPr>
          <w:color w:val="C00000"/>
          <w:szCs w:val="20"/>
        </w:rPr>
        <w:t xml:space="preserve"> dataset, d</w:t>
      </w:r>
      <w:r w:rsidR="00140D44">
        <w:rPr>
          <w:color w:val="C00000"/>
          <w:szCs w:val="20"/>
        </w:rPr>
        <w:t xml:space="preserve">ata was </w:t>
      </w:r>
      <w:r w:rsidR="00906621">
        <w:rPr>
          <w:color w:val="C00000"/>
          <w:szCs w:val="20"/>
        </w:rPr>
        <w:t xml:space="preserve">extracted </w:t>
      </w:r>
      <w:r w:rsidR="00066585">
        <w:rPr>
          <w:color w:val="C00000"/>
          <w:szCs w:val="20"/>
        </w:rPr>
        <w:t xml:space="preserve">and summarized </w:t>
      </w:r>
      <w:r w:rsidR="00C75826">
        <w:rPr>
          <w:color w:val="C00000"/>
          <w:szCs w:val="20"/>
        </w:rPr>
        <w:t xml:space="preserve">on the physician level </w:t>
      </w:r>
      <w:r w:rsidR="00906621">
        <w:rPr>
          <w:color w:val="C00000"/>
          <w:szCs w:val="20"/>
        </w:rPr>
        <w:t>for 46 oncology</w:t>
      </w:r>
      <w:r w:rsidR="009173A0">
        <w:rPr>
          <w:color w:val="C00000"/>
          <w:szCs w:val="20"/>
        </w:rPr>
        <w:t xml:space="preserve"> physicians </w:t>
      </w:r>
      <w:r w:rsidR="00906621">
        <w:rPr>
          <w:color w:val="C00000"/>
          <w:szCs w:val="20"/>
        </w:rPr>
        <w:t xml:space="preserve">belonging to </w:t>
      </w:r>
      <w:r w:rsidR="00236A5D">
        <w:rPr>
          <w:color w:val="C00000"/>
          <w:szCs w:val="20"/>
        </w:rPr>
        <w:t>3 practices</w:t>
      </w:r>
      <w:r w:rsidR="00EC54F8">
        <w:rPr>
          <w:color w:val="C00000"/>
          <w:szCs w:val="20"/>
        </w:rPr>
        <w:t xml:space="preserve"> who reported in 2018 on this measure. </w:t>
      </w:r>
      <w:r w:rsidR="002B3E6F">
        <w:rPr>
          <w:color w:val="C00000"/>
          <w:szCs w:val="20"/>
        </w:rPr>
        <w:t xml:space="preserve">The practices </w:t>
      </w:r>
      <w:r w:rsidR="003C57E4">
        <w:rPr>
          <w:color w:val="C00000"/>
          <w:szCs w:val="20"/>
        </w:rPr>
        <w:t>are</w:t>
      </w:r>
      <w:r w:rsidR="002B3E6F">
        <w:rPr>
          <w:color w:val="C00000"/>
          <w:szCs w:val="20"/>
        </w:rPr>
        <w:t xml:space="preserve"> </w:t>
      </w:r>
      <w:r w:rsidR="003A47B8">
        <w:rPr>
          <w:color w:val="C00000"/>
          <w:szCs w:val="20"/>
        </w:rPr>
        <w:t xml:space="preserve">a </w:t>
      </w:r>
      <w:r w:rsidR="00094025">
        <w:rPr>
          <w:color w:val="C00000"/>
          <w:szCs w:val="20"/>
        </w:rPr>
        <w:t xml:space="preserve">large Midwest </w:t>
      </w:r>
      <w:r w:rsidR="002B3E6F" w:rsidRPr="002B3E6F">
        <w:rPr>
          <w:color w:val="C00000"/>
          <w:szCs w:val="20"/>
        </w:rPr>
        <w:t>integrated health system</w:t>
      </w:r>
      <w:r w:rsidR="002B3E6F">
        <w:rPr>
          <w:color w:val="C00000"/>
          <w:szCs w:val="20"/>
        </w:rPr>
        <w:t xml:space="preserve">, </w:t>
      </w:r>
      <w:r w:rsidR="00111232">
        <w:rPr>
          <w:color w:val="C00000"/>
          <w:szCs w:val="20"/>
        </w:rPr>
        <w:t xml:space="preserve">a mid-size </w:t>
      </w:r>
      <w:r w:rsidR="00163033">
        <w:rPr>
          <w:color w:val="C00000"/>
          <w:szCs w:val="20"/>
        </w:rPr>
        <w:t xml:space="preserve">Maine medical oncology group, and a </w:t>
      </w:r>
      <w:r w:rsidR="002F697C">
        <w:rPr>
          <w:color w:val="C00000"/>
          <w:szCs w:val="20"/>
        </w:rPr>
        <w:t xml:space="preserve">mid-size </w:t>
      </w:r>
      <w:r w:rsidR="00B17409">
        <w:rPr>
          <w:color w:val="C00000"/>
          <w:szCs w:val="20"/>
        </w:rPr>
        <w:t xml:space="preserve">California </w:t>
      </w:r>
      <w:r w:rsidR="005357C4">
        <w:rPr>
          <w:color w:val="C00000"/>
          <w:szCs w:val="20"/>
        </w:rPr>
        <w:t>oncology and hematology medical group.</w:t>
      </w:r>
    </w:p>
    <w:p w14:paraId="1221A0FC" w14:textId="77777777" w:rsidR="00964BF7" w:rsidRDefault="00964BF7" w:rsidP="00A422A6">
      <w:pPr>
        <w:autoSpaceDE w:val="0"/>
        <w:autoSpaceDN w:val="0"/>
        <w:adjustRightInd w:val="0"/>
        <w:spacing w:after="0" w:line="240" w:lineRule="auto"/>
        <w:rPr>
          <w:color w:val="C00000"/>
          <w:szCs w:val="20"/>
        </w:rPr>
      </w:pPr>
    </w:p>
    <w:p w14:paraId="4B41BDAC" w14:textId="39D8A6DD" w:rsidR="00A422A6" w:rsidRDefault="00A605D4" w:rsidP="00DB3627">
      <w:pPr>
        <w:autoSpaceDE w:val="0"/>
        <w:autoSpaceDN w:val="0"/>
        <w:adjustRightInd w:val="0"/>
        <w:spacing w:after="0" w:line="240" w:lineRule="auto"/>
        <w:rPr>
          <w:rFonts w:cstheme="minorHAnsi"/>
          <w:bCs/>
        </w:rPr>
      </w:pPr>
      <w:r>
        <w:rPr>
          <w:color w:val="C00000"/>
          <w:szCs w:val="20"/>
        </w:rPr>
        <w:t>For CMS dataset</w:t>
      </w:r>
      <w:r w:rsidR="00DC1810">
        <w:rPr>
          <w:color w:val="C00000"/>
          <w:szCs w:val="20"/>
        </w:rPr>
        <w:t>s</w:t>
      </w:r>
      <w:r>
        <w:rPr>
          <w:color w:val="C00000"/>
          <w:szCs w:val="20"/>
        </w:rPr>
        <w:t xml:space="preserve">, </w:t>
      </w:r>
      <w:r w:rsidR="00DB52E7">
        <w:rPr>
          <w:color w:val="C00000"/>
          <w:szCs w:val="20"/>
        </w:rPr>
        <w:t>data was summarized on the provider</w:t>
      </w:r>
      <w:r w:rsidR="00C75826">
        <w:rPr>
          <w:color w:val="C00000"/>
          <w:szCs w:val="20"/>
        </w:rPr>
        <w:t xml:space="preserve"> level for </w:t>
      </w:r>
      <w:r w:rsidR="001F7FE6">
        <w:rPr>
          <w:color w:val="C00000"/>
          <w:szCs w:val="20"/>
        </w:rPr>
        <w:t>31</w:t>
      </w:r>
      <w:r w:rsidR="00D632F5">
        <w:rPr>
          <w:color w:val="C00000"/>
          <w:szCs w:val="20"/>
        </w:rPr>
        <w:t xml:space="preserve"> </w:t>
      </w:r>
      <w:r w:rsidR="00BD7208">
        <w:rPr>
          <w:color w:val="C00000"/>
          <w:szCs w:val="20"/>
        </w:rPr>
        <w:t>provider</w:t>
      </w:r>
      <w:r w:rsidR="00D632F5">
        <w:rPr>
          <w:color w:val="C00000"/>
          <w:szCs w:val="20"/>
        </w:rPr>
        <w:t>s</w:t>
      </w:r>
      <w:r w:rsidR="006D474F">
        <w:rPr>
          <w:color w:val="C00000"/>
          <w:szCs w:val="20"/>
        </w:rPr>
        <w:t xml:space="preserve">, both individual </w:t>
      </w:r>
      <w:r w:rsidR="00BA2023">
        <w:rPr>
          <w:color w:val="C00000"/>
          <w:szCs w:val="20"/>
        </w:rPr>
        <w:t xml:space="preserve">physicians </w:t>
      </w:r>
      <w:r w:rsidR="006D474F">
        <w:rPr>
          <w:color w:val="C00000"/>
          <w:szCs w:val="20"/>
        </w:rPr>
        <w:t>and group</w:t>
      </w:r>
      <w:r w:rsidR="00BA2023">
        <w:rPr>
          <w:color w:val="C00000"/>
          <w:szCs w:val="20"/>
        </w:rPr>
        <w:t>s of physicians,</w:t>
      </w:r>
      <w:r w:rsidR="00D632F5">
        <w:rPr>
          <w:color w:val="C00000"/>
          <w:szCs w:val="20"/>
        </w:rPr>
        <w:t xml:space="preserve"> reporting on this measure through the EHR reporting option for CMS’s PQRS in 2016.</w:t>
      </w:r>
      <w:r w:rsidR="00723AB6">
        <w:rPr>
          <w:color w:val="C00000"/>
          <w:szCs w:val="20"/>
        </w:rPr>
        <w:t xml:space="preserve"> </w:t>
      </w:r>
      <w:r w:rsidR="003851DC">
        <w:rPr>
          <w:color w:val="C00000"/>
          <w:szCs w:val="20"/>
        </w:rPr>
        <w:t>These 31 providers</w:t>
      </w:r>
      <w:r w:rsidR="00A422A6" w:rsidRPr="00BE225D">
        <w:rPr>
          <w:color w:val="C00000"/>
          <w:szCs w:val="20"/>
        </w:rPr>
        <w:t xml:space="preserve"> met the minimum number of quality reporting events</w:t>
      </w:r>
      <w:r w:rsidR="009F542F">
        <w:rPr>
          <w:color w:val="C00000"/>
          <w:szCs w:val="20"/>
        </w:rPr>
        <w:t xml:space="preserve"> (n</w:t>
      </w:r>
      <w:r w:rsidR="00377116">
        <w:rPr>
          <w:color w:val="C00000"/>
          <w:szCs w:val="20"/>
        </w:rPr>
        <w:t xml:space="preserve"> </w:t>
      </w:r>
      <w:r w:rsidR="002D185F">
        <w:rPr>
          <w:rFonts w:cstheme="minorHAnsi"/>
          <w:color w:val="C00000"/>
          <w:szCs w:val="20"/>
        </w:rPr>
        <w:t>≥</w:t>
      </w:r>
      <w:r w:rsidR="00377116">
        <w:rPr>
          <w:rFonts w:cstheme="minorHAnsi"/>
          <w:color w:val="C00000"/>
          <w:szCs w:val="20"/>
        </w:rPr>
        <w:t xml:space="preserve"> </w:t>
      </w:r>
      <w:r w:rsidR="002D185F">
        <w:rPr>
          <w:color w:val="C00000"/>
          <w:szCs w:val="20"/>
        </w:rPr>
        <w:t xml:space="preserve">10) </w:t>
      </w:r>
      <w:r w:rsidR="00A422A6" w:rsidRPr="00BE225D">
        <w:rPr>
          <w:color w:val="C00000"/>
          <w:szCs w:val="20"/>
        </w:rPr>
        <w:t xml:space="preserve">for a total of </w:t>
      </w:r>
      <w:r w:rsidR="001F7FE6" w:rsidRPr="001F7FE6">
        <w:rPr>
          <w:color w:val="C00000"/>
          <w:szCs w:val="20"/>
        </w:rPr>
        <w:t>22,235</w:t>
      </w:r>
      <w:r w:rsidR="001F7FE6">
        <w:rPr>
          <w:color w:val="C00000"/>
          <w:szCs w:val="20"/>
        </w:rPr>
        <w:t xml:space="preserve"> </w:t>
      </w:r>
      <w:r w:rsidR="00A422A6" w:rsidRPr="00BE225D">
        <w:rPr>
          <w:color w:val="C00000"/>
          <w:szCs w:val="20"/>
        </w:rPr>
        <w:t>quality events</w:t>
      </w:r>
      <w:r w:rsidR="00DC1810">
        <w:rPr>
          <w:color w:val="C00000"/>
          <w:szCs w:val="20"/>
        </w:rPr>
        <w:t xml:space="preserve"> </w:t>
      </w:r>
      <w:r w:rsidR="00985679">
        <w:rPr>
          <w:color w:val="C00000"/>
          <w:szCs w:val="20"/>
        </w:rPr>
        <w:t xml:space="preserve">(this measure) </w:t>
      </w:r>
      <w:r w:rsidR="00DC1810">
        <w:rPr>
          <w:color w:val="C00000"/>
          <w:szCs w:val="20"/>
        </w:rPr>
        <w:t xml:space="preserve">and </w:t>
      </w:r>
      <w:r w:rsidR="00BF0AC3" w:rsidRPr="00685239">
        <w:rPr>
          <w:color w:val="C00000"/>
        </w:rPr>
        <w:t>1,306</w:t>
      </w:r>
      <w:r w:rsidR="00BF0AC3">
        <w:rPr>
          <w:color w:val="C00000"/>
        </w:rPr>
        <w:t xml:space="preserve"> quality events (PQRS #071)</w:t>
      </w:r>
      <w:r w:rsidR="00DE6C62">
        <w:rPr>
          <w:color w:val="C00000"/>
          <w:szCs w:val="20"/>
        </w:rPr>
        <w:t xml:space="preserve">. </w:t>
      </w:r>
      <w:r w:rsidR="00056628">
        <w:rPr>
          <w:color w:val="C00000"/>
          <w:szCs w:val="20"/>
        </w:rPr>
        <w:t>The providers represented all 49 states of the continental Unites States.</w:t>
      </w:r>
    </w:p>
    <w:p w14:paraId="0013CE39" w14:textId="77777777" w:rsidR="00A422A6" w:rsidRPr="00A25024" w:rsidRDefault="00A422A6" w:rsidP="00DB3627">
      <w:pPr>
        <w:autoSpaceDE w:val="0"/>
        <w:autoSpaceDN w:val="0"/>
        <w:adjustRightInd w:val="0"/>
        <w:spacing w:after="0" w:line="240" w:lineRule="auto"/>
        <w:rPr>
          <w:rFonts w:cstheme="minorHAnsi"/>
          <w:bCs/>
        </w:rPr>
      </w:pPr>
    </w:p>
    <w:p w14:paraId="01ED44D1" w14:textId="77777777" w:rsidR="00356981" w:rsidRDefault="002B5016" w:rsidP="00DB3627">
      <w:pPr>
        <w:autoSpaceDE w:val="0"/>
        <w:autoSpaceDN w:val="0"/>
        <w:adjustRightInd w:val="0"/>
        <w:spacing w:after="0" w:line="240" w:lineRule="auto"/>
        <w:rPr>
          <w:rFonts w:cs="Calibri"/>
          <w:bCs/>
          <w:color w:val="002060"/>
          <w:u w:val="single"/>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w:t>
      </w:r>
      <w:r w:rsidR="005A7634" w:rsidRPr="00A25024">
        <w:rPr>
          <w:rFonts w:cstheme="minorHAnsi"/>
          <w:bCs/>
          <w:i/>
        </w:rPr>
        <w:lastRenderedPageBreak/>
        <w:t>the sample</w:t>
      </w:r>
      <w:r w:rsidR="007422FD" w:rsidRPr="00A25024">
        <w:rPr>
          <w:rFonts w:cstheme="minorHAnsi"/>
          <w:bCs/>
        </w:rPr>
        <w:t xml:space="preserve">) </w:t>
      </w:r>
      <w:r w:rsidR="007422FD" w:rsidRPr="00A25024">
        <w:rPr>
          <w:rFonts w:cstheme="minorHAnsi"/>
          <w:bCs/>
        </w:rPr>
        <w:br/>
      </w:r>
    </w:p>
    <w:p w14:paraId="0CABCFC9" w14:textId="509BBEA3" w:rsidR="007422FD" w:rsidRPr="00356981" w:rsidRDefault="00335F01" w:rsidP="00DB3627">
      <w:pPr>
        <w:autoSpaceDE w:val="0"/>
        <w:autoSpaceDN w:val="0"/>
        <w:adjustRightInd w:val="0"/>
        <w:spacing w:after="0" w:line="240" w:lineRule="auto"/>
        <w:rPr>
          <w:rFonts w:cs="Calibri"/>
          <w:bCs/>
          <w:color w:val="002060"/>
          <w:u w:val="single"/>
        </w:rPr>
      </w:pPr>
      <w:r w:rsidRPr="00335F01">
        <w:rPr>
          <w:rFonts w:cs="Calibri"/>
          <w:bCs/>
          <w:color w:val="002060"/>
          <w:u w:val="single"/>
        </w:rPr>
        <w:t>Previous 201</w:t>
      </w:r>
      <w:r>
        <w:rPr>
          <w:rFonts w:cs="Calibri"/>
          <w:bCs/>
          <w:color w:val="002060"/>
          <w:u w:val="single"/>
        </w:rPr>
        <w:t>1</w:t>
      </w:r>
      <w:r w:rsidRPr="00335F01">
        <w:rPr>
          <w:rFonts w:cs="Calibri"/>
          <w:bCs/>
          <w:color w:val="002060"/>
          <w:u w:val="single"/>
        </w:rPr>
        <w:t xml:space="preserve"> Testing</w:t>
      </w:r>
    </w:p>
    <w:p w14:paraId="01D2B292" w14:textId="694040CE" w:rsidR="0004664A" w:rsidRPr="0004664A" w:rsidRDefault="0004664A" w:rsidP="00DB3627">
      <w:pPr>
        <w:autoSpaceDE w:val="0"/>
        <w:autoSpaceDN w:val="0"/>
        <w:adjustRightInd w:val="0"/>
        <w:spacing w:after="0" w:line="240" w:lineRule="auto"/>
        <w:rPr>
          <w:rFonts w:cstheme="minorHAnsi"/>
          <w:bCs/>
          <w:color w:val="002060"/>
        </w:rPr>
      </w:pPr>
      <w:r w:rsidRPr="0004664A">
        <w:rPr>
          <w:rFonts w:cstheme="minorHAnsi"/>
          <w:bCs/>
          <w:color w:val="002060"/>
        </w:rPr>
        <w:t>862 patient visits were reviewed for this measure.</w:t>
      </w:r>
    </w:p>
    <w:p w14:paraId="3CFEFA70" w14:textId="77777777" w:rsidR="00335F01" w:rsidRDefault="00335F01" w:rsidP="00335F01">
      <w:pPr>
        <w:autoSpaceDE w:val="0"/>
        <w:autoSpaceDN w:val="0"/>
        <w:adjustRightInd w:val="0"/>
        <w:spacing w:after="0" w:line="240" w:lineRule="auto"/>
        <w:rPr>
          <w:color w:val="C00000"/>
          <w:szCs w:val="20"/>
          <w:u w:val="single"/>
        </w:rPr>
      </w:pPr>
    </w:p>
    <w:p w14:paraId="54A042D0" w14:textId="0675B1FD" w:rsidR="0004664A" w:rsidRPr="00356981" w:rsidRDefault="00335F01" w:rsidP="00DB3627">
      <w:pPr>
        <w:autoSpaceDE w:val="0"/>
        <w:autoSpaceDN w:val="0"/>
        <w:adjustRightInd w:val="0"/>
        <w:spacing w:after="0" w:line="240" w:lineRule="auto"/>
        <w:rPr>
          <w:color w:val="C00000"/>
          <w:szCs w:val="20"/>
          <w:u w:val="single"/>
        </w:rPr>
      </w:pPr>
      <w:r w:rsidRPr="00B80617">
        <w:rPr>
          <w:color w:val="C00000"/>
          <w:szCs w:val="20"/>
          <w:u w:val="single"/>
        </w:rPr>
        <w:t>Current Testing</w:t>
      </w:r>
    </w:p>
    <w:p w14:paraId="3C8A5C09" w14:textId="77777777" w:rsidR="00AE284B" w:rsidRDefault="00AE284B" w:rsidP="00DB3627">
      <w:pPr>
        <w:autoSpaceDE w:val="0"/>
        <w:autoSpaceDN w:val="0"/>
        <w:adjustRightInd w:val="0"/>
        <w:spacing w:after="0" w:line="240" w:lineRule="auto"/>
        <w:rPr>
          <w:color w:val="C00000"/>
          <w:szCs w:val="20"/>
        </w:rPr>
      </w:pPr>
    </w:p>
    <w:p w14:paraId="5B659D58" w14:textId="08344C09" w:rsidR="00AE284B" w:rsidRDefault="00BD2E69" w:rsidP="00DB3627">
      <w:pPr>
        <w:autoSpaceDE w:val="0"/>
        <w:autoSpaceDN w:val="0"/>
        <w:adjustRightInd w:val="0"/>
        <w:spacing w:after="0" w:line="240" w:lineRule="auto"/>
        <w:rPr>
          <w:color w:val="C00000"/>
          <w:szCs w:val="20"/>
        </w:rPr>
      </w:pPr>
      <w:proofErr w:type="spellStart"/>
      <w:r>
        <w:rPr>
          <w:color w:val="C00000"/>
          <w:szCs w:val="20"/>
        </w:rPr>
        <w:t>CancerLinQ</w:t>
      </w:r>
      <w:proofErr w:type="spellEnd"/>
      <w:r>
        <w:rPr>
          <w:color w:val="C00000"/>
          <w:szCs w:val="20"/>
        </w:rPr>
        <w:t xml:space="preserve"> </w:t>
      </w:r>
      <w:r w:rsidR="00CF30BF">
        <w:rPr>
          <w:color w:val="C00000"/>
          <w:szCs w:val="20"/>
        </w:rPr>
        <w:t xml:space="preserve">dataset had </w:t>
      </w:r>
      <w:r w:rsidR="0002000B">
        <w:rPr>
          <w:color w:val="C00000"/>
          <w:szCs w:val="20"/>
        </w:rPr>
        <w:t xml:space="preserve">2581 cancer patients. </w:t>
      </w:r>
      <w:r w:rsidR="00F31245">
        <w:rPr>
          <w:color w:val="C00000"/>
          <w:szCs w:val="20"/>
        </w:rPr>
        <w:t xml:space="preserve">All patients qualifying for the measure </w:t>
      </w:r>
      <w:r w:rsidR="00744B38">
        <w:rPr>
          <w:color w:val="C00000"/>
          <w:szCs w:val="20"/>
        </w:rPr>
        <w:t xml:space="preserve">were included in the dataset. </w:t>
      </w:r>
      <w:r w:rsidR="0002000B">
        <w:rPr>
          <w:color w:val="C00000"/>
          <w:szCs w:val="20"/>
        </w:rPr>
        <w:t xml:space="preserve">Due to patient privacy concerns and </w:t>
      </w:r>
      <w:proofErr w:type="spellStart"/>
      <w:r w:rsidR="0002000B">
        <w:rPr>
          <w:color w:val="C00000"/>
          <w:szCs w:val="20"/>
        </w:rPr>
        <w:t>CancerLinQ</w:t>
      </w:r>
      <w:proofErr w:type="spellEnd"/>
      <w:r w:rsidR="0002000B">
        <w:rPr>
          <w:color w:val="C00000"/>
          <w:szCs w:val="20"/>
        </w:rPr>
        <w:t xml:space="preserve"> governing policies </w:t>
      </w:r>
      <w:r w:rsidR="00E36CFD">
        <w:rPr>
          <w:color w:val="C00000"/>
          <w:szCs w:val="20"/>
        </w:rPr>
        <w:t xml:space="preserve">no </w:t>
      </w:r>
      <w:r w:rsidR="008B2035">
        <w:rPr>
          <w:color w:val="C00000"/>
          <w:szCs w:val="20"/>
        </w:rPr>
        <w:t xml:space="preserve">patient </w:t>
      </w:r>
      <w:r w:rsidR="00E36CFD">
        <w:rPr>
          <w:color w:val="C00000"/>
          <w:szCs w:val="20"/>
        </w:rPr>
        <w:t>specific data was collected.</w:t>
      </w:r>
    </w:p>
    <w:p w14:paraId="44E85F4D" w14:textId="77777777" w:rsidR="00BD2E69" w:rsidRDefault="00BD2E69" w:rsidP="00DB3627">
      <w:pPr>
        <w:autoSpaceDE w:val="0"/>
        <w:autoSpaceDN w:val="0"/>
        <w:adjustRightInd w:val="0"/>
        <w:spacing w:after="0" w:line="240" w:lineRule="auto"/>
        <w:rPr>
          <w:color w:val="C00000"/>
          <w:szCs w:val="20"/>
        </w:rPr>
      </w:pPr>
    </w:p>
    <w:p w14:paraId="0C9FCA48" w14:textId="2C8BD9D1" w:rsidR="00A422A6" w:rsidRDefault="000A6401" w:rsidP="00DB3627">
      <w:pPr>
        <w:autoSpaceDE w:val="0"/>
        <w:autoSpaceDN w:val="0"/>
        <w:adjustRightInd w:val="0"/>
        <w:spacing w:after="0" w:line="240" w:lineRule="auto"/>
        <w:rPr>
          <w:color w:val="C00000"/>
          <w:szCs w:val="20"/>
        </w:rPr>
      </w:pPr>
      <w:r>
        <w:rPr>
          <w:color w:val="C00000"/>
          <w:szCs w:val="20"/>
        </w:rPr>
        <w:t>CMS dataset had</w:t>
      </w:r>
      <w:r w:rsidR="00A422A6" w:rsidRPr="00BE225D">
        <w:rPr>
          <w:color w:val="C00000"/>
          <w:szCs w:val="20"/>
        </w:rPr>
        <w:t xml:space="preserve"> </w:t>
      </w:r>
      <w:r w:rsidR="00E852DC" w:rsidRPr="00E852DC">
        <w:rPr>
          <w:color w:val="C00000"/>
          <w:szCs w:val="20"/>
        </w:rPr>
        <w:t>22,235</w:t>
      </w:r>
      <w:r w:rsidR="00E852DC">
        <w:rPr>
          <w:color w:val="C00000"/>
          <w:szCs w:val="20"/>
        </w:rPr>
        <w:t xml:space="preserve"> </w:t>
      </w:r>
      <w:r w:rsidR="0087683C">
        <w:rPr>
          <w:color w:val="C00000"/>
          <w:szCs w:val="20"/>
        </w:rPr>
        <w:t xml:space="preserve">cancer </w:t>
      </w:r>
      <w:r w:rsidR="00A422A6" w:rsidRPr="00BE225D">
        <w:rPr>
          <w:color w:val="C00000"/>
          <w:szCs w:val="20"/>
        </w:rPr>
        <w:t>patients</w:t>
      </w:r>
      <w:r w:rsidR="002E7BE4">
        <w:rPr>
          <w:color w:val="C00000"/>
          <w:szCs w:val="20"/>
        </w:rPr>
        <w:t xml:space="preserve"> for this measu</w:t>
      </w:r>
      <w:r w:rsidR="00CE037A">
        <w:rPr>
          <w:color w:val="C00000"/>
          <w:szCs w:val="20"/>
        </w:rPr>
        <w:t xml:space="preserve">re and </w:t>
      </w:r>
      <w:r w:rsidR="00CE037A" w:rsidRPr="00685239">
        <w:rPr>
          <w:color w:val="C00000"/>
        </w:rPr>
        <w:t>1,306</w:t>
      </w:r>
      <w:r w:rsidR="00CE037A">
        <w:rPr>
          <w:color w:val="C00000"/>
        </w:rPr>
        <w:t xml:space="preserve"> cancer patients for PQRS #071</w:t>
      </w:r>
      <w:r w:rsidR="003A508D">
        <w:rPr>
          <w:color w:val="C00000"/>
          <w:szCs w:val="20"/>
        </w:rPr>
        <w:t xml:space="preserve">. </w:t>
      </w:r>
      <w:r w:rsidR="00910BEA">
        <w:rPr>
          <w:color w:val="C00000"/>
          <w:szCs w:val="20"/>
        </w:rPr>
        <w:t xml:space="preserve">All patients </w:t>
      </w:r>
      <w:r w:rsidR="005A68BB">
        <w:rPr>
          <w:color w:val="C00000"/>
          <w:szCs w:val="20"/>
        </w:rPr>
        <w:t>qualifying for the measure</w:t>
      </w:r>
      <w:r w:rsidR="00CE037A">
        <w:rPr>
          <w:color w:val="C00000"/>
          <w:szCs w:val="20"/>
        </w:rPr>
        <w:t xml:space="preserve">s </w:t>
      </w:r>
      <w:r w:rsidR="005A68BB">
        <w:rPr>
          <w:color w:val="C00000"/>
          <w:szCs w:val="20"/>
        </w:rPr>
        <w:t xml:space="preserve">and </w:t>
      </w:r>
      <w:r w:rsidR="00CD40B7">
        <w:rPr>
          <w:color w:val="C00000"/>
          <w:szCs w:val="20"/>
        </w:rPr>
        <w:t xml:space="preserve">associated with a </w:t>
      </w:r>
      <w:r w:rsidR="00910BEA">
        <w:rPr>
          <w:color w:val="C00000"/>
          <w:szCs w:val="20"/>
        </w:rPr>
        <w:t>provider</w:t>
      </w:r>
      <w:r w:rsidR="00CD40B7">
        <w:rPr>
          <w:color w:val="C00000"/>
          <w:szCs w:val="20"/>
        </w:rPr>
        <w:t xml:space="preserve"> </w:t>
      </w:r>
      <w:r w:rsidR="00304081">
        <w:rPr>
          <w:color w:val="C00000"/>
          <w:szCs w:val="20"/>
        </w:rPr>
        <w:t xml:space="preserve">meeting the minimum number of </w:t>
      </w:r>
      <w:r w:rsidR="00BC063A">
        <w:rPr>
          <w:color w:val="C00000"/>
          <w:szCs w:val="20"/>
        </w:rPr>
        <w:t xml:space="preserve">10 qualifying events </w:t>
      </w:r>
      <w:r w:rsidR="00057772">
        <w:rPr>
          <w:color w:val="C00000"/>
          <w:szCs w:val="20"/>
        </w:rPr>
        <w:t xml:space="preserve">were included in </w:t>
      </w:r>
      <w:r w:rsidR="00910BEA">
        <w:rPr>
          <w:color w:val="C00000"/>
          <w:szCs w:val="20"/>
        </w:rPr>
        <w:t xml:space="preserve">the dataset. </w:t>
      </w:r>
      <w:r w:rsidR="003A508D">
        <w:rPr>
          <w:color w:val="C00000"/>
          <w:szCs w:val="20"/>
        </w:rPr>
        <w:t>CMS did not provide patient specific characteristics</w:t>
      </w:r>
      <w:r w:rsidR="00A422A6" w:rsidRPr="00BE225D">
        <w:rPr>
          <w:color w:val="C00000"/>
          <w:szCs w:val="20"/>
        </w:rPr>
        <w:t>.</w:t>
      </w:r>
    </w:p>
    <w:p w14:paraId="1984F73A" w14:textId="77777777" w:rsidR="00A422A6" w:rsidRPr="00A422A6" w:rsidRDefault="00A422A6" w:rsidP="00DB3627">
      <w:pPr>
        <w:autoSpaceDE w:val="0"/>
        <w:autoSpaceDN w:val="0"/>
        <w:adjustRightInd w:val="0"/>
        <w:spacing w:after="0" w:line="240" w:lineRule="auto"/>
        <w:rPr>
          <w:color w:val="C00000"/>
          <w:szCs w:val="20"/>
        </w:rPr>
      </w:pPr>
    </w:p>
    <w:p w14:paraId="0CABCFCA" w14:textId="29497C31"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6BFFA30D" w14:textId="77777777" w:rsidR="00FC658F" w:rsidRDefault="00FC658F" w:rsidP="00E37E1B">
      <w:pPr>
        <w:autoSpaceDE w:val="0"/>
        <w:autoSpaceDN w:val="0"/>
        <w:adjustRightInd w:val="0"/>
        <w:spacing w:after="0" w:line="240" w:lineRule="auto"/>
        <w:rPr>
          <w:rFonts w:cs="Calibri"/>
          <w:bCs/>
          <w:color w:val="002060"/>
          <w:u w:val="single"/>
        </w:rPr>
      </w:pPr>
    </w:p>
    <w:p w14:paraId="032E1F13" w14:textId="5A6B9352" w:rsidR="00A422A6" w:rsidRPr="00FC658F" w:rsidRDefault="00335F01" w:rsidP="00E37E1B">
      <w:pPr>
        <w:autoSpaceDE w:val="0"/>
        <w:autoSpaceDN w:val="0"/>
        <w:adjustRightInd w:val="0"/>
        <w:spacing w:after="0" w:line="240" w:lineRule="auto"/>
        <w:rPr>
          <w:rFonts w:cs="Calibri"/>
          <w:bCs/>
          <w:color w:val="002060"/>
          <w:u w:val="single"/>
        </w:rPr>
      </w:pPr>
      <w:r w:rsidRPr="00335F01">
        <w:rPr>
          <w:rFonts w:cs="Calibri"/>
          <w:bCs/>
          <w:color w:val="002060"/>
          <w:u w:val="single"/>
        </w:rPr>
        <w:t>Previous 201</w:t>
      </w:r>
      <w:r>
        <w:rPr>
          <w:rFonts w:cs="Calibri"/>
          <w:bCs/>
          <w:color w:val="002060"/>
          <w:u w:val="single"/>
        </w:rPr>
        <w:t>1</w:t>
      </w:r>
      <w:r w:rsidRPr="00335F01">
        <w:rPr>
          <w:rFonts w:cs="Calibri"/>
          <w:bCs/>
          <w:color w:val="002060"/>
          <w:u w:val="single"/>
        </w:rPr>
        <w:t xml:space="preserve"> Testing</w:t>
      </w:r>
    </w:p>
    <w:p w14:paraId="58A4152B" w14:textId="77777777" w:rsidR="00B31688" w:rsidRPr="009060B7" w:rsidRDefault="00B31688" w:rsidP="00B31688">
      <w:pPr>
        <w:tabs>
          <w:tab w:val="left" w:pos="330"/>
        </w:tabs>
        <w:ind w:left="330"/>
        <w:rPr>
          <w:iCs/>
          <w:color w:val="333399"/>
        </w:rPr>
      </w:pPr>
      <w:r w:rsidRPr="0030253E">
        <w:rPr>
          <w:iCs/>
          <w:color w:val="333399"/>
        </w:rPr>
        <w:t>Five practice sites representing various types, locations and sizes were identified to participate in testing the</w:t>
      </w:r>
      <w:r>
        <w:rPr>
          <w:iCs/>
          <w:color w:val="333399"/>
        </w:rPr>
        <w:t xml:space="preserve"> PCPI/ASCO/ASTRO-developed</w:t>
      </w:r>
      <w:r w:rsidRPr="0030253E">
        <w:rPr>
          <w:iCs/>
          <w:color w:val="333399"/>
        </w:rPr>
        <w:t xml:space="preserve"> measures. </w:t>
      </w:r>
      <w:r>
        <w:rPr>
          <w:iCs/>
          <w:color w:val="333399"/>
        </w:rPr>
        <w:tab/>
      </w:r>
    </w:p>
    <w:p w14:paraId="29CCED10" w14:textId="77777777" w:rsidR="00B31688" w:rsidRPr="009060B7" w:rsidRDefault="00B31688" w:rsidP="00B31688">
      <w:pPr>
        <w:numPr>
          <w:ilvl w:val="1"/>
          <w:numId w:val="30"/>
        </w:numPr>
        <w:tabs>
          <w:tab w:val="left" w:pos="330"/>
        </w:tabs>
        <w:spacing w:after="0" w:line="240" w:lineRule="auto"/>
        <w:rPr>
          <w:iCs/>
          <w:color w:val="333399"/>
        </w:rPr>
      </w:pPr>
      <w:r w:rsidRPr="009060B7">
        <w:rPr>
          <w:iCs/>
          <w:color w:val="333399"/>
        </w:rPr>
        <w:t xml:space="preserve">Site A: hospital, multi-practice sites in urban, </w:t>
      </w:r>
      <w:proofErr w:type="gramStart"/>
      <w:r w:rsidRPr="009060B7">
        <w:rPr>
          <w:iCs/>
          <w:color w:val="333399"/>
        </w:rPr>
        <w:t>rural</w:t>
      </w:r>
      <w:proofErr w:type="gramEnd"/>
      <w:r w:rsidRPr="009060B7">
        <w:rPr>
          <w:iCs/>
          <w:color w:val="333399"/>
        </w:rPr>
        <w:t xml:space="preserve"> and suburban settings; 21 physicians; average 9600 oncology/prostate cancer patient visits per month for MD/NP assessment, chemo</w:t>
      </w:r>
      <w:r>
        <w:rPr>
          <w:iCs/>
          <w:color w:val="333399"/>
        </w:rPr>
        <w:t>therapy</w:t>
      </w:r>
      <w:r w:rsidRPr="009060B7">
        <w:rPr>
          <w:iCs/>
          <w:color w:val="333399"/>
        </w:rPr>
        <w:t>; submitted PQRS claims for one measure and utilized a full-fledged EHR.</w:t>
      </w:r>
    </w:p>
    <w:p w14:paraId="35AF3B81" w14:textId="77777777" w:rsidR="00B31688" w:rsidRPr="009060B7" w:rsidRDefault="00B31688" w:rsidP="00B31688">
      <w:pPr>
        <w:numPr>
          <w:ilvl w:val="1"/>
          <w:numId w:val="30"/>
        </w:numPr>
        <w:tabs>
          <w:tab w:val="left" w:pos="330"/>
        </w:tabs>
        <w:spacing w:after="0" w:line="240" w:lineRule="auto"/>
        <w:rPr>
          <w:iCs/>
          <w:color w:val="333399"/>
        </w:rPr>
      </w:pPr>
      <w:r w:rsidRPr="009060B7">
        <w:rPr>
          <w:iCs/>
          <w:color w:val="333399"/>
        </w:rPr>
        <w:t>Site B: physician owned private practice, suburban setting; 4 physicians; average 48 oncology/prostate cancer patients seen per day; submitted PQRS claims for one measure and utilized paper medical records</w:t>
      </w:r>
      <w:r>
        <w:rPr>
          <w:iCs/>
          <w:color w:val="333399"/>
        </w:rPr>
        <w:t>.</w:t>
      </w:r>
    </w:p>
    <w:p w14:paraId="1E8AA2A6" w14:textId="77777777" w:rsidR="00B31688" w:rsidRPr="009060B7" w:rsidRDefault="00B31688" w:rsidP="00B31688">
      <w:pPr>
        <w:numPr>
          <w:ilvl w:val="1"/>
          <w:numId w:val="30"/>
        </w:numPr>
        <w:tabs>
          <w:tab w:val="left" w:pos="330"/>
        </w:tabs>
        <w:spacing w:after="0" w:line="240" w:lineRule="auto"/>
        <w:rPr>
          <w:iCs/>
          <w:color w:val="333399"/>
        </w:rPr>
      </w:pPr>
      <w:r w:rsidRPr="009060B7">
        <w:rPr>
          <w:iCs/>
          <w:color w:val="333399"/>
        </w:rPr>
        <w:t>Site C: physician owned private practice, urban setting; 41 physicians; average 2500 oncology/prostate cancer patients seen per month; submitted PQRS claims for two measures and utilized a full-fledged EHR</w:t>
      </w:r>
      <w:r>
        <w:rPr>
          <w:iCs/>
          <w:color w:val="333399"/>
        </w:rPr>
        <w:t>.</w:t>
      </w:r>
    </w:p>
    <w:p w14:paraId="478E8B87" w14:textId="77777777" w:rsidR="00B31688" w:rsidRPr="009060B7" w:rsidRDefault="00B31688" w:rsidP="00B31688">
      <w:pPr>
        <w:numPr>
          <w:ilvl w:val="1"/>
          <w:numId w:val="30"/>
        </w:numPr>
        <w:tabs>
          <w:tab w:val="left" w:pos="330"/>
        </w:tabs>
        <w:spacing w:after="0" w:line="240" w:lineRule="auto"/>
        <w:rPr>
          <w:iCs/>
          <w:color w:val="333399"/>
        </w:rPr>
      </w:pPr>
      <w:r w:rsidRPr="009060B7">
        <w:rPr>
          <w:iCs/>
          <w:color w:val="333399"/>
        </w:rPr>
        <w:t>Site D: academic, suburban setting; 9 physicians; average 240 oncology/prostate cancer patients seen per month; submitted PQRS claims for one measure and utilized paper and EHR</w:t>
      </w:r>
      <w:r>
        <w:rPr>
          <w:iCs/>
          <w:color w:val="333399"/>
        </w:rPr>
        <w:t>.</w:t>
      </w:r>
    </w:p>
    <w:p w14:paraId="428B8FFC" w14:textId="77777777" w:rsidR="00B31688" w:rsidRPr="009060B7" w:rsidRDefault="00B31688" w:rsidP="00B31688">
      <w:pPr>
        <w:numPr>
          <w:ilvl w:val="1"/>
          <w:numId w:val="30"/>
        </w:numPr>
        <w:tabs>
          <w:tab w:val="left" w:pos="330"/>
        </w:tabs>
        <w:spacing w:after="0" w:line="240" w:lineRule="auto"/>
        <w:rPr>
          <w:iCs/>
          <w:color w:val="333399"/>
        </w:rPr>
      </w:pPr>
      <w:r w:rsidRPr="009060B7">
        <w:rPr>
          <w:iCs/>
          <w:color w:val="333399"/>
        </w:rPr>
        <w:t>Site E: academic, urban setting; 14 physicians; average 250 oncology/prostate cancer patients seen per month; collected PQRS data on 3 measures and utilized a full-fledged EHR</w:t>
      </w:r>
      <w:r>
        <w:rPr>
          <w:iCs/>
          <w:color w:val="333399"/>
        </w:rPr>
        <w:t>.</w:t>
      </w:r>
    </w:p>
    <w:p w14:paraId="7F1F9D7F" w14:textId="77777777" w:rsidR="00B31688" w:rsidRPr="008A7596" w:rsidRDefault="00B31688" w:rsidP="00B31688">
      <w:pPr>
        <w:autoSpaceDE w:val="0"/>
        <w:autoSpaceDN w:val="0"/>
        <w:adjustRightInd w:val="0"/>
        <w:spacing w:after="0" w:line="240" w:lineRule="auto"/>
        <w:rPr>
          <w:b/>
          <w:color w:val="0000FF"/>
          <w:szCs w:val="20"/>
          <w:u w:val="single"/>
        </w:rPr>
      </w:pPr>
      <w:r w:rsidRPr="00504470">
        <w:rPr>
          <w:b/>
          <w:color w:val="0000FF"/>
          <w:szCs w:val="20"/>
          <w:u w:val="single"/>
        </w:rPr>
        <w:t xml:space="preserve"> </w:t>
      </w:r>
    </w:p>
    <w:p w14:paraId="5168D8F0" w14:textId="77777777" w:rsidR="0016310F" w:rsidRDefault="00335F01" w:rsidP="0016310F">
      <w:pPr>
        <w:autoSpaceDE w:val="0"/>
        <w:autoSpaceDN w:val="0"/>
        <w:adjustRightInd w:val="0"/>
        <w:spacing w:after="0" w:line="240" w:lineRule="auto"/>
        <w:rPr>
          <w:color w:val="C00000"/>
          <w:szCs w:val="20"/>
          <w:u w:val="single"/>
        </w:rPr>
      </w:pPr>
      <w:r w:rsidRPr="00B80617">
        <w:rPr>
          <w:color w:val="C00000"/>
          <w:szCs w:val="20"/>
          <w:u w:val="single"/>
        </w:rPr>
        <w:t>Current Testing</w:t>
      </w:r>
      <w:bookmarkStart w:id="13" w:name="_Hlk536024222"/>
    </w:p>
    <w:p w14:paraId="38AFEE0A" w14:textId="77777777" w:rsidR="0016310F" w:rsidRDefault="0016310F" w:rsidP="0016310F">
      <w:pPr>
        <w:autoSpaceDE w:val="0"/>
        <w:autoSpaceDN w:val="0"/>
        <w:adjustRightInd w:val="0"/>
        <w:spacing w:after="0" w:line="240" w:lineRule="auto"/>
        <w:rPr>
          <w:color w:val="C00000"/>
          <w:szCs w:val="20"/>
          <w:u w:val="single"/>
        </w:rPr>
      </w:pPr>
    </w:p>
    <w:p w14:paraId="6EB4D8DA" w14:textId="23ECCF71" w:rsidR="00FE6E85" w:rsidRDefault="00AA436F" w:rsidP="00C65382">
      <w:pPr>
        <w:autoSpaceDE w:val="0"/>
        <w:autoSpaceDN w:val="0"/>
        <w:adjustRightInd w:val="0"/>
        <w:spacing w:after="0" w:line="240" w:lineRule="auto"/>
        <w:rPr>
          <w:color w:val="C00000"/>
          <w:szCs w:val="20"/>
        </w:rPr>
      </w:pPr>
      <w:r>
        <w:rPr>
          <w:color w:val="C00000"/>
          <w:szCs w:val="20"/>
        </w:rPr>
        <w:t xml:space="preserve">For reliability testing of the measure, </w:t>
      </w:r>
      <w:proofErr w:type="spellStart"/>
      <w:r w:rsidR="00842824">
        <w:rPr>
          <w:color w:val="C00000"/>
          <w:szCs w:val="20"/>
        </w:rPr>
        <w:t>CancerLinQ</w:t>
      </w:r>
      <w:proofErr w:type="spellEnd"/>
      <w:r w:rsidR="00842824">
        <w:rPr>
          <w:color w:val="C00000"/>
          <w:szCs w:val="20"/>
        </w:rPr>
        <w:t xml:space="preserve"> dataset was used.</w:t>
      </w:r>
      <w:r w:rsidR="0016310F">
        <w:rPr>
          <w:color w:val="C00000"/>
          <w:szCs w:val="20"/>
        </w:rPr>
        <w:t xml:space="preserve"> </w:t>
      </w:r>
      <w:r w:rsidR="00704FD7">
        <w:rPr>
          <w:color w:val="C00000"/>
          <w:szCs w:val="20"/>
        </w:rPr>
        <w:t xml:space="preserve">For validity testing of the measure, CMS dataset was used. </w:t>
      </w:r>
      <w:r w:rsidR="004266F2">
        <w:rPr>
          <w:color w:val="C00000"/>
          <w:szCs w:val="20"/>
        </w:rPr>
        <w:t>T</w:t>
      </w:r>
      <w:r w:rsidR="00662438">
        <w:rPr>
          <w:color w:val="C00000"/>
          <w:szCs w:val="20"/>
        </w:rPr>
        <w:t>hese data sets differ in size, level of analysis, sources of data</w:t>
      </w:r>
      <w:r w:rsidR="008A1FE8">
        <w:rPr>
          <w:color w:val="C00000"/>
          <w:szCs w:val="20"/>
        </w:rPr>
        <w:t xml:space="preserve">, </w:t>
      </w:r>
      <w:r w:rsidR="004773D9">
        <w:rPr>
          <w:color w:val="C00000"/>
          <w:szCs w:val="20"/>
        </w:rPr>
        <w:t>physicians/practices</w:t>
      </w:r>
      <w:r w:rsidR="00D67512">
        <w:rPr>
          <w:color w:val="C00000"/>
          <w:szCs w:val="20"/>
        </w:rPr>
        <w:t>, and time periods.</w:t>
      </w:r>
      <w:r w:rsidR="00C10121">
        <w:rPr>
          <w:color w:val="C00000"/>
          <w:szCs w:val="20"/>
        </w:rPr>
        <w:t xml:space="preserve"> Please refer to the comparison</w:t>
      </w:r>
      <w:r w:rsidR="00FE6E85">
        <w:rPr>
          <w:color w:val="C00000"/>
          <w:szCs w:val="20"/>
        </w:rPr>
        <w:t xml:space="preserve"> table below</w:t>
      </w:r>
      <w:r w:rsidR="001D485B">
        <w:rPr>
          <w:color w:val="C00000"/>
          <w:szCs w:val="20"/>
        </w:rPr>
        <w:t xml:space="preserve"> for more information</w:t>
      </w:r>
      <w:r w:rsidR="00FE6E85">
        <w:rPr>
          <w:color w:val="C00000"/>
          <w:szCs w:val="20"/>
        </w:rPr>
        <w:t>.</w:t>
      </w:r>
    </w:p>
    <w:p w14:paraId="54FEA641" w14:textId="7A95F1B0" w:rsidR="00FE6E85" w:rsidRDefault="00FE6E85" w:rsidP="00C65382">
      <w:pPr>
        <w:autoSpaceDE w:val="0"/>
        <w:autoSpaceDN w:val="0"/>
        <w:adjustRightInd w:val="0"/>
        <w:spacing w:after="0" w:line="240" w:lineRule="auto"/>
        <w:rPr>
          <w:color w:val="C00000"/>
          <w:szCs w:val="20"/>
        </w:rPr>
      </w:pPr>
    </w:p>
    <w:tbl>
      <w:tblPr>
        <w:tblStyle w:val="GridTable1Light-Accent2"/>
        <w:tblW w:w="9872" w:type="dxa"/>
        <w:tblInd w:w="-265" w:type="dxa"/>
        <w:tblLook w:val="04A0" w:firstRow="1" w:lastRow="0" w:firstColumn="1" w:lastColumn="0" w:noHBand="0" w:noVBand="1"/>
      </w:tblPr>
      <w:tblGrid>
        <w:gridCol w:w="1529"/>
        <w:gridCol w:w="1458"/>
        <w:gridCol w:w="1377"/>
        <w:gridCol w:w="1377"/>
        <w:gridCol w:w="1377"/>
        <w:gridCol w:w="1377"/>
        <w:gridCol w:w="1377"/>
      </w:tblGrid>
      <w:tr w:rsidR="00FE5BC9" w14:paraId="17DB9D4B" w14:textId="77777777" w:rsidTr="001D485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529" w:type="dxa"/>
          </w:tcPr>
          <w:p w14:paraId="61D69CF3" w14:textId="77C7FA2F" w:rsidR="00FE5BC9" w:rsidRPr="003939EE" w:rsidRDefault="00FE5BC9" w:rsidP="00CA615B">
            <w:pPr>
              <w:autoSpaceDE w:val="0"/>
              <w:autoSpaceDN w:val="0"/>
              <w:adjustRightInd w:val="0"/>
              <w:jc w:val="center"/>
              <w:rPr>
                <w:color w:val="C00000"/>
              </w:rPr>
            </w:pPr>
            <w:r w:rsidRPr="003939EE">
              <w:rPr>
                <w:color w:val="C00000"/>
              </w:rPr>
              <w:lastRenderedPageBreak/>
              <w:t>Data Set Name</w:t>
            </w:r>
          </w:p>
        </w:tc>
        <w:tc>
          <w:tcPr>
            <w:tcW w:w="1458" w:type="dxa"/>
          </w:tcPr>
          <w:p w14:paraId="014FFA3D" w14:textId="1337B509" w:rsidR="00FE5BC9" w:rsidRPr="003939EE" w:rsidRDefault="00FE5BC9" w:rsidP="00CA615B">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color w:val="C00000"/>
              </w:rPr>
            </w:pPr>
            <w:r w:rsidRPr="003939EE">
              <w:rPr>
                <w:color w:val="C00000"/>
              </w:rPr>
              <w:t>Time Period</w:t>
            </w:r>
          </w:p>
        </w:tc>
        <w:tc>
          <w:tcPr>
            <w:tcW w:w="1377" w:type="dxa"/>
          </w:tcPr>
          <w:p w14:paraId="743F9D7F" w14:textId="4E1534D1" w:rsidR="00FE5BC9" w:rsidRPr="003939EE" w:rsidRDefault="00FE5BC9" w:rsidP="00CA615B">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color w:val="C00000"/>
              </w:rPr>
            </w:pPr>
            <w:r w:rsidRPr="003939EE">
              <w:rPr>
                <w:color w:val="C00000"/>
              </w:rPr>
              <w:t>Size</w:t>
            </w:r>
            <w:r>
              <w:rPr>
                <w:color w:val="C00000"/>
              </w:rPr>
              <w:t xml:space="preserve"> (Patients)</w:t>
            </w:r>
          </w:p>
        </w:tc>
        <w:tc>
          <w:tcPr>
            <w:tcW w:w="1377" w:type="dxa"/>
          </w:tcPr>
          <w:p w14:paraId="4BBCEB88" w14:textId="21E932F5" w:rsidR="00FE5BC9" w:rsidRPr="003939EE" w:rsidRDefault="00FE5BC9" w:rsidP="00CA615B">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color w:val="C00000"/>
              </w:rPr>
            </w:pPr>
            <w:r>
              <w:rPr>
                <w:color w:val="C00000"/>
              </w:rPr>
              <w:t>Size</w:t>
            </w:r>
            <w:r w:rsidR="00C55A70">
              <w:rPr>
                <w:color w:val="C00000"/>
              </w:rPr>
              <w:t xml:space="preserve"> (Providers)</w:t>
            </w:r>
          </w:p>
        </w:tc>
        <w:tc>
          <w:tcPr>
            <w:tcW w:w="1377" w:type="dxa"/>
          </w:tcPr>
          <w:p w14:paraId="4789F8D7" w14:textId="530040A5" w:rsidR="00FE5BC9" w:rsidRPr="003939EE" w:rsidRDefault="00FE5BC9" w:rsidP="00CA615B">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color w:val="C00000"/>
              </w:rPr>
            </w:pPr>
            <w:r w:rsidRPr="003939EE">
              <w:rPr>
                <w:color w:val="C00000"/>
              </w:rPr>
              <w:t>Data Source</w:t>
            </w:r>
          </w:p>
        </w:tc>
        <w:tc>
          <w:tcPr>
            <w:tcW w:w="1377" w:type="dxa"/>
          </w:tcPr>
          <w:p w14:paraId="131C1E1C" w14:textId="0882D57C" w:rsidR="00FE5BC9" w:rsidRPr="003939EE" w:rsidRDefault="00FE5BC9" w:rsidP="00CA615B">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color w:val="C00000"/>
              </w:rPr>
            </w:pPr>
            <w:r>
              <w:rPr>
                <w:color w:val="C00000"/>
              </w:rPr>
              <w:t>Testing Type</w:t>
            </w:r>
          </w:p>
        </w:tc>
        <w:tc>
          <w:tcPr>
            <w:tcW w:w="1377" w:type="dxa"/>
          </w:tcPr>
          <w:p w14:paraId="1801CB29" w14:textId="29C2F5E9" w:rsidR="00FE5BC9" w:rsidRPr="003939EE" w:rsidRDefault="001D485B" w:rsidP="00CA615B">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color w:val="C00000"/>
              </w:rPr>
            </w:pPr>
            <w:r>
              <w:rPr>
                <w:color w:val="C00000"/>
              </w:rPr>
              <w:t>Analysis Level</w:t>
            </w:r>
          </w:p>
        </w:tc>
      </w:tr>
      <w:tr w:rsidR="00FE5BC9" w14:paraId="51133773" w14:textId="77777777" w:rsidTr="001D485B">
        <w:trPr>
          <w:trHeight w:val="360"/>
        </w:trPr>
        <w:tc>
          <w:tcPr>
            <w:cnfStyle w:val="001000000000" w:firstRow="0" w:lastRow="0" w:firstColumn="1" w:lastColumn="0" w:oddVBand="0" w:evenVBand="0" w:oddHBand="0" w:evenHBand="0" w:firstRowFirstColumn="0" w:firstRowLastColumn="0" w:lastRowFirstColumn="0" w:lastRowLastColumn="0"/>
            <w:tcW w:w="1529" w:type="dxa"/>
          </w:tcPr>
          <w:p w14:paraId="5F2DFEF7" w14:textId="58769052" w:rsidR="00FE5BC9" w:rsidRDefault="00FE5BC9" w:rsidP="00C65382">
            <w:pPr>
              <w:autoSpaceDE w:val="0"/>
              <w:autoSpaceDN w:val="0"/>
              <w:adjustRightInd w:val="0"/>
              <w:rPr>
                <w:color w:val="C00000"/>
                <w:szCs w:val="20"/>
              </w:rPr>
            </w:pPr>
            <w:proofErr w:type="spellStart"/>
            <w:r>
              <w:rPr>
                <w:color w:val="C00000"/>
                <w:szCs w:val="20"/>
              </w:rPr>
              <w:t>CancerLinQ</w:t>
            </w:r>
            <w:proofErr w:type="spellEnd"/>
          </w:p>
        </w:tc>
        <w:tc>
          <w:tcPr>
            <w:tcW w:w="1458" w:type="dxa"/>
          </w:tcPr>
          <w:p w14:paraId="029B36D5" w14:textId="332C80E9" w:rsidR="00FE5BC9" w:rsidRDefault="00FE5BC9" w:rsidP="00C65382">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C00000"/>
                <w:szCs w:val="20"/>
              </w:rPr>
            </w:pPr>
            <w:r>
              <w:rPr>
                <w:color w:val="C00000"/>
                <w:szCs w:val="20"/>
              </w:rPr>
              <w:t>CY 2018</w:t>
            </w:r>
          </w:p>
        </w:tc>
        <w:tc>
          <w:tcPr>
            <w:tcW w:w="1377" w:type="dxa"/>
          </w:tcPr>
          <w:p w14:paraId="1793287A" w14:textId="5D78B337" w:rsidR="00FE5BC9" w:rsidRDefault="00FE5BC9" w:rsidP="00C65382">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C00000"/>
                <w:szCs w:val="20"/>
              </w:rPr>
            </w:pPr>
            <w:r>
              <w:rPr>
                <w:color w:val="C00000"/>
                <w:szCs w:val="20"/>
              </w:rPr>
              <w:t>2581</w:t>
            </w:r>
          </w:p>
        </w:tc>
        <w:tc>
          <w:tcPr>
            <w:tcW w:w="1377" w:type="dxa"/>
          </w:tcPr>
          <w:p w14:paraId="40DD5CF3" w14:textId="6EC4AB52" w:rsidR="00FE5BC9" w:rsidRDefault="00C55A70" w:rsidP="00C65382">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C00000"/>
                <w:szCs w:val="20"/>
              </w:rPr>
            </w:pPr>
            <w:r>
              <w:rPr>
                <w:color w:val="C00000"/>
                <w:szCs w:val="20"/>
              </w:rPr>
              <w:t>46</w:t>
            </w:r>
          </w:p>
        </w:tc>
        <w:tc>
          <w:tcPr>
            <w:tcW w:w="1377" w:type="dxa"/>
          </w:tcPr>
          <w:p w14:paraId="0384926A" w14:textId="6A04F4F6" w:rsidR="00FE5BC9" w:rsidRDefault="00FE5BC9" w:rsidP="00C65382">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C00000"/>
                <w:szCs w:val="20"/>
              </w:rPr>
            </w:pPr>
            <w:proofErr w:type="spellStart"/>
            <w:r>
              <w:rPr>
                <w:color w:val="C00000"/>
                <w:szCs w:val="20"/>
              </w:rPr>
              <w:t>CancerLinQ</w:t>
            </w:r>
            <w:proofErr w:type="spellEnd"/>
            <w:r>
              <w:rPr>
                <w:color w:val="C00000"/>
                <w:szCs w:val="20"/>
              </w:rPr>
              <w:t xml:space="preserve"> </w:t>
            </w:r>
          </w:p>
        </w:tc>
        <w:tc>
          <w:tcPr>
            <w:tcW w:w="1377" w:type="dxa"/>
          </w:tcPr>
          <w:p w14:paraId="0FF19892" w14:textId="39D97BF4" w:rsidR="00FE5BC9" w:rsidRDefault="00FE5BC9" w:rsidP="00C65382">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C00000"/>
                <w:szCs w:val="20"/>
              </w:rPr>
            </w:pPr>
            <w:r>
              <w:rPr>
                <w:color w:val="C00000"/>
                <w:szCs w:val="20"/>
              </w:rPr>
              <w:t>Reliability</w:t>
            </w:r>
          </w:p>
        </w:tc>
        <w:tc>
          <w:tcPr>
            <w:tcW w:w="1377" w:type="dxa"/>
          </w:tcPr>
          <w:p w14:paraId="6171428E" w14:textId="359741EB" w:rsidR="00FE5BC9" w:rsidRDefault="001D485B" w:rsidP="00C65382">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C00000"/>
                <w:szCs w:val="20"/>
              </w:rPr>
            </w:pPr>
            <w:r>
              <w:rPr>
                <w:color w:val="C00000"/>
                <w:szCs w:val="20"/>
              </w:rPr>
              <w:t>Physician</w:t>
            </w:r>
          </w:p>
        </w:tc>
      </w:tr>
      <w:tr w:rsidR="00FE5BC9" w14:paraId="5DCFB45D" w14:textId="77777777" w:rsidTr="001D485B">
        <w:trPr>
          <w:trHeight w:val="344"/>
        </w:trPr>
        <w:tc>
          <w:tcPr>
            <w:cnfStyle w:val="001000000000" w:firstRow="0" w:lastRow="0" w:firstColumn="1" w:lastColumn="0" w:oddVBand="0" w:evenVBand="0" w:oddHBand="0" w:evenHBand="0" w:firstRowFirstColumn="0" w:firstRowLastColumn="0" w:lastRowFirstColumn="0" w:lastRowLastColumn="0"/>
            <w:tcW w:w="1529" w:type="dxa"/>
          </w:tcPr>
          <w:p w14:paraId="694305E6" w14:textId="63A15ADE" w:rsidR="00FE5BC9" w:rsidRDefault="00FE5BC9" w:rsidP="00C65382">
            <w:pPr>
              <w:autoSpaceDE w:val="0"/>
              <w:autoSpaceDN w:val="0"/>
              <w:adjustRightInd w:val="0"/>
              <w:rPr>
                <w:color w:val="C00000"/>
                <w:szCs w:val="20"/>
              </w:rPr>
            </w:pPr>
            <w:r>
              <w:rPr>
                <w:color w:val="C00000"/>
                <w:szCs w:val="20"/>
              </w:rPr>
              <w:t>CMS</w:t>
            </w:r>
          </w:p>
        </w:tc>
        <w:tc>
          <w:tcPr>
            <w:tcW w:w="1458" w:type="dxa"/>
          </w:tcPr>
          <w:p w14:paraId="4B464190" w14:textId="43C35DCA" w:rsidR="00FE5BC9" w:rsidRDefault="00FE5BC9" w:rsidP="00C65382">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C00000"/>
                <w:szCs w:val="20"/>
              </w:rPr>
            </w:pPr>
            <w:r>
              <w:rPr>
                <w:color w:val="C00000"/>
                <w:szCs w:val="20"/>
              </w:rPr>
              <w:t>CY 2016</w:t>
            </w:r>
          </w:p>
        </w:tc>
        <w:tc>
          <w:tcPr>
            <w:tcW w:w="1377" w:type="dxa"/>
          </w:tcPr>
          <w:p w14:paraId="614E1890" w14:textId="3729E86D" w:rsidR="00FE5BC9" w:rsidRDefault="00AA3BD5" w:rsidP="00C65382">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C00000"/>
                <w:szCs w:val="20"/>
              </w:rPr>
            </w:pPr>
            <w:r w:rsidRPr="00AA3BD5">
              <w:rPr>
                <w:color w:val="C00000"/>
                <w:szCs w:val="20"/>
              </w:rPr>
              <w:t>22,235</w:t>
            </w:r>
          </w:p>
        </w:tc>
        <w:tc>
          <w:tcPr>
            <w:tcW w:w="1377" w:type="dxa"/>
          </w:tcPr>
          <w:p w14:paraId="660D431D" w14:textId="7F51126E" w:rsidR="00FE5BC9" w:rsidRDefault="00C75308" w:rsidP="00C65382">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C00000"/>
                <w:szCs w:val="20"/>
              </w:rPr>
            </w:pPr>
            <w:r>
              <w:rPr>
                <w:color w:val="C00000"/>
                <w:szCs w:val="20"/>
              </w:rPr>
              <w:t>31</w:t>
            </w:r>
          </w:p>
        </w:tc>
        <w:tc>
          <w:tcPr>
            <w:tcW w:w="1377" w:type="dxa"/>
          </w:tcPr>
          <w:p w14:paraId="0C1131B2" w14:textId="34316570" w:rsidR="00FE5BC9" w:rsidRDefault="00FE5BC9" w:rsidP="00C65382">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C00000"/>
                <w:szCs w:val="20"/>
              </w:rPr>
            </w:pPr>
            <w:r>
              <w:rPr>
                <w:color w:val="C00000"/>
                <w:szCs w:val="20"/>
              </w:rPr>
              <w:t>CMS PQRS Program</w:t>
            </w:r>
          </w:p>
        </w:tc>
        <w:tc>
          <w:tcPr>
            <w:tcW w:w="1377" w:type="dxa"/>
          </w:tcPr>
          <w:p w14:paraId="0AAC23ED" w14:textId="163B7FA6" w:rsidR="00FE5BC9" w:rsidRDefault="00FE5BC9" w:rsidP="00C65382">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C00000"/>
                <w:szCs w:val="20"/>
              </w:rPr>
            </w:pPr>
            <w:r>
              <w:rPr>
                <w:color w:val="C00000"/>
                <w:szCs w:val="20"/>
              </w:rPr>
              <w:t>Validity</w:t>
            </w:r>
          </w:p>
        </w:tc>
        <w:tc>
          <w:tcPr>
            <w:tcW w:w="1377" w:type="dxa"/>
          </w:tcPr>
          <w:p w14:paraId="3A5EB197" w14:textId="3C6C8899" w:rsidR="00FE5BC9" w:rsidRDefault="001D485B" w:rsidP="00C65382">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C00000"/>
                <w:szCs w:val="20"/>
              </w:rPr>
            </w:pPr>
            <w:r>
              <w:rPr>
                <w:color w:val="C00000"/>
                <w:szCs w:val="20"/>
              </w:rPr>
              <w:t>Provider</w:t>
            </w:r>
          </w:p>
        </w:tc>
      </w:tr>
      <w:tr w:rsidR="00F1359F" w14:paraId="4B9E296C" w14:textId="77777777" w:rsidTr="001D485B">
        <w:trPr>
          <w:trHeight w:val="344"/>
        </w:trPr>
        <w:tc>
          <w:tcPr>
            <w:cnfStyle w:val="001000000000" w:firstRow="0" w:lastRow="0" w:firstColumn="1" w:lastColumn="0" w:oddVBand="0" w:evenVBand="0" w:oddHBand="0" w:evenHBand="0" w:firstRowFirstColumn="0" w:firstRowLastColumn="0" w:lastRowFirstColumn="0" w:lastRowLastColumn="0"/>
            <w:tcW w:w="1529" w:type="dxa"/>
          </w:tcPr>
          <w:p w14:paraId="6595BAC1" w14:textId="2806AAAC" w:rsidR="00F1359F" w:rsidRDefault="00F1359F" w:rsidP="00C65382">
            <w:pPr>
              <w:autoSpaceDE w:val="0"/>
              <w:autoSpaceDN w:val="0"/>
              <w:adjustRightInd w:val="0"/>
              <w:rPr>
                <w:color w:val="C00000"/>
                <w:szCs w:val="20"/>
              </w:rPr>
            </w:pPr>
            <w:r>
              <w:rPr>
                <w:color w:val="C00000"/>
                <w:szCs w:val="20"/>
              </w:rPr>
              <w:t>CMS</w:t>
            </w:r>
          </w:p>
        </w:tc>
        <w:tc>
          <w:tcPr>
            <w:tcW w:w="1458" w:type="dxa"/>
          </w:tcPr>
          <w:p w14:paraId="3C2A5CF9" w14:textId="65B356BB" w:rsidR="00F1359F" w:rsidRDefault="00F1359F" w:rsidP="00C65382">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C00000"/>
                <w:szCs w:val="20"/>
              </w:rPr>
            </w:pPr>
            <w:r>
              <w:rPr>
                <w:color w:val="C00000"/>
                <w:szCs w:val="20"/>
              </w:rPr>
              <w:t>CY 2016</w:t>
            </w:r>
          </w:p>
        </w:tc>
        <w:tc>
          <w:tcPr>
            <w:tcW w:w="1377" w:type="dxa"/>
          </w:tcPr>
          <w:p w14:paraId="403D94A6" w14:textId="6611A8BD" w:rsidR="00F1359F" w:rsidRPr="00AA3BD5" w:rsidRDefault="00F1359F" w:rsidP="00C65382">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C00000"/>
                <w:szCs w:val="20"/>
              </w:rPr>
            </w:pPr>
            <w:bookmarkStart w:id="14" w:name="_Hlk60754098"/>
            <w:r w:rsidRPr="00F1359F">
              <w:rPr>
                <w:color w:val="C00000"/>
                <w:szCs w:val="20"/>
              </w:rPr>
              <w:t>1,306</w:t>
            </w:r>
            <w:bookmarkEnd w:id="14"/>
          </w:p>
        </w:tc>
        <w:tc>
          <w:tcPr>
            <w:tcW w:w="1377" w:type="dxa"/>
          </w:tcPr>
          <w:p w14:paraId="157C7621" w14:textId="1D98609C" w:rsidR="00F1359F" w:rsidRDefault="00F1359F" w:rsidP="00C65382">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C00000"/>
                <w:szCs w:val="20"/>
              </w:rPr>
            </w:pPr>
            <w:r>
              <w:rPr>
                <w:color w:val="C00000"/>
                <w:szCs w:val="20"/>
              </w:rPr>
              <w:t>31</w:t>
            </w:r>
          </w:p>
        </w:tc>
        <w:tc>
          <w:tcPr>
            <w:tcW w:w="1377" w:type="dxa"/>
          </w:tcPr>
          <w:p w14:paraId="62CC90F3" w14:textId="07907291" w:rsidR="00F1359F" w:rsidRDefault="00F1359F" w:rsidP="00C65382">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C00000"/>
                <w:szCs w:val="20"/>
              </w:rPr>
            </w:pPr>
            <w:r w:rsidRPr="00F1359F">
              <w:rPr>
                <w:color w:val="C00000"/>
                <w:szCs w:val="20"/>
              </w:rPr>
              <w:t>CMS PQRS Program</w:t>
            </w:r>
          </w:p>
        </w:tc>
        <w:tc>
          <w:tcPr>
            <w:tcW w:w="1377" w:type="dxa"/>
          </w:tcPr>
          <w:p w14:paraId="5CE1A69F" w14:textId="2231B758" w:rsidR="00F1359F" w:rsidRDefault="00F1359F" w:rsidP="00C65382">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C00000"/>
                <w:szCs w:val="20"/>
              </w:rPr>
            </w:pPr>
            <w:r>
              <w:rPr>
                <w:color w:val="C00000"/>
                <w:szCs w:val="20"/>
              </w:rPr>
              <w:t>Validity</w:t>
            </w:r>
          </w:p>
        </w:tc>
        <w:tc>
          <w:tcPr>
            <w:tcW w:w="1377" w:type="dxa"/>
          </w:tcPr>
          <w:p w14:paraId="57C214A0" w14:textId="42E5AAE5" w:rsidR="00F1359F" w:rsidRDefault="00F1359F" w:rsidP="00C65382">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C00000"/>
                <w:szCs w:val="20"/>
              </w:rPr>
            </w:pPr>
            <w:r>
              <w:rPr>
                <w:color w:val="C00000"/>
                <w:szCs w:val="20"/>
              </w:rPr>
              <w:t>Provider</w:t>
            </w:r>
          </w:p>
        </w:tc>
      </w:tr>
    </w:tbl>
    <w:p w14:paraId="6565EB31" w14:textId="77777777" w:rsidR="00BD52FD" w:rsidRDefault="00BD52FD" w:rsidP="00C65382">
      <w:pPr>
        <w:autoSpaceDE w:val="0"/>
        <w:autoSpaceDN w:val="0"/>
        <w:adjustRightInd w:val="0"/>
        <w:spacing w:after="0" w:line="240" w:lineRule="auto"/>
        <w:rPr>
          <w:color w:val="C00000"/>
          <w:szCs w:val="20"/>
        </w:rPr>
      </w:pPr>
    </w:p>
    <w:p w14:paraId="0CABCFCB" w14:textId="6A2224A1" w:rsidR="00E37E1B" w:rsidRDefault="00C10121" w:rsidP="00E37E1B">
      <w:pPr>
        <w:autoSpaceDE w:val="0"/>
        <w:autoSpaceDN w:val="0"/>
        <w:adjustRightInd w:val="0"/>
        <w:spacing w:after="0" w:line="240" w:lineRule="auto"/>
        <w:rPr>
          <w:rFonts w:cstheme="minorHAnsi"/>
          <w:bCs/>
        </w:rPr>
      </w:pPr>
      <w:r>
        <w:rPr>
          <w:color w:val="C00000"/>
          <w:szCs w:val="20"/>
        </w:rPr>
        <w:t xml:space="preserve"> </w:t>
      </w:r>
      <w:bookmarkEnd w:id="13"/>
    </w:p>
    <w:p w14:paraId="0CABCFCC" w14:textId="3B61C4B7"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6622CD0C" w14:textId="77777777" w:rsidR="00FE14C5" w:rsidRDefault="00FE14C5" w:rsidP="00E37E1B">
      <w:pPr>
        <w:autoSpaceDE w:val="0"/>
        <w:autoSpaceDN w:val="0"/>
        <w:adjustRightInd w:val="0"/>
        <w:spacing w:after="0" w:line="240" w:lineRule="auto"/>
        <w:rPr>
          <w:rFonts w:cstheme="minorHAnsi"/>
          <w:bCs/>
        </w:rPr>
      </w:pPr>
    </w:p>
    <w:p w14:paraId="097065D8" w14:textId="60213AEC" w:rsidR="00335F01" w:rsidRPr="00B80617" w:rsidRDefault="00335F01" w:rsidP="00335F01">
      <w:pPr>
        <w:autoSpaceDE w:val="0"/>
        <w:autoSpaceDN w:val="0"/>
        <w:adjustRightInd w:val="0"/>
        <w:spacing w:after="0" w:line="240" w:lineRule="auto"/>
        <w:rPr>
          <w:color w:val="C00000"/>
          <w:szCs w:val="20"/>
          <w:u w:val="single"/>
        </w:rPr>
      </w:pPr>
      <w:r w:rsidRPr="00B80617">
        <w:rPr>
          <w:color w:val="C00000"/>
          <w:szCs w:val="20"/>
          <w:u w:val="single"/>
        </w:rPr>
        <w:t>Current Testing</w:t>
      </w:r>
    </w:p>
    <w:p w14:paraId="3E524769" w14:textId="27631529" w:rsidR="00A422A6" w:rsidRDefault="000F5DC8" w:rsidP="00C10121">
      <w:pPr>
        <w:rPr>
          <w:rFonts w:cstheme="minorHAnsi"/>
          <w:bCs/>
        </w:rPr>
      </w:pPr>
      <w:bookmarkStart w:id="15" w:name="_Hlk534376591"/>
      <w:r w:rsidRPr="000F5DC8">
        <w:rPr>
          <w:color w:val="C00000"/>
          <w:szCs w:val="20"/>
        </w:rPr>
        <w:t xml:space="preserve">Due to patient privacy concerns and </w:t>
      </w:r>
      <w:proofErr w:type="spellStart"/>
      <w:r w:rsidRPr="000F5DC8">
        <w:rPr>
          <w:color w:val="C00000"/>
          <w:szCs w:val="20"/>
        </w:rPr>
        <w:t>CancerLinQ</w:t>
      </w:r>
      <w:proofErr w:type="spellEnd"/>
      <w:r w:rsidRPr="000F5DC8">
        <w:rPr>
          <w:color w:val="C00000"/>
          <w:szCs w:val="20"/>
        </w:rPr>
        <w:t xml:space="preserve"> governing policies no patient specific data was collected.</w:t>
      </w:r>
      <w:r w:rsidR="000A0132">
        <w:rPr>
          <w:color w:val="C00000"/>
          <w:szCs w:val="20"/>
        </w:rPr>
        <w:t xml:space="preserve"> Therefore, no social risk factors were available for analysis. </w:t>
      </w:r>
      <w:r w:rsidR="005B0823">
        <w:rPr>
          <w:color w:val="C00000"/>
          <w:szCs w:val="20"/>
        </w:rPr>
        <w:t xml:space="preserve">Similarly, CMS did not capture nor provide </w:t>
      </w:r>
      <w:r w:rsidR="00867AE2">
        <w:rPr>
          <w:color w:val="C00000"/>
          <w:szCs w:val="20"/>
        </w:rPr>
        <w:t xml:space="preserve">any </w:t>
      </w:r>
      <w:r w:rsidR="009443BD">
        <w:rPr>
          <w:color w:val="C00000"/>
          <w:szCs w:val="20"/>
        </w:rPr>
        <w:t>p</w:t>
      </w:r>
      <w:r w:rsidR="00E8369E" w:rsidRPr="00BE225D">
        <w:rPr>
          <w:color w:val="C00000"/>
          <w:szCs w:val="20"/>
        </w:rPr>
        <w:t xml:space="preserve">atient-level socio-demographic (SDS) variables </w:t>
      </w:r>
      <w:r w:rsidR="00803E99">
        <w:rPr>
          <w:color w:val="C00000"/>
          <w:szCs w:val="20"/>
        </w:rPr>
        <w:t xml:space="preserve">and </w:t>
      </w:r>
      <w:r w:rsidR="00EA187E">
        <w:rPr>
          <w:color w:val="C00000"/>
          <w:szCs w:val="20"/>
        </w:rPr>
        <w:t>therefore</w:t>
      </w:r>
      <w:r w:rsidR="00324527">
        <w:rPr>
          <w:color w:val="C00000"/>
          <w:szCs w:val="20"/>
        </w:rPr>
        <w:t xml:space="preserve"> no social risk factor analysis was conducted.</w:t>
      </w:r>
      <w:bookmarkEnd w:id="15"/>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4095C9D4"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A422A6">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68AF4870" w14:textId="77777777" w:rsidR="00FE14C5" w:rsidRDefault="00FE14C5" w:rsidP="008C54A9">
      <w:pPr>
        <w:autoSpaceDE w:val="0"/>
        <w:autoSpaceDN w:val="0"/>
        <w:adjustRightInd w:val="0"/>
        <w:spacing w:after="0" w:line="240" w:lineRule="auto"/>
        <w:rPr>
          <w:rFonts w:cs="Calibri"/>
          <w:bCs/>
          <w:color w:val="002060"/>
          <w:u w:val="single"/>
        </w:rPr>
      </w:pPr>
    </w:p>
    <w:p w14:paraId="0CABCFD2" w14:textId="4B4672CF" w:rsidR="008C54A9" w:rsidRPr="00FE14C5" w:rsidRDefault="00335F01" w:rsidP="008C54A9">
      <w:pPr>
        <w:autoSpaceDE w:val="0"/>
        <w:autoSpaceDN w:val="0"/>
        <w:adjustRightInd w:val="0"/>
        <w:spacing w:after="0" w:line="240" w:lineRule="auto"/>
        <w:rPr>
          <w:rFonts w:cs="Calibri"/>
          <w:bCs/>
          <w:color w:val="002060"/>
          <w:u w:val="single"/>
        </w:rPr>
      </w:pPr>
      <w:r w:rsidRPr="00335F01">
        <w:rPr>
          <w:rFonts w:cs="Calibri"/>
          <w:bCs/>
          <w:color w:val="002060"/>
          <w:u w:val="single"/>
        </w:rPr>
        <w:t>Previous 201</w:t>
      </w:r>
      <w:r>
        <w:rPr>
          <w:rFonts w:cs="Calibri"/>
          <w:bCs/>
          <w:color w:val="002060"/>
          <w:u w:val="single"/>
        </w:rPr>
        <w:t>1</w:t>
      </w:r>
      <w:r w:rsidRPr="00335F01">
        <w:rPr>
          <w:rFonts w:cs="Calibri"/>
          <w:bCs/>
          <w:color w:val="002060"/>
          <w:u w:val="single"/>
        </w:rPr>
        <w:t xml:space="preserve"> Testing</w:t>
      </w:r>
    </w:p>
    <w:p w14:paraId="72D898CD" w14:textId="77777777" w:rsidR="00A422A6" w:rsidRPr="009060B7" w:rsidRDefault="00A422A6" w:rsidP="00A422A6">
      <w:pPr>
        <w:tabs>
          <w:tab w:val="left" w:pos="330"/>
        </w:tabs>
        <w:ind w:left="330"/>
        <w:rPr>
          <w:color w:val="333399"/>
        </w:rPr>
      </w:pPr>
      <w:r w:rsidRPr="009060B7">
        <w:rPr>
          <w:color w:val="333399"/>
        </w:rPr>
        <w:t>Data analysis included:</w:t>
      </w:r>
    </w:p>
    <w:p w14:paraId="7A6AE1FC" w14:textId="77777777" w:rsidR="00A422A6" w:rsidRPr="009060B7" w:rsidRDefault="00A422A6" w:rsidP="00A422A6">
      <w:pPr>
        <w:numPr>
          <w:ilvl w:val="0"/>
          <w:numId w:val="32"/>
        </w:numPr>
        <w:tabs>
          <w:tab w:val="left" w:pos="330"/>
        </w:tabs>
        <w:spacing w:after="0" w:line="240" w:lineRule="auto"/>
        <w:rPr>
          <w:color w:val="333399"/>
        </w:rPr>
      </w:pPr>
      <w:r w:rsidRPr="009060B7">
        <w:rPr>
          <w:color w:val="333399"/>
        </w:rPr>
        <w:t>Percent agreement</w:t>
      </w:r>
      <w:r>
        <w:rPr>
          <w:color w:val="333399"/>
        </w:rPr>
        <w:t>; and</w:t>
      </w:r>
    </w:p>
    <w:p w14:paraId="716C87F1" w14:textId="77777777" w:rsidR="00A422A6" w:rsidRPr="009060B7" w:rsidRDefault="00A422A6" w:rsidP="00A422A6">
      <w:pPr>
        <w:numPr>
          <w:ilvl w:val="0"/>
          <w:numId w:val="32"/>
        </w:numPr>
        <w:tabs>
          <w:tab w:val="left" w:pos="330"/>
        </w:tabs>
        <w:spacing w:after="0" w:line="240" w:lineRule="auto"/>
        <w:rPr>
          <w:color w:val="333399"/>
        </w:rPr>
      </w:pPr>
      <w:r w:rsidRPr="009060B7">
        <w:rPr>
          <w:color w:val="333399"/>
        </w:rPr>
        <w:t>Kappa statistic to adjust for chance agreement</w:t>
      </w:r>
      <w:r>
        <w:rPr>
          <w:color w:val="333399"/>
        </w:rPr>
        <w:t>.</w:t>
      </w:r>
    </w:p>
    <w:p w14:paraId="6BA80B14" w14:textId="77777777" w:rsidR="00A422A6" w:rsidRDefault="00A422A6" w:rsidP="00A422A6">
      <w:pPr>
        <w:autoSpaceDE w:val="0"/>
        <w:autoSpaceDN w:val="0"/>
        <w:adjustRightInd w:val="0"/>
        <w:spacing w:after="0" w:line="240" w:lineRule="auto"/>
        <w:rPr>
          <w:rFonts w:cstheme="minorHAnsi"/>
          <w:bCs/>
        </w:rPr>
      </w:pPr>
    </w:p>
    <w:p w14:paraId="28BDF913" w14:textId="277AD757" w:rsidR="00A422A6" w:rsidRPr="00FE14C5" w:rsidRDefault="00335F01" w:rsidP="00A422A6">
      <w:pPr>
        <w:autoSpaceDE w:val="0"/>
        <w:autoSpaceDN w:val="0"/>
        <w:adjustRightInd w:val="0"/>
        <w:spacing w:after="0" w:line="240" w:lineRule="auto"/>
        <w:rPr>
          <w:color w:val="C00000"/>
          <w:szCs w:val="20"/>
          <w:u w:val="single"/>
        </w:rPr>
      </w:pPr>
      <w:r w:rsidRPr="00B80617">
        <w:rPr>
          <w:color w:val="C00000"/>
          <w:szCs w:val="20"/>
          <w:u w:val="single"/>
        </w:rPr>
        <w:t>Current Testing</w:t>
      </w:r>
    </w:p>
    <w:p w14:paraId="1D2EAB98" w14:textId="10D90D7F" w:rsidR="009C248D" w:rsidRDefault="009C248D" w:rsidP="00D632F5">
      <w:pPr>
        <w:autoSpaceDE w:val="0"/>
        <w:autoSpaceDN w:val="0"/>
        <w:adjustRightInd w:val="0"/>
        <w:spacing w:after="0" w:line="240" w:lineRule="auto"/>
        <w:rPr>
          <w:color w:val="C00000"/>
          <w:szCs w:val="20"/>
        </w:rPr>
      </w:pPr>
    </w:p>
    <w:p w14:paraId="14FB4508" w14:textId="15D206EF" w:rsidR="00A009D3" w:rsidRPr="00A009D3" w:rsidRDefault="00E5330D" w:rsidP="00A009D3">
      <w:pPr>
        <w:autoSpaceDE w:val="0"/>
        <w:autoSpaceDN w:val="0"/>
        <w:adjustRightInd w:val="0"/>
        <w:spacing w:after="0" w:line="240" w:lineRule="auto"/>
        <w:rPr>
          <w:color w:val="C00000"/>
        </w:rPr>
      </w:pPr>
      <w:r w:rsidRPr="2CA75EEF">
        <w:rPr>
          <w:color w:val="C00000"/>
        </w:rPr>
        <w:t xml:space="preserve">A split-half reliability psychometric test was chosen to </w:t>
      </w:r>
      <w:r w:rsidR="00FE711D" w:rsidRPr="2CA75EEF">
        <w:rPr>
          <w:color w:val="C00000"/>
        </w:rPr>
        <w:t>calculate the internal consistency of this measure.</w:t>
      </w:r>
      <w:r w:rsidR="00580D31" w:rsidRPr="2CA75EEF">
        <w:rPr>
          <w:color w:val="C00000"/>
        </w:rPr>
        <w:t xml:space="preserve"> </w:t>
      </w:r>
      <w:r w:rsidR="00A009D3" w:rsidRPr="2CA75EEF">
        <w:rPr>
          <w:color w:val="C00000"/>
        </w:rPr>
        <w:t xml:space="preserve">A basic assumption of split-half reliability is that the two halves of </w:t>
      </w:r>
      <w:r w:rsidR="00A25E1E" w:rsidRPr="2CA75EEF">
        <w:rPr>
          <w:color w:val="C00000"/>
        </w:rPr>
        <w:t>a physician</w:t>
      </w:r>
      <w:r w:rsidR="001D7367" w:rsidRPr="2CA75EEF">
        <w:rPr>
          <w:color w:val="C00000"/>
        </w:rPr>
        <w:t>’</w:t>
      </w:r>
      <w:r w:rsidR="00A25E1E" w:rsidRPr="2CA75EEF">
        <w:rPr>
          <w:color w:val="C00000"/>
        </w:rPr>
        <w:t xml:space="preserve">s </w:t>
      </w:r>
      <w:r w:rsidR="001D7367" w:rsidRPr="2CA75EEF">
        <w:rPr>
          <w:color w:val="C00000"/>
        </w:rPr>
        <w:t xml:space="preserve">sample of patients </w:t>
      </w:r>
      <w:r w:rsidR="00A009D3" w:rsidRPr="2CA75EEF">
        <w:rPr>
          <w:color w:val="C00000"/>
        </w:rPr>
        <w:t xml:space="preserve">should yield similar </w:t>
      </w:r>
      <w:r w:rsidR="001D7367" w:rsidRPr="2CA75EEF">
        <w:rPr>
          <w:color w:val="C00000"/>
        </w:rPr>
        <w:t xml:space="preserve">measure </w:t>
      </w:r>
      <w:r w:rsidR="00A009D3" w:rsidRPr="2CA75EEF">
        <w:rPr>
          <w:color w:val="C00000"/>
        </w:rPr>
        <w:t>scores and error variances.</w:t>
      </w:r>
      <w:r w:rsidR="001D7367" w:rsidRPr="2CA75EEF">
        <w:rPr>
          <w:color w:val="C00000"/>
        </w:rPr>
        <w:t xml:space="preserve"> </w:t>
      </w:r>
      <w:r w:rsidR="00A009D3" w:rsidRPr="2CA75EEF">
        <w:rPr>
          <w:color w:val="C00000"/>
        </w:rPr>
        <w:t xml:space="preserve">This comes from another assumption that the </w:t>
      </w:r>
      <w:r w:rsidR="0052659E" w:rsidRPr="2CA75EEF">
        <w:rPr>
          <w:color w:val="C00000"/>
        </w:rPr>
        <w:t>measure is</w:t>
      </w:r>
      <w:r w:rsidR="00A009D3" w:rsidRPr="2CA75EEF">
        <w:rPr>
          <w:color w:val="C00000"/>
        </w:rPr>
        <w:t xml:space="preserve"> focused on the </w:t>
      </w:r>
      <w:r w:rsidR="3E838E15" w:rsidRPr="2CA75EEF">
        <w:rPr>
          <w:color w:val="C00000"/>
        </w:rPr>
        <w:t xml:space="preserve">same </w:t>
      </w:r>
      <w:r w:rsidR="00A009D3" w:rsidRPr="2CA75EEF">
        <w:rPr>
          <w:color w:val="C00000"/>
        </w:rPr>
        <w:t xml:space="preserve">construct. </w:t>
      </w:r>
    </w:p>
    <w:p w14:paraId="06940E77" w14:textId="77777777" w:rsidR="00A009D3" w:rsidRPr="00A009D3" w:rsidRDefault="00A009D3" w:rsidP="00A009D3">
      <w:pPr>
        <w:autoSpaceDE w:val="0"/>
        <w:autoSpaceDN w:val="0"/>
        <w:adjustRightInd w:val="0"/>
        <w:spacing w:after="0" w:line="240" w:lineRule="auto"/>
        <w:rPr>
          <w:color w:val="C00000"/>
          <w:szCs w:val="20"/>
        </w:rPr>
      </w:pPr>
    </w:p>
    <w:p w14:paraId="34CBFB2D" w14:textId="63C97096" w:rsidR="00A422A6" w:rsidRPr="00A25024" w:rsidRDefault="00CE5D0A" w:rsidP="008C54A9">
      <w:pPr>
        <w:autoSpaceDE w:val="0"/>
        <w:autoSpaceDN w:val="0"/>
        <w:adjustRightInd w:val="0"/>
        <w:spacing w:after="0" w:line="240" w:lineRule="auto"/>
        <w:rPr>
          <w:color w:val="C00000"/>
        </w:rPr>
      </w:pPr>
      <w:r w:rsidRPr="385CCBEB">
        <w:rPr>
          <w:color w:val="C00000"/>
        </w:rPr>
        <w:t>Using a random number generator,</w:t>
      </w:r>
      <w:r w:rsidR="009B0605" w:rsidRPr="385CCBEB">
        <w:rPr>
          <w:color w:val="C00000"/>
        </w:rPr>
        <w:t xml:space="preserve"> </w:t>
      </w:r>
      <w:r w:rsidR="00D62E88" w:rsidRPr="385CCBEB">
        <w:rPr>
          <w:color w:val="C00000"/>
        </w:rPr>
        <w:t xml:space="preserve">patients of each of the 46 physicians in the 2018 </w:t>
      </w:r>
      <w:proofErr w:type="spellStart"/>
      <w:r w:rsidR="00D62E88" w:rsidRPr="385CCBEB">
        <w:rPr>
          <w:color w:val="C00000"/>
        </w:rPr>
        <w:t>CancerLinQ</w:t>
      </w:r>
      <w:proofErr w:type="spellEnd"/>
      <w:r w:rsidR="00D62E88" w:rsidRPr="385CCBEB">
        <w:rPr>
          <w:color w:val="C00000"/>
        </w:rPr>
        <w:t xml:space="preserve"> </w:t>
      </w:r>
      <w:r w:rsidR="000B2C4E" w:rsidRPr="385CCBEB">
        <w:rPr>
          <w:color w:val="C00000"/>
        </w:rPr>
        <w:t xml:space="preserve">dataset were split into two groups. Then, </w:t>
      </w:r>
      <w:r w:rsidR="00FC075D" w:rsidRPr="385CCBEB">
        <w:rPr>
          <w:color w:val="C00000"/>
        </w:rPr>
        <w:t xml:space="preserve">a </w:t>
      </w:r>
      <w:r w:rsidR="00AE6F9D" w:rsidRPr="385CCBEB">
        <w:rPr>
          <w:color w:val="C00000"/>
        </w:rPr>
        <w:t>new measure</w:t>
      </w:r>
      <w:r w:rsidR="00FC075D" w:rsidRPr="385CCBEB">
        <w:rPr>
          <w:color w:val="C00000"/>
        </w:rPr>
        <w:t xml:space="preserve"> </w:t>
      </w:r>
      <w:r w:rsidR="00AE6F9D" w:rsidRPr="385CCBEB">
        <w:rPr>
          <w:color w:val="C00000"/>
        </w:rPr>
        <w:t xml:space="preserve">score was calculated </w:t>
      </w:r>
      <w:r w:rsidR="00EA12A5" w:rsidRPr="385CCBEB">
        <w:rPr>
          <w:color w:val="C00000"/>
        </w:rPr>
        <w:t xml:space="preserve">for </w:t>
      </w:r>
      <w:r w:rsidR="00994CFC" w:rsidRPr="385CCBEB">
        <w:rPr>
          <w:color w:val="C00000"/>
        </w:rPr>
        <w:t>both group</w:t>
      </w:r>
      <w:r w:rsidR="004673BA" w:rsidRPr="385CCBEB">
        <w:rPr>
          <w:color w:val="C00000"/>
        </w:rPr>
        <w:t xml:space="preserve"> 1 and group 2</w:t>
      </w:r>
      <w:r w:rsidR="00994CFC" w:rsidRPr="385CCBEB">
        <w:rPr>
          <w:color w:val="C00000"/>
        </w:rPr>
        <w:t xml:space="preserve"> </w:t>
      </w:r>
      <w:r w:rsidR="3F01F496" w:rsidRPr="385CCBEB">
        <w:rPr>
          <w:color w:val="C00000"/>
        </w:rPr>
        <w:t>of patients</w:t>
      </w:r>
      <w:r w:rsidR="00994CFC" w:rsidRPr="385CCBEB">
        <w:rPr>
          <w:color w:val="C00000"/>
        </w:rPr>
        <w:t xml:space="preserve"> for each </w:t>
      </w:r>
      <w:r w:rsidR="00410D00" w:rsidRPr="385CCBEB">
        <w:rPr>
          <w:color w:val="C00000"/>
        </w:rPr>
        <w:t xml:space="preserve">physician. </w:t>
      </w:r>
      <w:r w:rsidR="009B0605" w:rsidRPr="385CCBEB">
        <w:rPr>
          <w:color w:val="C00000"/>
        </w:rPr>
        <w:t>Once the</w:t>
      </w:r>
      <w:r w:rsidR="3CE7BDB4" w:rsidRPr="385CCBEB">
        <w:rPr>
          <w:color w:val="C00000"/>
        </w:rPr>
        <w:t>y</w:t>
      </w:r>
      <w:r w:rsidR="009B0605" w:rsidRPr="385CCBEB">
        <w:rPr>
          <w:color w:val="C00000"/>
        </w:rPr>
        <w:t xml:space="preserve"> were calculated, </w:t>
      </w:r>
      <w:r w:rsidR="009C6D86" w:rsidRPr="385CCBEB">
        <w:rPr>
          <w:color w:val="C00000"/>
        </w:rPr>
        <w:t>the measures score</w:t>
      </w:r>
      <w:r w:rsidR="000A6DFE" w:rsidRPr="385CCBEB">
        <w:rPr>
          <w:color w:val="C00000"/>
        </w:rPr>
        <w:t>s</w:t>
      </w:r>
      <w:r w:rsidR="009C6D86" w:rsidRPr="385CCBEB">
        <w:rPr>
          <w:color w:val="C00000"/>
        </w:rPr>
        <w:t xml:space="preserve"> of the two groups were correlated</w:t>
      </w:r>
      <w:r w:rsidR="000A6DFE" w:rsidRPr="385CCBEB">
        <w:rPr>
          <w:color w:val="C00000"/>
        </w:rPr>
        <w:t xml:space="preserve"> </w:t>
      </w:r>
      <w:r w:rsidR="00651039" w:rsidRPr="385CCBEB">
        <w:rPr>
          <w:color w:val="C00000"/>
        </w:rPr>
        <w:t xml:space="preserve">and </w:t>
      </w:r>
      <w:r w:rsidR="00A009D3" w:rsidRPr="385CCBEB">
        <w:rPr>
          <w:color w:val="C00000"/>
        </w:rPr>
        <w:t xml:space="preserve">Pearson's r </w:t>
      </w:r>
      <w:r w:rsidR="00152AD9" w:rsidRPr="385CCBEB">
        <w:rPr>
          <w:color w:val="C00000"/>
        </w:rPr>
        <w:t xml:space="preserve">was calculated. </w:t>
      </w:r>
      <w:r w:rsidR="00A009D3" w:rsidRPr="385CCBEB">
        <w:rPr>
          <w:color w:val="C00000"/>
        </w:rPr>
        <w:t xml:space="preserve">Then, </w:t>
      </w:r>
      <w:r w:rsidR="00514D5C" w:rsidRPr="385CCBEB">
        <w:rPr>
          <w:color w:val="C00000"/>
        </w:rPr>
        <w:t>the r c</w:t>
      </w:r>
      <w:r w:rsidR="00A009D3" w:rsidRPr="385CCBEB">
        <w:rPr>
          <w:color w:val="C00000"/>
        </w:rPr>
        <w:t xml:space="preserve">oefficient </w:t>
      </w:r>
      <w:r w:rsidR="00514D5C" w:rsidRPr="385CCBEB">
        <w:rPr>
          <w:color w:val="C00000"/>
        </w:rPr>
        <w:t>was</w:t>
      </w:r>
      <w:r w:rsidR="00A009D3" w:rsidRPr="385CCBEB">
        <w:rPr>
          <w:color w:val="C00000"/>
        </w:rPr>
        <w:t xml:space="preserve"> entered into the Spearman-Brown </w:t>
      </w:r>
      <w:r w:rsidR="00651039" w:rsidRPr="385CCBEB">
        <w:rPr>
          <w:color w:val="C00000"/>
        </w:rPr>
        <w:t xml:space="preserve">prophecy </w:t>
      </w:r>
      <w:r w:rsidR="00A009D3" w:rsidRPr="385CCBEB">
        <w:rPr>
          <w:color w:val="C00000"/>
        </w:rPr>
        <w:t xml:space="preserve">formula to yield the </w:t>
      </w:r>
      <w:r w:rsidR="26FB6BF4" w:rsidRPr="385CCBEB">
        <w:rPr>
          <w:color w:val="C00000"/>
        </w:rPr>
        <w:t>actua</w:t>
      </w:r>
      <w:r w:rsidR="147DD713" w:rsidRPr="385CCBEB">
        <w:rPr>
          <w:color w:val="C00000"/>
        </w:rPr>
        <w:t xml:space="preserve">l </w:t>
      </w:r>
      <w:r w:rsidR="00A009D3" w:rsidRPr="385CCBEB">
        <w:rPr>
          <w:color w:val="C00000"/>
        </w:rPr>
        <w:t xml:space="preserve">split-half reliability coefficient. </w:t>
      </w:r>
    </w:p>
    <w:p w14:paraId="043FFEE9" w14:textId="7FB04F2A" w:rsidR="2CA75EEF" w:rsidRDefault="2CA75EEF" w:rsidP="2CA75EEF">
      <w:pPr>
        <w:spacing w:after="0" w:line="240" w:lineRule="auto"/>
        <w:rPr>
          <w:color w:val="C00000"/>
        </w:rPr>
      </w:pPr>
    </w:p>
    <w:p w14:paraId="3F9051B4" w14:textId="77777777" w:rsidR="00144B3E" w:rsidRDefault="00092566" w:rsidP="008C54A9">
      <w:pPr>
        <w:autoSpaceDE w:val="0"/>
        <w:autoSpaceDN w:val="0"/>
        <w:adjustRightInd w:val="0"/>
        <w:spacing w:after="0" w:line="240" w:lineRule="auto"/>
        <w:rPr>
          <w:rFonts w:cs="Calibri"/>
          <w:bCs/>
          <w:color w:val="002060"/>
          <w:u w:val="single"/>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14:paraId="0CABCFD3" w14:textId="384EBC08" w:rsidR="007422FD" w:rsidRPr="00144B3E" w:rsidRDefault="00335F01" w:rsidP="008C54A9">
      <w:pPr>
        <w:autoSpaceDE w:val="0"/>
        <w:autoSpaceDN w:val="0"/>
        <w:adjustRightInd w:val="0"/>
        <w:spacing w:after="0" w:line="240" w:lineRule="auto"/>
        <w:rPr>
          <w:rFonts w:cs="Calibri"/>
          <w:bCs/>
          <w:color w:val="002060"/>
          <w:u w:val="single"/>
        </w:rPr>
      </w:pPr>
      <w:r w:rsidRPr="00335F01">
        <w:rPr>
          <w:rFonts w:cs="Calibri"/>
          <w:bCs/>
          <w:color w:val="002060"/>
          <w:u w:val="single"/>
        </w:rPr>
        <w:t>Previous 201</w:t>
      </w:r>
      <w:r>
        <w:rPr>
          <w:rFonts w:cs="Calibri"/>
          <w:bCs/>
          <w:color w:val="002060"/>
          <w:u w:val="single"/>
        </w:rPr>
        <w:t>1</w:t>
      </w:r>
      <w:r w:rsidRPr="00335F01">
        <w:rPr>
          <w:rFonts w:cs="Calibri"/>
          <w:bCs/>
          <w:color w:val="002060"/>
          <w:u w:val="single"/>
        </w:rPr>
        <w:t xml:space="preserve"> Testing</w:t>
      </w:r>
    </w:p>
    <w:p w14:paraId="75981716" w14:textId="77777777" w:rsidR="00A422A6" w:rsidRPr="00BE225D" w:rsidRDefault="00A422A6" w:rsidP="00A422A6">
      <w:pPr>
        <w:tabs>
          <w:tab w:val="left" w:pos="330"/>
        </w:tabs>
        <w:spacing w:after="0" w:line="240" w:lineRule="auto"/>
        <w:ind w:left="330"/>
        <w:rPr>
          <w:rFonts w:eastAsia="MS Mincho" w:cs="Times New Roman"/>
          <w:b/>
          <w:color w:val="333399"/>
          <w:u w:val="single"/>
          <w:lang w:eastAsia="ja-JP"/>
        </w:rPr>
      </w:pPr>
      <w:r w:rsidRPr="00BE225D">
        <w:rPr>
          <w:rFonts w:eastAsia="MS Mincho" w:cs="Times New Roman"/>
          <w:b/>
          <w:bCs/>
          <w:color w:val="333399"/>
          <w:u w:val="single"/>
          <w:lang w:eastAsia="ja-JP"/>
        </w:rPr>
        <w:t>N, % Agreement, Kappa (95% Confidence Interval)</w:t>
      </w:r>
    </w:p>
    <w:p w14:paraId="66BAA159" w14:textId="77777777" w:rsidR="00A422A6" w:rsidRPr="00BE225D" w:rsidRDefault="00A422A6" w:rsidP="00A422A6">
      <w:pPr>
        <w:tabs>
          <w:tab w:val="left" w:pos="330"/>
        </w:tabs>
        <w:spacing w:after="0" w:line="240" w:lineRule="auto"/>
        <w:ind w:left="330"/>
        <w:rPr>
          <w:rFonts w:eastAsia="MS Mincho" w:cs="Times New Roman"/>
          <w:color w:val="333399"/>
          <w:lang w:eastAsia="ja-JP"/>
        </w:rPr>
      </w:pPr>
      <w:r w:rsidRPr="00BE225D">
        <w:rPr>
          <w:rFonts w:eastAsia="MS Mincho" w:cs="Times New Roman"/>
          <w:color w:val="333399"/>
          <w:lang w:eastAsia="ja-JP"/>
        </w:rPr>
        <w:t xml:space="preserve">Overall Reliability: 862, </w:t>
      </w:r>
      <w:r w:rsidRPr="00BE225D">
        <w:rPr>
          <w:rFonts w:eastAsia="MS Mincho" w:cs="Times New Roman"/>
          <w:b/>
          <w:color w:val="333399"/>
          <w:lang w:eastAsia="ja-JP"/>
        </w:rPr>
        <w:t>99.9%,</w:t>
      </w:r>
      <w:r w:rsidRPr="00BE225D">
        <w:rPr>
          <w:rFonts w:eastAsia="MS Mincho" w:cs="Times New Roman"/>
          <w:color w:val="333399"/>
          <w:lang w:eastAsia="ja-JP"/>
        </w:rPr>
        <w:t xml:space="preserve"> 0.990 (0.970-1.000)</w:t>
      </w:r>
    </w:p>
    <w:p w14:paraId="20CCC500" w14:textId="77777777" w:rsidR="00A422A6" w:rsidRPr="00BE225D" w:rsidRDefault="00A422A6" w:rsidP="00A422A6">
      <w:pPr>
        <w:tabs>
          <w:tab w:val="left" w:pos="330"/>
        </w:tabs>
        <w:spacing w:after="0" w:line="240" w:lineRule="auto"/>
        <w:ind w:left="330"/>
        <w:rPr>
          <w:rFonts w:eastAsia="MS Mincho" w:cs="Times New Roman"/>
          <w:color w:val="333399"/>
          <w:lang w:eastAsia="ja-JP"/>
        </w:rPr>
      </w:pPr>
      <w:r w:rsidRPr="00BE225D">
        <w:rPr>
          <w:rFonts w:eastAsia="MS Mincho" w:cs="Times New Roman"/>
          <w:color w:val="333399"/>
          <w:lang w:eastAsia="ja-JP"/>
        </w:rPr>
        <w:t xml:space="preserve">Denominator Reliability: 862, </w:t>
      </w:r>
      <w:r w:rsidRPr="00BE225D">
        <w:rPr>
          <w:rFonts w:eastAsia="MS Mincho" w:cs="Times New Roman"/>
          <w:b/>
          <w:color w:val="333399"/>
          <w:lang w:eastAsia="ja-JP"/>
        </w:rPr>
        <w:t>100.0%,</w:t>
      </w:r>
      <w:r w:rsidRPr="00BE225D">
        <w:rPr>
          <w:rFonts w:eastAsia="MS Mincho" w:cs="Times New Roman"/>
          <w:color w:val="333399"/>
          <w:lang w:eastAsia="ja-JP"/>
        </w:rPr>
        <w:t xml:space="preserve"> Kappa is noncalculable*</w:t>
      </w:r>
    </w:p>
    <w:p w14:paraId="6AAE5987" w14:textId="77777777" w:rsidR="00A422A6" w:rsidRPr="00BE225D" w:rsidRDefault="00A422A6" w:rsidP="00A422A6">
      <w:pPr>
        <w:tabs>
          <w:tab w:val="left" w:pos="330"/>
        </w:tabs>
        <w:spacing w:after="0" w:line="240" w:lineRule="auto"/>
        <w:ind w:left="330"/>
        <w:rPr>
          <w:rFonts w:eastAsia="MS Mincho" w:cs="Times New Roman"/>
          <w:color w:val="333399"/>
          <w:lang w:eastAsia="ja-JP"/>
        </w:rPr>
      </w:pPr>
      <w:r w:rsidRPr="00BE225D">
        <w:rPr>
          <w:rFonts w:eastAsia="MS Mincho" w:cs="Times New Roman"/>
          <w:color w:val="333399"/>
          <w:lang w:eastAsia="ja-JP"/>
        </w:rPr>
        <w:t xml:space="preserve">Numerator Reliability: 862, </w:t>
      </w:r>
      <w:r w:rsidRPr="00BE225D">
        <w:rPr>
          <w:rFonts w:eastAsia="MS Mincho" w:cs="Times New Roman"/>
          <w:b/>
          <w:color w:val="333399"/>
          <w:lang w:eastAsia="ja-JP"/>
        </w:rPr>
        <w:t>99.9%,</w:t>
      </w:r>
      <w:r w:rsidRPr="00BE225D">
        <w:rPr>
          <w:rFonts w:eastAsia="MS Mincho" w:cs="Times New Roman"/>
          <w:color w:val="333399"/>
          <w:lang w:eastAsia="ja-JP"/>
        </w:rPr>
        <w:t xml:space="preserve"> 0.990 (0.970-1.000)</w:t>
      </w:r>
    </w:p>
    <w:p w14:paraId="3DAD89A7" w14:textId="77777777" w:rsidR="00A422A6" w:rsidRDefault="00A422A6" w:rsidP="00A422A6">
      <w:pPr>
        <w:autoSpaceDE w:val="0"/>
        <w:autoSpaceDN w:val="0"/>
        <w:adjustRightInd w:val="0"/>
        <w:spacing w:after="0" w:line="240" w:lineRule="auto"/>
        <w:rPr>
          <w:color w:val="0000FF"/>
          <w:szCs w:val="20"/>
        </w:rPr>
      </w:pPr>
    </w:p>
    <w:p w14:paraId="45869DF0" w14:textId="2B047D3D" w:rsidR="00A422A6" w:rsidRDefault="00A422A6" w:rsidP="00A422A6">
      <w:pPr>
        <w:tabs>
          <w:tab w:val="left" w:pos="330"/>
        </w:tabs>
        <w:ind w:left="330"/>
        <w:rPr>
          <w:color w:val="333399"/>
        </w:rPr>
      </w:pPr>
      <w:r>
        <w:rPr>
          <w:color w:val="333399"/>
        </w:rPr>
        <w:t>*</w:t>
      </w:r>
      <w:r w:rsidRPr="009060B7">
        <w:rPr>
          <w:color w:val="333399"/>
        </w:rPr>
        <w:t xml:space="preserve">Kappa Statistics cannot be calculated because of complete agreement. Confidence intervals cannot be calculated because to do so would involve dividing by zero which cannot be done. </w:t>
      </w:r>
    </w:p>
    <w:p w14:paraId="75D5B7E3" w14:textId="1E9B3538" w:rsidR="00335F01" w:rsidRPr="005B2EDE" w:rsidRDefault="00335F01" w:rsidP="00335F01">
      <w:pPr>
        <w:autoSpaceDE w:val="0"/>
        <w:autoSpaceDN w:val="0"/>
        <w:adjustRightInd w:val="0"/>
        <w:spacing w:after="0" w:line="240" w:lineRule="auto"/>
        <w:rPr>
          <w:color w:val="C00000"/>
          <w:szCs w:val="20"/>
          <w:u w:val="single"/>
        </w:rPr>
      </w:pPr>
      <w:r w:rsidRPr="2CA75EEF">
        <w:rPr>
          <w:color w:val="C00000"/>
          <w:u w:val="single"/>
        </w:rPr>
        <w:t>Current Testing</w:t>
      </w:r>
    </w:p>
    <w:p w14:paraId="498E4EAC" w14:textId="5CC69A38" w:rsidR="2CA75EEF" w:rsidRDefault="2CA75EEF" w:rsidP="2CA75EEF">
      <w:pPr>
        <w:spacing w:after="0" w:line="240" w:lineRule="auto"/>
        <w:rPr>
          <w:color w:val="C00000"/>
        </w:rPr>
      </w:pPr>
    </w:p>
    <w:p w14:paraId="6FFC0561" w14:textId="77777777" w:rsidR="00AE6081" w:rsidRDefault="3EDB5407" w:rsidP="385CCBEB">
      <w:pPr>
        <w:spacing w:after="0" w:line="240" w:lineRule="auto"/>
        <w:rPr>
          <w:color w:val="C00000"/>
        </w:rPr>
      </w:pPr>
      <w:r w:rsidRPr="385CCBEB">
        <w:rPr>
          <w:color w:val="C00000"/>
        </w:rPr>
        <w:t xml:space="preserve">Pearson’s r = </w:t>
      </w:r>
      <w:r w:rsidR="7AD83CB5" w:rsidRPr="385CCBEB">
        <w:rPr>
          <w:color w:val="C00000"/>
        </w:rPr>
        <w:t>0.715</w:t>
      </w:r>
      <w:r w:rsidR="16980DF5" w:rsidRPr="385CCBEB">
        <w:rPr>
          <w:color w:val="C00000"/>
        </w:rPr>
        <w:t>4</w:t>
      </w:r>
      <w:r w:rsidR="7AD83CB5" w:rsidRPr="385CCBEB">
        <w:rPr>
          <w:color w:val="C00000"/>
        </w:rPr>
        <w:t xml:space="preserve"> </w:t>
      </w:r>
    </w:p>
    <w:p w14:paraId="6B8F4E29" w14:textId="4EB424FE" w:rsidR="1A97E0D5" w:rsidRDefault="1A97E0D5" w:rsidP="385CCBEB">
      <w:pPr>
        <w:spacing w:after="0" w:line="240" w:lineRule="auto"/>
        <w:rPr>
          <w:color w:val="C00000"/>
        </w:rPr>
      </w:pPr>
      <w:r w:rsidRPr="385CCBEB">
        <w:rPr>
          <w:color w:val="C00000"/>
        </w:rPr>
        <w:t xml:space="preserve">Split-half reliability coefficient = </w:t>
      </w:r>
      <w:r w:rsidR="4CD9FC0D" w:rsidRPr="385CCBEB">
        <w:rPr>
          <w:color w:val="C00000"/>
        </w:rPr>
        <w:t>0.834</w:t>
      </w:r>
      <w:r w:rsidR="66E719F0" w:rsidRPr="385CCBEB">
        <w:rPr>
          <w:color w:val="C00000"/>
        </w:rPr>
        <w:t>1</w:t>
      </w:r>
    </w:p>
    <w:p w14:paraId="12E7DAC1" w14:textId="77777777" w:rsidR="00A422A6" w:rsidRPr="005B2EDE" w:rsidRDefault="00A422A6" w:rsidP="008C54A9">
      <w:pPr>
        <w:autoSpaceDE w:val="0"/>
        <w:autoSpaceDN w:val="0"/>
        <w:adjustRightInd w:val="0"/>
        <w:spacing w:after="0" w:line="240" w:lineRule="auto"/>
        <w:rPr>
          <w:rFonts w:cstheme="minorHAnsi"/>
          <w:bCs/>
        </w:rPr>
      </w:pPr>
    </w:p>
    <w:p w14:paraId="726FD09F" w14:textId="77777777" w:rsidR="00144B3E" w:rsidRDefault="00092566" w:rsidP="00DB3627">
      <w:pPr>
        <w:autoSpaceDE w:val="0"/>
        <w:autoSpaceDN w:val="0"/>
        <w:adjustRightInd w:val="0"/>
        <w:spacing w:after="0" w:line="240" w:lineRule="auto"/>
        <w:rPr>
          <w:rFonts w:cs="Calibri"/>
          <w:bCs/>
          <w:color w:val="002060"/>
          <w:u w:val="single"/>
        </w:rPr>
      </w:pPr>
      <w:r w:rsidRPr="005B2EDE">
        <w:rPr>
          <w:rFonts w:cstheme="minorHAnsi"/>
          <w:b/>
          <w:bCs/>
        </w:rPr>
        <w:t xml:space="preserve">2a2.4 </w:t>
      </w:r>
      <w:r w:rsidR="007422FD" w:rsidRPr="005B2EDE">
        <w:rPr>
          <w:rFonts w:cstheme="minorHAnsi"/>
          <w:b/>
          <w:bCs/>
        </w:rPr>
        <w:t xml:space="preserve">What </w:t>
      </w:r>
      <w:r w:rsidR="000B2DF7" w:rsidRPr="005B2EDE">
        <w:rPr>
          <w:rFonts w:cstheme="minorHAnsi"/>
          <w:b/>
          <w:bCs/>
        </w:rPr>
        <w:t>is your interpretation of the results in terms of</w:t>
      </w:r>
      <w:r w:rsidR="007422FD" w:rsidRPr="005B2EDE">
        <w:rPr>
          <w:rFonts w:cstheme="minorHAnsi"/>
          <w:b/>
          <w:bCs/>
        </w:rPr>
        <w:t xml:space="preserve"> demonstrating reliability</w:t>
      </w:r>
      <w:r w:rsidR="007422FD" w:rsidRPr="005B2EDE">
        <w:rPr>
          <w:rFonts w:cstheme="minorHAnsi"/>
          <w:bCs/>
        </w:rPr>
        <w:t xml:space="preserve">? </w:t>
      </w:r>
      <w:r w:rsidR="000B2DF7" w:rsidRPr="005B2EDE">
        <w:rPr>
          <w:rFonts w:cstheme="minorHAnsi"/>
          <w:bCs/>
        </w:rPr>
        <w:t>(i</w:t>
      </w:r>
      <w:r w:rsidR="000B2DF7" w:rsidRPr="005B2EDE">
        <w:rPr>
          <w:rFonts w:cstheme="minorHAnsi"/>
          <w:bCs/>
          <w:i/>
        </w:rPr>
        <w:t>.e., what do the results mean and what are the norms for the test conducted</w:t>
      </w:r>
      <w:r w:rsidR="007757CE" w:rsidRPr="005B2EDE">
        <w:rPr>
          <w:rFonts w:cstheme="minorHAnsi"/>
          <w:bCs/>
          <w:i/>
        </w:rPr>
        <w:t>?</w:t>
      </w:r>
      <w:r w:rsidR="000B2DF7" w:rsidRPr="005B2EDE">
        <w:rPr>
          <w:rFonts w:cstheme="minorHAnsi"/>
          <w:bCs/>
        </w:rPr>
        <w:t>)</w:t>
      </w:r>
      <w:r w:rsidR="007422FD" w:rsidRPr="005B2EDE">
        <w:rPr>
          <w:rFonts w:cstheme="minorHAnsi"/>
          <w:bCs/>
        </w:rPr>
        <w:br/>
      </w:r>
    </w:p>
    <w:p w14:paraId="0CABCFD4" w14:textId="093286F3" w:rsidR="007422FD" w:rsidRPr="00144B3E" w:rsidRDefault="00335F01" w:rsidP="00DB3627">
      <w:pPr>
        <w:autoSpaceDE w:val="0"/>
        <w:autoSpaceDN w:val="0"/>
        <w:adjustRightInd w:val="0"/>
        <w:spacing w:after="0" w:line="240" w:lineRule="auto"/>
        <w:rPr>
          <w:rFonts w:cs="Calibri"/>
          <w:bCs/>
          <w:color w:val="002060"/>
          <w:u w:val="single"/>
        </w:rPr>
      </w:pPr>
      <w:r w:rsidRPr="005B2EDE">
        <w:rPr>
          <w:rFonts w:cs="Calibri"/>
          <w:bCs/>
          <w:color w:val="002060"/>
          <w:u w:val="single"/>
        </w:rPr>
        <w:t>Previous 2011 Testing</w:t>
      </w:r>
    </w:p>
    <w:p w14:paraId="41592037" w14:textId="22FC8105" w:rsidR="00A422A6" w:rsidRPr="005B2EDE" w:rsidRDefault="00A422A6" w:rsidP="00416E6B">
      <w:pPr>
        <w:tabs>
          <w:tab w:val="left" w:pos="330"/>
        </w:tabs>
        <w:rPr>
          <w:color w:val="333399"/>
        </w:rPr>
      </w:pPr>
      <w:r w:rsidRPr="005B2EDE">
        <w:rPr>
          <w:color w:val="333399"/>
        </w:rPr>
        <w:t xml:space="preserve">This measure demonstrates almost perfect reliability, as shown in results from the above analysis. </w:t>
      </w:r>
    </w:p>
    <w:p w14:paraId="1CA07988" w14:textId="3CBBBC45" w:rsidR="00335F01" w:rsidRPr="005B2EDE" w:rsidRDefault="00335F01" w:rsidP="00335F01">
      <w:pPr>
        <w:autoSpaceDE w:val="0"/>
        <w:autoSpaceDN w:val="0"/>
        <w:adjustRightInd w:val="0"/>
        <w:spacing w:after="0" w:line="240" w:lineRule="auto"/>
        <w:rPr>
          <w:color w:val="C00000"/>
          <w:szCs w:val="20"/>
          <w:u w:val="single"/>
        </w:rPr>
      </w:pPr>
      <w:r w:rsidRPr="385CCBEB">
        <w:rPr>
          <w:color w:val="C00000"/>
          <w:u w:val="single"/>
        </w:rPr>
        <w:t>Current Testing</w:t>
      </w:r>
    </w:p>
    <w:p w14:paraId="125E31B0" w14:textId="77777777" w:rsidR="00A422A6" w:rsidRPr="00A25024" w:rsidRDefault="00A422A6" w:rsidP="00DB3627">
      <w:pPr>
        <w:autoSpaceDE w:val="0"/>
        <w:autoSpaceDN w:val="0"/>
        <w:adjustRightInd w:val="0"/>
        <w:spacing w:after="0" w:line="240" w:lineRule="auto"/>
      </w:pPr>
    </w:p>
    <w:p w14:paraId="49C89F47" w14:textId="4A25DA76" w:rsidR="236C49A5" w:rsidRDefault="236C49A5" w:rsidP="385CCBEB">
      <w:pPr>
        <w:spacing w:after="0" w:line="240" w:lineRule="auto"/>
        <w:rPr>
          <w:color w:val="C00000"/>
        </w:rPr>
      </w:pPr>
      <w:r w:rsidRPr="385CCBEB">
        <w:rPr>
          <w:color w:val="C00000"/>
        </w:rPr>
        <w:t xml:space="preserve">Overall, </w:t>
      </w:r>
      <w:r w:rsidR="00042477">
        <w:rPr>
          <w:color w:val="C00000"/>
        </w:rPr>
        <w:t>correlating two</w:t>
      </w:r>
      <w:r w:rsidR="00ED68F5">
        <w:rPr>
          <w:color w:val="C00000"/>
        </w:rPr>
        <w:t xml:space="preserve"> halves</w:t>
      </w:r>
      <w:r w:rsidR="00920E95">
        <w:rPr>
          <w:color w:val="C00000"/>
        </w:rPr>
        <w:t xml:space="preserve"> of </w:t>
      </w:r>
      <w:r w:rsidR="006C3222">
        <w:rPr>
          <w:color w:val="C00000"/>
        </w:rPr>
        <w:t xml:space="preserve">each group of patients </w:t>
      </w:r>
      <w:r w:rsidR="009A459C">
        <w:rPr>
          <w:color w:val="C00000"/>
        </w:rPr>
        <w:t xml:space="preserve">for each physician in </w:t>
      </w:r>
      <w:r w:rsidR="00042477">
        <w:rPr>
          <w:color w:val="C00000"/>
        </w:rPr>
        <w:t xml:space="preserve">the </w:t>
      </w:r>
      <w:proofErr w:type="spellStart"/>
      <w:r w:rsidR="009A459C">
        <w:rPr>
          <w:color w:val="C00000"/>
        </w:rPr>
        <w:t>Canc</w:t>
      </w:r>
      <w:r w:rsidR="00DC5256">
        <w:rPr>
          <w:color w:val="C00000"/>
        </w:rPr>
        <w:t>e</w:t>
      </w:r>
      <w:r w:rsidR="009A459C">
        <w:rPr>
          <w:color w:val="C00000"/>
        </w:rPr>
        <w:t>rLinQ</w:t>
      </w:r>
      <w:proofErr w:type="spellEnd"/>
      <w:r w:rsidR="009A459C">
        <w:rPr>
          <w:color w:val="C00000"/>
        </w:rPr>
        <w:t xml:space="preserve"> dataset </w:t>
      </w:r>
      <w:r w:rsidR="00582D86">
        <w:rPr>
          <w:color w:val="C00000"/>
        </w:rPr>
        <w:t>yielded</w:t>
      </w:r>
      <w:r w:rsidR="009A459C">
        <w:rPr>
          <w:color w:val="C00000"/>
        </w:rPr>
        <w:t xml:space="preserve"> a </w:t>
      </w:r>
      <w:r w:rsidR="00FB0A86">
        <w:rPr>
          <w:color w:val="C00000"/>
        </w:rPr>
        <w:t xml:space="preserve">strong </w:t>
      </w:r>
      <w:r w:rsidR="00AF5065">
        <w:rPr>
          <w:color w:val="C00000"/>
        </w:rPr>
        <w:t xml:space="preserve">positive relationship. </w:t>
      </w:r>
      <w:r w:rsidR="007810D1">
        <w:rPr>
          <w:color w:val="C00000"/>
        </w:rPr>
        <w:t>Consequently</w:t>
      </w:r>
      <w:r w:rsidR="00042477">
        <w:rPr>
          <w:color w:val="C00000"/>
        </w:rPr>
        <w:t>, we can</w:t>
      </w:r>
      <w:r w:rsidR="00ED68F5">
        <w:rPr>
          <w:color w:val="C00000"/>
        </w:rPr>
        <w:t xml:space="preserve"> conclude that</w:t>
      </w:r>
      <w:r w:rsidR="009E74E4">
        <w:rPr>
          <w:color w:val="C00000"/>
        </w:rPr>
        <w:t xml:space="preserve"> th</w:t>
      </w:r>
      <w:r w:rsidR="00F4335B">
        <w:rPr>
          <w:color w:val="C00000"/>
        </w:rPr>
        <w:t>is</w:t>
      </w:r>
      <w:r w:rsidR="009E74E4">
        <w:rPr>
          <w:color w:val="C00000"/>
        </w:rPr>
        <w:t xml:space="preserve"> measure is </w:t>
      </w:r>
      <w:r w:rsidR="00ED68F5">
        <w:rPr>
          <w:color w:val="C00000"/>
        </w:rPr>
        <w:t>highly</w:t>
      </w:r>
      <w:r w:rsidR="009E74E4">
        <w:rPr>
          <w:color w:val="C00000"/>
        </w:rPr>
        <w:t xml:space="preserve"> </w:t>
      </w:r>
      <w:r w:rsidR="00ED68F5">
        <w:rPr>
          <w:color w:val="C00000"/>
        </w:rPr>
        <w:t>reliable.</w:t>
      </w: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6CC58C78" w:rsidR="00696262" w:rsidRPr="00A25024" w:rsidRDefault="00D10E4F"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A422A6">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11D43EE8" w:rsidR="000574AB" w:rsidRPr="00A25024" w:rsidRDefault="00D10E4F"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542CF9">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0"/>
            <w14:checkedState w14:val="2612" w14:font="MS Gothic"/>
            <w14:uncheckedState w14:val="2610" w14:font="MS Gothic"/>
          </w14:checkbox>
        </w:sdtPr>
        <w:sdtEndPr/>
        <w:sdtContent>
          <w:r w:rsidR="00542CF9">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537B4805" w14:textId="77777777" w:rsidR="00EE1FE7" w:rsidRDefault="009C7513" w:rsidP="00DB3627">
      <w:pPr>
        <w:autoSpaceDE w:val="0"/>
        <w:autoSpaceDN w:val="0"/>
        <w:adjustRightInd w:val="0"/>
        <w:spacing w:after="0" w:line="240" w:lineRule="auto"/>
        <w:rPr>
          <w:rFonts w:cs="Calibri"/>
          <w:bCs/>
          <w:color w:val="002060"/>
          <w:u w:val="single"/>
        </w:rPr>
      </w:pPr>
      <w:r>
        <w:rPr>
          <w:rFonts w:cstheme="minorHAnsi"/>
          <w:b/>
          <w:bCs/>
        </w:rPr>
        <w:lastRenderedPageBreak/>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0CABCFDC" w14:textId="0E8D0812" w:rsidR="00833325" w:rsidRPr="00EE1FE7" w:rsidRDefault="00335F01" w:rsidP="00DB3627">
      <w:pPr>
        <w:autoSpaceDE w:val="0"/>
        <w:autoSpaceDN w:val="0"/>
        <w:adjustRightInd w:val="0"/>
        <w:spacing w:after="0" w:line="240" w:lineRule="auto"/>
        <w:rPr>
          <w:rFonts w:cs="Calibri"/>
          <w:bCs/>
          <w:color w:val="002060"/>
          <w:u w:val="single"/>
        </w:rPr>
      </w:pPr>
      <w:r w:rsidRPr="00335F01">
        <w:rPr>
          <w:rFonts w:cs="Calibri"/>
          <w:bCs/>
          <w:color w:val="002060"/>
          <w:u w:val="single"/>
        </w:rPr>
        <w:t>Previous 201</w:t>
      </w:r>
      <w:r>
        <w:rPr>
          <w:rFonts w:cs="Calibri"/>
          <w:bCs/>
          <w:color w:val="002060"/>
          <w:u w:val="single"/>
        </w:rPr>
        <w:t>1</w:t>
      </w:r>
      <w:r w:rsidRPr="00335F01">
        <w:rPr>
          <w:rFonts w:cs="Calibri"/>
          <w:bCs/>
          <w:color w:val="002060"/>
          <w:u w:val="single"/>
        </w:rPr>
        <w:t xml:space="preserve"> Testing</w:t>
      </w:r>
    </w:p>
    <w:p w14:paraId="57346E73" w14:textId="3B86CB79" w:rsidR="00A422A6" w:rsidRPr="00D66E81" w:rsidRDefault="00A422A6" w:rsidP="00EE1FE7">
      <w:pPr>
        <w:tabs>
          <w:tab w:val="left" w:pos="330"/>
        </w:tabs>
        <w:ind w:left="330"/>
        <w:rPr>
          <w:iCs/>
          <w:color w:val="000080"/>
        </w:rPr>
      </w:pPr>
      <w:r w:rsidRPr="00D66E81">
        <w:rPr>
          <w:iCs/>
          <w:color w:val="000080"/>
        </w:rPr>
        <w:t>All PCPI performance measures are assessed for content validity by a panel of expert work group members during the development process. Additional input on the content validity of draft measures is obtained through a 30-day public comment period and by also soliciting comments from a panel of consumer, purchaser, and patient representatives convened by the PCPI specifically for this purpose. All comments received are reviewed by the expert work group and the measures adjusted as needed. Other external review groups (</w:t>
      </w:r>
      <w:proofErr w:type="spellStart"/>
      <w:r w:rsidRPr="00D66E81">
        <w:rPr>
          <w:iCs/>
          <w:color w:val="000080"/>
        </w:rPr>
        <w:t>eg</w:t>
      </w:r>
      <w:proofErr w:type="spellEnd"/>
      <w:r w:rsidRPr="00D66E81">
        <w:rPr>
          <w:iCs/>
          <w:color w:val="000080"/>
        </w:rPr>
        <w:t xml:space="preserve">, focus groups) may be convened if there are any remaining concerns related to the content validity of the measures. </w:t>
      </w:r>
    </w:p>
    <w:p w14:paraId="117E082C" w14:textId="77777777" w:rsidR="00A422A6" w:rsidRPr="00D66E81" w:rsidRDefault="00A422A6" w:rsidP="00A422A6">
      <w:pPr>
        <w:tabs>
          <w:tab w:val="left" w:pos="330"/>
        </w:tabs>
        <w:ind w:left="330"/>
        <w:rPr>
          <w:iCs/>
          <w:color w:val="000080"/>
        </w:rPr>
      </w:pPr>
      <w:r w:rsidRPr="00D66E81">
        <w:rPr>
          <w:iCs/>
          <w:color w:val="000080"/>
        </w:rPr>
        <w:t>The expert panel was used to assess face validity of the measure. This panel consisted of 31 members, with representation from the following specialties: oncology, radiation oncology, surgical oncology, urology, gastroenterology, hematology, pathology, colon and rectal surgery, oto</w:t>
      </w:r>
      <w:r>
        <w:rPr>
          <w:iCs/>
          <w:color w:val="000080"/>
        </w:rPr>
        <w:t>laryngology, and pain medicine.</w:t>
      </w:r>
    </w:p>
    <w:p w14:paraId="109A4AF6" w14:textId="3D38AAC3" w:rsidR="00A422A6" w:rsidRPr="00D66E81" w:rsidRDefault="00A422A6" w:rsidP="00EE1FE7">
      <w:pPr>
        <w:tabs>
          <w:tab w:val="left" w:pos="330"/>
        </w:tabs>
        <w:ind w:left="330"/>
        <w:rPr>
          <w:iCs/>
          <w:color w:val="000080"/>
        </w:rPr>
      </w:pPr>
      <w:r w:rsidRPr="00D66E81">
        <w:rPr>
          <w:iCs/>
          <w:color w:val="000080"/>
        </w:rPr>
        <w:t xml:space="preserve">The </w:t>
      </w:r>
      <w:proofErr w:type="gramStart"/>
      <w:r w:rsidRPr="00D66E81">
        <w:rPr>
          <w:iCs/>
          <w:color w:val="000080"/>
        </w:rPr>
        <w:t>aforementioned panel</w:t>
      </w:r>
      <w:proofErr w:type="gramEnd"/>
      <w:r w:rsidRPr="00D66E81">
        <w:rPr>
          <w:iCs/>
          <w:color w:val="000080"/>
        </w:rPr>
        <w:t xml:space="preserve"> was asked to rate their agreement with the following statement: </w:t>
      </w:r>
    </w:p>
    <w:p w14:paraId="00C1A9B8" w14:textId="41FBD175" w:rsidR="00A422A6" w:rsidRPr="00D66E81" w:rsidRDefault="00A422A6" w:rsidP="00EE1FE7">
      <w:pPr>
        <w:tabs>
          <w:tab w:val="left" w:pos="330"/>
        </w:tabs>
        <w:ind w:left="720"/>
        <w:rPr>
          <w:iCs/>
          <w:color w:val="000080"/>
        </w:rPr>
      </w:pPr>
      <w:r w:rsidRPr="00D66E81">
        <w:rPr>
          <w:iCs/>
          <w:color w:val="000080"/>
        </w:rPr>
        <w:t xml:space="preserve">The scores obtained from the measure as specified will accurately differentiate quality across providers. </w:t>
      </w:r>
    </w:p>
    <w:p w14:paraId="535338E5" w14:textId="77777777" w:rsidR="00EE1FE7" w:rsidRDefault="00A422A6" w:rsidP="00EE1FE7">
      <w:pPr>
        <w:tabs>
          <w:tab w:val="left" w:pos="330"/>
        </w:tabs>
        <w:spacing w:line="240" w:lineRule="auto"/>
        <w:ind w:left="331"/>
        <w:contextualSpacing/>
        <w:rPr>
          <w:iCs/>
          <w:color w:val="000080"/>
        </w:rPr>
      </w:pPr>
      <w:r>
        <w:rPr>
          <w:iCs/>
          <w:color w:val="000080"/>
        </w:rPr>
        <w:t>The s</w:t>
      </w:r>
      <w:r w:rsidRPr="00D66E81">
        <w:rPr>
          <w:iCs/>
          <w:color w:val="000080"/>
        </w:rPr>
        <w:t xml:space="preserve">cale </w:t>
      </w:r>
      <w:r>
        <w:rPr>
          <w:iCs/>
          <w:color w:val="000080"/>
        </w:rPr>
        <w:t xml:space="preserve">was </w:t>
      </w:r>
      <w:r w:rsidRPr="00D66E81">
        <w:rPr>
          <w:iCs/>
          <w:color w:val="000080"/>
        </w:rPr>
        <w:t>1-5, where 1=Strongly Disagree; 3=Neither Disagree nor Agree; 5=Strongly Agree</w:t>
      </w:r>
      <w:r w:rsidRPr="00A25024">
        <w:rPr>
          <w:rFonts w:cstheme="minorHAnsi"/>
          <w:bCs/>
        </w:rPr>
        <w:br/>
      </w:r>
    </w:p>
    <w:p w14:paraId="4F0BDC68" w14:textId="714085A0" w:rsidR="00A422A6" w:rsidRDefault="00A422A6" w:rsidP="00EE1FE7">
      <w:pPr>
        <w:tabs>
          <w:tab w:val="left" w:pos="330"/>
        </w:tabs>
        <w:spacing w:line="240" w:lineRule="auto"/>
        <w:ind w:left="331"/>
        <w:contextualSpacing/>
        <w:rPr>
          <w:iCs/>
          <w:color w:val="000080"/>
        </w:rPr>
      </w:pPr>
      <w:r w:rsidRPr="00D66E81">
        <w:rPr>
          <w:iCs/>
          <w:color w:val="000080"/>
        </w:rPr>
        <w:t>The expert panel consists of 31 members, whose specialties include oncology, radiation oncology, surgical oncology, urology, gastroenterology, hematology, pathology, colon and rectal surgery, otolaryngology, and pain medicine.</w:t>
      </w:r>
    </w:p>
    <w:p w14:paraId="1513543E" w14:textId="77777777" w:rsidR="00A422A6" w:rsidRDefault="00A422A6" w:rsidP="00EE1FE7">
      <w:pPr>
        <w:spacing w:line="240" w:lineRule="auto"/>
        <w:ind w:left="330"/>
        <w:contextualSpacing/>
        <w:rPr>
          <w:iCs/>
          <w:color w:val="000080"/>
        </w:rPr>
      </w:pPr>
    </w:p>
    <w:p w14:paraId="21939136" w14:textId="77777777" w:rsidR="00A422A6" w:rsidRDefault="00A422A6" w:rsidP="00EE1FE7">
      <w:pPr>
        <w:spacing w:line="240" w:lineRule="auto"/>
        <w:ind w:left="330"/>
        <w:contextualSpacing/>
        <w:rPr>
          <w:iCs/>
          <w:color w:val="000080"/>
        </w:rPr>
      </w:pPr>
      <w:r>
        <w:rPr>
          <w:iCs/>
          <w:color w:val="000080"/>
        </w:rPr>
        <w:t>The panel members are as follows:</w:t>
      </w:r>
    </w:p>
    <w:p w14:paraId="3536916B" w14:textId="77777777" w:rsidR="00A422A6" w:rsidRPr="00EE1FE7" w:rsidRDefault="00A422A6" w:rsidP="00EE1FE7">
      <w:pPr>
        <w:pStyle w:val="ListParagraph"/>
        <w:numPr>
          <w:ilvl w:val="0"/>
          <w:numId w:val="41"/>
        </w:numPr>
        <w:tabs>
          <w:tab w:val="left" w:pos="770"/>
        </w:tabs>
        <w:spacing w:line="240" w:lineRule="auto"/>
        <w:rPr>
          <w:iCs/>
          <w:color w:val="000080"/>
        </w:rPr>
      </w:pPr>
      <w:r w:rsidRPr="00EE1FE7">
        <w:rPr>
          <w:iCs/>
          <w:color w:val="000080"/>
        </w:rPr>
        <w:t>Patricia Ganz, MD (Co-Chair) (Clinical Oncology) University of California – Los Angeles, Los Angeles, CA</w:t>
      </w:r>
    </w:p>
    <w:p w14:paraId="097596AF" w14:textId="77777777" w:rsidR="00A422A6" w:rsidRPr="00EE1FE7" w:rsidRDefault="00A422A6" w:rsidP="00EE1FE7">
      <w:pPr>
        <w:pStyle w:val="ListParagraph"/>
        <w:numPr>
          <w:ilvl w:val="0"/>
          <w:numId w:val="41"/>
        </w:numPr>
        <w:tabs>
          <w:tab w:val="left" w:pos="770"/>
        </w:tabs>
        <w:spacing w:line="240" w:lineRule="auto"/>
        <w:rPr>
          <w:iCs/>
          <w:color w:val="000080"/>
        </w:rPr>
      </w:pPr>
      <w:r w:rsidRPr="00EE1FE7">
        <w:rPr>
          <w:iCs/>
          <w:color w:val="000080"/>
        </w:rPr>
        <w:t xml:space="preserve">James Hayman, MD (Co-Chair) (Radiation Oncology) </w:t>
      </w:r>
      <w:hyperlink r:id="rId12" w:history="1">
        <w:r w:rsidRPr="00EE1FE7">
          <w:rPr>
            <w:rStyle w:val="Hyperlink"/>
            <w:bCs/>
            <w:iCs/>
            <w:color w:val="000080"/>
            <w:lang w:val="en"/>
          </w:rPr>
          <w:t>American Society for Therapeutic Radiology and Oncology</w:t>
        </w:r>
        <w:r w:rsidRPr="00EE1FE7">
          <w:rPr>
            <w:rStyle w:val="Hyperlink"/>
            <w:iCs/>
            <w:color w:val="000080"/>
            <w:lang w:val="en"/>
          </w:rPr>
          <w:t xml:space="preserve"> (</w:t>
        </w:r>
        <w:r w:rsidRPr="00EE1FE7">
          <w:rPr>
            <w:rStyle w:val="Hyperlink"/>
            <w:bCs/>
            <w:iCs/>
            <w:color w:val="000080"/>
            <w:lang w:val="en"/>
          </w:rPr>
          <w:t>ASTRO</w:t>
        </w:r>
      </w:hyperlink>
      <w:r w:rsidRPr="00EE1FE7">
        <w:rPr>
          <w:iCs/>
          <w:color w:val="000080"/>
        </w:rPr>
        <w:t>), Ann Arbor MI</w:t>
      </w:r>
    </w:p>
    <w:p w14:paraId="7F225EC2" w14:textId="77777777" w:rsidR="00A422A6" w:rsidRPr="00EE1FE7" w:rsidRDefault="00A422A6" w:rsidP="00EE1FE7">
      <w:pPr>
        <w:pStyle w:val="ListParagraph"/>
        <w:numPr>
          <w:ilvl w:val="0"/>
          <w:numId w:val="41"/>
        </w:numPr>
        <w:tabs>
          <w:tab w:val="left" w:pos="330"/>
        </w:tabs>
        <w:spacing w:line="240" w:lineRule="auto"/>
        <w:rPr>
          <w:iCs/>
          <w:color w:val="000080"/>
        </w:rPr>
      </w:pPr>
      <w:r w:rsidRPr="00EE1FE7">
        <w:rPr>
          <w:iCs/>
          <w:color w:val="000080"/>
        </w:rPr>
        <w:t xml:space="preserve">Joseph </w:t>
      </w:r>
      <w:proofErr w:type="spellStart"/>
      <w:r w:rsidRPr="00EE1FE7">
        <w:rPr>
          <w:iCs/>
          <w:color w:val="000080"/>
        </w:rPr>
        <w:t>Bailes</w:t>
      </w:r>
      <w:proofErr w:type="spellEnd"/>
      <w:r w:rsidRPr="00EE1FE7">
        <w:rPr>
          <w:iCs/>
          <w:color w:val="000080"/>
        </w:rPr>
        <w:t>, MD (Clinical Oncology) A Society for Clinical Oncology, The Woodlands, TX</w:t>
      </w:r>
    </w:p>
    <w:p w14:paraId="649A389A" w14:textId="77777777" w:rsidR="00A422A6" w:rsidRPr="00EE1FE7" w:rsidRDefault="00A422A6" w:rsidP="00EE1FE7">
      <w:pPr>
        <w:pStyle w:val="ListParagraph"/>
        <w:numPr>
          <w:ilvl w:val="0"/>
          <w:numId w:val="41"/>
        </w:numPr>
        <w:tabs>
          <w:tab w:val="left" w:pos="770"/>
        </w:tabs>
        <w:spacing w:line="240" w:lineRule="auto"/>
        <w:rPr>
          <w:iCs/>
          <w:color w:val="000080"/>
        </w:rPr>
      </w:pPr>
      <w:r w:rsidRPr="00EE1FE7">
        <w:rPr>
          <w:iCs/>
          <w:color w:val="000080"/>
        </w:rPr>
        <w:t>Nancy Baxter, MD, PhD (Colorectal Surgery) American Society of Colon and Rectal Surgery Toronto, Ontario Canada</w:t>
      </w:r>
    </w:p>
    <w:p w14:paraId="0B7A5D2A" w14:textId="77777777" w:rsidR="00A422A6" w:rsidRPr="00EE1FE7" w:rsidRDefault="00A422A6" w:rsidP="00EE1FE7">
      <w:pPr>
        <w:pStyle w:val="ListParagraph"/>
        <w:numPr>
          <w:ilvl w:val="0"/>
          <w:numId w:val="41"/>
        </w:numPr>
        <w:tabs>
          <w:tab w:val="left" w:pos="330"/>
        </w:tabs>
        <w:spacing w:line="240" w:lineRule="auto"/>
        <w:rPr>
          <w:iCs/>
          <w:color w:val="000080"/>
        </w:rPr>
      </w:pPr>
      <w:r w:rsidRPr="00EE1FE7">
        <w:rPr>
          <w:iCs/>
          <w:color w:val="000080"/>
        </w:rPr>
        <w:t>Joel V. Brill, MD (Gastroenterology) AGA, Phoenix, AZ</w:t>
      </w:r>
    </w:p>
    <w:p w14:paraId="7054D957" w14:textId="77777777" w:rsidR="00A422A6" w:rsidRPr="00EE1FE7" w:rsidRDefault="00A422A6" w:rsidP="00EE1FE7">
      <w:pPr>
        <w:pStyle w:val="ListParagraph"/>
        <w:numPr>
          <w:ilvl w:val="0"/>
          <w:numId w:val="41"/>
        </w:numPr>
        <w:tabs>
          <w:tab w:val="left" w:pos="330"/>
        </w:tabs>
        <w:spacing w:line="240" w:lineRule="auto"/>
        <w:rPr>
          <w:iCs/>
          <w:color w:val="000080"/>
        </w:rPr>
      </w:pPr>
      <w:r w:rsidRPr="00EE1FE7">
        <w:rPr>
          <w:iCs/>
          <w:color w:val="000080"/>
        </w:rPr>
        <w:t xml:space="preserve">Steven B. </w:t>
      </w:r>
      <w:proofErr w:type="spellStart"/>
      <w:r w:rsidRPr="00EE1FE7">
        <w:rPr>
          <w:iCs/>
          <w:color w:val="000080"/>
        </w:rPr>
        <w:t>Clauser</w:t>
      </w:r>
      <w:proofErr w:type="spellEnd"/>
      <w:r w:rsidRPr="00EE1FE7">
        <w:rPr>
          <w:iCs/>
          <w:color w:val="000080"/>
        </w:rPr>
        <w:t>, PhD (Outcomes Research) National Cancer Institute, Bethesda, MD</w:t>
      </w:r>
    </w:p>
    <w:p w14:paraId="0222CA95" w14:textId="77777777" w:rsidR="00A422A6" w:rsidRPr="00EE1FE7" w:rsidRDefault="00A422A6" w:rsidP="00EE1FE7">
      <w:pPr>
        <w:pStyle w:val="ListParagraph"/>
        <w:numPr>
          <w:ilvl w:val="0"/>
          <w:numId w:val="41"/>
        </w:numPr>
        <w:tabs>
          <w:tab w:val="left" w:pos="330"/>
        </w:tabs>
        <w:spacing w:line="240" w:lineRule="auto"/>
        <w:rPr>
          <w:iCs/>
          <w:color w:val="000080"/>
        </w:rPr>
      </w:pPr>
      <w:r w:rsidRPr="00EE1FE7">
        <w:rPr>
          <w:iCs/>
          <w:color w:val="000080"/>
        </w:rPr>
        <w:t xml:space="preserve">Charles </w:t>
      </w:r>
      <w:proofErr w:type="spellStart"/>
      <w:r w:rsidRPr="00EE1FE7">
        <w:rPr>
          <w:iCs/>
          <w:color w:val="000080"/>
        </w:rPr>
        <w:t>Cleeland</w:t>
      </w:r>
      <w:proofErr w:type="spellEnd"/>
      <w:r w:rsidRPr="00EE1FE7">
        <w:rPr>
          <w:iCs/>
          <w:color w:val="000080"/>
        </w:rPr>
        <w:t>, PhD (Oncology) McCullough Professor of Cancer Research, Houston, TX</w:t>
      </w:r>
    </w:p>
    <w:p w14:paraId="0BC25FDE" w14:textId="77777777" w:rsidR="00A422A6" w:rsidRPr="00EE1FE7" w:rsidRDefault="00A422A6" w:rsidP="00EE1FE7">
      <w:pPr>
        <w:pStyle w:val="ListParagraph"/>
        <w:numPr>
          <w:ilvl w:val="0"/>
          <w:numId w:val="41"/>
        </w:numPr>
        <w:tabs>
          <w:tab w:val="left" w:pos="330"/>
        </w:tabs>
        <w:spacing w:line="240" w:lineRule="auto"/>
        <w:rPr>
          <w:iCs/>
          <w:color w:val="000080"/>
        </w:rPr>
      </w:pPr>
      <w:r w:rsidRPr="00EE1FE7">
        <w:rPr>
          <w:iCs/>
          <w:color w:val="000080"/>
        </w:rPr>
        <w:t>J. Thomas Cross, Jr. MD, MPH (Oncology) Colorado Spring, CO</w:t>
      </w:r>
    </w:p>
    <w:p w14:paraId="3AE481CC" w14:textId="77777777" w:rsidR="00A422A6" w:rsidRPr="00EE1FE7" w:rsidRDefault="00A422A6" w:rsidP="00EE1FE7">
      <w:pPr>
        <w:pStyle w:val="ListParagraph"/>
        <w:numPr>
          <w:ilvl w:val="0"/>
          <w:numId w:val="41"/>
        </w:numPr>
        <w:tabs>
          <w:tab w:val="left" w:pos="770"/>
        </w:tabs>
        <w:spacing w:line="240" w:lineRule="auto"/>
        <w:rPr>
          <w:iCs/>
          <w:color w:val="000080"/>
        </w:rPr>
      </w:pPr>
      <w:r w:rsidRPr="00EE1FE7">
        <w:rPr>
          <w:iCs/>
          <w:color w:val="000080"/>
        </w:rPr>
        <w:t xml:space="preserve">Chaitanya R. </w:t>
      </w:r>
      <w:proofErr w:type="spellStart"/>
      <w:r w:rsidRPr="00EE1FE7">
        <w:rPr>
          <w:iCs/>
          <w:color w:val="000080"/>
        </w:rPr>
        <w:t>Divgi</w:t>
      </w:r>
      <w:proofErr w:type="spellEnd"/>
      <w:r w:rsidRPr="00EE1FE7">
        <w:rPr>
          <w:iCs/>
          <w:color w:val="000080"/>
        </w:rPr>
        <w:t>, MD (Nuclear Medicine) Professor of Radiology &amp; Chief University of Pennsylvania, Philadelphia, PA</w:t>
      </w:r>
    </w:p>
    <w:p w14:paraId="6B5437C7" w14:textId="77777777" w:rsidR="00A422A6" w:rsidRPr="00EE1FE7" w:rsidRDefault="00A422A6" w:rsidP="00EE1FE7">
      <w:pPr>
        <w:pStyle w:val="ListParagraph"/>
        <w:numPr>
          <w:ilvl w:val="0"/>
          <w:numId w:val="41"/>
        </w:numPr>
        <w:tabs>
          <w:tab w:val="left" w:pos="330"/>
        </w:tabs>
        <w:spacing w:line="240" w:lineRule="auto"/>
        <w:rPr>
          <w:iCs/>
          <w:color w:val="000080"/>
        </w:rPr>
      </w:pPr>
      <w:r w:rsidRPr="00EE1FE7">
        <w:rPr>
          <w:iCs/>
          <w:color w:val="000080"/>
        </w:rPr>
        <w:t>Stephen B. Edge, MD (Surgical Oncology) Roswell Park Cancer Institute, Buffalo, NY</w:t>
      </w:r>
    </w:p>
    <w:p w14:paraId="18ECC58E" w14:textId="77777777" w:rsidR="00A422A6" w:rsidRPr="00EE1FE7" w:rsidRDefault="00A422A6" w:rsidP="00EE1FE7">
      <w:pPr>
        <w:pStyle w:val="ListParagraph"/>
        <w:numPr>
          <w:ilvl w:val="0"/>
          <w:numId w:val="41"/>
        </w:numPr>
        <w:tabs>
          <w:tab w:val="left" w:pos="330"/>
        </w:tabs>
        <w:spacing w:line="240" w:lineRule="auto"/>
        <w:rPr>
          <w:iCs/>
          <w:color w:val="000080"/>
        </w:rPr>
      </w:pPr>
      <w:r w:rsidRPr="00EE1FE7">
        <w:rPr>
          <w:iCs/>
          <w:color w:val="000080"/>
        </w:rPr>
        <w:t>Patrick L. Fitzgibbons, MD (Oncology) St Jude Medical Center, Fullerton, CA</w:t>
      </w:r>
    </w:p>
    <w:p w14:paraId="4E63A097" w14:textId="77777777" w:rsidR="00A422A6" w:rsidRPr="00EE1FE7" w:rsidRDefault="00A422A6" w:rsidP="00EE1FE7">
      <w:pPr>
        <w:pStyle w:val="ListParagraph"/>
        <w:numPr>
          <w:ilvl w:val="0"/>
          <w:numId w:val="41"/>
        </w:numPr>
        <w:tabs>
          <w:tab w:val="left" w:pos="330"/>
        </w:tabs>
        <w:spacing w:line="240" w:lineRule="auto"/>
        <w:rPr>
          <w:iCs/>
          <w:color w:val="000080"/>
        </w:rPr>
      </w:pPr>
      <w:r w:rsidRPr="00EE1FE7">
        <w:rPr>
          <w:iCs/>
          <w:color w:val="000080"/>
        </w:rPr>
        <w:lastRenderedPageBreak/>
        <w:t xml:space="preserve">Myron Goldsmith, MD (Oncology) Huntington Beach, CA </w:t>
      </w:r>
    </w:p>
    <w:p w14:paraId="5F14B00C" w14:textId="77777777" w:rsidR="00A422A6" w:rsidRPr="00EE1FE7" w:rsidRDefault="00A422A6" w:rsidP="00EE1FE7">
      <w:pPr>
        <w:pStyle w:val="ListParagraph"/>
        <w:numPr>
          <w:ilvl w:val="0"/>
          <w:numId w:val="41"/>
        </w:numPr>
        <w:tabs>
          <w:tab w:val="left" w:pos="330"/>
        </w:tabs>
        <w:spacing w:line="240" w:lineRule="auto"/>
        <w:rPr>
          <w:iCs/>
          <w:color w:val="000080"/>
        </w:rPr>
      </w:pPr>
      <w:r w:rsidRPr="00EE1FE7">
        <w:rPr>
          <w:iCs/>
          <w:color w:val="000080"/>
        </w:rPr>
        <w:t xml:space="preserve">Joel W. </w:t>
      </w:r>
      <w:proofErr w:type="spellStart"/>
      <w:r w:rsidRPr="00EE1FE7">
        <w:rPr>
          <w:iCs/>
          <w:color w:val="000080"/>
        </w:rPr>
        <w:t>Goldwein</w:t>
      </w:r>
      <w:proofErr w:type="spellEnd"/>
      <w:r w:rsidRPr="00EE1FE7">
        <w:rPr>
          <w:iCs/>
          <w:color w:val="000080"/>
        </w:rPr>
        <w:t>, MD (Oncology) IMPAC Medical Systems, Inc., Merion Station, PA</w:t>
      </w:r>
    </w:p>
    <w:p w14:paraId="37B2AB7B" w14:textId="77777777" w:rsidR="00A422A6" w:rsidRPr="00EE1FE7" w:rsidRDefault="00A422A6" w:rsidP="00EE1FE7">
      <w:pPr>
        <w:pStyle w:val="ListParagraph"/>
        <w:numPr>
          <w:ilvl w:val="0"/>
          <w:numId w:val="41"/>
        </w:numPr>
        <w:tabs>
          <w:tab w:val="left" w:pos="330"/>
        </w:tabs>
        <w:spacing w:line="240" w:lineRule="auto"/>
        <w:rPr>
          <w:iCs/>
          <w:color w:val="000080"/>
        </w:rPr>
      </w:pPr>
      <w:r w:rsidRPr="00EE1FE7">
        <w:rPr>
          <w:iCs/>
          <w:color w:val="000080"/>
        </w:rPr>
        <w:t>Alecia Hathaway, MD, MPH (Oncology) Fort Worth, TX</w:t>
      </w:r>
    </w:p>
    <w:p w14:paraId="5C694F78" w14:textId="77777777" w:rsidR="00A422A6" w:rsidRPr="00EE1FE7" w:rsidRDefault="00A422A6" w:rsidP="00EE1FE7">
      <w:pPr>
        <w:pStyle w:val="ListParagraph"/>
        <w:numPr>
          <w:ilvl w:val="0"/>
          <w:numId w:val="41"/>
        </w:numPr>
        <w:tabs>
          <w:tab w:val="left" w:pos="330"/>
        </w:tabs>
        <w:spacing w:line="240" w:lineRule="auto"/>
        <w:rPr>
          <w:iCs/>
          <w:color w:val="000080"/>
        </w:rPr>
      </w:pPr>
      <w:r w:rsidRPr="00EE1FE7">
        <w:rPr>
          <w:iCs/>
          <w:color w:val="000080"/>
        </w:rPr>
        <w:t>Kevin P. Hubbard, DO (Oncology) Kansas City, MO</w:t>
      </w:r>
    </w:p>
    <w:p w14:paraId="4F1A9ADD" w14:textId="77777777" w:rsidR="00A422A6" w:rsidRPr="00EE1FE7" w:rsidRDefault="00A422A6" w:rsidP="00EE1FE7">
      <w:pPr>
        <w:pStyle w:val="ListParagraph"/>
        <w:numPr>
          <w:ilvl w:val="0"/>
          <w:numId w:val="41"/>
        </w:numPr>
        <w:tabs>
          <w:tab w:val="left" w:pos="330"/>
        </w:tabs>
        <w:spacing w:line="240" w:lineRule="auto"/>
        <w:rPr>
          <w:iCs/>
          <w:color w:val="000080"/>
        </w:rPr>
      </w:pPr>
      <w:r w:rsidRPr="00EE1FE7">
        <w:rPr>
          <w:iCs/>
          <w:color w:val="000080"/>
        </w:rPr>
        <w:t xml:space="preserve">Nora </w:t>
      </w:r>
      <w:proofErr w:type="spellStart"/>
      <w:r w:rsidRPr="00EE1FE7">
        <w:rPr>
          <w:iCs/>
          <w:color w:val="000080"/>
        </w:rPr>
        <w:t>Janjan</w:t>
      </w:r>
      <w:proofErr w:type="spellEnd"/>
      <w:r w:rsidRPr="00EE1FE7">
        <w:rPr>
          <w:iCs/>
          <w:color w:val="000080"/>
        </w:rPr>
        <w:t>, MD, MPSA (Radiation Oncology) University of Texas, Houston, TX</w:t>
      </w:r>
    </w:p>
    <w:p w14:paraId="4AB3FC2E" w14:textId="77777777" w:rsidR="00A422A6" w:rsidRPr="00EE1FE7" w:rsidRDefault="00A422A6" w:rsidP="00EE1FE7">
      <w:pPr>
        <w:pStyle w:val="ListParagraph"/>
        <w:numPr>
          <w:ilvl w:val="0"/>
          <w:numId w:val="41"/>
        </w:numPr>
        <w:tabs>
          <w:tab w:val="left" w:pos="330"/>
        </w:tabs>
        <w:spacing w:line="240" w:lineRule="auto"/>
        <w:rPr>
          <w:iCs/>
          <w:color w:val="000080"/>
        </w:rPr>
      </w:pPr>
      <w:r w:rsidRPr="00EE1FE7">
        <w:rPr>
          <w:iCs/>
          <w:color w:val="000080"/>
        </w:rPr>
        <w:t xml:space="preserve">Maria Kelly, MB, </w:t>
      </w:r>
      <w:proofErr w:type="spellStart"/>
      <w:r w:rsidRPr="00EE1FE7">
        <w:rPr>
          <w:iCs/>
          <w:color w:val="000080"/>
        </w:rPr>
        <w:t>BCh</w:t>
      </w:r>
      <w:proofErr w:type="spellEnd"/>
      <w:r w:rsidRPr="00EE1FE7">
        <w:rPr>
          <w:iCs/>
          <w:color w:val="000080"/>
        </w:rPr>
        <w:t xml:space="preserve"> (Radiation Oncology) ASTRO, Earlysville, VA</w:t>
      </w:r>
    </w:p>
    <w:p w14:paraId="75DE6020" w14:textId="77777777" w:rsidR="00A422A6" w:rsidRPr="00EE1FE7" w:rsidRDefault="00A422A6" w:rsidP="00EE1FE7">
      <w:pPr>
        <w:pStyle w:val="ListParagraph"/>
        <w:numPr>
          <w:ilvl w:val="0"/>
          <w:numId w:val="41"/>
        </w:numPr>
        <w:tabs>
          <w:tab w:val="left" w:pos="330"/>
        </w:tabs>
        <w:spacing w:line="240" w:lineRule="auto"/>
        <w:rPr>
          <w:iCs/>
          <w:color w:val="000080"/>
          <w:lang w:val="de-DE"/>
        </w:rPr>
      </w:pPr>
      <w:r w:rsidRPr="00EE1FE7">
        <w:rPr>
          <w:iCs/>
          <w:color w:val="000080"/>
          <w:lang w:val="de-DE"/>
        </w:rPr>
        <w:t>Wayne Koch, MD (Head and Neck surgery) American Academy of Otolaryngology, Columbia, MD</w:t>
      </w:r>
    </w:p>
    <w:p w14:paraId="6F1AAFA5" w14:textId="77777777" w:rsidR="00A422A6" w:rsidRPr="00EE1FE7" w:rsidRDefault="00A422A6" w:rsidP="00EE1FE7">
      <w:pPr>
        <w:pStyle w:val="ListParagraph"/>
        <w:numPr>
          <w:ilvl w:val="0"/>
          <w:numId w:val="41"/>
        </w:numPr>
        <w:tabs>
          <w:tab w:val="left" w:pos="330"/>
        </w:tabs>
        <w:spacing w:line="240" w:lineRule="auto"/>
        <w:rPr>
          <w:iCs/>
          <w:color w:val="000080"/>
          <w:lang w:val="de-DE"/>
        </w:rPr>
      </w:pPr>
      <w:r w:rsidRPr="00EE1FE7">
        <w:rPr>
          <w:iCs/>
          <w:color w:val="000080"/>
          <w:lang w:val="de-DE"/>
        </w:rPr>
        <w:t>Andre Konski, MD (Radiation Oncology) Fox Chase Cancer Center, Philadelphia, PA</w:t>
      </w:r>
    </w:p>
    <w:p w14:paraId="6DD14F3D" w14:textId="77777777" w:rsidR="00A422A6" w:rsidRPr="00EE1FE7" w:rsidRDefault="00A422A6" w:rsidP="00EE1FE7">
      <w:pPr>
        <w:pStyle w:val="ListParagraph"/>
        <w:numPr>
          <w:ilvl w:val="0"/>
          <w:numId w:val="41"/>
        </w:numPr>
        <w:tabs>
          <w:tab w:val="left" w:pos="770"/>
        </w:tabs>
        <w:spacing w:line="240" w:lineRule="auto"/>
        <w:rPr>
          <w:iCs/>
          <w:color w:val="000080"/>
          <w:lang w:val="de-DE"/>
        </w:rPr>
      </w:pPr>
      <w:r w:rsidRPr="00EE1FE7">
        <w:rPr>
          <w:iCs/>
          <w:color w:val="000080"/>
          <w:lang w:val="de-DE"/>
        </w:rPr>
        <w:t>Len Lichtenfeld, MD (Oncology) Deputy Chief Medical Officer, American Cancer Society, Atlanta, GA</w:t>
      </w:r>
    </w:p>
    <w:p w14:paraId="11D9D292" w14:textId="77777777" w:rsidR="00A422A6" w:rsidRPr="00EE1FE7" w:rsidRDefault="00A422A6" w:rsidP="00EE1FE7">
      <w:pPr>
        <w:pStyle w:val="ListParagraph"/>
        <w:numPr>
          <w:ilvl w:val="0"/>
          <w:numId w:val="41"/>
        </w:numPr>
        <w:tabs>
          <w:tab w:val="left" w:pos="330"/>
          <w:tab w:val="left" w:pos="2936"/>
        </w:tabs>
        <w:spacing w:line="240" w:lineRule="auto"/>
        <w:rPr>
          <w:iCs/>
          <w:color w:val="000080"/>
          <w:lang w:val="de-DE"/>
        </w:rPr>
      </w:pPr>
      <w:r w:rsidRPr="00EE1FE7">
        <w:rPr>
          <w:iCs/>
          <w:color w:val="000080"/>
          <w:lang w:val="de-DE"/>
        </w:rPr>
        <w:t>Norman J. Marcus, MD (Anesthesiology and Psychiatry) New York University, New York, NY</w:t>
      </w:r>
    </w:p>
    <w:p w14:paraId="6C6FE4CE" w14:textId="77777777" w:rsidR="00A422A6" w:rsidRPr="00EE1FE7" w:rsidRDefault="00A422A6" w:rsidP="00EE1FE7">
      <w:pPr>
        <w:pStyle w:val="ListParagraph"/>
        <w:numPr>
          <w:ilvl w:val="0"/>
          <w:numId w:val="41"/>
        </w:numPr>
        <w:tabs>
          <w:tab w:val="left" w:pos="330"/>
        </w:tabs>
        <w:spacing w:line="240" w:lineRule="auto"/>
        <w:rPr>
          <w:iCs/>
          <w:color w:val="000080"/>
          <w:lang w:val="de-DE"/>
        </w:rPr>
      </w:pPr>
      <w:r w:rsidRPr="00EE1FE7">
        <w:rPr>
          <w:iCs/>
          <w:color w:val="000080"/>
          <w:lang w:val="de-DE"/>
        </w:rPr>
        <w:t>Catherine Miyamoto, RN, BSN (Oncology) Cancer Center of North Dakota, Grand Forks, ND</w:t>
      </w:r>
    </w:p>
    <w:p w14:paraId="1BA9B4C4" w14:textId="77777777" w:rsidR="00A422A6" w:rsidRPr="00EE1FE7" w:rsidRDefault="00A422A6" w:rsidP="00EE1FE7">
      <w:pPr>
        <w:pStyle w:val="ListParagraph"/>
        <w:numPr>
          <w:ilvl w:val="0"/>
          <w:numId w:val="41"/>
        </w:numPr>
        <w:tabs>
          <w:tab w:val="left" w:pos="330"/>
        </w:tabs>
        <w:spacing w:line="240" w:lineRule="auto"/>
        <w:rPr>
          <w:iCs/>
          <w:color w:val="000080"/>
          <w:lang w:val="de-DE"/>
        </w:rPr>
      </w:pPr>
      <w:r w:rsidRPr="00EE1FE7">
        <w:rPr>
          <w:iCs/>
          <w:color w:val="000080"/>
          <w:lang w:val="de-DE"/>
        </w:rPr>
        <w:t>Michael Neuss, MD (Oncology, Hematology) Oncology Hematology Care, Inc., Cincinnati, OH</w:t>
      </w:r>
    </w:p>
    <w:p w14:paraId="5888757B" w14:textId="77777777" w:rsidR="00A422A6" w:rsidRPr="00EE1FE7" w:rsidRDefault="00A422A6" w:rsidP="00EE1FE7">
      <w:pPr>
        <w:pStyle w:val="ListParagraph"/>
        <w:numPr>
          <w:ilvl w:val="0"/>
          <w:numId w:val="41"/>
        </w:numPr>
        <w:tabs>
          <w:tab w:val="left" w:pos="880"/>
        </w:tabs>
        <w:spacing w:line="240" w:lineRule="auto"/>
        <w:rPr>
          <w:iCs/>
          <w:color w:val="000080"/>
        </w:rPr>
      </w:pPr>
      <w:r w:rsidRPr="00EE1FE7">
        <w:rPr>
          <w:iCs/>
          <w:color w:val="000080"/>
        </w:rPr>
        <w:t>David F. Penson, MD, MPH (Urology) Associate Professor of Urology and Preventive Medicine, Vanderbilt University Medical Center, Nashville, TN</w:t>
      </w:r>
    </w:p>
    <w:p w14:paraId="060FC4F5" w14:textId="77777777" w:rsidR="00A422A6" w:rsidRPr="00EE1FE7" w:rsidRDefault="00A422A6" w:rsidP="00EE1FE7">
      <w:pPr>
        <w:pStyle w:val="ListParagraph"/>
        <w:numPr>
          <w:ilvl w:val="0"/>
          <w:numId w:val="41"/>
        </w:numPr>
        <w:tabs>
          <w:tab w:val="left" w:pos="770"/>
        </w:tabs>
        <w:spacing w:line="240" w:lineRule="auto"/>
        <w:rPr>
          <w:iCs/>
          <w:color w:val="000080"/>
        </w:rPr>
      </w:pPr>
      <w:r w:rsidRPr="00EE1FE7">
        <w:rPr>
          <w:iCs/>
          <w:color w:val="000080"/>
        </w:rPr>
        <w:t>Louis Potters, MD (Radiation Oncology) Chairman of Radiation Medicine, North Shore-NIJ, New Hyde Park, NY</w:t>
      </w:r>
    </w:p>
    <w:p w14:paraId="2603933E" w14:textId="77777777" w:rsidR="00A422A6" w:rsidRPr="00EE1FE7" w:rsidRDefault="00A422A6" w:rsidP="00EE1FE7">
      <w:pPr>
        <w:pStyle w:val="ListParagraph"/>
        <w:numPr>
          <w:ilvl w:val="0"/>
          <w:numId w:val="41"/>
        </w:numPr>
        <w:tabs>
          <w:tab w:val="left" w:pos="330"/>
        </w:tabs>
        <w:spacing w:line="240" w:lineRule="auto"/>
        <w:rPr>
          <w:iCs/>
          <w:color w:val="000080"/>
        </w:rPr>
      </w:pPr>
      <w:r w:rsidRPr="00EE1FE7">
        <w:rPr>
          <w:iCs/>
          <w:color w:val="000080"/>
        </w:rPr>
        <w:t>John M. Rainey, MD (Medical Oncology) ASCO, Lafayette, LA</w:t>
      </w:r>
    </w:p>
    <w:p w14:paraId="723479C0" w14:textId="77777777" w:rsidR="00A422A6" w:rsidRPr="00EE1FE7" w:rsidRDefault="00A422A6" w:rsidP="00EE1FE7">
      <w:pPr>
        <w:pStyle w:val="ListParagraph"/>
        <w:numPr>
          <w:ilvl w:val="0"/>
          <w:numId w:val="41"/>
        </w:numPr>
        <w:spacing w:line="240" w:lineRule="auto"/>
        <w:rPr>
          <w:iCs/>
          <w:color w:val="000080"/>
        </w:rPr>
      </w:pPr>
      <w:r w:rsidRPr="00EE1FE7">
        <w:rPr>
          <w:iCs/>
          <w:color w:val="000080"/>
        </w:rPr>
        <w:t>Christopher M. Rose, MD (Radiation Therapy) Radiation Therapy Center – Beverly Hills, El Segundo, CA</w:t>
      </w:r>
    </w:p>
    <w:p w14:paraId="622FBED9" w14:textId="77777777" w:rsidR="00A422A6" w:rsidRPr="00EE1FE7" w:rsidRDefault="00A422A6" w:rsidP="00EE1FE7">
      <w:pPr>
        <w:pStyle w:val="ListParagraph"/>
        <w:numPr>
          <w:ilvl w:val="0"/>
          <w:numId w:val="41"/>
        </w:numPr>
        <w:tabs>
          <w:tab w:val="left" w:pos="330"/>
        </w:tabs>
        <w:spacing w:line="240" w:lineRule="auto"/>
        <w:rPr>
          <w:iCs/>
          <w:color w:val="000080"/>
        </w:rPr>
      </w:pPr>
      <w:r w:rsidRPr="00EE1FE7">
        <w:rPr>
          <w:iCs/>
          <w:color w:val="000080"/>
        </w:rPr>
        <w:t>Lee Smith, MD (Oncology) Washington Hospital Center, Washington, DC</w:t>
      </w:r>
    </w:p>
    <w:p w14:paraId="5CB96DA9" w14:textId="77777777" w:rsidR="00A422A6" w:rsidRPr="00EE1FE7" w:rsidRDefault="00A422A6" w:rsidP="00EE1FE7">
      <w:pPr>
        <w:pStyle w:val="ListParagraph"/>
        <w:numPr>
          <w:ilvl w:val="0"/>
          <w:numId w:val="41"/>
        </w:numPr>
        <w:tabs>
          <w:tab w:val="left" w:pos="330"/>
        </w:tabs>
        <w:spacing w:line="240" w:lineRule="auto"/>
        <w:rPr>
          <w:iCs/>
          <w:color w:val="000080"/>
        </w:rPr>
      </w:pPr>
      <w:r w:rsidRPr="00EE1FE7">
        <w:rPr>
          <w:iCs/>
          <w:color w:val="000080"/>
        </w:rPr>
        <w:t>Lawrence A. Solberg, MD, PhD (Oncology) Mayo Clinic, Jacksonville, FL</w:t>
      </w:r>
    </w:p>
    <w:p w14:paraId="50B0DCA3" w14:textId="77777777" w:rsidR="00A422A6" w:rsidRPr="00EE1FE7" w:rsidRDefault="00A422A6" w:rsidP="00EE1FE7">
      <w:pPr>
        <w:pStyle w:val="ListParagraph"/>
        <w:numPr>
          <w:ilvl w:val="0"/>
          <w:numId w:val="41"/>
        </w:numPr>
        <w:tabs>
          <w:tab w:val="left" w:pos="330"/>
        </w:tabs>
        <w:spacing w:line="240" w:lineRule="auto"/>
        <w:rPr>
          <w:iCs/>
          <w:color w:val="000080"/>
          <w:lang w:val="de-DE"/>
        </w:rPr>
      </w:pPr>
      <w:r w:rsidRPr="00EE1FE7">
        <w:rPr>
          <w:iCs/>
          <w:color w:val="000080"/>
          <w:lang w:val="de-DE"/>
        </w:rPr>
        <w:t>Paul E. Wallner, MD (Radiation Oncology) Willingboro, NJ</w:t>
      </w:r>
    </w:p>
    <w:p w14:paraId="4DAFEFF8" w14:textId="5363078F" w:rsidR="00A422A6" w:rsidRPr="00EE1FE7" w:rsidRDefault="00A422A6" w:rsidP="00EE1FE7">
      <w:pPr>
        <w:pStyle w:val="ListParagraph"/>
        <w:numPr>
          <w:ilvl w:val="0"/>
          <w:numId w:val="41"/>
        </w:numPr>
        <w:tabs>
          <w:tab w:val="left" w:pos="330"/>
        </w:tabs>
        <w:spacing w:line="240" w:lineRule="auto"/>
        <w:rPr>
          <w:iCs/>
          <w:color w:val="000080"/>
          <w:lang w:val="de-DE"/>
        </w:rPr>
      </w:pPr>
      <w:r w:rsidRPr="00EE1FE7">
        <w:rPr>
          <w:iCs/>
          <w:color w:val="000080"/>
          <w:lang w:val="de-DE"/>
        </w:rPr>
        <w:t>J. Frank Wilson, MD (Radiation Oncology) Medical College of Wisconsin, Milwaukee, WI</w:t>
      </w:r>
    </w:p>
    <w:p w14:paraId="595C3E2D" w14:textId="77777777" w:rsidR="00E8369E" w:rsidRDefault="00E8369E" w:rsidP="00335F01">
      <w:pPr>
        <w:autoSpaceDE w:val="0"/>
        <w:autoSpaceDN w:val="0"/>
        <w:adjustRightInd w:val="0"/>
        <w:spacing w:after="0" w:line="240" w:lineRule="auto"/>
        <w:rPr>
          <w:color w:val="C00000"/>
          <w:szCs w:val="20"/>
          <w:u w:val="single"/>
        </w:rPr>
      </w:pPr>
    </w:p>
    <w:p w14:paraId="1925D8C9" w14:textId="116351BF" w:rsidR="00335F01" w:rsidRPr="00EE1FE7" w:rsidRDefault="00335F01" w:rsidP="00EE1FE7">
      <w:pPr>
        <w:autoSpaceDE w:val="0"/>
        <w:autoSpaceDN w:val="0"/>
        <w:adjustRightInd w:val="0"/>
        <w:spacing w:after="0" w:line="240" w:lineRule="auto"/>
        <w:rPr>
          <w:color w:val="C00000"/>
          <w:szCs w:val="20"/>
          <w:u w:val="single"/>
        </w:rPr>
      </w:pPr>
      <w:r w:rsidRPr="00B80617">
        <w:rPr>
          <w:color w:val="C00000"/>
          <w:szCs w:val="20"/>
          <w:u w:val="single"/>
        </w:rPr>
        <w:t>Current Testing</w:t>
      </w:r>
    </w:p>
    <w:p w14:paraId="0DB27F4E" w14:textId="77777777" w:rsidR="009948D4" w:rsidRDefault="009948D4" w:rsidP="009948D4">
      <w:pPr>
        <w:spacing w:line="240" w:lineRule="auto"/>
        <w:contextualSpacing/>
        <w:rPr>
          <w:rFonts w:ascii="Calibri" w:eastAsiaTheme="minorHAnsi" w:hAnsi="Calibri" w:cs="Calibri"/>
          <w:color w:val="C00000"/>
          <w:u w:val="single"/>
        </w:rPr>
      </w:pPr>
    </w:p>
    <w:p w14:paraId="6E48CF5B" w14:textId="60CC8C64" w:rsidR="001006AA" w:rsidRPr="000D658B" w:rsidRDefault="00AF593A" w:rsidP="009948D4">
      <w:pPr>
        <w:spacing w:line="240" w:lineRule="auto"/>
        <w:rPr>
          <w:rFonts w:ascii="Calibri" w:eastAsiaTheme="minorHAnsi" w:hAnsi="Calibri" w:cs="Calibri"/>
          <w:color w:val="C00000"/>
        </w:rPr>
      </w:pPr>
      <w:bookmarkStart w:id="16" w:name="_Hlk534376498"/>
      <w:r>
        <w:rPr>
          <w:color w:val="C00000"/>
          <w:szCs w:val="20"/>
        </w:rPr>
        <w:t xml:space="preserve">Two </w:t>
      </w:r>
      <w:r w:rsidR="00FA2112">
        <w:rPr>
          <w:color w:val="C00000"/>
          <w:szCs w:val="20"/>
        </w:rPr>
        <w:t>CMS data</w:t>
      </w:r>
      <w:r w:rsidR="00C01E4C">
        <w:rPr>
          <w:color w:val="C00000"/>
          <w:szCs w:val="20"/>
        </w:rPr>
        <w:t>set</w:t>
      </w:r>
      <w:r>
        <w:rPr>
          <w:color w:val="C00000"/>
          <w:szCs w:val="20"/>
        </w:rPr>
        <w:t xml:space="preserve">s were </w:t>
      </w:r>
      <w:r w:rsidR="00C01E4C">
        <w:rPr>
          <w:color w:val="C00000"/>
          <w:szCs w:val="20"/>
        </w:rPr>
        <w:t>used to perform e</w:t>
      </w:r>
      <w:r w:rsidR="001006AA">
        <w:rPr>
          <w:color w:val="C00000"/>
          <w:szCs w:val="20"/>
        </w:rPr>
        <w:t xml:space="preserve">mpirical validity correlation testing </w:t>
      </w:r>
      <w:bookmarkEnd w:id="16"/>
      <w:r>
        <w:rPr>
          <w:color w:val="C00000"/>
          <w:szCs w:val="20"/>
        </w:rPr>
        <w:t xml:space="preserve">of this measure </w:t>
      </w:r>
      <w:r w:rsidR="0059095C">
        <w:rPr>
          <w:color w:val="C00000"/>
          <w:szCs w:val="20"/>
        </w:rPr>
        <w:t xml:space="preserve">with </w:t>
      </w:r>
      <w:r w:rsidR="001006AA" w:rsidRPr="002E78E8">
        <w:rPr>
          <w:color w:val="C00000"/>
          <w:szCs w:val="20"/>
        </w:rPr>
        <w:t>Breast Cancer: Hormonal Therapy for</w:t>
      </w:r>
      <w:r w:rsidR="001006AA">
        <w:rPr>
          <w:color w:val="C00000"/>
          <w:szCs w:val="20"/>
        </w:rPr>
        <w:t xml:space="preserve"> </w:t>
      </w:r>
      <w:r w:rsidR="001006AA" w:rsidRPr="002E78E8">
        <w:rPr>
          <w:color w:val="C00000"/>
          <w:szCs w:val="20"/>
        </w:rPr>
        <w:t>Stage IC - IIIC Estrogen Receptor/Progesterone Receptor (ER/PR) Positive Breast Cancer</w:t>
      </w:r>
      <w:r w:rsidR="001006AA">
        <w:rPr>
          <w:color w:val="C00000"/>
        </w:rPr>
        <w:t xml:space="preserve"> </w:t>
      </w:r>
      <w:r w:rsidR="001006AA" w:rsidRPr="003674BB">
        <w:rPr>
          <w:color w:val="C00000"/>
          <w:szCs w:val="20"/>
        </w:rPr>
        <w:t>(PQRS #</w:t>
      </w:r>
      <w:r w:rsidR="001006AA">
        <w:rPr>
          <w:color w:val="C00000"/>
          <w:szCs w:val="20"/>
        </w:rPr>
        <w:t>071</w:t>
      </w:r>
      <w:r w:rsidR="001006AA" w:rsidRPr="00CA7EAB">
        <w:rPr>
          <w:bCs/>
          <w:iCs/>
          <w:color w:val="C00000"/>
        </w:rPr>
        <w:t>)</w:t>
      </w:r>
      <w:r w:rsidR="00BC0323">
        <w:rPr>
          <w:bCs/>
          <w:iCs/>
          <w:color w:val="C00000"/>
        </w:rPr>
        <w:t xml:space="preserve"> measure.</w:t>
      </w:r>
    </w:p>
    <w:p w14:paraId="1C861D8B" w14:textId="3B213FE0" w:rsidR="00A07DF7" w:rsidRDefault="002E78E8" w:rsidP="00266621">
      <w:pPr>
        <w:autoSpaceDE w:val="0"/>
        <w:autoSpaceDN w:val="0"/>
        <w:spacing w:line="240" w:lineRule="auto"/>
        <w:contextualSpacing/>
        <w:rPr>
          <w:color w:val="C00000"/>
          <w:szCs w:val="20"/>
        </w:rPr>
      </w:pPr>
      <w:r w:rsidRPr="002E78E8">
        <w:rPr>
          <w:color w:val="C00000"/>
          <w:szCs w:val="20"/>
        </w:rPr>
        <w:t xml:space="preserve">Breast Cancer: Hormonal Therapy for Stage IC - IIIC Estrogen Receptor/Progesterone Receptor (ER/PR) Positive Breast Cancer </w:t>
      </w:r>
      <w:r w:rsidR="005A03F3" w:rsidRPr="003674BB">
        <w:rPr>
          <w:color w:val="C00000"/>
          <w:szCs w:val="20"/>
        </w:rPr>
        <w:t>(PQRS #</w:t>
      </w:r>
      <w:r w:rsidR="00ED08CE">
        <w:rPr>
          <w:color w:val="C00000"/>
          <w:szCs w:val="20"/>
        </w:rPr>
        <w:t>071</w:t>
      </w:r>
      <w:r w:rsidR="005A03F3" w:rsidRPr="003674BB">
        <w:rPr>
          <w:color w:val="C00000"/>
          <w:szCs w:val="20"/>
        </w:rPr>
        <w:t xml:space="preserve">) was chosen as a suitable candidate for correlation analysis </w:t>
      </w:r>
      <w:r>
        <w:rPr>
          <w:color w:val="C00000"/>
          <w:szCs w:val="20"/>
        </w:rPr>
        <w:t xml:space="preserve">due to </w:t>
      </w:r>
      <w:r w:rsidR="0059095C">
        <w:rPr>
          <w:color w:val="C00000"/>
          <w:szCs w:val="20"/>
        </w:rPr>
        <w:t xml:space="preserve">both measures’ </w:t>
      </w:r>
      <w:r>
        <w:rPr>
          <w:color w:val="C00000"/>
          <w:szCs w:val="20"/>
        </w:rPr>
        <w:t>goal of</w:t>
      </w:r>
      <w:r w:rsidR="00D949CB">
        <w:rPr>
          <w:color w:val="C00000"/>
          <w:szCs w:val="20"/>
        </w:rPr>
        <w:t xml:space="preserve"> measuring </w:t>
      </w:r>
      <w:r w:rsidR="00C54D61">
        <w:rPr>
          <w:color w:val="C00000"/>
          <w:szCs w:val="20"/>
        </w:rPr>
        <w:t>quality of care</w:t>
      </w:r>
      <w:r>
        <w:rPr>
          <w:color w:val="C00000"/>
          <w:szCs w:val="20"/>
        </w:rPr>
        <w:t xml:space="preserve"> for those diagnosed with cancer</w:t>
      </w:r>
      <w:r w:rsidR="005A03F3" w:rsidRPr="006A723F">
        <w:rPr>
          <w:color w:val="C00000"/>
          <w:szCs w:val="20"/>
        </w:rPr>
        <w:t xml:space="preserve">. </w:t>
      </w:r>
      <w:r w:rsidR="005A03F3" w:rsidRPr="009D5661">
        <w:rPr>
          <w:color w:val="C00000"/>
          <w:szCs w:val="20"/>
        </w:rPr>
        <w:t>We hypothesize</w:t>
      </w:r>
      <w:r w:rsidR="00266621">
        <w:rPr>
          <w:color w:val="C00000"/>
          <w:szCs w:val="20"/>
        </w:rPr>
        <w:t>d</w:t>
      </w:r>
      <w:r w:rsidR="005A03F3" w:rsidRPr="009D5661">
        <w:rPr>
          <w:color w:val="C00000"/>
          <w:szCs w:val="20"/>
        </w:rPr>
        <w:t xml:space="preserve"> that there exists a positive association</w:t>
      </w:r>
      <w:r>
        <w:rPr>
          <w:color w:val="C00000"/>
          <w:szCs w:val="20"/>
        </w:rPr>
        <w:t xml:space="preserve"> in performance score</w:t>
      </w:r>
      <w:r w:rsidR="005A03F3" w:rsidRPr="009D5661">
        <w:rPr>
          <w:color w:val="C00000"/>
          <w:szCs w:val="20"/>
        </w:rPr>
        <w:t xml:space="preserve"> between</w:t>
      </w:r>
      <w:r>
        <w:rPr>
          <w:color w:val="C00000"/>
          <w:szCs w:val="20"/>
        </w:rPr>
        <w:t xml:space="preserve"> providers that quantify pain intensity for</w:t>
      </w:r>
      <w:r w:rsidR="005A03F3" w:rsidRPr="009D5661">
        <w:rPr>
          <w:color w:val="C00000"/>
          <w:szCs w:val="20"/>
        </w:rPr>
        <w:t xml:space="preserve"> patients with a diagnosis of cancer receiving chemotherapy or radiation therapy </w:t>
      </w:r>
      <w:r w:rsidR="00D632F5">
        <w:rPr>
          <w:color w:val="C00000"/>
          <w:szCs w:val="20"/>
        </w:rPr>
        <w:t>(</w:t>
      </w:r>
      <w:r>
        <w:rPr>
          <w:color w:val="C00000"/>
          <w:szCs w:val="20"/>
        </w:rPr>
        <w:t>PQRS #143</w:t>
      </w:r>
      <w:r w:rsidR="00D632F5">
        <w:rPr>
          <w:color w:val="C00000"/>
          <w:szCs w:val="20"/>
        </w:rPr>
        <w:t xml:space="preserve">) </w:t>
      </w:r>
      <w:r w:rsidR="005A03F3" w:rsidRPr="009D5661">
        <w:rPr>
          <w:color w:val="C00000"/>
          <w:szCs w:val="20"/>
        </w:rPr>
        <w:t>and</w:t>
      </w:r>
      <w:r>
        <w:rPr>
          <w:color w:val="C00000"/>
          <w:szCs w:val="20"/>
        </w:rPr>
        <w:t xml:space="preserve"> those that prescribe tamoxifen or aromatase inhibitor (AI) to</w:t>
      </w:r>
      <w:r w:rsidR="005A03F3" w:rsidRPr="009D5661">
        <w:rPr>
          <w:color w:val="C00000"/>
          <w:szCs w:val="20"/>
        </w:rPr>
        <w:t xml:space="preserve"> </w:t>
      </w:r>
      <w:r>
        <w:rPr>
          <w:color w:val="C00000"/>
          <w:szCs w:val="20"/>
        </w:rPr>
        <w:t>female patients</w:t>
      </w:r>
      <w:r w:rsidR="005A03F3" w:rsidRPr="009D5661">
        <w:rPr>
          <w:color w:val="C00000"/>
          <w:szCs w:val="20"/>
        </w:rPr>
        <w:t xml:space="preserve"> with </w:t>
      </w:r>
      <w:r>
        <w:rPr>
          <w:color w:val="C00000"/>
          <w:szCs w:val="20"/>
        </w:rPr>
        <w:t xml:space="preserve">stage I (T1b) through IIIC, ER or PR positive breast cancer </w:t>
      </w:r>
      <w:r w:rsidR="00D632F5">
        <w:rPr>
          <w:color w:val="C00000"/>
          <w:szCs w:val="20"/>
        </w:rPr>
        <w:t>(PQRS #</w:t>
      </w:r>
      <w:r>
        <w:rPr>
          <w:color w:val="C00000"/>
          <w:szCs w:val="20"/>
        </w:rPr>
        <w:t>071</w:t>
      </w:r>
      <w:r w:rsidR="00D632F5">
        <w:rPr>
          <w:color w:val="C00000"/>
          <w:szCs w:val="20"/>
        </w:rPr>
        <w:t>)</w:t>
      </w:r>
      <w:r w:rsidR="005A03F3" w:rsidRPr="009D5661">
        <w:rPr>
          <w:color w:val="C00000"/>
          <w:szCs w:val="20"/>
        </w:rPr>
        <w:t>.</w:t>
      </w:r>
      <w:r w:rsidR="00D8554D">
        <w:rPr>
          <w:color w:val="C00000"/>
          <w:szCs w:val="20"/>
        </w:rPr>
        <w:t xml:space="preserve"> </w:t>
      </w:r>
    </w:p>
    <w:p w14:paraId="12117D72" w14:textId="44063B2E" w:rsidR="00AF593A" w:rsidRDefault="00AF593A" w:rsidP="00266621">
      <w:pPr>
        <w:autoSpaceDE w:val="0"/>
        <w:autoSpaceDN w:val="0"/>
        <w:spacing w:line="240" w:lineRule="auto"/>
        <w:contextualSpacing/>
        <w:rPr>
          <w:color w:val="C00000"/>
          <w:szCs w:val="20"/>
        </w:rPr>
      </w:pPr>
    </w:p>
    <w:p w14:paraId="3E193977" w14:textId="35800DB5" w:rsidR="00AF593A" w:rsidRDefault="00B008EF" w:rsidP="00266621">
      <w:pPr>
        <w:autoSpaceDE w:val="0"/>
        <w:autoSpaceDN w:val="0"/>
        <w:spacing w:line="240" w:lineRule="auto"/>
        <w:contextualSpacing/>
        <w:rPr>
          <w:color w:val="C00000"/>
        </w:rPr>
      </w:pPr>
      <w:r>
        <w:rPr>
          <w:color w:val="C00000"/>
          <w:szCs w:val="20"/>
        </w:rPr>
        <w:t xml:space="preserve">Scores for the 31 providers </w:t>
      </w:r>
      <w:r w:rsidR="002B6FAE">
        <w:rPr>
          <w:color w:val="C00000"/>
          <w:szCs w:val="20"/>
        </w:rPr>
        <w:t xml:space="preserve">based on </w:t>
      </w:r>
      <w:r w:rsidR="002B6FAE" w:rsidRPr="00AA3BD5">
        <w:rPr>
          <w:color w:val="C00000"/>
          <w:szCs w:val="20"/>
        </w:rPr>
        <w:t>22,235</w:t>
      </w:r>
      <w:r w:rsidR="002B6FAE">
        <w:rPr>
          <w:color w:val="C00000"/>
          <w:szCs w:val="20"/>
        </w:rPr>
        <w:t xml:space="preserve"> data points </w:t>
      </w:r>
      <w:r>
        <w:rPr>
          <w:color w:val="C00000"/>
          <w:szCs w:val="20"/>
        </w:rPr>
        <w:t xml:space="preserve">were calculated for the </w:t>
      </w:r>
      <w:r w:rsidRPr="00542CF9">
        <w:rPr>
          <w:color w:val="C00000"/>
        </w:rPr>
        <w:t>Oncology: Pain Intensity Quantified – Medical Oncology and Radiation Oncology</w:t>
      </w:r>
      <w:r w:rsidR="00BF78BB">
        <w:rPr>
          <w:color w:val="C00000"/>
        </w:rPr>
        <w:t xml:space="preserve"> measure</w:t>
      </w:r>
      <w:r>
        <w:rPr>
          <w:color w:val="C00000"/>
        </w:rPr>
        <w:t xml:space="preserve">. </w:t>
      </w:r>
      <w:r w:rsidR="00C82781">
        <w:rPr>
          <w:color w:val="C00000"/>
        </w:rPr>
        <w:t xml:space="preserve">Then, </w:t>
      </w:r>
      <w:r w:rsidR="0086075D">
        <w:rPr>
          <w:color w:val="C00000"/>
        </w:rPr>
        <w:t>score</w:t>
      </w:r>
      <w:r w:rsidR="00F857B1">
        <w:rPr>
          <w:color w:val="C00000"/>
        </w:rPr>
        <w:t>s</w:t>
      </w:r>
      <w:r w:rsidR="0086075D">
        <w:rPr>
          <w:color w:val="C00000"/>
        </w:rPr>
        <w:t xml:space="preserve"> for those same 31 providers were calculated based on </w:t>
      </w:r>
      <w:r w:rsidR="00F857B1" w:rsidRPr="00F857B1">
        <w:rPr>
          <w:color w:val="C00000"/>
        </w:rPr>
        <w:t>1,306</w:t>
      </w:r>
      <w:r w:rsidR="00F857B1">
        <w:rPr>
          <w:color w:val="C00000"/>
        </w:rPr>
        <w:t xml:space="preserve"> data points </w:t>
      </w:r>
      <w:r w:rsidR="006F558D">
        <w:rPr>
          <w:color w:val="C00000"/>
        </w:rPr>
        <w:t xml:space="preserve">for the </w:t>
      </w:r>
      <w:r w:rsidR="006F558D" w:rsidRPr="006F558D">
        <w:rPr>
          <w:color w:val="C00000"/>
        </w:rPr>
        <w:t>Breast Cancer: Hormonal Therapy for Stage IC - IIIC Estrogen Receptor/Progesterone Receptor (ER/PR) Positive Breast Cancer</w:t>
      </w:r>
      <w:r w:rsidR="00BF78BB">
        <w:rPr>
          <w:color w:val="C00000"/>
        </w:rPr>
        <w:t xml:space="preserve"> measure. </w:t>
      </w:r>
      <w:r w:rsidR="002A738E">
        <w:rPr>
          <w:color w:val="C00000"/>
        </w:rPr>
        <w:t>Afterwards, t</w:t>
      </w:r>
      <w:r w:rsidR="00685CA8">
        <w:rPr>
          <w:color w:val="C00000"/>
        </w:rPr>
        <w:t>he score</w:t>
      </w:r>
      <w:r w:rsidR="002A738E">
        <w:rPr>
          <w:color w:val="C00000"/>
        </w:rPr>
        <w:t>s</w:t>
      </w:r>
      <w:r w:rsidR="00685CA8">
        <w:rPr>
          <w:color w:val="C00000"/>
        </w:rPr>
        <w:t xml:space="preserve"> were </w:t>
      </w:r>
      <w:r w:rsidR="007A5561">
        <w:rPr>
          <w:color w:val="C00000"/>
        </w:rPr>
        <w:t>correlated,</w:t>
      </w:r>
      <w:r w:rsidR="002A738E">
        <w:rPr>
          <w:color w:val="C00000"/>
        </w:rPr>
        <w:t xml:space="preserve"> and Spearman’s rho was </w:t>
      </w:r>
      <w:r w:rsidR="00F25128">
        <w:rPr>
          <w:color w:val="C00000"/>
        </w:rPr>
        <w:t>calculated</w:t>
      </w:r>
      <w:r w:rsidR="007170DB">
        <w:rPr>
          <w:color w:val="C00000"/>
        </w:rPr>
        <w:t xml:space="preserve"> for this correlation.</w:t>
      </w:r>
    </w:p>
    <w:p w14:paraId="3A5908B1" w14:textId="04AF3988" w:rsidR="00266621" w:rsidRDefault="00266621" w:rsidP="00266621">
      <w:pPr>
        <w:autoSpaceDE w:val="0"/>
        <w:autoSpaceDN w:val="0"/>
        <w:spacing w:line="240" w:lineRule="auto"/>
        <w:contextualSpacing/>
        <w:rPr>
          <w:color w:val="C00000"/>
        </w:rPr>
      </w:pPr>
    </w:p>
    <w:p w14:paraId="2902E6EB" w14:textId="6F6196F7" w:rsidR="00D632F5" w:rsidRDefault="00D632F5" w:rsidP="009F2F04">
      <w:pPr>
        <w:autoSpaceDE w:val="0"/>
        <w:autoSpaceDN w:val="0"/>
        <w:adjustRightInd w:val="0"/>
        <w:spacing w:after="0" w:line="240" w:lineRule="auto"/>
        <w:rPr>
          <w:color w:val="C00000"/>
          <w:szCs w:val="20"/>
        </w:rPr>
      </w:pPr>
    </w:p>
    <w:p w14:paraId="0CABCFDE" w14:textId="3F28714F" w:rsidR="007422FD" w:rsidRPr="00A07DF7" w:rsidRDefault="009C7513" w:rsidP="00092566">
      <w:pPr>
        <w:autoSpaceDE w:val="0"/>
        <w:autoSpaceDN w:val="0"/>
        <w:adjustRightInd w:val="0"/>
        <w:spacing w:after="0" w:line="240" w:lineRule="auto"/>
        <w:rPr>
          <w:rFonts w:cs="Calibri"/>
          <w:bCs/>
          <w:color w:val="002060"/>
          <w:u w:val="single"/>
        </w:rPr>
      </w:pPr>
      <w:r>
        <w:rPr>
          <w:rFonts w:cstheme="minorHAnsi"/>
          <w:b/>
          <w:bCs/>
        </w:rPr>
        <w:lastRenderedPageBreak/>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r w:rsidR="00335F01" w:rsidRPr="00335F01">
        <w:rPr>
          <w:rFonts w:cs="Calibri"/>
          <w:bCs/>
          <w:color w:val="002060"/>
          <w:u w:val="single"/>
        </w:rPr>
        <w:t>Previous 201</w:t>
      </w:r>
      <w:r w:rsidR="00335F01">
        <w:rPr>
          <w:rFonts w:cs="Calibri"/>
          <w:bCs/>
          <w:color w:val="002060"/>
          <w:u w:val="single"/>
        </w:rPr>
        <w:t>1</w:t>
      </w:r>
      <w:r w:rsidR="00335F01" w:rsidRPr="00335F01">
        <w:rPr>
          <w:rFonts w:cs="Calibri"/>
          <w:bCs/>
          <w:color w:val="002060"/>
          <w:u w:val="single"/>
        </w:rPr>
        <w:t xml:space="preserve"> Testing</w:t>
      </w:r>
    </w:p>
    <w:p w14:paraId="3D36C385" w14:textId="77777777" w:rsidR="00826192" w:rsidRPr="00BE225D" w:rsidRDefault="00826192" w:rsidP="00826192">
      <w:pPr>
        <w:spacing w:after="0" w:line="240" w:lineRule="auto"/>
        <w:ind w:left="330"/>
        <w:rPr>
          <w:rFonts w:ascii="Times New Roman" w:eastAsia="MS Mincho" w:hAnsi="Times New Roman" w:cs="Times New Roman"/>
          <w:iCs/>
          <w:color w:val="000080"/>
          <w:lang w:eastAsia="ja-JP"/>
        </w:rPr>
      </w:pPr>
      <w:bookmarkStart w:id="17" w:name="_Hlk511225577"/>
      <w:r w:rsidRPr="00BE225D">
        <w:rPr>
          <w:rFonts w:ascii="Times New Roman" w:eastAsia="MS Mincho" w:hAnsi="Times New Roman" w:cs="Times New Roman"/>
          <w:iCs/>
          <w:color w:val="000080"/>
          <w:lang w:eastAsia="ja-JP"/>
        </w:rPr>
        <w:t>The results of the expert panel rating of the validity statement were as follows:  N = 19; Mean rating = 4.32</w:t>
      </w:r>
    </w:p>
    <w:p w14:paraId="78F78F91" w14:textId="77777777" w:rsidR="00826192" w:rsidRPr="00BE225D" w:rsidRDefault="00826192" w:rsidP="00826192">
      <w:pPr>
        <w:spacing w:after="0" w:line="240" w:lineRule="auto"/>
        <w:ind w:left="330"/>
        <w:rPr>
          <w:rFonts w:ascii="Times New Roman" w:eastAsia="MS Mincho" w:hAnsi="Times New Roman" w:cs="Times New Roman"/>
          <w:iCs/>
          <w:color w:val="000080"/>
          <w:lang w:eastAsia="ja-JP"/>
        </w:rPr>
      </w:pPr>
    </w:p>
    <w:p w14:paraId="4C4BAE1A" w14:textId="77777777" w:rsidR="00826192" w:rsidRPr="00BE225D" w:rsidRDefault="00826192" w:rsidP="00826192">
      <w:pPr>
        <w:spacing w:after="0" w:line="240" w:lineRule="auto"/>
        <w:ind w:left="330"/>
        <w:rPr>
          <w:rFonts w:ascii="Times New Roman" w:eastAsia="MS Mincho" w:hAnsi="Times New Roman" w:cs="Times New Roman"/>
          <w:color w:val="000080"/>
          <w:lang w:eastAsia="ja-JP"/>
        </w:rPr>
      </w:pPr>
      <w:r w:rsidRPr="00BE225D">
        <w:rPr>
          <w:rFonts w:ascii="Times New Roman" w:eastAsia="MS Mincho" w:hAnsi="Times New Roman" w:cs="Times New Roman"/>
          <w:color w:val="000080"/>
          <w:lang w:eastAsia="ja-JP"/>
        </w:rPr>
        <w:t>Percentage in the top two categories (4 and 5): 84.21%</w:t>
      </w:r>
    </w:p>
    <w:p w14:paraId="0E63022D" w14:textId="77777777" w:rsidR="00826192" w:rsidRPr="00BE225D" w:rsidRDefault="00826192" w:rsidP="00826192">
      <w:pPr>
        <w:spacing w:after="0" w:line="240" w:lineRule="auto"/>
        <w:ind w:left="330"/>
        <w:rPr>
          <w:rFonts w:ascii="Times New Roman" w:eastAsia="MS Mincho" w:hAnsi="Times New Roman" w:cs="Times New Roman"/>
          <w:iCs/>
          <w:color w:val="000080"/>
          <w:lang w:eastAsia="ja-JP"/>
        </w:rPr>
      </w:pPr>
    </w:p>
    <w:p w14:paraId="07572CF3" w14:textId="77777777" w:rsidR="00826192" w:rsidRPr="00BE225D" w:rsidRDefault="00826192" w:rsidP="00826192">
      <w:pPr>
        <w:spacing w:after="0" w:line="240" w:lineRule="auto"/>
        <w:ind w:left="330"/>
        <w:rPr>
          <w:rFonts w:ascii="Times New Roman" w:eastAsia="MS Mincho" w:hAnsi="Times New Roman" w:cs="Times New Roman"/>
          <w:iCs/>
          <w:color w:val="000080"/>
          <w:lang w:eastAsia="ja-JP"/>
        </w:rPr>
      </w:pPr>
      <w:r w:rsidRPr="00BE225D">
        <w:rPr>
          <w:rFonts w:ascii="Times New Roman" w:eastAsia="MS Mincho" w:hAnsi="Times New Roman" w:cs="Times New Roman"/>
          <w:iCs/>
          <w:color w:val="000080"/>
          <w:lang w:eastAsia="ja-JP"/>
        </w:rPr>
        <w:t>Frequency Distribution of Ratings</w:t>
      </w:r>
    </w:p>
    <w:p w14:paraId="36642D63" w14:textId="77777777" w:rsidR="00826192" w:rsidRPr="00BE225D" w:rsidRDefault="00826192" w:rsidP="00826192">
      <w:pPr>
        <w:numPr>
          <w:ilvl w:val="0"/>
          <w:numId w:val="34"/>
        </w:numPr>
        <w:spacing w:after="0" w:line="240" w:lineRule="auto"/>
        <w:rPr>
          <w:rFonts w:ascii="Times New Roman" w:eastAsia="MS Mincho" w:hAnsi="Times New Roman" w:cs="Times New Roman"/>
          <w:iCs/>
          <w:color w:val="000080"/>
          <w:lang w:eastAsia="ja-JP"/>
        </w:rPr>
      </w:pPr>
      <w:r w:rsidRPr="00BE225D">
        <w:rPr>
          <w:rFonts w:ascii="Times New Roman" w:eastAsia="MS Mincho" w:hAnsi="Times New Roman" w:cs="Times New Roman"/>
          <w:iCs/>
          <w:color w:val="000080"/>
          <w:lang w:eastAsia="ja-JP"/>
        </w:rPr>
        <w:t>0</w:t>
      </w:r>
    </w:p>
    <w:p w14:paraId="3C2DF0E7" w14:textId="77777777" w:rsidR="00826192" w:rsidRPr="00BE225D" w:rsidRDefault="00826192" w:rsidP="00826192">
      <w:pPr>
        <w:numPr>
          <w:ilvl w:val="0"/>
          <w:numId w:val="34"/>
        </w:numPr>
        <w:spacing w:after="0" w:line="240" w:lineRule="auto"/>
        <w:rPr>
          <w:rFonts w:ascii="Times New Roman" w:eastAsia="MS Mincho" w:hAnsi="Times New Roman" w:cs="Times New Roman"/>
          <w:iCs/>
          <w:color w:val="000080"/>
          <w:lang w:eastAsia="ja-JP"/>
        </w:rPr>
      </w:pPr>
      <w:r w:rsidRPr="00BE225D">
        <w:rPr>
          <w:rFonts w:ascii="Times New Roman" w:eastAsia="MS Mincho" w:hAnsi="Times New Roman" w:cs="Times New Roman"/>
          <w:iCs/>
          <w:color w:val="000080"/>
          <w:lang w:eastAsia="ja-JP"/>
        </w:rPr>
        <w:t>1</w:t>
      </w:r>
    </w:p>
    <w:p w14:paraId="497FA1C3" w14:textId="77777777" w:rsidR="00826192" w:rsidRPr="00BE225D" w:rsidRDefault="00826192" w:rsidP="00826192">
      <w:pPr>
        <w:numPr>
          <w:ilvl w:val="0"/>
          <w:numId w:val="34"/>
        </w:numPr>
        <w:spacing w:after="0" w:line="240" w:lineRule="auto"/>
        <w:rPr>
          <w:rFonts w:ascii="Times New Roman" w:eastAsia="MS Mincho" w:hAnsi="Times New Roman" w:cs="Times New Roman"/>
          <w:iCs/>
          <w:color w:val="000080"/>
          <w:lang w:eastAsia="ja-JP"/>
        </w:rPr>
      </w:pPr>
      <w:r w:rsidRPr="00BE225D">
        <w:rPr>
          <w:rFonts w:ascii="Times New Roman" w:eastAsia="MS Mincho" w:hAnsi="Times New Roman" w:cs="Times New Roman"/>
          <w:iCs/>
          <w:color w:val="000080"/>
          <w:lang w:eastAsia="ja-JP"/>
        </w:rPr>
        <w:t>2</w:t>
      </w:r>
    </w:p>
    <w:p w14:paraId="406D997F" w14:textId="77777777" w:rsidR="00826192" w:rsidRPr="00BE225D" w:rsidRDefault="00826192" w:rsidP="00826192">
      <w:pPr>
        <w:numPr>
          <w:ilvl w:val="0"/>
          <w:numId w:val="34"/>
        </w:numPr>
        <w:spacing w:after="0" w:line="240" w:lineRule="auto"/>
        <w:rPr>
          <w:rFonts w:ascii="Times New Roman" w:eastAsia="MS Mincho" w:hAnsi="Times New Roman" w:cs="Times New Roman"/>
          <w:iCs/>
          <w:color w:val="000080"/>
          <w:lang w:eastAsia="ja-JP"/>
        </w:rPr>
      </w:pPr>
      <w:r w:rsidRPr="00BE225D">
        <w:rPr>
          <w:rFonts w:ascii="Times New Roman" w:eastAsia="MS Mincho" w:hAnsi="Times New Roman" w:cs="Times New Roman"/>
          <w:iCs/>
          <w:color w:val="000080"/>
          <w:lang w:eastAsia="ja-JP"/>
        </w:rPr>
        <w:t>6</w:t>
      </w:r>
    </w:p>
    <w:p w14:paraId="5ED1F2BA" w14:textId="65344DEC" w:rsidR="006A723F" w:rsidRPr="00BE225D" w:rsidRDefault="00826192" w:rsidP="00826192">
      <w:pPr>
        <w:numPr>
          <w:ilvl w:val="0"/>
          <w:numId w:val="34"/>
        </w:numPr>
        <w:spacing w:after="0" w:line="240" w:lineRule="auto"/>
        <w:rPr>
          <w:rFonts w:ascii="Times New Roman" w:eastAsia="MS Mincho" w:hAnsi="Times New Roman" w:cs="Times New Roman"/>
          <w:lang w:eastAsia="ja-JP"/>
        </w:rPr>
      </w:pPr>
      <w:r w:rsidRPr="00BE225D">
        <w:rPr>
          <w:rFonts w:ascii="Times New Roman" w:eastAsia="MS Mincho" w:hAnsi="Times New Roman" w:cs="Times New Roman"/>
          <w:iCs/>
          <w:color w:val="000080"/>
          <w:lang w:eastAsia="ja-JP"/>
        </w:rPr>
        <w:t>10</w:t>
      </w:r>
    </w:p>
    <w:p w14:paraId="58708326" w14:textId="187C6482" w:rsidR="00826192" w:rsidRDefault="00826192" w:rsidP="006A723F">
      <w:pPr>
        <w:spacing w:after="0" w:line="240" w:lineRule="auto"/>
        <w:ind w:left="690"/>
        <w:rPr>
          <w:color w:val="C00000"/>
          <w:szCs w:val="20"/>
        </w:rPr>
      </w:pPr>
    </w:p>
    <w:p w14:paraId="67FD0721" w14:textId="77777777" w:rsidR="006A723F" w:rsidRPr="00BE225D" w:rsidRDefault="006A723F" w:rsidP="006A723F">
      <w:pPr>
        <w:tabs>
          <w:tab w:val="left" w:pos="330"/>
        </w:tabs>
        <w:spacing w:after="0" w:line="240" w:lineRule="auto"/>
        <w:ind w:left="330"/>
        <w:rPr>
          <w:rFonts w:eastAsia="MS Mincho" w:cs="Times New Roman"/>
          <w:b/>
          <w:color w:val="333399"/>
          <w:u w:val="single"/>
          <w:lang w:eastAsia="ja-JP"/>
        </w:rPr>
      </w:pPr>
      <w:r w:rsidRPr="00BE225D">
        <w:rPr>
          <w:rFonts w:eastAsia="MS Mincho" w:cs="Times New Roman"/>
          <w:b/>
          <w:bCs/>
          <w:color w:val="333399"/>
          <w:u w:val="single"/>
          <w:lang w:eastAsia="ja-JP"/>
        </w:rPr>
        <w:t>N, % Agreement, Kappa (95% Confidence Interval)</w:t>
      </w:r>
    </w:p>
    <w:p w14:paraId="71077219" w14:textId="77777777" w:rsidR="006A723F" w:rsidRPr="00BE225D" w:rsidRDefault="006A723F" w:rsidP="006A723F">
      <w:pPr>
        <w:tabs>
          <w:tab w:val="left" w:pos="330"/>
        </w:tabs>
        <w:spacing w:after="0" w:line="240" w:lineRule="auto"/>
        <w:ind w:left="330"/>
        <w:rPr>
          <w:rFonts w:eastAsia="MS Mincho" w:cs="Times New Roman"/>
          <w:color w:val="333399"/>
          <w:lang w:eastAsia="ja-JP"/>
        </w:rPr>
      </w:pPr>
      <w:r w:rsidRPr="00BE225D">
        <w:rPr>
          <w:rFonts w:eastAsia="MS Mincho" w:cs="Times New Roman"/>
          <w:color w:val="333399"/>
          <w:lang w:eastAsia="ja-JP"/>
        </w:rPr>
        <w:t xml:space="preserve">Overall Reliability: 862, </w:t>
      </w:r>
      <w:r w:rsidRPr="00BE225D">
        <w:rPr>
          <w:rFonts w:eastAsia="MS Mincho" w:cs="Times New Roman"/>
          <w:b/>
          <w:color w:val="333399"/>
          <w:lang w:eastAsia="ja-JP"/>
        </w:rPr>
        <w:t>99.9%,</w:t>
      </w:r>
      <w:r w:rsidRPr="00BE225D">
        <w:rPr>
          <w:rFonts w:eastAsia="MS Mincho" w:cs="Times New Roman"/>
          <w:color w:val="333399"/>
          <w:lang w:eastAsia="ja-JP"/>
        </w:rPr>
        <w:t xml:space="preserve"> 0.990 (0.970-1.000)</w:t>
      </w:r>
    </w:p>
    <w:p w14:paraId="45B1259D" w14:textId="77777777" w:rsidR="006A723F" w:rsidRPr="00BE225D" w:rsidRDefault="006A723F" w:rsidP="006A723F">
      <w:pPr>
        <w:tabs>
          <w:tab w:val="left" w:pos="330"/>
        </w:tabs>
        <w:spacing w:after="0" w:line="240" w:lineRule="auto"/>
        <w:ind w:left="330"/>
        <w:rPr>
          <w:rFonts w:eastAsia="MS Mincho" w:cs="Times New Roman"/>
          <w:color w:val="333399"/>
          <w:lang w:eastAsia="ja-JP"/>
        </w:rPr>
      </w:pPr>
      <w:r w:rsidRPr="00BE225D">
        <w:rPr>
          <w:rFonts w:eastAsia="MS Mincho" w:cs="Times New Roman"/>
          <w:color w:val="333399"/>
          <w:lang w:eastAsia="ja-JP"/>
        </w:rPr>
        <w:t xml:space="preserve">Denominator Reliability: 862, </w:t>
      </w:r>
      <w:r w:rsidRPr="00BE225D">
        <w:rPr>
          <w:rFonts w:eastAsia="MS Mincho" w:cs="Times New Roman"/>
          <w:b/>
          <w:color w:val="333399"/>
          <w:lang w:eastAsia="ja-JP"/>
        </w:rPr>
        <w:t>100.0%,</w:t>
      </w:r>
      <w:r w:rsidRPr="00BE225D">
        <w:rPr>
          <w:rFonts w:eastAsia="MS Mincho" w:cs="Times New Roman"/>
          <w:color w:val="333399"/>
          <w:lang w:eastAsia="ja-JP"/>
        </w:rPr>
        <w:t xml:space="preserve"> Kappa is noncalculable*</w:t>
      </w:r>
    </w:p>
    <w:p w14:paraId="37FCCDAE" w14:textId="77777777" w:rsidR="006A723F" w:rsidRPr="00BE225D" w:rsidRDefault="006A723F" w:rsidP="006A723F">
      <w:pPr>
        <w:tabs>
          <w:tab w:val="left" w:pos="330"/>
        </w:tabs>
        <w:spacing w:after="0" w:line="240" w:lineRule="auto"/>
        <w:ind w:left="330"/>
        <w:rPr>
          <w:rFonts w:eastAsia="MS Mincho" w:cs="Times New Roman"/>
          <w:color w:val="333399"/>
          <w:lang w:eastAsia="ja-JP"/>
        </w:rPr>
      </w:pPr>
      <w:r w:rsidRPr="00BE225D">
        <w:rPr>
          <w:rFonts w:eastAsia="MS Mincho" w:cs="Times New Roman"/>
          <w:color w:val="333399"/>
          <w:lang w:eastAsia="ja-JP"/>
        </w:rPr>
        <w:t xml:space="preserve">Numerator Reliability: 862, </w:t>
      </w:r>
      <w:r w:rsidRPr="00BE225D">
        <w:rPr>
          <w:rFonts w:eastAsia="MS Mincho" w:cs="Times New Roman"/>
          <w:b/>
          <w:color w:val="333399"/>
          <w:lang w:eastAsia="ja-JP"/>
        </w:rPr>
        <w:t>99.9%,</w:t>
      </w:r>
      <w:r w:rsidRPr="00BE225D">
        <w:rPr>
          <w:rFonts w:eastAsia="MS Mincho" w:cs="Times New Roman"/>
          <w:color w:val="333399"/>
          <w:lang w:eastAsia="ja-JP"/>
        </w:rPr>
        <w:t xml:space="preserve"> 0.990 (0.970-1.000)</w:t>
      </w:r>
    </w:p>
    <w:p w14:paraId="786B5749" w14:textId="77777777" w:rsidR="006A723F" w:rsidRDefault="006A723F" w:rsidP="006A723F">
      <w:pPr>
        <w:autoSpaceDE w:val="0"/>
        <w:autoSpaceDN w:val="0"/>
        <w:adjustRightInd w:val="0"/>
        <w:spacing w:after="0" w:line="240" w:lineRule="auto"/>
        <w:rPr>
          <w:color w:val="0000FF"/>
          <w:szCs w:val="20"/>
        </w:rPr>
      </w:pPr>
    </w:p>
    <w:p w14:paraId="77288180" w14:textId="3502C9B2" w:rsidR="006A723F" w:rsidRPr="009D5661" w:rsidRDefault="006A723F" w:rsidP="009D5661">
      <w:pPr>
        <w:tabs>
          <w:tab w:val="left" w:pos="330"/>
        </w:tabs>
        <w:ind w:left="330"/>
      </w:pPr>
      <w:r>
        <w:rPr>
          <w:color w:val="333399"/>
        </w:rPr>
        <w:t>*</w:t>
      </w:r>
      <w:r w:rsidRPr="009060B7">
        <w:rPr>
          <w:color w:val="333399"/>
        </w:rPr>
        <w:t xml:space="preserve">Kappa Statistics cannot be calculated because of complete agreement. Confidence intervals cannot be calculated because to do so would involve dividing by zero which cannot be done. </w:t>
      </w:r>
    </w:p>
    <w:p w14:paraId="7063BC2B" w14:textId="19A2356E" w:rsidR="00826192" w:rsidRPr="00D970DD" w:rsidRDefault="00E8369E" w:rsidP="00D970DD">
      <w:pPr>
        <w:autoSpaceDE w:val="0"/>
        <w:autoSpaceDN w:val="0"/>
        <w:adjustRightInd w:val="0"/>
        <w:spacing w:after="0" w:line="240" w:lineRule="auto"/>
        <w:rPr>
          <w:color w:val="C00000"/>
          <w:szCs w:val="20"/>
          <w:u w:val="single"/>
        </w:rPr>
      </w:pPr>
      <w:r w:rsidRPr="00B80617">
        <w:rPr>
          <w:color w:val="C00000"/>
          <w:szCs w:val="20"/>
          <w:u w:val="single"/>
        </w:rPr>
        <w:t>Current Testing</w:t>
      </w:r>
    </w:p>
    <w:p w14:paraId="5EA6ABF7" w14:textId="23DD85E8" w:rsidR="00826192" w:rsidRPr="00D611D2" w:rsidRDefault="00826192" w:rsidP="00826192">
      <w:pPr>
        <w:autoSpaceDE w:val="0"/>
        <w:autoSpaceDN w:val="0"/>
        <w:adjustRightInd w:val="0"/>
        <w:spacing w:after="0" w:line="240" w:lineRule="auto"/>
        <w:rPr>
          <w:rFonts w:cstheme="minorHAnsi"/>
          <w:b/>
          <w:bCs/>
          <w:color w:val="C00000"/>
          <w:u w:val="single"/>
        </w:rPr>
      </w:pPr>
      <w:bookmarkStart w:id="18" w:name="_Hlk536024970"/>
    </w:p>
    <w:p w14:paraId="3B2016CC" w14:textId="76D26EC1" w:rsidR="00826192" w:rsidRDefault="002C50AD" w:rsidP="00826192">
      <w:pPr>
        <w:autoSpaceDE w:val="0"/>
        <w:autoSpaceDN w:val="0"/>
        <w:adjustRightInd w:val="0"/>
        <w:spacing w:after="0" w:line="240" w:lineRule="auto"/>
        <w:rPr>
          <w:rFonts w:cstheme="minorHAnsi"/>
          <w:bCs/>
          <w:color w:val="C00000"/>
        </w:rPr>
      </w:pPr>
      <w:r w:rsidRPr="002C50AD">
        <w:rPr>
          <w:rFonts w:cstheme="minorHAnsi"/>
          <w:bCs/>
          <w:color w:val="C00000"/>
        </w:rPr>
        <w:t xml:space="preserve">Spearman’s ρ </w:t>
      </w:r>
      <w:r w:rsidR="00826192">
        <w:rPr>
          <w:rFonts w:cstheme="minorHAnsi"/>
          <w:bCs/>
          <w:color w:val="C00000"/>
        </w:rPr>
        <w:t>= 0.</w:t>
      </w:r>
      <w:r w:rsidR="00C54D61">
        <w:rPr>
          <w:rFonts w:cstheme="minorHAnsi"/>
          <w:bCs/>
          <w:color w:val="C00000"/>
        </w:rPr>
        <w:t>58</w:t>
      </w:r>
    </w:p>
    <w:p w14:paraId="59175172" w14:textId="167199B9" w:rsidR="00826192" w:rsidRDefault="00826192" w:rsidP="00826192">
      <w:pPr>
        <w:tabs>
          <w:tab w:val="left" w:pos="330"/>
        </w:tabs>
        <w:contextualSpacing/>
        <w:rPr>
          <w:rFonts w:cstheme="minorHAnsi"/>
          <w:bCs/>
          <w:color w:val="C00000"/>
        </w:rPr>
      </w:pPr>
      <w:r>
        <w:rPr>
          <w:rFonts w:cstheme="minorHAnsi"/>
          <w:bCs/>
          <w:color w:val="C00000"/>
        </w:rPr>
        <w:t xml:space="preserve">P-value = </w:t>
      </w:r>
      <w:r w:rsidR="00A666F7">
        <w:rPr>
          <w:rFonts w:cstheme="minorHAnsi"/>
          <w:bCs/>
          <w:color w:val="C00000"/>
        </w:rPr>
        <w:t>&lt;</w:t>
      </w:r>
      <w:r>
        <w:rPr>
          <w:rFonts w:cstheme="minorHAnsi"/>
          <w:bCs/>
          <w:color w:val="C00000"/>
        </w:rPr>
        <w:t xml:space="preserve"> 0.001</w:t>
      </w:r>
    </w:p>
    <w:bookmarkEnd w:id="17"/>
    <w:bookmarkEnd w:id="18"/>
    <w:p w14:paraId="7C693316" w14:textId="77777777" w:rsidR="00ED3FA2" w:rsidRDefault="00ED3FA2" w:rsidP="00DB3627">
      <w:pPr>
        <w:autoSpaceDE w:val="0"/>
        <w:autoSpaceDN w:val="0"/>
        <w:adjustRightInd w:val="0"/>
        <w:spacing w:after="0" w:line="240" w:lineRule="auto"/>
        <w:rPr>
          <w:rFonts w:cstheme="minorHAnsi"/>
          <w:b/>
          <w:bCs/>
        </w:rPr>
      </w:pPr>
    </w:p>
    <w:p w14:paraId="0CABCFDF" w14:textId="4750A8D1" w:rsidR="007422FD" w:rsidRPr="00D970DD" w:rsidRDefault="009C7513" w:rsidP="00DB3627">
      <w:pPr>
        <w:autoSpaceDE w:val="0"/>
        <w:autoSpaceDN w:val="0"/>
        <w:adjustRightInd w:val="0"/>
        <w:spacing w:after="0" w:line="240" w:lineRule="auto"/>
        <w:rPr>
          <w:rFonts w:cs="Calibri"/>
          <w:bCs/>
          <w:color w:val="002060"/>
          <w:u w:val="single"/>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335F01" w:rsidRPr="00335F01">
        <w:rPr>
          <w:rFonts w:cs="Calibri"/>
          <w:bCs/>
          <w:color w:val="002060"/>
          <w:u w:val="single"/>
        </w:rPr>
        <w:t>Previous 201</w:t>
      </w:r>
      <w:r w:rsidR="00335F01">
        <w:rPr>
          <w:rFonts w:cs="Calibri"/>
          <w:bCs/>
          <w:color w:val="002060"/>
          <w:u w:val="single"/>
        </w:rPr>
        <w:t>1</w:t>
      </w:r>
      <w:r w:rsidR="00335F01" w:rsidRPr="00335F01">
        <w:rPr>
          <w:rFonts w:cs="Calibri"/>
          <w:bCs/>
          <w:color w:val="002060"/>
          <w:u w:val="single"/>
        </w:rPr>
        <w:t xml:space="preserve"> Testing</w:t>
      </w:r>
    </w:p>
    <w:p w14:paraId="410B36DF" w14:textId="68244488" w:rsidR="005370A4" w:rsidRPr="00BE225D" w:rsidRDefault="005370A4" w:rsidP="005370A4">
      <w:pPr>
        <w:spacing w:after="0" w:line="240" w:lineRule="auto"/>
        <w:rPr>
          <w:rFonts w:ascii="Times New Roman" w:eastAsia="MS Mincho" w:hAnsi="Times New Roman" w:cs="Times New Roman"/>
          <w:iCs/>
          <w:color w:val="000080"/>
          <w:lang w:eastAsia="ja-JP"/>
        </w:rPr>
      </w:pPr>
      <w:r>
        <w:rPr>
          <w:rFonts w:ascii="Times New Roman" w:eastAsia="MS Mincho" w:hAnsi="Times New Roman" w:cs="Times New Roman"/>
          <w:iCs/>
          <w:color w:val="000080"/>
          <w:lang w:eastAsia="ja-JP"/>
        </w:rPr>
        <w:t>The measure is valid, as specified.</w:t>
      </w:r>
    </w:p>
    <w:p w14:paraId="09B6B35A" w14:textId="77777777" w:rsidR="005370A4" w:rsidRDefault="005370A4" w:rsidP="00DB3627">
      <w:pPr>
        <w:autoSpaceDE w:val="0"/>
        <w:autoSpaceDN w:val="0"/>
        <w:adjustRightInd w:val="0"/>
        <w:spacing w:after="0" w:line="240" w:lineRule="auto"/>
        <w:rPr>
          <w:rFonts w:cstheme="minorHAnsi"/>
          <w:bCs/>
        </w:rPr>
      </w:pPr>
    </w:p>
    <w:p w14:paraId="240099D7" w14:textId="77777777" w:rsidR="00E8369E" w:rsidRPr="00B80617" w:rsidRDefault="00E8369E" w:rsidP="00D970DD">
      <w:pPr>
        <w:autoSpaceDE w:val="0"/>
        <w:autoSpaceDN w:val="0"/>
        <w:adjustRightInd w:val="0"/>
        <w:spacing w:after="0" w:line="240" w:lineRule="auto"/>
        <w:contextualSpacing/>
        <w:rPr>
          <w:color w:val="C00000"/>
          <w:szCs w:val="20"/>
          <w:u w:val="single"/>
        </w:rPr>
      </w:pPr>
      <w:r w:rsidRPr="00B80617">
        <w:rPr>
          <w:color w:val="C00000"/>
          <w:szCs w:val="20"/>
          <w:u w:val="single"/>
        </w:rPr>
        <w:t>Current Testing</w:t>
      </w:r>
    </w:p>
    <w:p w14:paraId="080ED0E8" w14:textId="562CA209" w:rsidR="003674BB" w:rsidRDefault="0067449E" w:rsidP="00DE6684">
      <w:pPr>
        <w:spacing w:line="240" w:lineRule="auto"/>
        <w:contextualSpacing/>
        <w:rPr>
          <w:color w:val="C00000"/>
          <w:szCs w:val="20"/>
        </w:rPr>
      </w:pPr>
      <w:r w:rsidRPr="00542CF9">
        <w:rPr>
          <w:color w:val="C00000"/>
        </w:rPr>
        <w:t>Oncology: Pain Intensity Quantified – Medical Oncology and Radiation Oncology</w:t>
      </w:r>
      <w:r w:rsidR="003674BB">
        <w:rPr>
          <w:rFonts w:cstheme="minorHAnsi"/>
          <w:bCs/>
          <w:color w:val="C00000"/>
        </w:rPr>
        <w:t xml:space="preserve"> has a</w:t>
      </w:r>
      <w:r w:rsidR="00826192">
        <w:rPr>
          <w:rFonts w:cstheme="minorHAnsi"/>
          <w:bCs/>
          <w:color w:val="C00000"/>
        </w:rPr>
        <w:t xml:space="preserve"> </w:t>
      </w:r>
      <w:r w:rsidR="003674BB">
        <w:rPr>
          <w:rFonts w:cstheme="minorHAnsi"/>
          <w:bCs/>
          <w:color w:val="C00000"/>
        </w:rPr>
        <w:t>positive correlation with another evidence-based process of care</w:t>
      </w:r>
      <w:r w:rsidR="007A5561">
        <w:rPr>
          <w:rFonts w:cstheme="minorHAnsi"/>
          <w:bCs/>
          <w:color w:val="C00000"/>
        </w:rPr>
        <w:t xml:space="preserve"> measure</w:t>
      </w:r>
      <w:r w:rsidR="00E8369E">
        <w:rPr>
          <w:rFonts w:cstheme="minorHAnsi"/>
          <w:bCs/>
          <w:color w:val="C00000"/>
        </w:rPr>
        <w:t xml:space="preserve"> (PQRS #</w:t>
      </w:r>
      <w:r w:rsidR="00C54D61">
        <w:rPr>
          <w:rFonts w:cstheme="minorHAnsi"/>
          <w:bCs/>
          <w:color w:val="C00000"/>
        </w:rPr>
        <w:t>071</w:t>
      </w:r>
      <w:r w:rsidR="00E8369E">
        <w:rPr>
          <w:rFonts w:cstheme="minorHAnsi"/>
          <w:bCs/>
          <w:color w:val="C00000"/>
        </w:rPr>
        <w:t>)</w:t>
      </w:r>
      <w:r w:rsidR="003674BB">
        <w:rPr>
          <w:rFonts w:cstheme="minorHAnsi"/>
          <w:bCs/>
          <w:color w:val="C00000"/>
        </w:rPr>
        <w:t xml:space="preserve">. </w:t>
      </w:r>
      <w:r w:rsidR="00FC317B">
        <w:rPr>
          <w:rFonts w:cstheme="minorHAnsi"/>
          <w:bCs/>
          <w:color w:val="C00000"/>
        </w:rPr>
        <w:t xml:space="preserve">Therefore, </w:t>
      </w:r>
      <w:r w:rsidR="00FD0146">
        <w:rPr>
          <w:rFonts w:cstheme="minorHAnsi"/>
          <w:bCs/>
          <w:color w:val="C00000"/>
        </w:rPr>
        <w:t xml:space="preserve">both measures </w:t>
      </w:r>
      <w:r w:rsidR="00503C47">
        <w:rPr>
          <w:rFonts w:cstheme="minorHAnsi"/>
          <w:bCs/>
          <w:color w:val="C00000"/>
        </w:rPr>
        <w:t xml:space="preserve">can be </w:t>
      </w:r>
      <w:r w:rsidR="00DE6684">
        <w:rPr>
          <w:rFonts w:cstheme="minorHAnsi"/>
          <w:bCs/>
          <w:color w:val="C00000"/>
        </w:rPr>
        <w:t xml:space="preserve">utilized to </w:t>
      </w:r>
      <w:r w:rsidR="00D949CB">
        <w:rPr>
          <w:rFonts w:cstheme="minorHAnsi"/>
          <w:bCs/>
          <w:color w:val="C00000"/>
        </w:rPr>
        <w:t xml:space="preserve">measure </w:t>
      </w:r>
      <w:r w:rsidR="00753051">
        <w:rPr>
          <w:rFonts w:cstheme="minorHAnsi"/>
          <w:bCs/>
          <w:color w:val="C00000"/>
        </w:rPr>
        <w:t xml:space="preserve">the same </w:t>
      </w:r>
      <w:r w:rsidR="005F6AA1">
        <w:rPr>
          <w:rFonts w:cstheme="minorHAnsi"/>
          <w:bCs/>
          <w:color w:val="C00000"/>
        </w:rPr>
        <w:t xml:space="preserve">construct, </w:t>
      </w:r>
      <w:r w:rsidR="008F1AA0">
        <w:rPr>
          <w:color w:val="C00000"/>
          <w:szCs w:val="20"/>
        </w:rPr>
        <w:t>quality of care</w:t>
      </w:r>
      <w:r w:rsidR="009C06D7">
        <w:rPr>
          <w:color w:val="C00000"/>
          <w:szCs w:val="20"/>
        </w:rPr>
        <w:t xml:space="preserve"> </w:t>
      </w:r>
      <w:r w:rsidR="008F1AA0">
        <w:rPr>
          <w:color w:val="C00000"/>
          <w:szCs w:val="20"/>
        </w:rPr>
        <w:t xml:space="preserve">for those diagnosed with </w:t>
      </w:r>
      <w:r w:rsidR="00DE6684">
        <w:rPr>
          <w:color w:val="C00000"/>
          <w:szCs w:val="20"/>
        </w:rPr>
        <w:t>cancer</w:t>
      </w:r>
      <w:r w:rsidR="009C06D7">
        <w:rPr>
          <w:color w:val="C00000"/>
          <w:szCs w:val="20"/>
        </w:rPr>
        <w:t xml:space="preserve">. </w:t>
      </w:r>
      <w:r w:rsidR="000E0AFD">
        <w:rPr>
          <w:color w:val="C00000"/>
          <w:szCs w:val="20"/>
        </w:rPr>
        <w:t>Furthermore,</w:t>
      </w:r>
      <w:r w:rsidR="009C06D7">
        <w:rPr>
          <w:color w:val="C00000"/>
          <w:szCs w:val="20"/>
        </w:rPr>
        <w:t xml:space="preserve"> this measure has bee</w:t>
      </w:r>
      <w:r w:rsidR="00BA6863">
        <w:rPr>
          <w:color w:val="C00000"/>
          <w:szCs w:val="20"/>
        </w:rPr>
        <w:t>n proven valid using concurrent validity</w:t>
      </w:r>
      <w:r w:rsidR="008579B1">
        <w:rPr>
          <w:color w:val="C00000"/>
          <w:szCs w:val="20"/>
        </w:rPr>
        <w:t xml:space="preserve"> through a comparison with a similar measure.</w:t>
      </w: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7BA94329"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A422A6">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2510798" w14:textId="77777777" w:rsidR="00ED4AAD" w:rsidRDefault="00092566" w:rsidP="00E8369E">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r>
    </w:p>
    <w:p w14:paraId="27F2007F" w14:textId="1E71798E" w:rsidR="00E8369E" w:rsidRPr="00B80617" w:rsidRDefault="00E8369E" w:rsidP="00E8369E">
      <w:pPr>
        <w:autoSpaceDE w:val="0"/>
        <w:autoSpaceDN w:val="0"/>
        <w:adjustRightInd w:val="0"/>
        <w:spacing w:after="0" w:line="240" w:lineRule="auto"/>
        <w:rPr>
          <w:color w:val="C00000"/>
          <w:szCs w:val="20"/>
          <w:u w:val="single"/>
        </w:rPr>
      </w:pPr>
      <w:r w:rsidRPr="00B80617">
        <w:rPr>
          <w:color w:val="C00000"/>
          <w:szCs w:val="20"/>
          <w:u w:val="single"/>
        </w:rPr>
        <w:t>Current Testing</w:t>
      </w:r>
    </w:p>
    <w:p w14:paraId="0CABCFE4" w14:textId="1C2416E2" w:rsidR="00833325" w:rsidRDefault="00833325" w:rsidP="00DB3627">
      <w:pPr>
        <w:autoSpaceDE w:val="0"/>
        <w:autoSpaceDN w:val="0"/>
        <w:adjustRightInd w:val="0"/>
        <w:spacing w:after="0" w:line="240" w:lineRule="auto"/>
        <w:rPr>
          <w:rFonts w:cstheme="minorHAnsi"/>
          <w:bCs/>
        </w:rPr>
      </w:pPr>
    </w:p>
    <w:p w14:paraId="6E74F342" w14:textId="77777777" w:rsidR="00E937EC" w:rsidRPr="00BE225D" w:rsidRDefault="00E937EC" w:rsidP="00E937EC">
      <w:pPr>
        <w:autoSpaceDE w:val="0"/>
        <w:autoSpaceDN w:val="0"/>
        <w:adjustRightInd w:val="0"/>
        <w:spacing w:after="0" w:line="240" w:lineRule="auto"/>
        <w:rPr>
          <w:rFonts w:cstheme="minorHAnsi"/>
          <w:bCs/>
          <w:color w:val="C00000"/>
        </w:rPr>
      </w:pPr>
      <w:r w:rsidRPr="00BE225D">
        <w:rPr>
          <w:rFonts w:cstheme="minorHAnsi"/>
          <w:bCs/>
          <w:color w:val="C00000"/>
        </w:rPr>
        <w:lastRenderedPageBreak/>
        <w:t>Not applicable</w:t>
      </w:r>
    </w:p>
    <w:p w14:paraId="2F8E902E" w14:textId="77777777" w:rsidR="00A422A6" w:rsidRPr="009D3882" w:rsidRDefault="00A422A6" w:rsidP="00DB3627">
      <w:pPr>
        <w:autoSpaceDE w:val="0"/>
        <w:autoSpaceDN w:val="0"/>
        <w:adjustRightInd w:val="0"/>
        <w:spacing w:after="0" w:line="240" w:lineRule="auto"/>
        <w:rPr>
          <w:rFonts w:cstheme="minorHAnsi"/>
          <w:bCs/>
          <w:sz w:val="12"/>
        </w:rPr>
      </w:pPr>
    </w:p>
    <w:p w14:paraId="0CABCFE5" w14:textId="77777777" w:rsidR="00833325" w:rsidRPr="00A25024" w:rsidRDefault="00833325" w:rsidP="00DB3627">
      <w:pPr>
        <w:autoSpaceDE w:val="0"/>
        <w:autoSpaceDN w:val="0"/>
        <w:adjustRightInd w:val="0"/>
        <w:spacing w:after="0" w:line="240" w:lineRule="auto"/>
        <w:rPr>
          <w:rFonts w:cstheme="minorHAnsi"/>
          <w:bCs/>
        </w:rPr>
      </w:pPr>
    </w:p>
    <w:p w14:paraId="77B4533A" w14:textId="77777777" w:rsidR="00E8369E" w:rsidRPr="00B80617" w:rsidRDefault="00092566" w:rsidP="00E8369E">
      <w:pPr>
        <w:autoSpaceDE w:val="0"/>
        <w:autoSpaceDN w:val="0"/>
        <w:adjustRightInd w:val="0"/>
        <w:spacing w:after="0" w:line="240" w:lineRule="auto"/>
        <w:rPr>
          <w:color w:val="C00000"/>
          <w:szCs w:val="20"/>
          <w:u w:val="single"/>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E8369E" w:rsidRPr="00B80617">
        <w:rPr>
          <w:color w:val="C00000"/>
          <w:szCs w:val="20"/>
          <w:u w:val="single"/>
        </w:rPr>
        <w:t>Current Testing</w:t>
      </w:r>
    </w:p>
    <w:p w14:paraId="0CABCFE6" w14:textId="23901C9D" w:rsidR="007422FD" w:rsidRDefault="007422FD" w:rsidP="00092566">
      <w:pPr>
        <w:autoSpaceDE w:val="0"/>
        <w:autoSpaceDN w:val="0"/>
        <w:adjustRightInd w:val="0"/>
        <w:spacing w:after="0" w:line="240" w:lineRule="auto"/>
        <w:rPr>
          <w:rFonts w:cstheme="minorHAnsi"/>
          <w:bCs/>
        </w:rPr>
      </w:pPr>
    </w:p>
    <w:p w14:paraId="789B0D82" w14:textId="77777777" w:rsidR="00E937EC" w:rsidRPr="00BE225D" w:rsidRDefault="00E937EC" w:rsidP="00E937EC">
      <w:pPr>
        <w:autoSpaceDE w:val="0"/>
        <w:autoSpaceDN w:val="0"/>
        <w:adjustRightInd w:val="0"/>
        <w:spacing w:after="0" w:line="240" w:lineRule="auto"/>
        <w:rPr>
          <w:rFonts w:cstheme="minorHAnsi"/>
          <w:bCs/>
          <w:color w:val="C00000"/>
        </w:rPr>
      </w:pPr>
      <w:r w:rsidRPr="00BE225D">
        <w:rPr>
          <w:rFonts w:cstheme="minorHAnsi"/>
          <w:bCs/>
          <w:color w:val="C00000"/>
        </w:rPr>
        <w:t>Not applicable</w:t>
      </w:r>
    </w:p>
    <w:p w14:paraId="6AA6733F" w14:textId="77777777" w:rsidR="00A422A6" w:rsidRDefault="00A422A6" w:rsidP="00092566">
      <w:pPr>
        <w:autoSpaceDE w:val="0"/>
        <w:autoSpaceDN w:val="0"/>
        <w:adjustRightInd w:val="0"/>
        <w:spacing w:after="0" w:line="240" w:lineRule="auto"/>
        <w:rPr>
          <w:rFonts w:cstheme="minorHAnsi"/>
          <w:bCs/>
        </w:rPr>
      </w:pPr>
    </w:p>
    <w:p w14:paraId="0CABCFE7" w14:textId="77777777" w:rsidR="00092566" w:rsidRPr="009D3882" w:rsidRDefault="00092566" w:rsidP="00092566">
      <w:pPr>
        <w:autoSpaceDE w:val="0"/>
        <w:autoSpaceDN w:val="0"/>
        <w:adjustRightInd w:val="0"/>
        <w:spacing w:after="0" w:line="240" w:lineRule="auto"/>
        <w:rPr>
          <w:rFonts w:cstheme="minorHAnsi"/>
          <w:bCs/>
          <w:sz w:val="12"/>
        </w:rPr>
      </w:pPr>
    </w:p>
    <w:p w14:paraId="1CFA080A" w14:textId="77777777" w:rsidR="00E8369E" w:rsidRPr="00B80617" w:rsidRDefault="00092566" w:rsidP="00E8369E">
      <w:pPr>
        <w:autoSpaceDE w:val="0"/>
        <w:autoSpaceDN w:val="0"/>
        <w:adjustRightInd w:val="0"/>
        <w:spacing w:after="0" w:line="240" w:lineRule="auto"/>
        <w:rPr>
          <w:color w:val="C00000"/>
          <w:szCs w:val="20"/>
          <w:u w:val="single"/>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r w:rsidR="00E8369E" w:rsidRPr="00B80617">
        <w:rPr>
          <w:color w:val="C00000"/>
          <w:szCs w:val="20"/>
          <w:u w:val="single"/>
        </w:rPr>
        <w:t>Current Testing</w:t>
      </w:r>
    </w:p>
    <w:p w14:paraId="0CABCFE8" w14:textId="63C955F0" w:rsidR="007422FD" w:rsidRDefault="007422FD" w:rsidP="00DB3627">
      <w:pPr>
        <w:autoSpaceDE w:val="0"/>
        <w:autoSpaceDN w:val="0"/>
        <w:adjustRightInd w:val="0"/>
        <w:spacing w:after="0" w:line="240" w:lineRule="auto"/>
        <w:rPr>
          <w:rFonts w:cstheme="minorHAnsi"/>
          <w:bCs/>
        </w:rPr>
      </w:pPr>
    </w:p>
    <w:p w14:paraId="34D8CBA4" w14:textId="77777777" w:rsidR="00E937EC" w:rsidRPr="00BE225D" w:rsidRDefault="00E937EC" w:rsidP="00E937EC">
      <w:pPr>
        <w:autoSpaceDE w:val="0"/>
        <w:autoSpaceDN w:val="0"/>
        <w:adjustRightInd w:val="0"/>
        <w:spacing w:after="0" w:line="240" w:lineRule="auto"/>
        <w:rPr>
          <w:rFonts w:cstheme="minorHAnsi"/>
          <w:bCs/>
          <w:color w:val="C00000"/>
        </w:rPr>
      </w:pPr>
      <w:r w:rsidRPr="00BE225D">
        <w:rPr>
          <w:rFonts w:cstheme="minorHAnsi"/>
          <w:bCs/>
          <w:color w:val="C00000"/>
        </w:rPr>
        <w:t>Not applicable</w:t>
      </w:r>
    </w:p>
    <w:p w14:paraId="3DF2B4F3" w14:textId="77777777" w:rsidR="00A422A6" w:rsidRPr="00A25024" w:rsidRDefault="00A422A6" w:rsidP="00DB3627">
      <w:pPr>
        <w:autoSpaceDE w:val="0"/>
        <w:autoSpaceDN w:val="0"/>
        <w:adjustRightInd w:val="0"/>
        <w:spacing w:after="0" w:line="240" w:lineRule="auto"/>
        <w:rPr>
          <w:rFonts w:cstheme="minorHAnsi"/>
          <w:bCs/>
        </w:rPr>
      </w:pP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19" w:name="section2b4"/>
      <w:bookmarkEnd w:id="19"/>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30D608A3" w:rsidR="00033038" w:rsidRPr="005232D6" w:rsidRDefault="00D10E4F"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A422A6">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777777" w:rsidR="00743E46" w:rsidRPr="005232D6" w:rsidRDefault="00D10E4F"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D10E4F"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D10E4F"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0A1E352E" w14:textId="19FC9761" w:rsidR="00AF2D68" w:rsidRDefault="00E8369E" w:rsidP="00E8369E">
      <w:pPr>
        <w:autoSpaceDE w:val="0"/>
        <w:autoSpaceDN w:val="0"/>
        <w:adjustRightInd w:val="0"/>
        <w:spacing w:after="0" w:line="240" w:lineRule="auto"/>
        <w:rPr>
          <w:color w:val="C00000"/>
          <w:szCs w:val="20"/>
          <w:u w:val="single"/>
        </w:rPr>
      </w:pPr>
      <w:r w:rsidRPr="00B80617">
        <w:rPr>
          <w:color w:val="C00000"/>
          <w:szCs w:val="20"/>
          <w:u w:val="single"/>
        </w:rPr>
        <w:t>Current Testing</w:t>
      </w:r>
    </w:p>
    <w:p w14:paraId="0A481219" w14:textId="77777777" w:rsidR="00E8369E" w:rsidRPr="00E8369E" w:rsidRDefault="00E8369E" w:rsidP="00E8369E">
      <w:pPr>
        <w:autoSpaceDE w:val="0"/>
        <w:autoSpaceDN w:val="0"/>
        <w:adjustRightInd w:val="0"/>
        <w:spacing w:after="0" w:line="240" w:lineRule="auto"/>
        <w:rPr>
          <w:color w:val="C00000"/>
          <w:szCs w:val="20"/>
          <w:u w:val="single"/>
        </w:rPr>
      </w:pPr>
    </w:p>
    <w:p w14:paraId="06EAC603" w14:textId="77777777" w:rsidR="00E937EC" w:rsidRPr="00BE225D" w:rsidRDefault="00E937EC" w:rsidP="00E937EC">
      <w:pPr>
        <w:autoSpaceDE w:val="0"/>
        <w:autoSpaceDN w:val="0"/>
        <w:adjustRightInd w:val="0"/>
        <w:spacing w:after="0" w:line="240" w:lineRule="auto"/>
        <w:rPr>
          <w:rFonts w:cstheme="minorHAnsi"/>
          <w:b/>
          <w:bCs/>
          <w:color w:val="C00000"/>
        </w:rPr>
      </w:pPr>
      <w:r w:rsidRPr="00BE225D">
        <w:rPr>
          <w:rFonts w:cstheme="minorHAnsi"/>
          <w:bCs/>
          <w:color w:val="C00000"/>
        </w:rPr>
        <w:t>Not applicable</w:t>
      </w:r>
    </w:p>
    <w:p w14:paraId="5F7CC1B4" w14:textId="77777777" w:rsidR="0067587A" w:rsidRDefault="0067587A" w:rsidP="009D3882">
      <w:pPr>
        <w:rPr>
          <w:rFonts w:cs="Calibri"/>
          <w:b/>
          <w:bCs/>
        </w:rPr>
      </w:pPr>
    </w:p>
    <w:p w14:paraId="2238F682" w14:textId="77777777" w:rsidR="0060221D" w:rsidRPr="00B80617" w:rsidRDefault="009C7513" w:rsidP="0060221D">
      <w:pPr>
        <w:autoSpaceDE w:val="0"/>
        <w:autoSpaceDN w:val="0"/>
        <w:adjustRightInd w:val="0"/>
        <w:spacing w:after="0" w:line="240" w:lineRule="auto"/>
        <w:rPr>
          <w:color w:val="C00000"/>
          <w:szCs w:val="20"/>
          <w:u w:val="single"/>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r w:rsidR="009D3882">
        <w:rPr>
          <w:rFonts w:cs="Calibri"/>
          <w:bCs/>
        </w:rPr>
        <w:br/>
      </w:r>
      <w:r w:rsidR="0060221D" w:rsidRPr="00B80617">
        <w:rPr>
          <w:color w:val="C00000"/>
          <w:szCs w:val="20"/>
          <w:u w:val="single"/>
        </w:rPr>
        <w:t>Current Testing</w:t>
      </w:r>
    </w:p>
    <w:p w14:paraId="0A593471" w14:textId="7E55AEF1" w:rsidR="0067587A" w:rsidRDefault="0067587A" w:rsidP="0067587A">
      <w:pPr>
        <w:autoSpaceDE w:val="0"/>
        <w:autoSpaceDN w:val="0"/>
        <w:adjustRightInd w:val="0"/>
        <w:spacing w:after="0" w:line="240" w:lineRule="auto"/>
        <w:rPr>
          <w:rFonts w:cstheme="minorHAnsi"/>
          <w:bCs/>
          <w:color w:val="002060"/>
        </w:rPr>
      </w:pPr>
    </w:p>
    <w:p w14:paraId="574A6D95" w14:textId="77777777" w:rsidR="00E937EC" w:rsidRPr="00BE225D" w:rsidRDefault="00E937EC" w:rsidP="00E937EC">
      <w:pPr>
        <w:autoSpaceDE w:val="0"/>
        <w:autoSpaceDN w:val="0"/>
        <w:adjustRightInd w:val="0"/>
        <w:spacing w:after="0" w:line="240" w:lineRule="auto"/>
        <w:rPr>
          <w:rFonts w:cstheme="minorHAnsi"/>
          <w:b/>
          <w:bCs/>
          <w:color w:val="C00000"/>
        </w:rPr>
      </w:pPr>
      <w:r w:rsidRPr="00BE225D">
        <w:rPr>
          <w:rFonts w:cstheme="minorHAnsi"/>
          <w:bCs/>
          <w:color w:val="C00000"/>
        </w:rPr>
        <w:t>Not applicable</w:t>
      </w:r>
    </w:p>
    <w:p w14:paraId="7C46737E" w14:textId="77777777" w:rsidR="00A422A6" w:rsidRPr="009D3882" w:rsidRDefault="00A422A6" w:rsidP="009D3882">
      <w:pPr>
        <w:rPr>
          <w:rFonts w:cstheme="minorHAnsi"/>
          <w:b/>
          <w:bCs/>
          <w:sz w:val="14"/>
        </w:rPr>
      </w:pPr>
    </w:p>
    <w:p w14:paraId="09EB02DB" w14:textId="77777777" w:rsidR="00E8369E" w:rsidRPr="00B80617" w:rsidRDefault="009C7513" w:rsidP="00E8369E">
      <w:pPr>
        <w:autoSpaceDE w:val="0"/>
        <w:autoSpaceDN w:val="0"/>
        <w:adjustRightInd w:val="0"/>
        <w:spacing w:after="0" w:line="240" w:lineRule="auto"/>
        <w:rPr>
          <w:color w:val="C00000"/>
          <w:szCs w:val="20"/>
          <w:u w:val="single"/>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 xml:space="preserve">re social risk factors added after all </w:t>
      </w:r>
      <w:r w:rsidR="00AF2D68">
        <w:rPr>
          <w:rFonts w:cstheme="minorHAnsi"/>
          <w:bCs/>
        </w:rPr>
        <w:lastRenderedPageBreak/>
        <w:t>clinical factors?</w:t>
      </w:r>
      <w:r w:rsidR="00092566" w:rsidRPr="00A25024">
        <w:rPr>
          <w:rFonts w:cstheme="minorHAnsi"/>
          <w:bCs/>
        </w:rPr>
        <w:br/>
      </w:r>
      <w:r w:rsidR="00E8369E" w:rsidRPr="00B80617">
        <w:rPr>
          <w:color w:val="C00000"/>
          <w:szCs w:val="20"/>
          <w:u w:val="single"/>
        </w:rPr>
        <w:t>Current Testing</w:t>
      </w:r>
    </w:p>
    <w:p w14:paraId="0CABCFF6" w14:textId="6759BA5D" w:rsidR="00001D73" w:rsidRDefault="00001D73" w:rsidP="00AF2D68">
      <w:pPr>
        <w:rPr>
          <w:rFonts w:cstheme="minorHAnsi"/>
          <w:bCs/>
          <w:sz w:val="4"/>
        </w:rPr>
      </w:pPr>
    </w:p>
    <w:p w14:paraId="184CC06D" w14:textId="77777777" w:rsidR="00E937EC" w:rsidRPr="00BE225D" w:rsidRDefault="00E937EC" w:rsidP="00E937EC">
      <w:pPr>
        <w:autoSpaceDE w:val="0"/>
        <w:autoSpaceDN w:val="0"/>
        <w:adjustRightInd w:val="0"/>
        <w:spacing w:after="0" w:line="240" w:lineRule="auto"/>
        <w:rPr>
          <w:rFonts w:cstheme="minorHAnsi"/>
          <w:b/>
          <w:bCs/>
          <w:color w:val="C00000"/>
        </w:rPr>
      </w:pPr>
      <w:r w:rsidRPr="00BE225D">
        <w:rPr>
          <w:rFonts w:cstheme="minorHAnsi"/>
          <w:bCs/>
          <w:color w:val="C00000"/>
        </w:rPr>
        <w:t>Not applicable</w:t>
      </w:r>
    </w:p>
    <w:p w14:paraId="784F7732" w14:textId="77777777" w:rsidR="00A422A6" w:rsidRPr="00AF2D68" w:rsidRDefault="00A422A6" w:rsidP="00AF2D68">
      <w:pPr>
        <w:rPr>
          <w:rFonts w:cstheme="minorHAnsi"/>
          <w:bCs/>
          <w:sz w:val="4"/>
        </w:rPr>
      </w:pP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D10E4F"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D10E4F"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D10E4F"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0FFB336E" w14:textId="77777777" w:rsidR="00E8369E" w:rsidRPr="00B80617" w:rsidRDefault="009C7513" w:rsidP="00E8369E">
      <w:pPr>
        <w:autoSpaceDE w:val="0"/>
        <w:autoSpaceDN w:val="0"/>
        <w:adjustRightInd w:val="0"/>
        <w:spacing w:after="0" w:line="240" w:lineRule="auto"/>
        <w:rPr>
          <w:color w:val="C00000"/>
          <w:szCs w:val="20"/>
          <w:u w:val="single"/>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r w:rsidR="00001D73">
        <w:rPr>
          <w:rFonts w:cstheme="minorHAnsi"/>
          <w:b/>
          <w:bCs/>
        </w:rPr>
        <w:br/>
      </w:r>
      <w:r w:rsidR="00E8369E" w:rsidRPr="00B80617">
        <w:rPr>
          <w:color w:val="C00000"/>
          <w:szCs w:val="20"/>
          <w:u w:val="single"/>
        </w:rPr>
        <w:t>Current Testing</w:t>
      </w:r>
    </w:p>
    <w:p w14:paraId="0CABCFF7" w14:textId="2FC0B979" w:rsidR="00092566" w:rsidRDefault="00092566" w:rsidP="00001D73">
      <w:pPr>
        <w:autoSpaceDE w:val="0"/>
        <w:autoSpaceDN w:val="0"/>
        <w:adjustRightInd w:val="0"/>
        <w:spacing w:after="0" w:line="240" w:lineRule="auto"/>
        <w:rPr>
          <w:rFonts w:cstheme="minorHAnsi"/>
          <w:b/>
          <w:bCs/>
        </w:rPr>
      </w:pPr>
    </w:p>
    <w:p w14:paraId="4AE26222" w14:textId="5C3B3FD8" w:rsidR="00A422A6" w:rsidRPr="00BE225D" w:rsidRDefault="00E937EC" w:rsidP="00A422A6">
      <w:pPr>
        <w:autoSpaceDE w:val="0"/>
        <w:autoSpaceDN w:val="0"/>
        <w:adjustRightInd w:val="0"/>
        <w:spacing w:after="0" w:line="240" w:lineRule="auto"/>
        <w:rPr>
          <w:rFonts w:cstheme="minorHAnsi"/>
          <w:b/>
          <w:bCs/>
          <w:color w:val="C00000"/>
        </w:rPr>
      </w:pPr>
      <w:r w:rsidRPr="00BE225D">
        <w:rPr>
          <w:rFonts w:cstheme="minorHAnsi"/>
          <w:bCs/>
          <w:color w:val="C00000"/>
        </w:rPr>
        <w:t>Not applicable</w:t>
      </w:r>
    </w:p>
    <w:p w14:paraId="0F982782" w14:textId="10A58B82" w:rsidR="00A422A6" w:rsidRDefault="00A422A6" w:rsidP="00001D73">
      <w:pPr>
        <w:autoSpaceDE w:val="0"/>
        <w:autoSpaceDN w:val="0"/>
        <w:adjustRightInd w:val="0"/>
        <w:spacing w:after="0" w:line="240" w:lineRule="auto"/>
        <w:rPr>
          <w:rFonts w:cstheme="minorHAnsi"/>
          <w:b/>
          <w:bCs/>
        </w:rPr>
      </w:pPr>
    </w:p>
    <w:p w14:paraId="39E5BC50" w14:textId="77777777" w:rsidR="00A422A6" w:rsidRDefault="00A422A6" w:rsidP="00001D73">
      <w:pPr>
        <w:autoSpaceDE w:val="0"/>
        <w:autoSpaceDN w:val="0"/>
        <w:adjustRightInd w:val="0"/>
        <w:spacing w:after="0" w:line="240" w:lineRule="auto"/>
        <w:rPr>
          <w:rFonts w:cstheme="minorHAnsi"/>
          <w:b/>
          <w:bCs/>
        </w:rPr>
      </w:pPr>
    </w:p>
    <w:p w14:paraId="0CABCFF8" w14:textId="350A0D85" w:rsidR="00001D73" w:rsidRPr="00CE284E"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1E13EF30" w14:textId="77777777" w:rsidR="00E8369E" w:rsidRPr="00B80617" w:rsidRDefault="00E8369E" w:rsidP="00E8369E">
      <w:pPr>
        <w:autoSpaceDE w:val="0"/>
        <w:autoSpaceDN w:val="0"/>
        <w:adjustRightInd w:val="0"/>
        <w:spacing w:after="0" w:line="240" w:lineRule="auto"/>
        <w:rPr>
          <w:color w:val="C00000"/>
          <w:szCs w:val="20"/>
          <w:u w:val="single"/>
        </w:rPr>
      </w:pPr>
      <w:r w:rsidRPr="00B80617">
        <w:rPr>
          <w:color w:val="C00000"/>
          <w:szCs w:val="20"/>
          <w:u w:val="single"/>
        </w:rPr>
        <w:t>Current Testing</w:t>
      </w:r>
    </w:p>
    <w:p w14:paraId="0CABCFF9" w14:textId="23E27C57" w:rsidR="00C1695E" w:rsidRDefault="00C1695E" w:rsidP="00001D73">
      <w:pPr>
        <w:autoSpaceDE w:val="0"/>
        <w:autoSpaceDN w:val="0"/>
        <w:adjustRightInd w:val="0"/>
        <w:spacing w:after="0" w:line="240" w:lineRule="auto"/>
        <w:rPr>
          <w:rFonts w:cstheme="minorHAnsi"/>
          <w:b/>
          <w:bCs/>
        </w:rPr>
      </w:pPr>
    </w:p>
    <w:p w14:paraId="5F3C9AAA" w14:textId="77777777" w:rsidR="00E937EC" w:rsidRPr="00BE225D" w:rsidRDefault="00E937EC" w:rsidP="00E937EC">
      <w:pPr>
        <w:autoSpaceDE w:val="0"/>
        <w:autoSpaceDN w:val="0"/>
        <w:adjustRightInd w:val="0"/>
        <w:spacing w:after="0" w:line="240" w:lineRule="auto"/>
        <w:rPr>
          <w:rFonts w:cstheme="minorHAnsi"/>
          <w:b/>
          <w:bCs/>
          <w:color w:val="C00000"/>
        </w:rPr>
      </w:pPr>
      <w:r w:rsidRPr="00BE225D">
        <w:rPr>
          <w:rFonts w:cstheme="minorHAnsi"/>
          <w:bCs/>
          <w:color w:val="C00000"/>
        </w:rPr>
        <w:t>Not applicable</w:t>
      </w:r>
    </w:p>
    <w:p w14:paraId="42C8CBEE" w14:textId="77777777" w:rsidR="00A422A6" w:rsidRPr="00001D73" w:rsidRDefault="00A422A6" w:rsidP="00001D73">
      <w:pPr>
        <w:autoSpaceDE w:val="0"/>
        <w:autoSpaceDN w:val="0"/>
        <w:adjustRightInd w:val="0"/>
        <w:spacing w:after="0" w:line="240" w:lineRule="auto"/>
        <w:rPr>
          <w:rFonts w:cstheme="minorHAnsi"/>
          <w:b/>
          <w:bCs/>
        </w:rPr>
      </w:pPr>
    </w:p>
    <w:p w14:paraId="6C54A682" w14:textId="77777777" w:rsidR="00E8369E" w:rsidRPr="00B80617" w:rsidRDefault="009C7513" w:rsidP="00E8369E">
      <w:pPr>
        <w:autoSpaceDE w:val="0"/>
        <w:autoSpaceDN w:val="0"/>
        <w:adjustRightInd w:val="0"/>
        <w:spacing w:after="0" w:line="240" w:lineRule="auto"/>
        <w:rPr>
          <w:color w:val="C00000"/>
          <w:szCs w:val="20"/>
          <w:u w:val="single"/>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r w:rsidR="00E8369E" w:rsidRPr="00B80617">
        <w:rPr>
          <w:color w:val="C00000"/>
          <w:szCs w:val="20"/>
          <w:u w:val="single"/>
        </w:rPr>
        <w:t>Current Testing</w:t>
      </w:r>
    </w:p>
    <w:p w14:paraId="0CABCFFA" w14:textId="6137829A" w:rsidR="00092566" w:rsidRDefault="00092566" w:rsidP="00092566">
      <w:pPr>
        <w:autoSpaceDE w:val="0"/>
        <w:autoSpaceDN w:val="0"/>
        <w:adjustRightInd w:val="0"/>
        <w:spacing w:after="0" w:line="240" w:lineRule="auto"/>
        <w:rPr>
          <w:rFonts w:cstheme="minorHAnsi"/>
          <w:bCs/>
        </w:rPr>
      </w:pPr>
    </w:p>
    <w:p w14:paraId="2F47F18F" w14:textId="77777777" w:rsidR="00E937EC" w:rsidRPr="00BE225D" w:rsidRDefault="00E937EC" w:rsidP="00E937EC">
      <w:pPr>
        <w:autoSpaceDE w:val="0"/>
        <w:autoSpaceDN w:val="0"/>
        <w:adjustRightInd w:val="0"/>
        <w:spacing w:after="0" w:line="240" w:lineRule="auto"/>
        <w:rPr>
          <w:rFonts w:cstheme="minorHAnsi"/>
          <w:b/>
          <w:bCs/>
          <w:color w:val="C00000"/>
        </w:rPr>
      </w:pPr>
      <w:r w:rsidRPr="00BE225D">
        <w:rPr>
          <w:rFonts w:cstheme="minorHAnsi"/>
          <w:bCs/>
          <w:color w:val="C00000"/>
        </w:rPr>
        <w:t>Not applicable</w:t>
      </w:r>
    </w:p>
    <w:p w14:paraId="299A2CBB" w14:textId="007A4A08" w:rsidR="00A422A6" w:rsidRDefault="00A422A6" w:rsidP="00092566">
      <w:pPr>
        <w:autoSpaceDE w:val="0"/>
        <w:autoSpaceDN w:val="0"/>
        <w:adjustRightInd w:val="0"/>
        <w:spacing w:after="0" w:line="240" w:lineRule="auto"/>
        <w:rPr>
          <w:rFonts w:cstheme="minorHAnsi"/>
          <w:bCs/>
        </w:rPr>
      </w:pPr>
    </w:p>
    <w:p w14:paraId="6E76D052" w14:textId="77777777" w:rsidR="00A422A6" w:rsidRPr="00A25024" w:rsidRDefault="00A422A6" w:rsidP="00092566">
      <w:pPr>
        <w:autoSpaceDE w:val="0"/>
        <w:autoSpaceDN w:val="0"/>
        <w:adjustRightInd w:val="0"/>
        <w:spacing w:after="0" w:line="240" w:lineRule="auto"/>
        <w:rPr>
          <w:rFonts w:cstheme="minorHAnsi"/>
          <w:bCs/>
        </w:rPr>
      </w:pPr>
    </w:p>
    <w:p w14:paraId="0CABCFFB" w14:textId="78FCA6D3"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w:t>
      </w:r>
      <w:r w:rsidR="00092566" w:rsidRPr="00E937EC">
        <w:rPr>
          <w:rFonts w:cstheme="minorHAnsi"/>
          <w:bCs/>
          <w:i/>
        </w:rPr>
        <w:t>characteristics (case mix)</w:t>
      </w:r>
      <w:r w:rsidRPr="00E937EC">
        <w:rPr>
          <w:rFonts w:cstheme="minorHAnsi"/>
          <w:bCs/>
          <w:i/>
        </w:rPr>
        <w:t xml:space="preserve"> below</w:t>
      </w:r>
      <w:r w:rsidRPr="00E937EC">
        <w:rPr>
          <w:rFonts w:cstheme="minorHAnsi"/>
          <w:bCs/>
        </w:rPr>
        <w:t>.</w:t>
      </w:r>
      <w:r w:rsidR="00092566" w:rsidRPr="00E937EC">
        <w:rPr>
          <w:rFonts w:cstheme="minorHAnsi"/>
          <w:bCs/>
        </w:rPr>
        <w:br/>
      </w:r>
      <w:r w:rsidR="001F7A20" w:rsidRPr="00E937EC">
        <w:rPr>
          <w:rFonts w:cstheme="minorHAnsi"/>
          <w:b/>
          <w:bCs/>
          <w:i/>
        </w:rPr>
        <w:t>If</w:t>
      </w:r>
      <w:r w:rsidR="00743E46" w:rsidRPr="00E937EC">
        <w:rPr>
          <w:rFonts w:cstheme="minorHAnsi"/>
          <w:b/>
          <w:bCs/>
          <w:i/>
        </w:rPr>
        <w:t xml:space="preserve"> stratified, skip to </w:t>
      </w:r>
      <w:hyperlink w:anchor="question2b49" w:history="1">
        <w:r w:rsidR="009C7513" w:rsidRPr="00E937EC">
          <w:rPr>
            <w:rStyle w:val="Hyperlink"/>
            <w:rFonts w:cstheme="minorHAnsi"/>
            <w:b/>
            <w:bCs/>
            <w:i/>
          </w:rPr>
          <w:t>2b3.9</w:t>
        </w:r>
      </w:hyperlink>
    </w:p>
    <w:p w14:paraId="0CABCFFC" w14:textId="77777777" w:rsidR="00743E46" w:rsidRDefault="00743E46" w:rsidP="00092566">
      <w:pPr>
        <w:autoSpaceDE w:val="0"/>
        <w:autoSpaceDN w:val="0"/>
        <w:adjustRightInd w:val="0"/>
        <w:spacing w:after="0" w:line="240" w:lineRule="auto"/>
        <w:rPr>
          <w:rFonts w:cstheme="minorHAnsi"/>
          <w:b/>
          <w:bCs/>
        </w:rPr>
      </w:pPr>
    </w:p>
    <w:p w14:paraId="431A28E5" w14:textId="77777777" w:rsidR="00E8369E" w:rsidRPr="00B80617" w:rsidRDefault="00743E46" w:rsidP="00E8369E">
      <w:pPr>
        <w:autoSpaceDE w:val="0"/>
        <w:autoSpaceDN w:val="0"/>
        <w:adjustRightInd w:val="0"/>
        <w:spacing w:after="0" w:line="240" w:lineRule="auto"/>
        <w:rPr>
          <w:color w:val="C00000"/>
          <w:szCs w:val="20"/>
          <w:u w:val="single"/>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r w:rsidR="00E8369E" w:rsidRPr="00B80617">
        <w:rPr>
          <w:color w:val="C00000"/>
          <w:szCs w:val="20"/>
          <w:u w:val="single"/>
        </w:rPr>
        <w:t>Current Testing</w:t>
      </w:r>
    </w:p>
    <w:p w14:paraId="0CABCFFD" w14:textId="6AA1491A" w:rsidR="00001D73" w:rsidRDefault="00001D73" w:rsidP="00092566">
      <w:pPr>
        <w:autoSpaceDE w:val="0"/>
        <w:autoSpaceDN w:val="0"/>
        <w:adjustRightInd w:val="0"/>
        <w:spacing w:after="0" w:line="240" w:lineRule="auto"/>
        <w:rPr>
          <w:rFonts w:cstheme="minorHAnsi"/>
          <w:b/>
          <w:bCs/>
        </w:rPr>
      </w:pPr>
    </w:p>
    <w:p w14:paraId="04A4F268" w14:textId="77777777" w:rsidR="00E937EC" w:rsidRPr="00BE225D" w:rsidRDefault="00E937EC" w:rsidP="00E937EC">
      <w:pPr>
        <w:autoSpaceDE w:val="0"/>
        <w:autoSpaceDN w:val="0"/>
        <w:adjustRightInd w:val="0"/>
        <w:spacing w:after="0" w:line="240" w:lineRule="auto"/>
        <w:rPr>
          <w:rFonts w:cstheme="minorHAnsi"/>
          <w:b/>
          <w:bCs/>
          <w:color w:val="C00000"/>
        </w:rPr>
      </w:pPr>
      <w:r w:rsidRPr="00BE225D">
        <w:rPr>
          <w:rFonts w:cstheme="minorHAnsi"/>
          <w:bCs/>
          <w:color w:val="C00000"/>
        </w:rPr>
        <w:t>Not applicable</w:t>
      </w:r>
    </w:p>
    <w:p w14:paraId="0779854B" w14:textId="77777777" w:rsidR="00A422A6" w:rsidRPr="00001D73" w:rsidRDefault="00A422A6" w:rsidP="00092566">
      <w:pPr>
        <w:autoSpaceDE w:val="0"/>
        <w:autoSpaceDN w:val="0"/>
        <w:adjustRightInd w:val="0"/>
        <w:spacing w:after="0" w:line="240" w:lineRule="auto"/>
        <w:rPr>
          <w:rFonts w:cstheme="minorHAnsi"/>
          <w:b/>
          <w:bCs/>
        </w:rPr>
      </w:pPr>
    </w:p>
    <w:p w14:paraId="2E003BBE" w14:textId="77777777" w:rsidR="00E8369E" w:rsidRPr="00B80617" w:rsidRDefault="009C7513" w:rsidP="00E8369E">
      <w:pPr>
        <w:autoSpaceDE w:val="0"/>
        <w:autoSpaceDN w:val="0"/>
        <w:adjustRightInd w:val="0"/>
        <w:spacing w:after="0" w:line="240" w:lineRule="auto"/>
        <w:rPr>
          <w:color w:val="C00000"/>
          <w:szCs w:val="20"/>
          <w:u w:val="single"/>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sidR="00E8369E" w:rsidRPr="00B80617">
        <w:rPr>
          <w:color w:val="C00000"/>
          <w:szCs w:val="20"/>
          <w:u w:val="single"/>
        </w:rPr>
        <w:t>Current Testing</w:t>
      </w:r>
    </w:p>
    <w:p w14:paraId="0CABCFFE" w14:textId="0254E7CB" w:rsidR="00001D73" w:rsidRDefault="00001D73" w:rsidP="00092566">
      <w:pPr>
        <w:autoSpaceDE w:val="0"/>
        <w:autoSpaceDN w:val="0"/>
        <w:adjustRightInd w:val="0"/>
        <w:spacing w:after="0" w:line="240" w:lineRule="auto"/>
        <w:rPr>
          <w:rFonts w:cstheme="minorHAnsi"/>
          <w:b/>
          <w:bCs/>
        </w:rPr>
      </w:pPr>
    </w:p>
    <w:p w14:paraId="13F2FB80" w14:textId="77777777" w:rsidR="00E937EC" w:rsidRPr="00BE225D" w:rsidRDefault="00E937EC" w:rsidP="00E937EC">
      <w:pPr>
        <w:autoSpaceDE w:val="0"/>
        <w:autoSpaceDN w:val="0"/>
        <w:adjustRightInd w:val="0"/>
        <w:spacing w:after="0" w:line="240" w:lineRule="auto"/>
        <w:rPr>
          <w:rFonts w:cstheme="minorHAnsi"/>
          <w:b/>
          <w:bCs/>
          <w:color w:val="C00000"/>
        </w:rPr>
      </w:pPr>
      <w:r w:rsidRPr="00BE225D">
        <w:rPr>
          <w:rFonts w:cstheme="minorHAnsi"/>
          <w:bCs/>
          <w:color w:val="C00000"/>
        </w:rPr>
        <w:t>Not applicable</w:t>
      </w:r>
    </w:p>
    <w:p w14:paraId="0E4CFF4A" w14:textId="5EB782CB" w:rsidR="00A422A6" w:rsidRDefault="00A422A6" w:rsidP="00092566">
      <w:pPr>
        <w:autoSpaceDE w:val="0"/>
        <w:autoSpaceDN w:val="0"/>
        <w:adjustRightInd w:val="0"/>
        <w:spacing w:after="0" w:line="240" w:lineRule="auto"/>
        <w:rPr>
          <w:rFonts w:cstheme="minorHAnsi"/>
          <w:b/>
          <w:bCs/>
        </w:rPr>
      </w:pPr>
    </w:p>
    <w:p w14:paraId="412192C4" w14:textId="77777777" w:rsidR="00A422A6" w:rsidRDefault="00A422A6" w:rsidP="00092566">
      <w:pPr>
        <w:autoSpaceDE w:val="0"/>
        <w:autoSpaceDN w:val="0"/>
        <w:adjustRightInd w:val="0"/>
        <w:spacing w:after="0" w:line="240" w:lineRule="auto"/>
        <w:rPr>
          <w:rFonts w:cstheme="minorHAnsi"/>
          <w:b/>
          <w:bCs/>
        </w:rPr>
      </w:pPr>
    </w:p>
    <w:p w14:paraId="5BA56B4D" w14:textId="77777777" w:rsidR="00E8369E" w:rsidRPr="00B80617" w:rsidRDefault="009C7513" w:rsidP="00E8369E">
      <w:pPr>
        <w:autoSpaceDE w:val="0"/>
        <w:autoSpaceDN w:val="0"/>
        <w:adjustRightInd w:val="0"/>
        <w:spacing w:after="0" w:line="240" w:lineRule="auto"/>
        <w:rPr>
          <w:color w:val="C00000"/>
          <w:szCs w:val="20"/>
          <w:u w:val="single"/>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r w:rsidR="00E8369E" w:rsidRPr="00B80617">
        <w:rPr>
          <w:color w:val="C00000"/>
          <w:szCs w:val="20"/>
          <w:u w:val="single"/>
        </w:rPr>
        <w:t>Current Testing</w:t>
      </w:r>
    </w:p>
    <w:p w14:paraId="0CABCFFF" w14:textId="339C73B0" w:rsidR="00743E46" w:rsidRDefault="00743E46" w:rsidP="00092566">
      <w:pPr>
        <w:autoSpaceDE w:val="0"/>
        <w:autoSpaceDN w:val="0"/>
        <w:adjustRightInd w:val="0"/>
        <w:spacing w:after="0" w:line="240" w:lineRule="auto"/>
        <w:rPr>
          <w:rFonts w:cstheme="minorHAnsi"/>
          <w:b/>
        </w:rPr>
      </w:pPr>
    </w:p>
    <w:p w14:paraId="07C4C517" w14:textId="77777777" w:rsidR="00E937EC" w:rsidRPr="00BE225D" w:rsidRDefault="00E937EC" w:rsidP="00E937EC">
      <w:pPr>
        <w:autoSpaceDE w:val="0"/>
        <w:autoSpaceDN w:val="0"/>
        <w:adjustRightInd w:val="0"/>
        <w:spacing w:after="0" w:line="240" w:lineRule="auto"/>
        <w:rPr>
          <w:rFonts w:cstheme="minorHAnsi"/>
          <w:b/>
          <w:bCs/>
          <w:color w:val="C00000"/>
        </w:rPr>
      </w:pPr>
      <w:r w:rsidRPr="00BE225D">
        <w:rPr>
          <w:rFonts w:cstheme="minorHAnsi"/>
          <w:bCs/>
          <w:color w:val="C00000"/>
        </w:rPr>
        <w:t>Not applicable</w:t>
      </w:r>
    </w:p>
    <w:p w14:paraId="140EE55B" w14:textId="3F00B435" w:rsidR="00A422A6" w:rsidRDefault="00A422A6" w:rsidP="00092566">
      <w:pPr>
        <w:autoSpaceDE w:val="0"/>
        <w:autoSpaceDN w:val="0"/>
        <w:adjustRightInd w:val="0"/>
        <w:spacing w:after="0" w:line="240" w:lineRule="auto"/>
        <w:rPr>
          <w:rFonts w:cstheme="minorHAnsi"/>
          <w:b/>
        </w:rPr>
      </w:pPr>
    </w:p>
    <w:p w14:paraId="190E328B" w14:textId="77777777" w:rsidR="00A422A6" w:rsidRDefault="00A422A6" w:rsidP="00092566">
      <w:pPr>
        <w:autoSpaceDE w:val="0"/>
        <w:autoSpaceDN w:val="0"/>
        <w:adjustRightInd w:val="0"/>
        <w:spacing w:after="0" w:line="240" w:lineRule="auto"/>
        <w:rPr>
          <w:rFonts w:cstheme="minorHAnsi"/>
          <w:b/>
        </w:rPr>
      </w:pPr>
    </w:p>
    <w:p w14:paraId="0CABD000" w14:textId="2277C090" w:rsidR="00092566" w:rsidRPr="00A25024" w:rsidRDefault="009C7513" w:rsidP="00092566">
      <w:pPr>
        <w:autoSpaceDE w:val="0"/>
        <w:autoSpaceDN w:val="0"/>
        <w:adjustRightInd w:val="0"/>
        <w:spacing w:after="0" w:line="240" w:lineRule="auto"/>
        <w:rPr>
          <w:rFonts w:cstheme="minorHAnsi"/>
          <w:bCs/>
        </w:rPr>
      </w:pPr>
      <w:bookmarkStart w:id="20" w:name="question2b49"/>
      <w:bookmarkEnd w:id="20"/>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71EFF1BA" w14:textId="583C3351" w:rsidR="00A422A6" w:rsidRDefault="00E8369E" w:rsidP="00E8369E">
      <w:pPr>
        <w:autoSpaceDE w:val="0"/>
        <w:autoSpaceDN w:val="0"/>
        <w:adjustRightInd w:val="0"/>
        <w:spacing w:after="0" w:line="240" w:lineRule="auto"/>
        <w:rPr>
          <w:color w:val="C00000"/>
          <w:szCs w:val="20"/>
          <w:u w:val="single"/>
        </w:rPr>
      </w:pPr>
      <w:r w:rsidRPr="00B80617">
        <w:rPr>
          <w:color w:val="C00000"/>
          <w:szCs w:val="20"/>
          <w:u w:val="single"/>
        </w:rPr>
        <w:t>Current Testing</w:t>
      </w:r>
    </w:p>
    <w:p w14:paraId="18899C05" w14:textId="77777777" w:rsidR="00E8369E" w:rsidRPr="00E8369E" w:rsidRDefault="00E8369E" w:rsidP="00E8369E">
      <w:pPr>
        <w:autoSpaceDE w:val="0"/>
        <w:autoSpaceDN w:val="0"/>
        <w:adjustRightInd w:val="0"/>
        <w:spacing w:after="0" w:line="240" w:lineRule="auto"/>
        <w:rPr>
          <w:color w:val="C00000"/>
          <w:szCs w:val="20"/>
          <w:u w:val="single"/>
        </w:rPr>
      </w:pPr>
    </w:p>
    <w:p w14:paraId="60499812" w14:textId="77777777" w:rsidR="00E937EC" w:rsidRPr="00BE225D" w:rsidRDefault="00E937EC" w:rsidP="00E937EC">
      <w:pPr>
        <w:autoSpaceDE w:val="0"/>
        <w:autoSpaceDN w:val="0"/>
        <w:adjustRightInd w:val="0"/>
        <w:spacing w:after="0" w:line="240" w:lineRule="auto"/>
        <w:rPr>
          <w:rFonts w:cstheme="minorHAnsi"/>
          <w:b/>
          <w:bCs/>
          <w:color w:val="C00000"/>
        </w:rPr>
      </w:pPr>
      <w:r w:rsidRPr="00BE225D">
        <w:rPr>
          <w:rFonts w:cstheme="minorHAnsi"/>
          <w:bCs/>
          <w:color w:val="C00000"/>
        </w:rPr>
        <w:t>Not applicable</w:t>
      </w:r>
    </w:p>
    <w:p w14:paraId="0E97A526" w14:textId="77777777" w:rsidR="00A422A6" w:rsidRPr="00A422A6" w:rsidRDefault="00A422A6" w:rsidP="00A422A6">
      <w:pPr>
        <w:rPr>
          <w:rFonts w:cstheme="minorHAnsi"/>
          <w:bCs/>
        </w:rPr>
      </w:pPr>
    </w:p>
    <w:p w14:paraId="72332D60" w14:textId="77777777" w:rsidR="00E8369E" w:rsidRPr="00B80617" w:rsidRDefault="009C7513" w:rsidP="00E8369E">
      <w:pPr>
        <w:autoSpaceDE w:val="0"/>
        <w:autoSpaceDN w:val="0"/>
        <w:adjustRightInd w:val="0"/>
        <w:spacing w:after="0" w:line="240" w:lineRule="auto"/>
        <w:rPr>
          <w:color w:val="C00000"/>
          <w:szCs w:val="20"/>
          <w:u w:val="single"/>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r w:rsidR="00E8369E" w:rsidRPr="00B80617">
        <w:rPr>
          <w:color w:val="C00000"/>
          <w:szCs w:val="20"/>
          <w:u w:val="single"/>
        </w:rPr>
        <w:t>Current Testing</w:t>
      </w:r>
    </w:p>
    <w:p w14:paraId="0CABD002" w14:textId="35305BFC" w:rsidR="00092566" w:rsidRPr="00A25024" w:rsidRDefault="00092566" w:rsidP="00092566">
      <w:pPr>
        <w:autoSpaceDE w:val="0"/>
        <w:autoSpaceDN w:val="0"/>
        <w:adjustRightInd w:val="0"/>
        <w:spacing w:after="0" w:line="240" w:lineRule="auto"/>
        <w:rPr>
          <w:rFonts w:cstheme="minorHAnsi"/>
          <w:bCs/>
        </w:rPr>
      </w:pPr>
    </w:p>
    <w:p w14:paraId="5BF841FB" w14:textId="77777777" w:rsidR="00E937EC" w:rsidRPr="00BE225D" w:rsidRDefault="00E937EC" w:rsidP="00E937EC">
      <w:pPr>
        <w:autoSpaceDE w:val="0"/>
        <w:autoSpaceDN w:val="0"/>
        <w:adjustRightInd w:val="0"/>
        <w:spacing w:after="0" w:line="240" w:lineRule="auto"/>
        <w:rPr>
          <w:rFonts w:cstheme="minorHAnsi"/>
          <w:b/>
          <w:bCs/>
          <w:color w:val="C00000"/>
        </w:rPr>
      </w:pPr>
      <w:r w:rsidRPr="00BE225D">
        <w:rPr>
          <w:rFonts w:cstheme="minorHAnsi"/>
          <w:bCs/>
          <w:color w:val="C00000"/>
        </w:rPr>
        <w:t>Not applicable</w:t>
      </w:r>
    </w:p>
    <w:p w14:paraId="0CABD003" w14:textId="00077C9C" w:rsidR="00092566" w:rsidRDefault="00092566" w:rsidP="00092566">
      <w:pPr>
        <w:spacing w:after="0" w:line="240" w:lineRule="auto"/>
        <w:rPr>
          <w:rFonts w:cstheme="minorHAnsi"/>
        </w:rPr>
      </w:pPr>
    </w:p>
    <w:p w14:paraId="3A440CBF" w14:textId="77777777" w:rsidR="00A422A6" w:rsidRPr="00A25024" w:rsidRDefault="00A422A6" w:rsidP="00092566">
      <w:pPr>
        <w:spacing w:after="0" w:line="240" w:lineRule="auto"/>
        <w:rPr>
          <w:rFonts w:cstheme="minorHAnsi"/>
        </w:rPr>
      </w:pPr>
    </w:p>
    <w:p w14:paraId="75D6C58E" w14:textId="30B0EB8E" w:rsidR="0067587A" w:rsidRPr="00E937EC" w:rsidRDefault="009C7513" w:rsidP="00E937EC">
      <w:pPr>
        <w:spacing w:after="0" w:line="240" w:lineRule="auto"/>
        <w:rPr>
          <w:rFonts w:cstheme="minorHAnsi"/>
        </w:rPr>
      </w:pPr>
      <w:r w:rsidRPr="00E937EC">
        <w:rPr>
          <w:rFonts w:cstheme="minorHAnsi"/>
          <w:b/>
        </w:rPr>
        <w:t>2b3</w:t>
      </w:r>
      <w:r w:rsidR="009B1A15" w:rsidRPr="00E937EC">
        <w:rPr>
          <w:rFonts w:cstheme="minorHAnsi"/>
          <w:b/>
        </w:rPr>
        <w:t>.11.</w:t>
      </w:r>
      <w:r w:rsidR="009B1A15" w:rsidRPr="00E937EC">
        <w:rPr>
          <w:rFonts w:cstheme="minorHAnsi"/>
        </w:rPr>
        <w:t xml:space="preserve"> </w:t>
      </w:r>
      <w:r w:rsidR="00092566" w:rsidRPr="00E937EC">
        <w:rPr>
          <w:rFonts w:cstheme="minorHAnsi"/>
          <w:b/>
        </w:rPr>
        <w:t>Optional</w:t>
      </w:r>
      <w:r w:rsidR="009B1A15" w:rsidRPr="00E937EC">
        <w:rPr>
          <w:rFonts w:cstheme="minorHAnsi"/>
          <w:b/>
        </w:rPr>
        <w:t xml:space="preserve"> Additional Testing</w:t>
      </w:r>
      <w:r w:rsidR="004756E1" w:rsidRPr="00E937EC">
        <w:rPr>
          <w:rFonts w:cstheme="minorHAnsi"/>
          <w:b/>
        </w:rPr>
        <w:t xml:space="preserve"> for Risk Adjustment</w:t>
      </w:r>
      <w:r w:rsidR="00092566" w:rsidRPr="00E937EC">
        <w:rPr>
          <w:rFonts w:cstheme="minorHAnsi"/>
          <w:b/>
        </w:rPr>
        <w:t xml:space="preserve"> </w:t>
      </w:r>
      <w:r w:rsidR="00092566" w:rsidRPr="00E937EC">
        <w:rPr>
          <w:rFonts w:cstheme="minorHAnsi"/>
        </w:rPr>
        <w:t>(</w:t>
      </w:r>
      <w:r w:rsidR="00092566" w:rsidRPr="00E937EC">
        <w:rPr>
          <w:rFonts w:cstheme="minorHAnsi"/>
          <w:i/>
          <w:u w:val="single"/>
        </w:rPr>
        <w:t>not required</w:t>
      </w:r>
      <w:r w:rsidR="00092566" w:rsidRPr="00E937EC">
        <w:rPr>
          <w:rFonts w:cstheme="minorHAnsi"/>
          <w:i/>
        </w:rPr>
        <w:t>, but would provide additional support of adequacy of risk model</w:t>
      </w:r>
      <w:r w:rsidR="009B1A15" w:rsidRPr="00E937EC">
        <w:rPr>
          <w:rFonts w:cstheme="minorHAnsi"/>
          <w:i/>
        </w:rPr>
        <w:t>, e.g., testing of risk model in another data se</w:t>
      </w:r>
      <w:r w:rsidR="002408E4" w:rsidRPr="00E937EC">
        <w:rPr>
          <w:rFonts w:cstheme="minorHAnsi"/>
          <w:i/>
        </w:rPr>
        <w:t>t</w:t>
      </w:r>
      <w:r w:rsidR="009B1A15" w:rsidRPr="00E937EC">
        <w:rPr>
          <w:rFonts w:cstheme="minorHAnsi"/>
          <w:i/>
        </w:rPr>
        <w:t>; sensitivity analysis for missing data</w:t>
      </w:r>
      <w:r w:rsidR="002408E4" w:rsidRPr="00E937EC">
        <w:rPr>
          <w:rFonts w:cstheme="minorHAnsi"/>
          <w:i/>
        </w:rPr>
        <w:t>;</w:t>
      </w:r>
      <w:r w:rsidR="009B1A15" w:rsidRPr="00E937EC">
        <w:rPr>
          <w:rFonts w:cstheme="minorHAnsi"/>
          <w:i/>
        </w:rPr>
        <w:t xml:space="preserve"> other methods</w:t>
      </w:r>
      <w:r w:rsidR="008F7E67" w:rsidRPr="00E937EC">
        <w:rPr>
          <w:rFonts w:cstheme="minorHAnsi"/>
          <w:i/>
        </w:rPr>
        <w:t xml:space="preserve"> that were assessed</w:t>
      </w:r>
      <w:r w:rsidR="009B1A15" w:rsidRPr="00E937EC">
        <w:rPr>
          <w:rFonts w:cstheme="minorHAnsi"/>
        </w:rPr>
        <w:t>)</w:t>
      </w:r>
    </w:p>
    <w:p w14:paraId="3D203F66" w14:textId="77777777" w:rsidR="0067587A" w:rsidRDefault="0067587A" w:rsidP="00A422A6">
      <w:pPr>
        <w:autoSpaceDE w:val="0"/>
        <w:autoSpaceDN w:val="0"/>
        <w:adjustRightInd w:val="0"/>
        <w:spacing w:after="0" w:line="240" w:lineRule="auto"/>
        <w:rPr>
          <w:rFonts w:cstheme="minorHAnsi"/>
          <w:bCs/>
          <w:color w:val="C00000"/>
        </w:rPr>
      </w:pPr>
    </w:p>
    <w:p w14:paraId="3C8115ED" w14:textId="77777777" w:rsidR="00E8369E" w:rsidRPr="00B80617" w:rsidRDefault="00E8369E" w:rsidP="00E8369E">
      <w:pPr>
        <w:autoSpaceDE w:val="0"/>
        <w:autoSpaceDN w:val="0"/>
        <w:adjustRightInd w:val="0"/>
        <w:spacing w:after="0" w:line="240" w:lineRule="auto"/>
        <w:rPr>
          <w:color w:val="C00000"/>
          <w:szCs w:val="20"/>
          <w:u w:val="single"/>
        </w:rPr>
      </w:pPr>
      <w:r w:rsidRPr="00B80617">
        <w:rPr>
          <w:color w:val="C00000"/>
          <w:szCs w:val="20"/>
          <w:u w:val="single"/>
        </w:rPr>
        <w:t>Current Testing</w:t>
      </w:r>
    </w:p>
    <w:p w14:paraId="579966EA" w14:textId="77777777" w:rsidR="00E8369E" w:rsidRDefault="00E8369E" w:rsidP="00A422A6">
      <w:pPr>
        <w:autoSpaceDE w:val="0"/>
        <w:autoSpaceDN w:val="0"/>
        <w:adjustRightInd w:val="0"/>
        <w:spacing w:after="0" w:line="240" w:lineRule="auto"/>
        <w:rPr>
          <w:rFonts w:cstheme="minorHAnsi"/>
          <w:bCs/>
          <w:color w:val="C00000"/>
        </w:rPr>
      </w:pPr>
    </w:p>
    <w:p w14:paraId="76D81AA2" w14:textId="52B3D258" w:rsidR="00A422A6" w:rsidRPr="00BE225D" w:rsidRDefault="00A422A6" w:rsidP="00A422A6">
      <w:pPr>
        <w:autoSpaceDE w:val="0"/>
        <w:autoSpaceDN w:val="0"/>
        <w:adjustRightInd w:val="0"/>
        <w:spacing w:after="0" w:line="240" w:lineRule="auto"/>
        <w:rPr>
          <w:rFonts w:cstheme="minorHAnsi"/>
          <w:b/>
          <w:bCs/>
          <w:color w:val="C00000"/>
        </w:rPr>
      </w:pPr>
      <w:r w:rsidRPr="00BE225D">
        <w:rPr>
          <w:rFonts w:cstheme="minorHAnsi"/>
          <w:bCs/>
          <w:color w:val="C00000"/>
        </w:rPr>
        <w:t>Not applicable</w:t>
      </w:r>
    </w:p>
    <w:p w14:paraId="03938E0C" w14:textId="77777777" w:rsidR="00A422A6" w:rsidRDefault="00A422A6" w:rsidP="00D61410">
      <w:pPr>
        <w:autoSpaceDE w:val="0"/>
        <w:autoSpaceDN w:val="0"/>
        <w:adjustRightInd w:val="0"/>
        <w:spacing w:after="0" w:line="240" w:lineRule="auto"/>
        <w:rPr>
          <w:rFonts w:cstheme="minorHAnsi"/>
          <w:b/>
          <w:bCs/>
        </w:rPr>
      </w:pP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21" w:name="section2b5"/>
      <w:bookmarkEnd w:id="21"/>
      <w:r>
        <w:rPr>
          <w:rFonts w:cstheme="minorHAnsi"/>
          <w:b/>
          <w:bCs/>
        </w:rPr>
        <w:t>2b4</w:t>
      </w:r>
      <w:r w:rsidR="00D61410" w:rsidRPr="00A25024">
        <w:rPr>
          <w:rFonts w:cstheme="minorHAnsi"/>
          <w:b/>
          <w:bCs/>
        </w:rPr>
        <w:t>. IDENTIFICATION OF STATISTICALLY SIGNIFICANT &amp; MEANINGFUL DIFFERENCES IN PERFORMANCE</w:t>
      </w:r>
    </w:p>
    <w:p w14:paraId="0CABD008" w14:textId="5C237730" w:rsidR="00D61410" w:rsidRPr="00A666F7" w:rsidRDefault="009C7513" w:rsidP="00D61410">
      <w:pPr>
        <w:autoSpaceDE w:val="0"/>
        <w:autoSpaceDN w:val="0"/>
        <w:adjustRightInd w:val="0"/>
        <w:spacing w:after="0" w:line="240" w:lineRule="auto"/>
        <w:rPr>
          <w:rFonts w:cs="Calibri"/>
          <w:bCs/>
          <w:color w:val="002060"/>
          <w:u w:val="single"/>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t xml:space="preserve"> </w:t>
      </w:r>
      <w:r w:rsidR="00335F01" w:rsidRPr="00335F01">
        <w:rPr>
          <w:rFonts w:cs="Calibri"/>
          <w:bCs/>
          <w:color w:val="002060"/>
          <w:u w:val="single"/>
        </w:rPr>
        <w:t>Previous 201</w:t>
      </w:r>
      <w:r w:rsidR="00335F01">
        <w:rPr>
          <w:rFonts w:cs="Calibri"/>
          <w:bCs/>
          <w:color w:val="002060"/>
          <w:u w:val="single"/>
        </w:rPr>
        <w:t>1</w:t>
      </w:r>
      <w:r w:rsidR="00335F01" w:rsidRPr="00335F01">
        <w:rPr>
          <w:rFonts w:cs="Calibri"/>
          <w:bCs/>
          <w:color w:val="002060"/>
          <w:u w:val="single"/>
        </w:rPr>
        <w:t xml:space="preserve"> Testing</w:t>
      </w:r>
    </w:p>
    <w:p w14:paraId="5001825A" w14:textId="77777777" w:rsidR="00A422A6" w:rsidRPr="002D4C59" w:rsidRDefault="00A422A6" w:rsidP="00A422A6">
      <w:pPr>
        <w:tabs>
          <w:tab w:val="left" w:pos="330"/>
        </w:tabs>
        <w:ind w:left="330"/>
        <w:rPr>
          <w:iCs/>
          <w:color w:val="333399"/>
        </w:rPr>
      </w:pPr>
      <w:r>
        <w:rPr>
          <w:iCs/>
          <w:color w:val="333399"/>
        </w:rPr>
        <w:t>Data analysis performed on the measure included:</w:t>
      </w:r>
    </w:p>
    <w:p w14:paraId="64F2A79C" w14:textId="77777777" w:rsidR="00A422A6" w:rsidRPr="00BE225D" w:rsidRDefault="00A422A6" w:rsidP="00A422A6">
      <w:pPr>
        <w:tabs>
          <w:tab w:val="left" w:pos="330"/>
        </w:tabs>
        <w:ind w:left="330"/>
        <w:rPr>
          <w:iCs/>
          <w:color w:val="333399"/>
        </w:rPr>
      </w:pPr>
      <w:r>
        <w:rPr>
          <w:iCs/>
          <w:color w:val="333399"/>
        </w:rPr>
        <w:t>Average measure performance rate overall and by site, performance rate range by site and overall standard deviation for the measure.</w:t>
      </w:r>
    </w:p>
    <w:p w14:paraId="4C15019C" w14:textId="77777777" w:rsidR="00A422A6" w:rsidRPr="00A25024" w:rsidRDefault="00A422A6" w:rsidP="00A422A6">
      <w:pPr>
        <w:autoSpaceDE w:val="0"/>
        <w:autoSpaceDN w:val="0"/>
        <w:adjustRightInd w:val="0"/>
        <w:spacing w:after="0" w:line="240" w:lineRule="auto"/>
        <w:rPr>
          <w:rFonts w:cstheme="minorHAnsi"/>
          <w:bCs/>
        </w:rPr>
      </w:pPr>
    </w:p>
    <w:p w14:paraId="336934C9" w14:textId="57A05171" w:rsidR="00E8369E" w:rsidRPr="00B80617" w:rsidRDefault="00E8369E" w:rsidP="00E8369E">
      <w:pPr>
        <w:autoSpaceDE w:val="0"/>
        <w:autoSpaceDN w:val="0"/>
        <w:adjustRightInd w:val="0"/>
        <w:spacing w:after="0" w:line="240" w:lineRule="auto"/>
        <w:rPr>
          <w:color w:val="C00000"/>
          <w:szCs w:val="20"/>
          <w:u w:val="single"/>
        </w:rPr>
      </w:pPr>
      <w:r w:rsidRPr="00B80617">
        <w:rPr>
          <w:color w:val="C00000"/>
          <w:szCs w:val="20"/>
          <w:u w:val="single"/>
        </w:rPr>
        <w:t>Current Testing</w:t>
      </w:r>
    </w:p>
    <w:p w14:paraId="30C9D533" w14:textId="42A6D4F8" w:rsidR="00245B84" w:rsidRDefault="00A422A6" w:rsidP="00A422A6">
      <w:pPr>
        <w:rPr>
          <w:color w:val="C00000"/>
          <w:szCs w:val="20"/>
        </w:rPr>
      </w:pPr>
      <w:r w:rsidRPr="00BE225D">
        <w:rPr>
          <w:color w:val="C00000"/>
          <w:szCs w:val="20"/>
        </w:rPr>
        <w:t>Measures of central tendency, variability, and dispersion were calculated</w:t>
      </w:r>
      <w:r w:rsidR="008E7AA9">
        <w:rPr>
          <w:color w:val="C00000"/>
          <w:szCs w:val="20"/>
        </w:rPr>
        <w:t xml:space="preserve"> </w:t>
      </w:r>
      <w:r w:rsidR="009454B1">
        <w:rPr>
          <w:color w:val="C00000"/>
          <w:szCs w:val="20"/>
        </w:rPr>
        <w:t xml:space="preserve">at the physician level </w:t>
      </w:r>
      <w:r w:rsidR="00384F1F">
        <w:rPr>
          <w:color w:val="C00000"/>
          <w:szCs w:val="20"/>
        </w:rPr>
        <w:t xml:space="preserve">on the </w:t>
      </w:r>
      <w:proofErr w:type="spellStart"/>
      <w:r w:rsidR="00384F1F">
        <w:rPr>
          <w:color w:val="C00000"/>
          <w:szCs w:val="20"/>
        </w:rPr>
        <w:t>CancerLinQ</w:t>
      </w:r>
      <w:proofErr w:type="spellEnd"/>
      <w:r w:rsidR="00384F1F">
        <w:rPr>
          <w:color w:val="C00000"/>
          <w:szCs w:val="20"/>
        </w:rPr>
        <w:t xml:space="preserve"> dataset </w:t>
      </w:r>
      <w:r w:rsidR="009454B1">
        <w:rPr>
          <w:color w:val="C00000"/>
          <w:szCs w:val="20"/>
        </w:rPr>
        <w:t xml:space="preserve">and </w:t>
      </w:r>
      <w:r w:rsidR="00296C0A">
        <w:rPr>
          <w:color w:val="C00000"/>
          <w:szCs w:val="20"/>
        </w:rPr>
        <w:t xml:space="preserve">are displayed in the </w:t>
      </w:r>
      <w:r w:rsidR="00245B84">
        <w:rPr>
          <w:color w:val="C00000"/>
          <w:szCs w:val="20"/>
        </w:rPr>
        <w:t>table below.</w:t>
      </w:r>
    </w:p>
    <w:tbl>
      <w:tblPr>
        <w:tblStyle w:val="TableGrid"/>
        <w:tblW w:w="0" w:type="auto"/>
        <w:tblLook w:val="04A0" w:firstRow="1" w:lastRow="0" w:firstColumn="1" w:lastColumn="0" w:noHBand="0" w:noVBand="1"/>
      </w:tblPr>
      <w:tblGrid>
        <w:gridCol w:w="2534"/>
        <w:gridCol w:w="2534"/>
      </w:tblGrid>
      <w:tr w:rsidR="00D35A7B" w14:paraId="204336B9" w14:textId="77777777" w:rsidTr="00245B84">
        <w:trPr>
          <w:trHeight w:val="489"/>
        </w:trPr>
        <w:tc>
          <w:tcPr>
            <w:tcW w:w="2534" w:type="dxa"/>
          </w:tcPr>
          <w:p w14:paraId="6209DEAD" w14:textId="31D61662" w:rsidR="00D35A7B" w:rsidRDefault="00D35A7B" w:rsidP="00896708">
            <w:pPr>
              <w:rPr>
                <w:color w:val="C00000"/>
                <w:szCs w:val="20"/>
              </w:rPr>
            </w:pPr>
            <w:r>
              <w:rPr>
                <w:color w:val="C00000"/>
                <w:szCs w:val="20"/>
              </w:rPr>
              <w:t xml:space="preserve">N </w:t>
            </w:r>
          </w:p>
        </w:tc>
        <w:tc>
          <w:tcPr>
            <w:tcW w:w="2534" w:type="dxa"/>
          </w:tcPr>
          <w:p w14:paraId="2FB079F3" w14:textId="1C50516A" w:rsidR="00D35A7B" w:rsidRPr="00896708" w:rsidRDefault="005C2388" w:rsidP="00A422A6">
            <w:pPr>
              <w:rPr>
                <w:color w:val="C00000"/>
                <w:szCs w:val="20"/>
              </w:rPr>
            </w:pPr>
            <w:r>
              <w:rPr>
                <w:color w:val="C00000"/>
                <w:szCs w:val="20"/>
              </w:rPr>
              <w:t>46</w:t>
            </w:r>
          </w:p>
        </w:tc>
      </w:tr>
      <w:tr w:rsidR="00245B84" w14:paraId="617B102A" w14:textId="77777777" w:rsidTr="00245B84">
        <w:trPr>
          <w:trHeight w:val="489"/>
        </w:trPr>
        <w:tc>
          <w:tcPr>
            <w:tcW w:w="2534" w:type="dxa"/>
          </w:tcPr>
          <w:p w14:paraId="62E9318C" w14:textId="754DC918" w:rsidR="00245B84" w:rsidRDefault="00896708" w:rsidP="00896708">
            <w:pPr>
              <w:rPr>
                <w:color w:val="C00000"/>
                <w:szCs w:val="20"/>
              </w:rPr>
            </w:pPr>
            <w:r>
              <w:rPr>
                <w:color w:val="C00000"/>
                <w:szCs w:val="20"/>
              </w:rPr>
              <w:lastRenderedPageBreak/>
              <w:t>Minimum</w:t>
            </w:r>
          </w:p>
        </w:tc>
        <w:tc>
          <w:tcPr>
            <w:tcW w:w="2534" w:type="dxa"/>
          </w:tcPr>
          <w:p w14:paraId="271EBE66" w14:textId="150B350C" w:rsidR="00245B84" w:rsidRDefault="00896708" w:rsidP="00A422A6">
            <w:pPr>
              <w:rPr>
                <w:color w:val="C00000"/>
                <w:szCs w:val="20"/>
              </w:rPr>
            </w:pPr>
            <w:r w:rsidRPr="00896708">
              <w:rPr>
                <w:color w:val="C00000"/>
                <w:szCs w:val="20"/>
              </w:rPr>
              <w:t>0.00</w:t>
            </w:r>
          </w:p>
        </w:tc>
      </w:tr>
      <w:tr w:rsidR="00245B84" w14:paraId="25E78D29" w14:textId="77777777" w:rsidTr="00245B84">
        <w:trPr>
          <w:trHeight w:val="489"/>
        </w:trPr>
        <w:tc>
          <w:tcPr>
            <w:tcW w:w="2534" w:type="dxa"/>
          </w:tcPr>
          <w:p w14:paraId="4928158A" w14:textId="239357B1" w:rsidR="00245B84" w:rsidRDefault="00896708" w:rsidP="00A422A6">
            <w:pPr>
              <w:rPr>
                <w:color w:val="C00000"/>
                <w:szCs w:val="20"/>
              </w:rPr>
            </w:pPr>
            <w:r w:rsidRPr="00896708">
              <w:rPr>
                <w:color w:val="C00000"/>
                <w:szCs w:val="20"/>
              </w:rPr>
              <w:t>1st Qu</w:t>
            </w:r>
            <w:r>
              <w:rPr>
                <w:color w:val="C00000"/>
                <w:szCs w:val="20"/>
              </w:rPr>
              <w:t>artile</w:t>
            </w:r>
          </w:p>
        </w:tc>
        <w:tc>
          <w:tcPr>
            <w:tcW w:w="2534" w:type="dxa"/>
          </w:tcPr>
          <w:p w14:paraId="21CF39C2" w14:textId="5F1185B9" w:rsidR="00245B84" w:rsidRDefault="00896708" w:rsidP="00A422A6">
            <w:pPr>
              <w:rPr>
                <w:color w:val="C00000"/>
                <w:szCs w:val="20"/>
              </w:rPr>
            </w:pPr>
            <w:r w:rsidRPr="00896708">
              <w:rPr>
                <w:color w:val="C00000"/>
                <w:szCs w:val="20"/>
              </w:rPr>
              <w:t>95.50</w:t>
            </w:r>
          </w:p>
        </w:tc>
      </w:tr>
      <w:tr w:rsidR="00245B84" w14:paraId="544D63A3" w14:textId="77777777" w:rsidTr="00245B84">
        <w:trPr>
          <w:trHeight w:val="489"/>
        </w:trPr>
        <w:tc>
          <w:tcPr>
            <w:tcW w:w="2534" w:type="dxa"/>
          </w:tcPr>
          <w:p w14:paraId="3F1F34E3" w14:textId="5DEA07CD" w:rsidR="00245B84" w:rsidRDefault="003D5D73" w:rsidP="00A422A6">
            <w:pPr>
              <w:rPr>
                <w:color w:val="C00000"/>
                <w:szCs w:val="20"/>
              </w:rPr>
            </w:pPr>
            <w:r>
              <w:rPr>
                <w:color w:val="C00000"/>
                <w:szCs w:val="20"/>
              </w:rPr>
              <w:t>Median</w:t>
            </w:r>
            <w:r w:rsidR="00896708" w:rsidRPr="00896708">
              <w:rPr>
                <w:color w:val="C00000"/>
                <w:szCs w:val="20"/>
              </w:rPr>
              <w:t xml:space="preserve"> </w:t>
            </w:r>
          </w:p>
        </w:tc>
        <w:tc>
          <w:tcPr>
            <w:tcW w:w="2534" w:type="dxa"/>
          </w:tcPr>
          <w:p w14:paraId="2B3CBDE2" w14:textId="34E01B78" w:rsidR="00245B84" w:rsidRDefault="003D5D73" w:rsidP="00A422A6">
            <w:pPr>
              <w:rPr>
                <w:color w:val="C00000"/>
                <w:szCs w:val="20"/>
              </w:rPr>
            </w:pPr>
            <w:r>
              <w:rPr>
                <w:color w:val="C00000"/>
                <w:szCs w:val="20"/>
              </w:rPr>
              <w:t>100.00</w:t>
            </w:r>
          </w:p>
        </w:tc>
      </w:tr>
      <w:tr w:rsidR="00896708" w14:paraId="15EEEE5F" w14:textId="77777777" w:rsidTr="00245B84">
        <w:trPr>
          <w:trHeight w:val="489"/>
        </w:trPr>
        <w:tc>
          <w:tcPr>
            <w:tcW w:w="2534" w:type="dxa"/>
          </w:tcPr>
          <w:p w14:paraId="34DCD65B" w14:textId="1AFF96C7" w:rsidR="00896708" w:rsidRPr="00896708" w:rsidRDefault="00A6177C" w:rsidP="00896708">
            <w:pPr>
              <w:rPr>
                <w:color w:val="C00000"/>
                <w:szCs w:val="20"/>
              </w:rPr>
            </w:pPr>
            <w:r w:rsidRPr="00A6177C">
              <w:rPr>
                <w:color w:val="C00000"/>
                <w:szCs w:val="20"/>
              </w:rPr>
              <w:t>3rd Qu</w:t>
            </w:r>
            <w:r>
              <w:rPr>
                <w:color w:val="C00000"/>
                <w:szCs w:val="20"/>
              </w:rPr>
              <w:t>artile</w:t>
            </w:r>
          </w:p>
        </w:tc>
        <w:tc>
          <w:tcPr>
            <w:tcW w:w="2534" w:type="dxa"/>
          </w:tcPr>
          <w:p w14:paraId="17182FD0" w14:textId="2AA5E69D" w:rsidR="00896708" w:rsidRDefault="00A6177C" w:rsidP="00A422A6">
            <w:pPr>
              <w:rPr>
                <w:color w:val="C00000"/>
                <w:szCs w:val="20"/>
              </w:rPr>
            </w:pPr>
            <w:r w:rsidRPr="00A6177C">
              <w:rPr>
                <w:color w:val="C00000"/>
                <w:szCs w:val="20"/>
              </w:rPr>
              <w:t xml:space="preserve">100.00  </w:t>
            </w:r>
          </w:p>
        </w:tc>
      </w:tr>
      <w:tr w:rsidR="00384F1F" w14:paraId="1E16A6E6" w14:textId="77777777" w:rsidTr="00245B84">
        <w:trPr>
          <w:trHeight w:val="489"/>
        </w:trPr>
        <w:tc>
          <w:tcPr>
            <w:tcW w:w="2534" w:type="dxa"/>
          </w:tcPr>
          <w:p w14:paraId="50AE3E2E" w14:textId="56184D0C" w:rsidR="00384F1F" w:rsidRPr="00896708" w:rsidRDefault="002659B8" w:rsidP="00896708">
            <w:pPr>
              <w:rPr>
                <w:color w:val="C00000"/>
                <w:szCs w:val="20"/>
              </w:rPr>
            </w:pPr>
            <w:r>
              <w:rPr>
                <w:color w:val="C00000"/>
                <w:szCs w:val="20"/>
              </w:rPr>
              <w:t>Maximum</w:t>
            </w:r>
          </w:p>
        </w:tc>
        <w:tc>
          <w:tcPr>
            <w:tcW w:w="2534" w:type="dxa"/>
          </w:tcPr>
          <w:p w14:paraId="4794448D" w14:textId="45CF8EBC" w:rsidR="00384F1F" w:rsidRDefault="002659B8" w:rsidP="00A422A6">
            <w:pPr>
              <w:rPr>
                <w:color w:val="C00000"/>
                <w:szCs w:val="20"/>
              </w:rPr>
            </w:pPr>
            <w:r>
              <w:rPr>
                <w:color w:val="C00000"/>
                <w:szCs w:val="20"/>
              </w:rPr>
              <w:t>100.00</w:t>
            </w:r>
          </w:p>
        </w:tc>
      </w:tr>
      <w:tr w:rsidR="005B2DEE" w14:paraId="4DCCC890" w14:textId="77777777" w:rsidTr="00245B84">
        <w:trPr>
          <w:trHeight w:val="489"/>
        </w:trPr>
        <w:tc>
          <w:tcPr>
            <w:tcW w:w="2534" w:type="dxa"/>
          </w:tcPr>
          <w:p w14:paraId="01F3F8A9" w14:textId="701DF589" w:rsidR="005B2DEE" w:rsidRDefault="005B2DEE" w:rsidP="005B2DEE">
            <w:pPr>
              <w:rPr>
                <w:color w:val="C00000"/>
                <w:szCs w:val="20"/>
              </w:rPr>
            </w:pPr>
            <w:r w:rsidRPr="00D35A7B">
              <w:rPr>
                <w:color w:val="C00000"/>
                <w:szCs w:val="20"/>
              </w:rPr>
              <w:t xml:space="preserve">Mean </w:t>
            </w:r>
          </w:p>
        </w:tc>
        <w:tc>
          <w:tcPr>
            <w:tcW w:w="2534" w:type="dxa"/>
          </w:tcPr>
          <w:p w14:paraId="07972E02" w14:textId="48617F3B" w:rsidR="005B2DEE" w:rsidRDefault="005B2DEE" w:rsidP="005B2DEE">
            <w:pPr>
              <w:rPr>
                <w:color w:val="C00000"/>
                <w:szCs w:val="20"/>
              </w:rPr>
            </w:pPr>
            <w:r w:rsidRPr="00D35A7B">
              <w:rPr>
                <w:color w:val="C00000"/>
                <w:szCs w:val="20"/>
              </w:rPr>
              <w:t xml:space="preserve">93.12  </w:t>
            </w:r>
          </w:p>
        </w:tc>
      </w:tr>
      <w:tr w:rsidR="005B2DEE" w14:paraId="38D26A12" w14:textId="77777777" w:rsidTr="00245B84">
        <w:trPr>
          <w:trHeight w:val="489"/>
        </w:trPr>
        <w:tc>
          <w:tcPr>
            <w:tcW w:w="2534" w:type="dxa"/>
          </w:tcPr>
          <w:p w14:paraId="5E7B670B" w14:textId="2D1AAFFD" w:rsidR="005B2DEE" w:rsidRPr="00D35A7B" w:rsidRDefault="005B2DEE" w:rsidP="005B2DEE">
            <w:pPr>
              <w:rPr>
                <w:color w:val="C00000"/>
                <w:szCs w:val="20"/>
              </w:rPr>
            </w:pPr>
            <w:r w:rsidRPr="00D35A7B">
              <w:rPr>
                <w:color w:val="C00000"/>
                <w:szCs w:val="20"/>
              </w:rPr>
              <w:t xml:space="preserve">Standard </w:t>
            </w:r>
            <w:r w:rsidR="00D35A7B" w:rsidRPr="00D35A7B">
              <w:rPr>
                <w:color w:val="C00000"/>
                <w:szCs w:val="20"/>
              </w:rPr>
              <w:t>Error</w:t>
            </w:r>
          </w:p>
        </w:tc>
        <w:tc>
          <w:tcPr>
            <w:tcW w:w="2534" w:type="dxa"/>
          </w:tcPr>
          <w:p w14:paraId="3F2CE823" w14:textId="2C439CBF" w:rsidR="005B2DEE" w:rsidRPr="00D35A7B" w:rsidRDefault="00AE5BFA" w:rsidP="005B2DEE">
            <w:pPr>
              <w:rPr>
                <w:color w:val="C00000"/>
                <w:szCs w:val="20"/>
              </w:rPr>
            </w:pPr>
            <w:r w:rsidRPr="00D35A7B">
              <w:rPr>
                <w:color w:val="C00000"/>
                <w:szCs w:val="20"/>
              </w:rPr>
              <w:t>2.0539</w:t>
            </w:r>
          </w:p>
        </w:tc>
      </w:tr>
    </w:tbl>
    <w:p w14:paraId="34E10503" w14:textId="77777777" w:rsidR="00D35A7B" w:rsidRDefault="008E7AA9" w:rsidP="00D35A7B">
      <w:pPr>
        <w:rPr>
          <w:color w:val="C00000"/>
          <w:szCs w:val="20"/>
        </w:rPr>
      </w:pPr>
      <w:r>
        <w:rPr>
          <w:color w:val="C00000"/>
          <w:szCs w:val="20"/>
        </w:rPr>
        <w:t xml:space="preserve"> </w:t>
      </w:r>
    </w:p>
    <w:p w14:paraId="0CABD00A" w14:textId="7ACA1052" w:rsidR="00D61410" w:rsidRPr="00A666F7" w:rsidRDefault="009C7513" w:rsidP="00D35A7B">
      <w:pPr>
        <w:rPr>
          <w:rFonts w:cs="Calibri"/>
          <w:bCs/>
          <w:color w:val="002060"/>
          <w:u w:val="single"/>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r w:rsidR="00335F01" w:rsidRPr="00335F01">
        <w:rPr>
          <w:rFonts w:cs="Calibri"/>
          <w:bCs/>
          <w:color w:val="002060"/>
          <w:u w:val="single"/>
        </w:rPr>
        <w:t>Previous 201</w:t>
      </w:r>
      <w:r w:rsidR="00335F01">
        <w:rPr>
          <w:rFonts w:cs="Calibri"/>
          <w:bCs/>
          <w:color w:val="002060"/>
          <w:u w:val="single"/>
        </w:rPr>
        <w:t>1</w:t>
      </w:r>
      <w:r w:rsidR="00335F01" w:rsidRPr="00335F01">
        <w:rPr>
          <w:rFonts w:cs="Calibri"/>
          <w:bCs/>
          <w:color w:val="002060"/>
          <w:u w:val="single"/>
        </w:rPr>
        <w:t xml:space="preserve"> Testing</w:t>
      </w:r>
    </w:p>
    <w:p w14:paraId="0E8EEBC8" w14:textId="77777777" w:rsidR="000D00E5" w:rsidRDefault="000D00E5" w:rsidP="000D00E5">
      <w:pPr>
        <w:tabs>
          <w:tab w:val="left" w:pos="330"/>
        </w:tabs>
        <w:spacing w:after="0" w:line="240" w:lineRule="auto"/>
        <w:rPr>
          <w:rFonts w:ascii="Times New Roman" w:eastAsia="MS Mincho" w:hAnsi="Times New Roman" w:cs="Times New Roman"/>
          <w:color w:val="1F497D" w:themeColor="text2"/>
          <w:lang w:eastAsia="ja-JP"/>
        </w:rPr>
      </w:pPr>
    </w:p>
    <w:p w14:paraId="4F07966C" w14:textId="3745DF29" w:rsidR="00A422A6" w:rsidRPr="00BE225D" w:rsidRDefault="00A422A6" w:rsidP="000D00E5">
      <w:pPr>
        <w:tabs>
          <w:tab w:val="left" w:pos="330"/>
        </w:tabs>
        <w:spacing w:after="0" w:line="240" w:lineRule="auto"/>
        <w:rPr>
          <w:rFonts w:ascii="Times New Roman" w:eastAsia="MS Mincho" w:hAnsi="Times New Roman" w:cs="Times New Roman"/>
          <w:color w:val="1F497D" w:themeColor="text2"/>
          <w:lang w:eastAsia="ja-JP"/>
        </w:rPr>
      </w:pPr>
      <w:r w:rsidRPr="00BE225D">
        <w:rPr>
          <w:rFonts w:ascii="Times New Roman" w:eastAsia="MS Mincho" w:hAnsi="Times New Roman" w:cs="Times New Roman"/>
          <w:color w:val="1F497D" w:themeColor="text2"/>
          <w:lang w:eastAsia="ja-JP"/>
        </w:rPr>
        <w:t>Measure rate without exceptions: N= 862 Mean = 94.0% Standard Deviation= 0.2382</w:t>
      </w:r>
    </w:p>
    <w:p w14:paraId="7122989B" w14:textId="77777777" w:rsidR="00A422A6" w:rsidRPr="00BE225D" w:rsidRDefault="00A422A6" w:rsidP="00A422A6">
      <w:pPr>
        <w:spacing w:after="0" w:line="240" w:lineRule="auto"/>
        <w:rPr>
          <w:rFonts w:ascii="Times New Roman" w:eastAsia="Times New Roman" w:hAnsi="Times New Roman" w:cs="Times New Roman"/>
          <w:color w:val="1F497D" w:themeColor="text2"/>
          <w:sz w:val="24"/>
          <w:szCs w:val="24"/>
        </w:rPr>
      </w:pPr>
      <w:r w:rsidRPr="00BE225D">
        <w:rPr>
          <w:rFonts w:ascii="Times New Roman" w:eastAsia="Times New Roman" w:hAnsi="Times New Roman" w:cs="Times New Roman"/>
          <w:color w:val="1F497D" w:themeColor="text2"/>
          <w:sz w:val="24"/>
          <w:szCs w:val="24"/>
        </w:rPr>
        <w:t>The performance rate by site is as follows, where n is the number of performance events by site:</w:t>
      </w:r>
    </w:p>
    <w:p w14:paraId="57455750" w14:textId="77777777" w:rsidR="00A422A6" w:rsidRPr="00BE225D" w:rsidRDefault="00A422A6" w:rsidP="00A422A6">
      <w:pPr>
        <w:spacing w:after="0" w:line="240" w:lineRule="auto"/>
        <w:rPr>
          <w:rFonts w:ascii="Times New Roman" w:eastAsia="Times New Roman" w:hAnsi="Times New Roman" w:cs="Times New Roman"/>
          <w:color w:val="1F497D" w:themeColor="text2"/>
          <w:sz w:val="24"/>
          <w:szCs w:val="24"/>
        </w:rPr>
      </w:pPr>
      <w:r w:rsidRPr="00BE225D">
        <w:rPr>
          <w:rFonts w:ascii="Times New Roman" w:eastAsia="Times New Roman" w:hAnsi="Times New Roman" w:cs="Times New Roman"/>
          <w:color w:val="1F497D" w:themeColor="text2"/>
          <w:sz w:val="24"/>
          <w:szCs w:val="24"/>
        </w:rPr>
        <w:t> </w:t>
      </w:r>
    </w:p>
    <w:tbl>
      <w:tblPr>
        <w:tblW w:w="2880" w:type="dxa"/>
        <w:tblCellMar>
          <w:left w:w="0" w:type="dxa"/>
          <w:right w:w="0" w:type="dxa"/>
        </w:tblCellMar>
        <w:tblLook w:val="0000" w:firstRow="0" w:lastRow="0" w:firstColumn="0" w:lastColumn="0" w:noHBand="0" w:noVBand="0"/>
      </w:tblPr>
      <w:tblGrid>
        <w:gridCol w:w="960"/>
        <w:gridCol w:w="960"/>
        <w:gridCol w:w="960"/>
      </w:tblGrid>
      <w:tr w:rsidR="00A422A6" w:rsidRPr="00BE225D" w14:paraId="44E81DB4" w14:textId="77777777" w:rsidTr="00190590">
        <w:trPr>
          <w:trHeight w:val="255"/>
        </w:trPr>
        <w:tc>
          <w:tcPr>
            <w:tcW w:w="960" w:type="dxa"/>
            <w:vAlign w:val="center"/>
          </w:tcPr>
          <w:p w14:paraId="1A336C36" w14:textId="77777777" w:rsidR="00A422A6" w:rsidRPr="00BE225D" w:rsidRDefault="00A422A6" w:rsidP="00190590">
            <w:pPr>
              <w:spacing w:after="0" w:line="240" w:lineRule="auto"/>
              <w:rPr>
                <w:rFonts w:ascii="Times New Roman" w:eastAsia="Times New Roman" w:hAnsi="Times New Roman" w:cs="Times New Roman"/>
                <w:color w:val="1F497D" w:themeColor="text2"/>
                <w:sz w:val="24"/>
                <w:szCs w:val="24"/>
              </w:rPr>
            </w:pPr>
            <w:r w:rsidRPr="00BE225D">
              <w:rPr>
                <w:rFonts w:ascii="Times New Roman" w:eastAsia="Times New Roman" w:hAnsi="Times New Roman" w:cs="Times New Roman"/>
                <w:color w:val="1F497D" w:themeColor="text2"/>
                <w:sz w:val="20"/>
                <w:szCs w:val="20"/>
              </w:rPr>
              <w:t>A</w:t>
            </w:r>
          </w:p>
        </w:tc>
        <w:tc>
          <w:tcPr>
            <w:tcW w:w="960" w:type="dxa"/>
            <w:vAlign w:val="bottom"/>
          </w:tcPr>
          <w:p w14:paraId="41CB066B" w14:textId="77777777" w:rsidR="00A422A6" w:rsidRPr="00BE225D" w:rsidRDefault="00A422A6" w:rsidP="00190590">
            <w:pPr>
              <w:spacing w:after="0" w:line="240" w:lineRule="auto"/>
              <w:jc w:val="right"/>
              <w:rPr>
                <w:rFonts w:ascii="Arial" w:eastAsia="MS Mincho" w:hAnsi="Arial" w:cs="Arial"/>
                <w:color w:val="1F497D" w:themeColor="text2"/>
                <w:sz w:val="20"/>
                <w:szCs w:val="20"/>
                <w:lang w:eastAsia="ja-JP"/>
              </w:rPr>
            </w:pPr>
            <w:r w:rsidRPr="00BE225D">
              <w:rPr>
                <w:rFonts w:ascii="Arial" w:eastAsia="MS Mincho" w:hAnsi="Arial" w:cs="Arial"/>
                <w:color w:val="1F497D" w:themeColor="text2"/>
                <w:sz w:val="20"/>
                <w:szCs w:val="20"/>
                <w:lang w:eastAsia="ja-JP"/>
              </w:rPr>
              <w:t>0.9780</w:t>
            </w:r>
          </w:p>
        </w:tc>
        <w:tc>
          <w:tcPr>
            <w:tcW w:w="960" w:type="dxa"/>
            <w:vAlign w:val="bottom"/>
          </w:tcPr>
          <w:p w14:paraId="24C2168E" w14:textId="77777777" w:rsidR="00A422A6" w:rsidRPr="00BE225D" w:rsidRDefault="00A422A6" w:rsidP="00190590">
            <w:pPr>
              <w:spacing w:after="0" w:line="240" w:lineRule="auto"/>
              <w:jc w:val="right"/>
              <w:rPr>
                <w:rFonts w:ascii="Arial" w:eastAsia="MS Mincho" w:hAnsi="Arial" w:cs="Arial"/>
                <w:color w:val="1F497D" w:themeColor="text2"/>
                <w:sz w:val="20"/>
                <w:szCs w:val="20"/>
                <w:lang w:eastAsia="ja-JP"/>
              </w:rPr>
            </w:pPr>
            <w:r w:rsidRPr="00BE225D">
              <w:rPr>
                <w:rFonts w:ascii="Arial" w:eastAsia="MS Mincho" w:hAnsi="Arial" w:cs="Arial"/>
                <w:color w:val="1F497D" w:themeColor="text2"/>
                <w:sz w:val="20"/>
                <w:szCs w:val="20"/>
                <w:lang w:eastAsia="ja-JP"/>
              </w:rPr>
              <w:t>n=183</w:t>
            </w:r>
          </w:p>
        </w:tc>
      </w:tr>
      <w:tr w:rsidR="00A422A6" w:rsidRPr="00BE225D" w14:paraId="0A277847" w14:textId="77777777" w:rsidTr="00190590">
        <w:trPr>
          <w:trHeight w:val="255"/>
        </w:trPr>
        <w:tc>
          <w:tcPr>
            <w:tcW w:w="0" w:type="auto"/>
            <w:vAlign w:val="center"/>
          </w:tcPr>
          <w:p w14:paraId="17C84D3F" w14:textId="77777777" w:rsidR="00A422A6" w:rsidRPr="00BE225D" w:rsidRDefault="00A422A6" w:rsidP="00190590">
            <w:pPr>
              <w:spacing w:after="0" w:line="240" w:lineRule="auto"/>
              <w:rPr>
                <w:rFonts w:ascii="Times New Roman" w:eastAsia="Times New Roman" w:hAnsi="Times New Roman" w:cs="Times New Roman"/>
                <w:color w:val="1F497D" w:themeColor="text2"/>
                <w:sz w:val="24"/>
                <w:szCs w:val="24"/>
              </w:rPr>
            </w:pPr>
            <w:r w:rsidRPr="00BE225D">
              <w:rPr>
                <w:rFonts w:ascii="Times New Roman" w:eastAsia="Times New Roman" w:hAnsi="Times New Roman" w:cs="Times New Roman"/>
                <w:color w:val="1F497D" w:themeColor="text2"/>
                <w:sz w:val="20"/>
                <w:szCs w:val="20"/>
              </w:rPr>
              <w:t>B</w:t>
            </w:r>
          </w:p>
        </w:tc>
        <w:tc>
          <w:tcPr>
            <w:tcW w:w="960" w:type="dxa"/>
            <w:vAlign w:val="bottom"/>
          </w:tcPr>
          <w:p w14:paraId="7A482EF8" w14:textId="77777777" w:rsidR="00A422A6" w:rsidRPr="00BE225D" w:rsidRDefault="00A422A6" w:rsidP="00190590">
            <w:pPr>
              <w:spacing w:after="0" w:line="240" w:lineRule="auto"/>
              <w:jc w:val="right"/>
              <w:rPr>
                <w:rFonts w:ascii="Arial" w:eastAsia="MS Mincho" w:hAnsi="Arial" w:cs="Arial"/>
                <w:color w:val="1F497D" w:themeColor="text2"/>
                <w:sz w:val="20"/>
                <w:szCs w:val="20"/>
                <w:lang w:eastAsia="ja-JP"/>
              </w:rPr>
            </w:pPr>
            <w:r w:rsidRPr="00BE225D">
              <w:rPr>
                <w:rFonts w:ascii="Arial" w:eastAsia="MS Mincho" w:hAnsi="Arial" w:cs="Arial"/>
                <w:color w:val="1F497D" w:themeColor="text2"/>
                <w:sz w:val="20"/>
                <w:szCs w:val="20"/>
                <w:lang w:eastAsia="ja-JP"/>
              </w:rPr>
              <w:t>0.9740</w:t>
            </w:r>
          </w:p>
        </w:tc>
        <w:tc>
          <w:tcPr>
            <w:tcW w:w="960" w:type="dxa"/>
            <w:vAlign w:val="bottom"/>
          </w:tcPr>
          <w:p w14:paraId="3E3ECC11" w14:textId="77777777" w:rsidR="00A422A6" w:rsidRPr="00BE225D" w:rsidRDefault="00A422A6" w:rsidP="00190590">
            <w:pPr>
              <w:spacing w:after="0" w:line="240" w:lineRule="auto"/>
              <w:jc w:val="right"/>
              <w:rPr>
                <w:rFonts w:ascii="Arial" w:eastAsia="MS Mincho" w:hAnsi="Arial" w:cs="Arial"/>
                <w:color w:val="1F497D" w:themeColor="text2"/>
                <w:sz w:val="20"/>
                <w:szCs w:val="20"/>
                <w:lang w:eastAsia="ja-JP"/>
              </w:rPr>
            </w:pPr>
            <w:r w:rsidRPr="00BE225D">
              <w:rPr>
                <w:rFonts w:ascii="Arial" w:eastAsia="MS Mincho" w:hAnsi="Arial" w:cs="Arial"/>
                <w:color w:val="1F497D" w:themeColor="text2"/>
                <w:sz w:val="20"/>
                <w:szCs w:val="20"/>
                <w:lang w:eastAsia="ja-JP"/>
              </w:rPr>
              <w:t>n=189</w:t>
            </w:r>
          </w:p>
        </w:tc>
      </w:tr>
      <w:tr w:rsidR="00A422A6" w:rsidRPr="00BE225D" w14:paraId="14B7B1FF" w14:textId="77777777" w:rsidTr="00190590">
        <w:trPr>
          <w:trHeight w:val="255"/>
        </w:trPr>
        <w:tc>
          <w:tcPr>
            <w:tcW w:w="0" w:type="auto"/>
            <w:vAlign w:val="center"/>
          </w:tcPr>
          <w:p w14:paraId="273DF5F0" w14:textId="77777777" w:rsidR="00A422A6" w:rsidRPr="00BE225D" w:rsidRDefault="00A422A6" w:rsidP="00190590">
            <w:pPr>
              <w:spacing w:after="0" w:line="240" w:lineRule="auto"/>
              <w:rPr>
                <w:rFonts w:ascii="Times New Roman" w:eastAsia="Times New Roman" w:hAnsi="Times New Roman" w:cs="Times New Roman"/>
                <w:color w:val="1F497D" w:themeColor="text2"/>
                <w:sz w:val="20"/>
                <w:szCs w:val="20"/>
              </w:rPr>
            </w:pPr>
            <w:r w:rsidRPr="00BE225D">
              <w:rPr>
                <w:rFonts w:ascii="Times New Roman" w:eastAsia="Times New Roman" w:hAnsi="Times New Roman" w:cs="Times New Roman"/>
                <w:color w:val="1F497D" w:themeColor="text2"/>
                <w:sz w:val="20"/>
                <w:szCs w:val="20"/>
              </w:rPr>
              <w:t>C</w:t>
            </w:r>
          </w:p>
        </w:tc>
        <w:tc>
          <w:tcPr>
            <w:tcW w:w="960" w:type="dxa"/>
            <w:vAlign w:val="bottom"/>
          </w:tcPr>
          <w:p w14:paraId="0F10D03B" w14:textId="77777777" w:rsidR="00A422A6" w:rsidRPr="00BE225D" w:rsidRDefault="00A422A6" w:rsidP="00190590">
            <w:pPr>
              <w:spacing w:after="0" w:line="240" w:lineRule="auto"/>
              <w:jc w:val="right"/>
              <w:rPr>
                <w:rFonts w:ascii="Arial" w:eastAsia="MS Mincho" w:hAnsi="Arial" w:cs="Arial"/>
                <w:color w:val="1F497D" w:themeColor="text2"/>
                <w:sz w:val="20"/>
                <w:szCs w:val="20"/>
                <w:lang w:eastAsia="ja-JP"/>
              </w:rPr>
            </w:pPr>
            <w:r w:rsidRPr="00BE225D">
              <w:rPr>
                <w:rFonts w:ascii="Arial" w:eastAsia="MS Mincho" w:hAnsi="Arial" w:cs="Arial"/>
                <w:color w:val="1F497D" w:themeColor="text2"/>
                <w:sz w:val="20"/>
                <w:szCs w:val="20"/>
                <w:lang w:eastAsia="ja-JP"/>
              </w:rPr>
              <w:t>0.9730</w:t>
            </w:r>
          </w:p>
        </w:tc>
        <w:tc>
          <w:tcPr>
            <w:tcW w:w="960" w:type="dxa"/>
            <w:vAlign w:val="bottom"/>
          </w:tcPr>
          <w:p w14:paraId="13112B52" w14:textId="77777777" w:rsidR="00A422A6" w:rsidRPr="00BE225D" w:rsidRDefault="00A422A6" w:rsidP="00190590">
            <w:pPr>
              <w:spacing w:after="0" w:line="240" w:lineRule="auto"/>
              <w:jc w:val="right"/>
              <w:rPr>
                <w:rFonts w:ascii="Arial" w:eastAsia="MS Mincho" w:hAnsi="Arial" w:cs="Arial"/>
                <w:color w:val="1F497D" w:themeColor="text2"/>
                <w:sz w:val="20"/>
                <w:szCs w:val="20"/>
                <w:lang w:eastAsia="ja-JP"/>
              </w:rPr>
            </w:pPr>
            <w:r w:rsidRPr="00BE225D">
              <w:rPr>
                <w:rFonts w:ascii="Arial" w:eastAsia="MS Mincho" w:hAnsi="Arial" w:cs="Arial"/>
                <w:color w:val="1F497D" w:themeColor="text2"/>
                <w:sz w:val="20"/>
                <w:szCs w:val="20"/>
                <w:lang w:eastAsia="ja-JP"/>
              </w:rPr>
              <w:t>n=186</w:t>
            </w:r>
          </w:p>
        </w:tc>
      </w:tr>
      <w:tr w:rsidR="00A422A6" w:rsidRPr="00BE225D" w14:paraId="76CE375E" w14:textId="77777777" w:rsidTr="00190590">
        <w:trPr>
          <w:trHeight w:val="255"/>
        </w:trPr>
        <w:tc>
          <w:tcPr>
            <w:tcW w:w="0" w:type="auto"/>
            <w:vAlign w:val="center"/>
          </w:tcPr>
          <w:p w14:paraId="663448DE" w14:textId="77777777" w:rsidR="00A422A6" w:rsidRPr="00BE225D" w:rsidRDefault="00A422A6" w:rsidP="00190590">
            <w:pPr>
              <w:spacing w:after="0" w:line="240" w:lineRule="auto"/>
              <w:rPr>
                <w:rFonts w:ascii="Times New Roman" w:eastAsia="Times New Roman" w:hAnsi="Times New Roman" w:cs="Times New Roman"/>
                <w:color w:val="1F497D" w:themeColor="text2"/>
                <w:sz w:val="24"/>
                <w:szCs w:val="24"/>
              </w:rPr>
            </w:pPr>
            <w:r w:rsidRPr="00BE225D">
              <w:rPr>
                <w:rFonts w:ascii="Times New Roman" w:eastAsia="Times New Roman" w:hAnsi="Times New Roman" w:cs="Times New Roman"/>
                <w:color w:val="1F497D" w:themeColor="text2"/>
                <w:sz w:val="20"/>
                <w:szCs w:val="20"/>
              </w:rPr>
              <w:t>D</w:t>
            </w:r>
          </w:p>
        </w:tc>
        <w:tc>
          <w:tcPr>
            <w:tcW w:w="960" w:type="dxa"/>
            <w:vAlign w:val="bottom"/>
          </w:tcPr>
          <w:p w14:paraId="7EDC668E" w14:textId="77777777" w:rsidR="00A422A6" w:rsidRPr="00BE225D" w:rsidRDefault="00A422A6" w:rsidP="00190590">
            <w:pPr>
              <w:spacing w:after="0" w:line="240" w:lineRule="auto"/>
              <w:jc w:val="right"/>
              <w:rPr>
                <w:rFonts w:ascii="Arial" w:eastAsia="MS Mincho" w:hAnsi="Arial" w:cs="Arial"/>
                <w:color w:val="1F497D" w:themeColor="text2"/>
                <w:sz w:val="20"/>
                <w:szCs w:val="20"/>
                <w:lang w:eastAsia="ja-JP"/>
              </w:rPr>
            </w:pPr>
            <w:r w:rsidRPr="00BE225D">
              <w:rPr>
                <w:rFonts w:ascii="Arial" w:eastAsia="MS Mincho" w:hAnsi="Arial" w:cs="Arial"/>
                <w:color w:val="1F497D" w:themeColor="text2"/>
                <w:sz w:val="20"/>
                <w:szCs w:val="20"/>
                <w:lang w:eastAsia="ja-JP"/>
              </w:rPr>
              <w:t>0.9730</w:t>
            </w:r>
          </w:p>
        </w:tc>
        <w:tc>
          <w:tcPr>
            <w:tcW w:w="960" w:type="dxa"/>
            <w:vAlign w:val="bottom"/>
          </w:tcPr>
          <w:p w14:paraId="685743BA" w14:textId="77777777" w:rsidR="00A422A6" w:rsidRPr="00BE225D" w:rsidRDefault="00A422A6" w:rsidP="00190590">
            <w:pPr>
              <w:spacing w:after="0" w:line="240" w:lineRule="auto"/>
              <w:jc w:val="right"/>
              <w:rPr>
                <w:rFonts w:ascii="Arial" w:eastAsia="MS Mincho" w:hAnsi="Arial" w:cs="Arial"/>
                <w:color w:val="1F497D" w:themeColor="text2"/>
                <w:sz w:val="20"/>
                <w:szCs w:val="20"/>
                <w:lang w:eastAsia="ja-JP"/>
              </w:rPr>
            </w:pPr>
            <w:r w:rsidRPr="00BE225D">
              <w:rPr>
                <w:rFonts w:ascii="Arial" w:eastAsia="MS Mincho" w:hAnsi="Arial" w:cs="Arial"/>
                <w:color w:val="1F497D" w:themeColor="text2"/>
                <w:sz w:val="20"/>
                <w:szCs w:val="20"/>
                <w:lang w:eastAsia="ja-JP"/>
              </w:rPr>
              <w:t>n=188</w:t>
            </w:r>
          </w:p>
        </w:tc>
      </w:tr>
      <w:tr w:rsidR="00A422A6" w:rsidRPr="00BE225D" w14:paraId="740C3F14" w14:textId="77777777" w:rsidTr="00190590">
        <w:trPr>
          <w:trHeight w:val="255"/>
        </w:trPr>
        <w:tc>
          <w:tcPr>
            <w:tcW w:w="0" w:type="auto"/>
            <w:vAlign w:val="center"/>
          </w:tcPr>
          <w:p w14:paraId="602F1A91" w14:textId="77777777" w:rsidR="00A422A6" w:rsidRPr="00BE225D" w:rsidRDefault="00A422A6" w:rsidP="00190590">
            <w:pPr>
              <w:spacing w:after="0" w:line="240" w:lineRule="auto"/>
              <w:rPr>
                <w:rFonts w:ascii="Times New Roman" w:eastAsia="Times New Roman" w:hAnsi="Times New Roman" w:cs="Times New Roman"/>
                <w:color w:val="1F497D" w:themeColor="text2"/>
                <w:sz w:val="24"/>
                <w:szCs w:val="24"/>
              </w:rPr>
            </w:pPr>
            <w:r w:rsidRPr="00BE225D">
              <w:rPr>
                <w:rFonts w:ascii="Times New Roman" w:eastAsia="Times New Roman" w:hAnsi="Times New Roman" w:cs="Times New Roman"/>
                <w:color w:val="1F497D" w:themeColor="text2"/>
                <w:sz w:val="20"/>
                <w:szCs w:val="20"/>
              </w:rPr>
              <w:t>E</w:t>
            </w:r>
          </w:p>
        </w:tc>
        <w:tc>
          <w:tcPr>
            <w:tcW w:w="960" w:type="dxa"/>
            <w:vAlign w:val="bottom"/>
          </w:tcPr>
          <w:p w14:paraId="0A1B0B9D" w14:textId="77777777" w:rsidR="00A422A6" w:rsidRPr="00BE225D" w:rsidRDefault="00A422A6" w:rsidP="00190590">
            <w:pPr>
              <w:spacing w:after="0" w:line="240" w:lineRule="auto"/>
              <w:jc w:val="right"/>
              <w:rPr>
                <w:rFonts w:ascii="Arial" w:eastAsia="MS Mincho" w:hAnsi="Arial" w:cs="Arial"/>
                <w:color w:val="1F497D" w:themeColor="text2"/>
                <w:sz w:val="20"/>
                <w:szCs w:val="20"/>
                <w:lang w:eastAsia="ja-JP"/>
              </w:rPr>
            </w:pPr>
            <w:r w:rsidRPr="00BE225D">
              <w:rPr>
                <w:rFonts w:ascii="Arial" w:eastAsia="MS Mincho" w:hAnsi="Arial" w:cs="Arial"/>
                <w:color w:val="1F497D" w:themeColor="text2"/>
                <w:sz w:val="20"/>
                <w:szCs w:val="20"/>
                <w:lang w:eastAsia="ja-JP"/>
              </w:rPr>
              <w:t>0.7160</w:t>
            </w:r>
          </w:p>
        </w:tc>
        <w:tc>
          <w:tcPr>
            <w:tcW w:w="960" w:type="dxa"/>
            <w:vAlign w:val="bottom"/>
          </w:tcPr>
          <w:p w14:paraId="4A993ED5" w14:textId="77777777" w:rsidR="00A422A6" w:rsidRPr="00BE225D" w:rsidRDefault="00A422A6" w:rsidP="00190590">
            <w:pPr>
              <w:spacing w:after="0" w:line="240" w:lineRule="auto"/>
              <w:jc w:val="right"/>
              <w:rPr>
                <w:rFonts w:ascii="Arial" w:eastAsia="MS Mincho" w:hAnsi="Arial" w:cs="Arial"/>
                <w:color w:val="1F497D" w:themeColor="text2"/>
                <w:sz w:val="20"/>
                <w:szCs w:val="20"/>
                <w:lang w:eastAsia="ja-JP"/>
              </w:rPr>
            </w:pPr>
            <w:r w:rsidRPr="00BE225D">
              <w:rPr>
                <w:rFonts w:ascii="Arial" w:eastAsia="MS Mincho" w:hAnsi="Arial" w:cs="Arial"/>
                <w:color w:val="1F497D" w:themeColor="text2"/>
                <w:sz w:val="20"/>
                <w:szCs w:val="20"/>
                <w:lang w:eastAsia="ja-JP"/>
              </w:rPr>
              <w:t>n=116</w:t>
            </w:r>
          </w:p>
        </w:tc>
      </w:tr>
    </w:tbl>
    <w:p w14:paraId="14DCC9F8" w14:textId="77777777" w:rsidR="00A422A6" w:rsidRDefault="00A422A6" w:rsidP="00A422A6">
      <w:pPr>
        <w:rPr>
          <w:color w:val="0000FF"/>
          <w:szCs w:val="20"/>
        </w:rPr>
      </w:pPr>
    </w:p>
    <w:p w14:paraId="2D7E2DC7" w14:textId="7782C753" w:rsidR="00E8369E" w:rsidRPr="00E8369E" w:rsidRDefault="00E8369E" w:rsidP="00E8369E">
      <w:pPr>
        <w:autoSpaceDE w:val="0"/>
        <w:autoSpaceDN w:val="0"/>
        <w:adjustRightInd w:val="0"/>
        <w:spacing w:after="0" w:line="240" w:lineRule="auto"/>
        <w:rPr>
          <w:color w:val="C00000"/>
          <w:szCs w:val="20"/>
          <w:u w:val="single"/>
        </w:rPr>
      </w:pPr>
      <w:r w:rsidRPr="00B80617">
        <w:rPr>
          <w:color w:val="C00000"/>
          <w:szCs w:val="20"/>
          <w:u w:val="single"/>
        </w:rPr>
        <w:t>Current Testing</w:t>
      </w:r>
    </w:p>
    <w:p w14:paraId="381578A8" w14:textId="107E16BB" w:rsidR="00A422A6" w:rsidRDefault="00A422A6" w:rsidP="00D61410">
      <w:pPr>
        <w:autoSpaceDE w:val="0"/>
        <w:autoSpaceDN w:val="0"/>
        <w:adjustRightInd w:val="0"/>
        <w:spacing w:after="0" w:line="240" w:lineRule="auto"/>
        <w:rPr>
          <w:rFonts w:cstheme="minorHAnsi"/>
          <w:bCs/>
        </w:rPr>
      </w:pPr>
    </w:p>
    <w:p w14:paraId="503ACAE4" w14:textId="3C13743F" w:rsidR="00BD72E5" w:rsidRDefault="007434B5" w:rsidP="00D61410">
      <w:pPr>
        <w:autoSpaceDE w:val="0"/>
        <w:autoSpaceDN w:val="0"/>
        <w:adjustRightInd w:val="0"/>
        <w:spacing w:after="0" w:line="240" w:lineRule="auto"/>
        <w:rPr>
          <w:rFonts w:cstheme="minorHAnsi"/>
          <w:bCs/>
        </w:rPr>
      </w:pPr>
      <w:r w:rsidRPr="00D9791B">
        <w:rPr>
          <w:color w:val="C00000"/>
          <w:szCs w:val="20"/>
        </w:rPr>
        <w:t xml:space="preserve">While most physicians perform in the </w:t>
      </w:r>
      <w:r w:rsidR="002535F2" w:rsidRPr="00D9791B">
        <w:rPr>
          <w:color w:val="C00000"/>
          <w:szCs w:val="20"/>
        </w:rPr>
        <w:t xml:space="preserve">mid-to-high 90s on this measure, </w:t>
      </w:r>
      <w:r w:rsidR="00AD2C2A" w:rsidRPr="00D9791B">
        <w:rPr>
          <w:color w:val="C00000"/>
          <w:szCs w:val="20"/>
        </w:rPr>
        <w:t xml:space="preserve">there are still </w:t>
      </w:r>
      <w:r w:rsidR="003F14AF" w:rsidRPr="00D9791B">
        <w:rPr>
          <w:color w:val="C00000"/>
          <w:szCs w:val="20"/>
        </w:rPr>
        <w:t xml:space="preserve">physicians who are failing this measure. Hence, the measure is still </w:t>
      </w:r>
      <w:r w:rsidR="00D9791B" w:rsidRPr="00D9791B">
        <w:rPr>
          <w:color w:val="C00000"/>
          <w:szCs w:val="20"/>
        </w:rPr>
        <w:t>capable to meaningfully differentiate among physicians.</w:t>
      </w:r>
    </w:p>
    <w:p w14:paraId="0CABD00B" w14:textId="77777777" w:rsidR="00D61410" w:rsidRPr="00927027" w:rsidRDefault="00D61410" w:rsidP="00D61410">
      <w:pPr>
        <w:autoSpaceDE w:val="0"/>
        <w:autoSpaceDN w:val="0"/>
        <w:adjustRightInd w:val="0"/>
        <w:spacing w:after="0" w:line="240" w:lineRule="auto"/>
        <w:rPr>
          <w:rFonts w:cstheme="minorHAnsi"/>
          <w:bCs/>
        </w:rPr>
      </w:pPr>
    </w:p>
    <w:p w14:paraId="0CABD00C" w14:textId="3CDD34C9"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r w:rsidR="005C7F9A" w:rsidRPr="00335F01">
        <w:rPr>
          <w:rFonts w:cs="Calibri"/>
          <w:bCs/>
          <w:color w:val="002060"/>
          <w:u w:val="single"/>
        </w:rPr>
        <w:t>Previous 201</w:t>
      </w:r>
      <w:r w:rsidR="005C7F9A">
        <w:rPr>
          <w:rFonts w:cs="Calibri"/>
          <w:bCs/>
          <w:color w:val="002060"/>
          <w:u w:val="single"/>
        </w:rPr>
        <w:t>1</w:t>
      </w:r>
      <w:r w:rsidR="005C7F9A" w:rsidRPr="00335F01">
        <w:rPr>
          <w:rFonts w:cs="Calibri"/>
          <w:bCs/>
          <w:color w:val="002060"/>
          <w:u w:val="single"/>
        </w:rPr>
        <w:t xml:space="preserve"> Testing</w:t>
      </w:r>
    </w:p>
    <w:p w14:paraId="7A11A95D" w14:textId="77777777" w:rsidR="00A422A6" w:rsidRPr="0067587A" w:rsidRDefault="00A422A6" w:rsidP="00A422A6">
      <w:pPr>
        <w:rPr>
          <w:rFonts w:eastAsia="Times New Roman"/>
          <w:color w:val="17365D" w:themeColor="text2" w:themeShade="BF"/>
          <w:szCs w:val="24"/>
        </w:rPr>
      </w:pPr>
      <w:r w:rsidRPr="0067587A">
        <w:rPr>
          <w:rFonts w:eastAsia="Times New Roman"/>
          <w:color w:val="17365D" w:themeColor="text2" w:themeShade="BF"/>
          <w:szCs w:val="24"/>
        </w:rPr>
        <w:t>The performance rate range is .2620. Although this study captured performance on 862 events, the data were not captured at the physician level, restricting reporting of variation in performance to the organization level only. Additionally, we are unable to present a meaningful calculation of variation in performance across organizations due to the small sample size of sites (n=5) in this study.</w:t>
      </w:r>
    </w:p>
    <w:p w14:paraId="129B4E8C" w14:textId="77777777" w:rsidR="00A422A6" w:rsidRDefault="00A422A6" w:rsidP="00A422A6">
      <w:pPr>
        <w:spacing w:after="0" w:line="240" w:lineRule="auto"/>
        <w:rPr>
          <w:b/>
          <w:color w:val="0000FF"/>
          <w:szCs w:val="20"/>
          <w:u w:val="single"/>
        </w:rPr>
      </w:pPr>
    </w:p>
    <w:p w14:paraId="6B210AC7" w14:textId="04EFD1F8" w:rsidR="00A422A6" w:rsidRPr="005C7F9A" w:rsidRDefault="00E8369E" w:rsidP="005C7F9A">
      <w:pPr>
        <w:autoSpaceDE w:val="0"/>
        <w:autoSpaceDN w:val="0"/>
        <w:adjustRightInd w:val="0"/>
        <w:spacing w:after="0" w:line="240" w:lineRule="auto"/>
        <w:rPr>
          <w:color w:val="C00000"/>
          <w:szCs w:val="20"/>
          <w:u w:val="single"/>
        </w:rPr>
      </w:pPr>
      <w:r w:rsidRPr="00B80617">
        <w:rPr>
          <w:color w:val="C00000"/>
          <w:szCs w:val="20"/>
          <w:u w:val="single"/>
        </w:rPr>
        <w:t>Current Testing</w:t>
      </w:r>
    </w:p>
    <w:p w14:paraId="09DF8121" w14:textId="350B292D" w:rsidR="00A422A6" w:rsidRDefault="00A422A6" w:rsidP="00D61410">
      <w:pPr>
        <w:autoSpaceDE w:val="0"/>
        <w:autoSpaceDN w:val="0"/>
        <w:adjustRightInd w:val="0"/>
        <w:spacing w:after="0" w:line="240" w:lineRule="auto"/>
        <w:rPr>
          <w:rFonts w:cstheme="minorHAnsi"/>
          <w:bCs/>
        </w:rPr>
      </w:pPr>
    </w:p>
    <w:p w14:paraId="083777DF" w14:textId="76A3C73C" w:rsidR="00C715C3" w:rsidRPr="00A25024" w:rsidRDefault="00001789" w:rsidP="00D61410">
      <w:pPr>
        <w:autoSpaceDE w:val="0"/>
        <w:autoSpaceDN w:val="0"/>
        <w:adjustRightInd w:val="0"/>
        <w:spacing w:after="0" w:line="240" w:lineRule="auto"/>
        <w:rPr>
          <w:rFonts w:cstheme="minorHAnsi"/>
          <w:bCs/>
        </w:rPr>
      </w:pPr>
      <w:r w:rsidRPr="0025386F">
        <w:rPr>
          <w:color w:val="C00000"/>
          <w:szCs w:val="20"/>
        </w:rPr>
        <w:t xml:space="preserve">Due to the small sample size </w:t>
      </w:r>
      <w:r w:rsidR="00106AC0" w:rsidRPr="0025386F">
        <w:rPr>
          <w:color w:val="C00000"/>
          <w:szCs w:val="20"/>
        </w:rPr>
        <w:t>at the provider level</w:t>
      </w:r>
      <w:r w:rsidR="00754676" w:rsidRPr="0025386F">
        <w:rPr>
          <w:color w:val="C00000"/>
          <w:szCs w:val="20"/>
        </w:rPr>
        <w:t xml:space="preserve"> in </w:t>
      </w:r>
      <w:proofErr w:type="spellStart"/>
      <w:r w:rsidR="00754676" w:rsidRPr="0025386F">
        <w:rPr>
          <w:color w:val="C00000"/>
          <w:szCs w:val="20"/>
        </w:rPr>
        <w:t>CancerLinQ</w:t>
      </w:r>
      <w:proofErr w:type="spellEnd"/>
      <w:r w:rsidR="00754676" w:rsidRPr="0025386F">
        <w:rPr>
          <w:color w:val="C00000"/>
          <w:szCs w:val="20"/>
        </w:rPr>
        <w:t xml:space="preserve"> dataset</w:t>
      </w:r>
      <w:r w:rsidR="00106AC0" w:rsidRPr="0025386F">
        <w:rPr>
          <w:color w:val="C00000"/>
          <w:szCs w:val="20"/>
        </w:rPr>
        <w:t xml:space="preserve">, examination of significant </w:t>
      </w:r>
      <w:r w:rsidR="00A77028" w:rsidRPr="0025386F">
        <w:rPr>
          <w:color w:val="C00000"/>
          <w:szCs w:val="20"/>
        </w:rPr>
        <w:t>difference</w:t>
      </w:r>
      <w:r w:rsidR="000F33DF" w:rsidRPr="0025386F">
        <w:rPr>
          <w:color w:val="C00000"/>
          <w:szCs w:val="20"/>
        </w:rPr>
        <w:t>s</w:t>
      </w:r>
      <w:r w:rsidR="00A77028" w:rsidRPr="0025386F">
        <w:rPr>
          <w:color w:val="C00000"/>
          <w:szCs w:val="20"/>
        </w:rPr>
        <w:t xml:space="preserve"> in the</w:t>
      </w:r>
      <w:r w:rsidR="0025386F" w:rsidRPr="0025386F">
        <w:rPr>
          <w:color w:val="C00000"/>
          <w:szCs w:val="20"/>
        </w:rPr>
        <w:t xml:space="preserve"> </w:t>
      </w:r>
      <w:r w:rsidR="008E4101" w:rsidRPr="0025386F">
        <w:rPr>
          <w:color w:val="C00000"/>
          <w:szCs w:val="20"/>
        </w:rPr>
        <w:t xml:space="preserve">measure </w:t>
      </w:r>
      <w:r w:rsidR="0025386F" w:rsidRPr="0025386F">
        <w:rPr>
          <w:color w:val="C00000"/>
          <w:szCs w:val="20"/>
        </w:rPr>
        <w:t>performance was</w:t>
      </w:r>
      <w:r w:rsidR="00A77028" w:rsidRPr="0025386F">
        <w:rPr>
          <w:color w:val="C00000"/>
          <w:szCs w:val="20"/>
        </w:rPr>
        <w:t xml:space="preserve"> kept at the physician level and no </w:t>
      </w:r>
      <w:r w:rsidR="00111288">
        <w:rPr>
          <w:color w:val="C00000"/>
          <w:szCs w:val="20"/>
        </w:rPr>
        <w:t>provider</w:t>
      </w:r>
      <w:r w:rsidR="0025386F">
        <w:rPr>
          <w:color w:val="C00000"/>
          <w:szCs w:val="20"/>
        </w:rPr>
        <w:t xml:space="preserve"> level </w:t>
      </w:r>
      <w:r w:rsidR="00111288">
        <w:rPr>
          <w:color w:val="C00000"/>
          <w:szCs w:val="20"/>
        </w:rPr>
        <w:t xml:space="preserve">statistics </w:t>
      </w:r>
      <w:r w:rsidR="008A76B3">
        <w:rPr>
          <w:color w:val="C00000"/>
          <w:szCs w:val="20"/>
        </w:rPr>
        <w:t>were calculated</w:t>
      </w:r>
      <w:r w:rsidR="00111288">
        <w:rPr>
          <w:color w:val="C00000"/>
          <w:szCs w:val="20"/>
        </w:rPr>
        <w:t>.</w:t>
      </w: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39F8319D" w14:textId="77777777" w:rsidR="00E8369E" w:rsidRPr="00B80617" w:rsidRDefault="009C7513" w:rsidP="00E8369E">
      <w:pPr>
        <w:autoSpaceDE w:val="0"/>
        <w:autoSpaceDN w:val="0"/>
        <w:adjustRightInd w:val="0"/>
        <w:spacing w:after="0" w:line="240" w:lineRule="auto"/>
        <w:rPr>
          <w:color w:val="C00000"/>
          <w:szCs w:val="20"/>
          <w:u w:val="single"/>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r w:rsidR="00E8369E" w:rsidRPr="00B80617">
        <w:rPr>
          <w:color w:val="C00000"/>
          <w:szCs w:val="20"/>
          <w:u w:val="single"/>
        </w:rPr>
        <w:t>Current Testing</w:t>
      </w:r>
    </w:p>
    <w:p w14:paraId="3686888F" w14:textId="3706990B" w:rsidR="00A422A6" w:rsidRPr="00404808" w:rsidRDefault="00A422A6" w:rsidP="00404808">
      <w:pPr>
        <w:autoSpaceDE w:val="0"/>
        <w:autoSpaceDN w:val="0"/>
        <w:adjustRightInd w:val="0"/>
        <w:spacing w:after="0" w:line="240" w:lineRule="auto"/>
        <w:rPr>
          <w:rFonts w:cstheme="minorHAnsi"/>
          <w:bCs/>
          <w:sz w:val="14"/>
        </w:rPr>
      </w:pPr>
    </w:p>
    <w:p w14:paraId="6231B183" w14:textId="77777777" w:rsidR="00A422A6" w:rsidRPr="00156C93" w:rsidRDefault="00A422A6" w:rsidP="00A422A6">
      <w:pPr>
        <w:pStyle w:val="Default"/>
        <w:rPr>
          <w:rFonts w:asciiTheme="minorHAnsi" w:hAnsiTheme="minorHAnsi" w:cs="Times New Roman"/>
          <w:color w:val="C00000"/>
          <w:sz w:val="22"/>
          <w:szCs w:val="20"/>
        </w:rPr>
      </w:pPr>
      <w:r w:rsidRPr="00156C93">
        <w:rPr>
          <w:rFonts w:asciiTheme="minorHAnsi" w:hAnsiTheme="minorHAnsi" w:cs="Times New Roman"/>
          <w:color w:val="C00000"/>
          <w:sz w:val="22"/>
          <w:szCs w:val="20"/>
        </w:rPr>
        <w:t xml:space="preserve">This test was not performed for this measure. </w:t>
      </w:r>
    </w:p>
    <w:p w14:paraId="0CABD014" w14:textId="77D3969E" w:rsidR="000F06B5" w:rsidRDefault="000F06B5" w:rsidP="00DB3627">
      <w:pPr>
        <w:pStyle w:val="ListParagraph"/>
        <w:autoSpaceDE w:val="0"/>
        <w:autoSpaceDN w:val="0"/>
        <w:adjustRightInd w:val="0"/>
        <w:spacing w:after="0" w:line="240" w:lineRule="auto"/>
        <w:ind w:left="0"/>
        <w:rPr>
          <w:rFonts w:cstheme="minorHAnsi"/>
          <w:bCs/>
        </w:rPr>
      </w:pPr>
    </w:p>
    <w:p w14:paraId="0B463199" w14:textId="77777777" w:rsidR="00A422A6" w:rsidRPr="00A25024" w:rsidRDefault="00A422A6" w:rsidP="00DB3627">
      <w:pPr>
        <w:pStyle w:val="ListParagraph"/>
        <w:autoSpaceDE w:val="0"/>
        <w:autoSpaceDN w:val="0"/>
        <w:adjustRightInd w:val="0"/>
        <w:spacing w:after="0" w:line="240" w:lineRule="auto"/>
        <w:ind w:left="0"/>
        <w:rPr>
          <w:rFonts w:cstheme="minorHAnsi"/>
          <w:bCs/>
        </w:rPr>
      </w:pPr>
    </w:p>
    <w:p w14:paraId="1FF64B68" w14:textId="34C55906" w:rsidR="00A422A6" w:rsidRDefault="009C7513" w:rsidP="00A422A6">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057D5DFC" w14:textId="77777777" w:rsidR="00E8369E" w:rsidRPr="00B80617" w:rsidRDefault="00E8369E" w:rsidP="00E8369E">
      <w:pPr>
        <w:autoSpaceDE w:val="0"/>
        <w:autoSpaceDN w:val="0"/>
        <w:adjustRightInd w:val="0"/>
        <w:spacing w:after="0" w:line="240" w:lineRule="auto"/>
        <w:rPr>
          <w:color w:val="C00000"/>
          <w:szCs w:val="20"/>
          <w:u w:val="single"/>
        </w:rPr>
      </w:pPr>
      <w:r w:rsidRPr="00B80617">
        <w:rPr>
          <w:color w:val="C00000"/>
          <w:szCs w:val="20"/>
          <w:u w:val="single"/>
        </w:rPr>
        <w:t>Current Testing</w:t>
      </w:r>
    </w:p>
    <w:p w14:paraId="46B794B2" w14:textId="77777777" w:rsidR="00A422A6" w:rsidRPr="00156C93" w:rsidRDefault="00A422A6" w:rsidP="00A422A6">
      <w:pPr>
        <w:pStyle w:val="Default"/>
        <w:rPr>
          <w:rFonts w:asciiTheme="minorHAnsi" w:hAnsiTheme="minorHAnsi" w:cs="Times New Roman"/>
          <w:color w:val="C00000"/>
          <w:sz w:val="22"/>
          <w:szCs w:val="20"/>
        </w:rPr>
      </w:pPr>
    </w:p>
    <w:p w14:paraId="0BD055D2" w14:textId="77777777" w:rsidR="00A422A6" w:rsidRPr="00156C93" w:rsidRDefault="00A422A6" w:rsidP="00A422A6">
      <w:pPr>
        <w:pStyle w:val="Default"/>
        <w:rPr>
          <w:rFonts w:asciiTheme="minorHAnsi" w:hAnsiTheme="minorHAnsi" w:cs="Times New Roman"/>
          <w:color w:val="C00000"/>
          <w:sz w:val="22"/>
          <w:szCs w:val="20"/>
        </w:rPr>
      </w:pPr>
      <w:r w:rsidRPr="00156C93">
        <w:rPr>
          <w:rFonts w:asciiTheme="minorHAnsi" w:hAnsiTheme="minorHAnsi" w:cs="Times New Roman"/>
          <w:color w:val="C00000"/>
          <w:sz w:val="22"/>
          <w:szCs w:val="20"/>
        </w:rPr>
        <w:t xml:space="preserve">This test was not performed for this measure. </w:t>
      </w:r>
    </w:p>
    <w:p w14:paraId="3941F446" w14:textId="77777777" w:rsidR="00A422A6" w:rsidRDefault="00A422A6" w:rsidP="00E1508F">
      <w:pPr>
        <w:autoSpaceDE w:val="0"/>
        <w:autoSpaceDN w:val="0"/>
        <w:adjustRightInd w:val="0"/>
        <w:spacing w:after="0" w:line="240" w:lineRule="auto"/>
        <w:rPr>
          <w:rFonts w:cstheme="minorHAnsi"/>
          <w:bCs/>
        </w:rPr>
      </w:pPr>
    </w:p>
    <w:p w14:paraId="0CABD016" w14:textId="77777777" w:rsidR="00E1508F" w:rsidRPr="00E1508F" w:rsidRDefault="00E1508F" w:rsidP="00E1508F">
      <w:pPr>
        <w:autoSpaceDE w:val="0"/>
        <w:autoSpaceDN w:val="0"/>
        <w:adjustRightInd w:val="0"/>
        <w:spacing w:after="0" w:line="240" w:lineRule="auto"/>
        <w:rPr>
          <w:rFonts w:cstheme="minorHAnsi"/>
          <w:bCs/>
        </w:rPr>
      </w:pPr>
    </w:p>
    <w:p w14:paraId="19F16938" w14:textId="77777777" w:rsidR="00E8369E" w:rsidRDefault="009C7513" w:rsidP="00E8369E">
      <w:pPr>
        <w:autoSpaceDE w:val="0"/>
        <w:autoSpaceDN w:val="0"/>
        <w:adjustRightInd w:val="0"/>
        <w:spacing w:after="0" w:line="240" w:lineRule="auto"/>
        <w:rPr>
          <w:color w:val="C00000"/>
          <w:szCs w:val="20"/>
          <w:u w:val="single"/>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14:paraId="33EE85E5" w14:textId="7E5EE7D9" w:rsidR="00E8369E" w:rsidRPr="00B80617" w:rsidRDefault="00E8369E" w:rsidP="00E8369E">
      <w:pPr>
        <w:autoSpaceDE w:val="0"/>
        <w:autoSpaceDN w:val="0"/>
        <w:adjustRightInd w:val="0"/>
        <w:spacing w:after="0" w:line="240" w:lineRule="auto"/>
        <w:rPr>
          <w:color w:val="C00000"/>
          <w:szCs w:val="20"/>
          <w:u w:val="single"/>
        </w:rPr>
      </w:pPr>
      <w:r w:rsidRPr="00B80617">
        <w:rPr>
          <w:color w:val="C00000"/>
          <w:szCs w:val="20"/>
          <w:u w:val="single"/>
        </w:rPr>
        <w:t>Current Testing</w:t>
      </w:r>
    </w:p>
    <w:p w14:paraId="16809B9A" w14:textId="56F20AC0" w:rsidR="00A422A6" w:rsidRPr="00404808" w:rsidRDefault="00A422A6" w:rsidP="00404808">
      <w:pPr>
        <w:autoSpaceDE w:val="0"/>
        <w:autoSpaceDN w:val="0"/>
        <w:adjustRightInd w:val="0"/>
        <w:spacing w:after="0" w:line="240" w:lineRule="auto"/>
        <w:rPr>
          <w:rFonts w:cstheme="minorHAnsi"/>
          <w:bCs/>
        </w:rPr>
      </w:pPr>
    </w:p>
    <w:p w14:paraId="5EDE18AB" w14:textId="2F8BAD96" w:rsidR="00A422A6" w:rsidRPr="00156C93" w:rsidRDefault="00A422A6" w:rsidP="00A422A6">
      <w:pPr>
        <w:pStyle w:val="Default"/>
        <w:rPr>
          <w:rFonts w:asciiTheme="minorHAnsi" w:hAnsiTheme="minorHAnsi" w:cs="Times New Roman"/>
          <w:color w:val="C00000"/>
          <w:sz w:val="22"/>
          <w:szCs w:val="20"/>
        </w:rPr>
      </w:pPr>
      <w:r w:rsidRPr="00156C93">
        <w:rPr>
          <w:rFonts w:asciiTheme="minorHAnsi" w:hAnsiTheme="minorHAnsi" w:cs="Times New Roman"/>
          <w:color w:val="C00000"/>
          <w:sz w:val="22"/>
          <w:szCs w:val="20"/>
        </w:rPr>
        <w:t xml:space="preserve">This test was not performed for this measure. </w:t>
      </w:r>
    </w:p>
    <w:p w14:paraId="68C669B7" w14:textId="77777777" w:rsidR="00A422A6" w:rsidRDefault="00A422A6" w:rsidP="00DB3627">
      <w:pPr>
        <w:autoSpaceDE w:val="0"/>
        <w:autoSpaceDN w:val="0"/>
        <w:adjustRightInd w:val="0"/>
        <w:spacing w:after="0" w:line="240" w:lineRule="auto"/>
        <w:rPr>
          <w:rFonts w:cstheme="minorHAnsi"/>
          <w:bCs/>
        </w:rPr>
      </w:pP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2635F0AD" w14:textId="77777777" w:rsidR="00E8369E" w:rsidRDefault="009C7513" w:rsidP="00E8369E">
      <w:pPr>
        <w:autoSpaceDE w:val="0"/>
        <w:autoSpaceDN w:val="0"/>
        <w:adjustRightInd w:val="0"/>
        <w:spacing w:after="0" w:line="240" w:lineRule="auto"/>
        <w:rPr>
          <w:rFonts w:cstheme="minorHAnsi"/>
          <w:bCs/>
        </w:rPr>
      </w:pPr>
      <w:r>
        <w:rPr>
          <w:rFonts w:cstheme="minorHAnsi"/>
          <w:b/>
          <w:bCs/>
        </w:rPr>
        <w:lastRenderedPageBreak/>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r>
    </w:p>
    <w:p w14:paraId="40CC69DC" w14:textId="618AD5B8" w:rsidR="00E8369E" w:rsidRPr="00B80617" w:rsidRDefault="008F7E67" w:rsidP="00E8369E">
      <w:pPr>
        <w:autoSpaceDE w:val="0"/>
        <w:autoSpaceDN w:val="0"/>
        <w:adjustRightInd w:val="0"/>
        <w:spacing w:after="0" w:line="240" w:lineRule="auto"/>
        <w:rPr>
          <w:color w:val="C00000"/>
          <w:szCs w:val="20"/>
          <w:u w:val="single"/>
        </w:rPr>
      </w:pPr>
      <w:r w:rsidRPr="00A25024">
        <w:rPr>
          <w:rFonts w:cstheme="minorHAnsi"/>
          <w:bCs/>
        </w:rPr>
        <w:t xml:space="preserve"> </w:t>
      </w:r>
      <w:r w:rsidR="00E8369E" w:rsidRPr="00B80617">
        <w:rPr>
          <w:color w:val="C00000"/>
          <w:szCs w:val="20"/>
          <w:u w:val="single"/>
        </w:rPr>
        <w:t>Current Testing</w:t>
      </w:r>
    </w:p>
    <w:p w14:paraId="36006F11" w14:textId="595FA705" w:rsidR="00A422A6" w:rsidRPr="00404808" w:rsidRDefault="00A422A6" w:rsidP="00404808">
      <w:pPr>
        <w:autoSpaceDE w:val="0"/>
        <w:autoSpaceDN w:val="0"/>
        <w:adjustRightInd w:val="0"/>
        <w:spacing w:after="0" w:line="240" w:lineRule="auto"/>
        <w:rPr>
          <w:rFonts w:cstheme="minorHAnsi"/>
          <w:bCs/>
        </w:rPr>
      </w:pPr>
    </w:p>
    <w:p w14:paraId="5503645E" w14:textId="4FE8227E" w:rsidR="00A422A6" w:rsidRPr="00A25024" w:rsidRDefault="00BD72E5" w:rsidP="008F7E67">
      <w:pPr>
        <w:autoSpaceDE w:val="0"/>
        <w:autoSpaceDN w:val="0"/>
        <w:adjustRightInd w:val="0"/>
        <w:spacing w:after="0" w:line="240" w:lineRule="auto"/>
        <w:rPr>
          <w:rFonts w:cstheme="minorHAnsi"/>
          <w:bCs/>
        </w:rPr>
      </w:pPr>
      <w:r>
        <w:rPr>
          <w:rFonts w:cstheme="minorHAnsi"/>
          <w:bCs/>
          <w:color w:val="C00000"/>
        </w:rPr>
        <w:t xml:space="preserve">Neither the </w:t>
      </w:r>
      <w:proofErr w:type="spellStart"/>
      <w:r>
        <w:rPr>
          <w:rFonts w:cstheme="minorHAnsi"/>
          <w:bCs/>
          <w:color w:val="C00000"/>
        </w:rPr>
        <w:t>CancerLinQ</w:t>
      </w:r>
      <w:proofErr w:type="spellEnd"/>
      <w:r>
        <w:rPr>
          <w:rFonts w:cstheme="minorHAnsi"/>
          <w:bCs/>
          <w:color w:val="C00000"/>
        </w:rPr>
        <w:t xml:space="preserve"> dataset nor </w:t>
      </w:r>
      <w:r w:rsidR="00D1366A">
        <w:rPr>
          <w:rFonts w:cstheme="minorHAnsi"/>
          <w:bCs/>
          <w:color w:val="C00000"/>
        </w:rPr>
        <w:t xml:space="preserve">the two </w:t>
      </w:r>
      <w:r w:rsidR="00980CBE" w:rsidRPr="00C01F5A">
        <w:rPr>
          <w:rFonts w:cstheme="minorHAnsi"/>
          <w:bCs/>
          <w:color w:val="C00000"/>
        </w:rPr>
        <w:t xml:space="preserve">CMS </w:t>
      </w:r>
      <w:proofErr w:type="gramStart"/>
      <w:r w:rsidR="00D1366A">
        <w:rPr>
          <w:rFonts w:cstheme="minorHAnsi"/>
          <w:bCs/>
          <w:color w:val="C00000"/>
        </w:rPr>
        <w:t xml:space="preserve">contained </w:t>
      </w:r>
      <w:r w:rsidR="00980CBE" w:rsidRPr="00C01F5A">
        <w:rPr>
          <w:rFonts w:cstheme="minorHAnsi"/>
          <w:bCs/>
          <w:color w:val="C00000"/>
        </w:rPr>
        <w:t xml:space="preserve"> missing</w:t>
      </w:r>
      <w:proofErr w:type="gramEnd"/>
      <w:r w:rsidR="00980CBE" w:rsidRPr="00C01F5A">
        <w:rPr>
          <w:rFonts w:cstheme="minorHAnsi"/>
          <w:bCs/>
          <w:color w:val="C00000"/>
        </w:rPr>
        <w:t xml:space="preserve"> data so this test was not performed. There is no indication that this missing data was systematic, thus their omission would lead to unbiased performance results.</w:t>
      </w: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2B226509" w14:textId="77777777" w:rsidR="00E8369E" w:rsidRDefault="009C7513" w:rsidP="00E8369E">
      <w:pPr>
        <w:autoSpaceDE w:val="0"/>
        <w:autoSpaceDN w:val="0"/>
        <w:adjustRightInd w:val="0"/>
        <w:spacing w:after="0" w:line="240" w:lineRule="auto"/>
        <w:rPr>
          <w:color w:val="C00000"/>
          <w:szCs w:val="20"/>
          <w:u w:val="single"/>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4D03239B" w14:textId="2421435F" w:rsidR="00E8369E" w:rsidRPr="00B80617" w:rsidRDefault="00E8369E" w:rsidP="00E8369E">
      <w:pPr>
        <w:autoSpaceDE w:val="0"/>
        <w:autoSpaceDN w:val="0"/>
        <w:adjustRightInd w:val="0"/>
        <w:spacing w:after="0" w:line="240" w:lineRule="auto"/>
        <w:rPr>
          <w:color w:val="C00000"/>
          <w:szCs w:val="20"/>
          <w:u w:val="single"/>
        </w:rPr>
      </w:pPr>
      <w:r w:rsidRPr="00B80617">
        <w:rPr>
          <w:color w:val="C00000"/>
          <w:szCs w:val="20"/>
          <w:u w:val="single"/>
        </w:rPr>
        <w:t>Current Testing</w:t>
      </w:r>
    </w:p>
    <w:p w14:paraId="02CE1C19" w14:textId="2669A160" w:rsidR="00A422A6" w:rsidRPr="00404808" w:rsidRDefault="00A422A6" w:rsidP="00404808">
      <w:pPr>
        <w:autoSpaceDE w:val="0"/>
        <w:autoSpaceDN w:val="0"/>
        <w:adjustRightInd w:val="0"/>
        <w:spacing w:after="0" w:line="240" w:lineRule="auto"/>
        <w:rPr>
          <w:rFonts w:cstheme="minorHAnsi"/>
          <w:bCs/>
        </w:rPr>
      </w:pPr>
    </w:p>
    <w:p w14:paraId="38189677" w14:textId="72C0D526" w:rsidR="00A422A6" w:rsidRPr="00156C93" w:rsidRDefault="00A422A6" w:rsidP="00A422A6">
      <w:pPr>
        <w:pStyle w:val="Default"/>
        <w:rPr>
          <w:rFonts w:asciiTheme="minorHAnsi" w:hAnsiTheme="minorHAnsi" w:cs="Times New Roman"/>
          <w:color w:val="C00000"/>
          <w:sz w:val="22"/>
          <w:szCs w:val="20"/>
        </w:rPr>
      </w:pPr>
      <w:r w:rsidRPr="00156C93">
        <w:rPr>
          <w:rFonts w:asciiTheme="minorHAnsi" w:hAnsiTheme="minorHAnsi" w:cs="Times New Roman"/>
          <w:color w:val="C00000"/>
          <w:sz w:val="22"/>
          <w:szCs w:val="20"/>
        </w:rPr>
        <w:t xml:space="preserve">This test was not performed for this measure. </w:t>
      </w:r>
      <w:r w:rsidR="00E32F96">
        <w:rPr>
          <w:rFonts w:asciiTheme="minorHAnsi" w:hAnsiTheme="minorHAnsi" w:cs="Times New Roman"/>
          <w:color w:val="C00000"/>
          <w:sz w:val="22"/>
          <w:szCs w:val="20"/>
        </w:rPr>
        <w:t>There was no missing data.</w:t>
      </w:r>
    </w:p>
    <w:p w14:paraId="616A1ABF" w14:textId="77777777" w:rsidR="00A422A6" w:rsidRDefault="00A422A6" w:rsidP="008F7E67">
      <w:pPr>
        <w:autoSpaceDE w:val="0"/>
        <w:autoSpaceDN w:val="0"/>
        <w:adjustRightInd w:val="0"/>
        <w:spacing w:after="0" w:line="240" w:lineRule="auto"/>
        <w:rPr>
          <w:rFonts w:cstheme="minorHAnsi"/>
          <w:bCs/>
        </w:rPr>
      </w:pPr>
    </w:p>
    <w:p w14:paraId="0CABD01E" w14:textId="77777777" w:rsidR="008F7E67" w:rsidRPr="00E1508F" w:rsidRDefault="008F7E67"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61D7854A" w14:textId="77777777" w:rsidR="00E8369E" w:rsidRDefault="00E8369E" w:rsidP="00E8369E">
      <w:pPr>
        <w:autoSpaceDE w:val="0"/>
        <w:autoSpaceDN w:val="0"/>
        <w:adjustRightInd w:val="0"/>
        <w:spacing w:after="0" w:line="240" w:lineRule="auto"/>
        <w:rPr>
          <w:color w:val="C00000"/>
          <w:szCs w:val="20"/>
          <w:u w:val="single"/>
        </w:rPr>
      </w:pPr>
    </w:p>
    <w:p w14:paraId="0511113B" w14:textId="2D81A65A" w:rsidR="00E8369E" w:rsidRPr="00B80617" w:rsidRDefault="00E8369E" w:rsidP="00E8369E">
      <w:pPr>
        <w:autoSpaceDE w:val="0"/>
        <w:autoSpaceDN w:val="0"/>
        <w:adjustRightInd w:val="0"/>
        <w:spacing w:after="0" w:line="240" w:lineRule="auto"/>
        <w:rPr>
          <w:color w:val="C00000"/>
          <w:szCs w:val="20"/>
          <w:u w:val="single"/>
        </w:rPr>
      </w:pPr>
      <w:r w:rsidRPr="00B80617">
        <w:rPr>
          <w:color w:val="C00000"/>
          <w:szCs w:val="20"/>
          <w:u w:val="single"/>
        </w:rPr>
        <w:t>Current Testing</w:t>
      </w:r>
    </w:p>
    <w:p w14:paraId="01B7F50B" w14:textId="77777777" w:rsidR="00A422A6" w:rsidRPr="00156C93" w:rsidRDefault="00A422A6" w:rsidP="00A422A6">
      <w:pPr>
        <w:pStyle w:val="Default"/>
        <w:rPr>
          <w:rFonts w:asciiTheme="minorHAnsi" w:hAnsiTheme="minorHAnsi" w:cs="Times New Roman"/>
          <w:color w:val="C00000"/>
          <w:sz w:val="22"/>
          <w:szCs w:val="20"/>
        </w:rPr>
      </w:pPr>
    </w:p>
    <w:p w14:paraId="301F4171" w14:textId="77777777" w:rsidR="00980CBE" w:rsidRPr="00C01F5A" w:rsidRDefault="00980CBE" w:rsidP="00980CBE">
      <w:pPr>
        <w:autoSpaceDE w:val="0"/>
        <w:autoSpaceDN w:val="0"/>
        <w:adjustRightInd w:val="0"/>
        <w:spacing w:after="0" w:line="240" w:lineRule="auto"/>
        <w:rPr>
          <w:rFonts w:cstheme="minorHAnsi"/>
          <w:bCs/>
          <w:color w:val="C00000"/>
        </w:rPr>
      </w:pPr>
      <w:r w:rsidRPr="00C01F5A">
        <w:rPr>
          <w:rFonts w:cstheme="minorHAnsi"/>
          <w:bCs/>
          <w:color w:val="C00000"/>
        </w:rPr>
        <w:t>The PQRS dataset provided to us by CMS did not contain missing data so this test was not performed. Nevertheless, missing data may have been rejected when submitted to CMS in which case those values would not be counted towards measure performance. There is no indication that this missing data was systematic, thus their omission would lead to unbiased performance results.</w:t>
      </w:r>
    </w:p>
    <w:p w14:paraId="09406484" w14:textId="3B021A38" w:rsidR="00A422A6" w:rsidRPr="00156C93" w:rsidRDefault="00A422A6" w:rsidP="00A422A6">
      <w:pPr>
        <w:pStyle w:val="Default"/>
        <w:rPr>
          <w:rFonts w:asciiTheme="minorHAnsi" w:hAnsiTheme="minorHAnsi" w:cs="Times New Roman"/>
          <w:color w:val="C00000"/>
          <w:sz w:val="22"/>
          <w:szCs w:val="20"/>
        </w:rPr>
      </w:pPr>
    </w:p>
    <w:p w14:paraId="61107281" w14:textId="77777777" w:rsidR="00A422A6" w:rsidRPr="005560E7" w:rsidRDefault="00A422A6">
      <w:pPr>
        <w:autoSpaceDE w:val="0"/>
        <w:autoSpaceDN w:val="0"/>
        <w:adjustRightInd w:val="0"/>
        <w:spacing w:after="0" w:line="240" w:lineRule="auto"/>
        <w:rPr>
          <w:rFonts w:cstheme="minorHAnsi"/>
          <w:bCs/>
        </w:rPr>
      </w:pPr>
    </w:p>
    <w:sectPr w:rsidR="00A422A6" w:rsidRPr="005560E7" w:rsidSect="008505D1">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F5B4E5" w14:textId="77777777" w:rsidR="00EC3995" w:rsidRDefault="00EC3995" w:rsidP="005C73CA">
      <w:pPr>
        <w:spacing w:after="0" w:line="240" w:lineRule="auto"/>
      </w:pPr>
      <w:r>
        <w:separator/>
      </w:r>
    </w:p>
  </w:endnote>
  <w:endnote w:type="continuationSeparator" w:id="0">
    <w:p w14:paraId="1A7188C4" w14:textId="77777777" w:rsidR="00EC3995" w:rsidRDefault="00EC3995" w:rsidP="005C73CA">
      <w:pPr>
        <w:spacing w:after="0" w:line="240" w:lineRule="auto"/>
      </w:pPr>
      <w:r>
        <w:continuationSeparator/>
      </w:r>
    </w:p>
  </w:endnote>
  <w:endnote w:type="continuationNotice" w:id="1">
    <w:p w14:paraId="453CB028" w14:textId="77777777" w:rsidR="00EC3995" w:rsidRDefault="00EC39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2988468"/>
      <w:docPartObj>
        <w:docPartGallery w:val="Page Numbers (Bottom of Page)"/>
        <w:docPartUnique/>
      </w:docPartObj>
    </w:sdtPr>
    <w:sdtEndPr>
      <w:rPr>
        <w:noProof/>
      </w:rPr>
    </w:sdtEndPr>
    <w:sdtContent>
      <w:p w14:paraId="6F563CD5" w14:textId="7B1EA5EA" w:rsidR="002722E3" w:rsidRDefault="002722E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ABD026" w14:textId="41814D64" w:rsidR="00302644" w:rsidRPr="002722E3" w:rsidRDefault="00302644" w:rsidP="002722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3CF71F" w14:textId="77777777" w:rsidR="00EC3995" w:rsidRDefault="00EC3995" w:rsidP="005C73CA">
      <w:pPr>
        <w:spacing w:after="0" w:line="240" w:lineRule="auto"/>
      </w:pPr>
      <w:r>
        <w:separator/>
      </w:r>
    </w:p>
  </w:footnote>
  <w:footnote w:type="continuationSeparator" w:id="0">
    <w:p w14:paraId="33656CD0" w14:textId="77777777" w:rsidR="00EC3995" w:rsidRDefault="00EC3995" w:rsidP="005C73CA">
      <w:pPr>
        <w:spacing w:after="0" w:line="240" w:lineRule="auto"/>
      </w:pPr>
      <w:r>
        <w:continuationSeparator/>
      </w:r>
    </w:p>
  </w:footnote>
  <w:footnote w:type="continuationNotice" w:id="1">
    <w:p w14:paraId="501F3625" w14:textId="77777777" w:rsidR="00EC3995" w:rsidRDefault="00EC399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BD025" w14:textId="77777777" w:rsidR="00302644" w:rsidRPr="00105D8B" w:rsidRDefault="00302644"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330E92"/>
    <w:multiLevelType w:val="hybridMultilevel"/>
    <w:tmpl w:val="46102C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B992746"/>
    <w:multiLevelType w:val="hybridMultilevel"/>
    <w:tmpl w:val="2E945A1E"/>
    <w:lvl w:ilvl="0" w:tplc="045CBCA2">
      <w:start w:val="1"/>
      <w:numFmt w:val="decimal"/>
      <w:lvlText w:val="%1-"/>
      <w:lvlJc w:val="left"/>
      <w:pPr>
        <w:tabs>
          <w:tab w:val="num" w:pos="690"/>
        </w:tabs>
        <w:ind w:left="690" w:hanging="360"/>
      </w:pPr>
      <w:rPr>
        <w:rFonts w:hint="default"/>
      </w:rPr>
    </w:lvl>
    <w:lvl w:ilvl="1" w:tplc="04090019" w:tentative="1">
      <w:start w:val="1"/>
      <w:numFmt w:val="lowerLetter"/>
      <w:lvlText w:val="%2."/>
      <w:lvlJc w:val="left"/>
      <w:pPr>
        <w:tabs>
          <w:tab w:val="num" w:pos="1410"/>
        </w:tabs>
        <w:ind w:left="1410" w:hanging="360"/>
      </w:p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19"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8471106"/>
    <w:multiLevelType w:val="hybridMultilevel"/>
    <w:tmpl w:val="6E226E1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E83EC1"/>
    <w:multiLevelType w:val="hybridMultilevel"/>
    <w:tmpl w:val="D04C8A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F3C78E2"/>
    <w:multiLevelType w:val="hybridMultilevel"/>
    <w:tmpl w:val="025AA1C0"/>
    <w:lvl w:ilvl="0" w:tplc="04090001">
      <w:start w:val="1"/>
      <w:numFmt w:val="bullet"/>
      <w:lvlText w:val=""/>
      <w:lvlJc w:val="left"/>
      <w:pPr>
        <w:tabs>
          <w:tab w:val="num" w:pos="1050"/>
        </w:tabs>
        <w:ind w:left="1050" w:hanging="360"/>
      </w:pPr>
      <w:rPr>
        <w:rFonts w:ascii="Symbol" w:hAnsi="Symbol" w:hint="default"/>
      </w:rPr>
    </w:lvl>
    <w:lvl w:ilvl="1" w:tplc="04090003">
      <w:start w:val="1"/>
      <w:numFmt w:val="bullet"/>
      <w:lvlText w:val="o"/>
      <w:lvlJc w:val="left"/>
      <w:pPr>
        <w:tabs>
          <w:tab w:val="num" w:pos="1770"/>
        </w:tabs>
        <w:ind w:left="1770" w:hanging="360"/>
      </w:pPr>
      <w:rPr>
        <w:rFonts w:ascii="Courier New" w:hAnsi="Courier New" w:cs="Courier New" w:hint="default"/>
      </w:rPr>
    </w:lvl>
    <w:lvl w:ilvl="2" w:tplc="04090005" w:tentative="1">
      <w:start w:val="1"/>
      <w:numFmt w:val="bullet"/>
      <w:lvlText w:val=""/>
      <w:lvlJc w:val="left"/>
      <w:pPr>
        <w:tabs>
          <w:tab w:val="num" w:pos="2490"/>
        </w:tabs>
        <w:ind w:left="2490" w:hanging="360"/>
      </w:pPr>
      <w:rPr>
        <w:rFonts w:ascii="Wingdings" w:hAnsi="Wingdings" w:hint="default"/>
      </w:rPr>
    </w:lvl>
    <w:lvl w:ilvl="3" w:tplc="04090001" w:tentative="1">
      <w:start w:val="1"/>
      <w:numFmt w:val="bullet"/>
      <w:lvlText w:val=""/>
      <w:lvlJc w:val="left"/>
      <w:pPr>
        <w:tabs>
          <w:tab w:val="num" w:pos="3210"/>
        </w:tabs>
        <w:ind w:left="3210" w:hanging="360"/>
      </w:pPr>
      <w:rPr>
        <w:rFonts w:ascii="Symbol" w:hAnsi="Symbol" w:hint="default"/>
      </w:rPr>
    </w:lvl>
    <w:lvl w:ilvl="4" w:tplc="04090003" w:tentative="1">
      <w:start w:val="1"/>
      <w:numFmt w:val="bullet"/>
      <w:lvlText w:val="o"/>
      <w:lvlJc w:val="left"/>
      <w:pPr>
        <w:tabs>
          <w:tab w:val="num" w:pos="3930"/>
        </w:tabs>
        <w:ind w:left="3930" w:hanging="360"/>
      </w:pPr>
      <w:rPr>
        <w:rFonts w:ascii="Courier New" w:hAnsi="Courier New" w:cs="Courier New" w:hint="default"/>
      </w:rPr>
    </w:lvl>
    <w:lvl w:ilvl="5" w:tplc="04090005" w:tentative="1">
      <w:start w:val="1"/>
      <w:numFmt w:val="bullet"/>
      <w:lvlText w:val=""/>
      <w:lvlJc w:val="left"/>
      <w:pPr>
        <w:tabs>
          <w:tab w:val="num" w:pos="4650"/>
        </w:tabs>
        <w:ind w:left="4650" w:hanging="360"/>
      </w:pPr>
      <w:rPr>
        <w:rFonts w:ascii="Wingdings" w:hAnsi="Wingdings" w:hint="default"/>
      </w:rPr>
    </w:lvl>
    <w:lvl w:ilvl="6" w:tplc="04090001" w:tentative="1">
      <w:start w:val="1"/>
      <w:numFmt w:val="bullet"/>
      <w:lvlText w:val=""/>
      <w:lvlJc w:val="left"/>
      <w:pPr>
        <w:tabs>
          <w:tab w:val="num" w:pos="5370"/>
        </w:tabs>
        <w:ind w:left="5370" w:hanging="360"/>
      </w:pPr>
      <w:rPr>
        <w:rFonts w:ascii="Symbol" w:hAnsi="Symbol" w:hint="default"/>
      </w:rPr>
    </w:lvl>
    <w:lvl w:ilvl="7" w:tplc="04090003" w:tentative="1">
      <w:start w:val="1"/>
      <w:numFmt w:val="bullet"/>
      <w:lvlText w:val="o"/>
      <w:lvlJc w:val="left"/>
      <w:pPr>
        <w:tabs>
          <w:tab w:val="num" w:pos="6090"/>
        </w:tabs>
        <w:ind w:left="6090" w:hanging="360"/>
      </w:pPr>
      <w:rPr>
        <w:rFonts w:ascii="Courier New" w:hAnsi="Courier New" w:cs="Courier New" w:hint="default"/>
      </w:rPr>
    </w:lvl>
    <w:lvl w:ilvl="8" w:tplc="04090005" w:tentative="1">
      <w:start w:val="1"/>
      <w:numFmt w:val="bullet"/>
      <w:lvlText w:val=""/>
      <w:lvlJc w:val="left"/>
      <w:pPr>
        <w:tabs>
          <w:tab w:val="num" w:pos="6810"/>
        </w:tabs>
        <w:ind w:left="6810" w:hanging="360"/>
      </w:pPr>
      <w:rPr>
        <w:rFonts w:ascii="Wingdings" w:hAnsi="Wingdings" w:hint="default"/>
      </w:rPr>
    </w:lvl>
  </w:abstractNum>
  <w:abstractNum w:abstractNumId="29" w15:restartNumberingAfterBreak="0">
    <w:nsid w:val="4FD96E6D"/>
    <w:multiLevelType w:val="hybridMultilevel"/>
    <w:tmpl w:val="30243D2E"/>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1C054E6"/>
    <w:multiLevelType w:val="hybridMultilevel"/>
    <w:tmpl w:val="986E3370"/>
    <w:lvl w:ilvl="0" w:tplc="872E831E">
      <w:start w:val="86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39C10A2"/>
    <w:multiLevelType w:val="hybridMultilevel"/>
    <w:tmpl w:val="13FC2D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B921B35"/>
    <w:multiLevelType w:val="hybridMultilevel"/>
    <w:tmpl w:val="DBDE7628"/>
    <w:lvl w:ilvl="0" w:tplc="04090001">
      <w:start w:val="1"/>
      <w:numFmt w:val="bullet"/>
      <w:lvlText w:val=""/>
      <w:lvlJc w:val="left"/>
      <w:pPr>
        <w:tabs>
          <w:tab w:val="num" w:pos="690"/>
        </w:tabs>
        <w:ind w:left="690" w:hanging="360"/>
      </w:pPr>
      <w:rPr>
        <w:rFonts w:ascii="Symbol" w:hAnsi="Symbol" w:hint="default"/>
      </w:rPr>
    </w:lvl>
    <w:lvl w:ilvl="1" w:tplc="04090003" w:tentative="1">
      <w:start w:val="1"/>
      <w:numFmt w:val="bullet"/>
      <w:lvlText w:val="o"/>
      <w:lvlJc w:val="left"/>
      <w:pPr>
        <w:tabs>
          <w:tab w:val="num" w:pos="1410"/>
        </w:tabs>
        <w:ind w:left="1410" w:hanging="360"/>
      </w:pPr>
      <w:rPr>
        <w:rFonts w:ascii="Courier New" w:hAnsi="Courier New" w:cs="Courier New" w:hint="default"/>
      </w:rPr>
    </w:lvl>
    <w:lvl w:ilvl="2" w:tplc="04090005" w:tentative="1">
      <w:start w:val="1"/>
      <w:numFmt w:val="bullet"/>
      <w:lvlText w:val=""/>
      <w:lvlJc w:val="left"/>
      <w:pPr>
        <w:tabs>
          <w:tab w:val="num" w:pos="2130"/>
        </w:tabs>
        <w:ind w:left="2130" w:hanging="360"/>
      </w:pPr>
      <w:rPr>
        <w:rFonts w:ascii="Wingdings" w:hAnsi="Wingdings" w:hint="default"/>
      </w:rPr>
    </w:lvl>
    <w:lvl w:ilvl="3" w:tplc="04090001" w:tentative="1">
      <w:start w:val="1"/>
      <w:numFmt w:val="bullet"/>
      <w:lvlText w:val=""/>
      <w:lvlJc w:val="left"/>
      <w:pPr>
        <w:tabs>
          <w:tab w:val="num" w:pos="2850"/>
        </w:tabs>
        <w:ind w:left="2850" w:hanging="360"/>
      </w:pPr>
      <w:rPr>
        <w:rFonts w:ascii="Symbol" w:hAnsi="Symbol" w:hint="default"/>
      </w:rPr>
    </w:lvl>
    <w:lvl w:ilvl="4" w:tplc="04090003" w:tentative="1">
      <w:start w:val="1"/>
      <w:numFmt w:val="bullet"/>
      <w:lvlText w:val="o"/>
      <w:lvlJc w:val="left"/>
      <w:pPr>
        <w:tabs>
          <w:tab w:val="num" w:pos="3570"/>
        </w:tabs>
        <w:ind w:left="3570" w:hanging="360"/>
      </w:pPr>
      <w:rPr>
        <w:rFonts w:ascii="Courier New" w:hAnsi="Courier New" w:cs="Courier New" w:hint="default"/>
      </w:rPr>
    </w:lvl>
    <w:lvl w:ilvl="5" w:tplc="04090005" w:tentative="1">
      <w:start w:val="1"/>
      <w:numFmt w:val="bullet"/>
      <w:lvlText w:val=""/>
      <w:lvlJc w:val="left"/>
      <w:pPr>
        <w:tabs>
          <w:tab w:val="num" w:pos="4290"/>
        </w:tabs>
        <w:ind w:left="4290" w:hanging="360"/>
      </w:pPr>
      <w:rPr>
        <w:rFonts w:ascii="Wingdings" w:hAnsi="Wingdings" w:hint="default"/>
      </w:rPr>
    </w:lvl>
    <w:lvl w:ilvl="6" w:tplc="04090001" w:tentative="1">
      <w:start w:val="1"/>
      <w:numFmt w:val="bullet"/>
      <w:lvlText w:val=""/>
      <w:lvlJc w:val="left"/>
      <w:pPr>
        <w:tabs>
          <w:tab w:val="num" w:pos="5010"/>
        </w:tabs>
        <w:ind w:left="5010" w:hanging="360"/>
      </w:pPr>
      <w:rPr>
        <w:rFonts w:ascii="Symbol" w:hAnsi="Symbol" w:hint="default"/>
      </w:rPr>
    </w:lvl>
    <w:lvl w:ilvl="7" w:tplc="04090003" w:tentative="1">
      <w:start w:val="1"/>
      <w:numFmt w:val="bullet"/>
      <w:lvlText w:val="o"/>
      <w:lvlJc w:val="left"/>
      <w:pPr>
        <w:tabs>
          <w:tab w:val="num" w:pos="5730"/>
        </w:tabs>
        <w:ind w:left="5730" w:hanging="360"/>
      </w:pPr>
      <w:rPr>
        <w:rFonts w:ascii="Courier New" w:hAnsi="Courier New" w:cs="Courier New" w:hint="default"/>
      </w:rPr>
    </w:lvl>
    <w:lvl w:ilvl="8" w:tplc="04090005" w:tentative="1">
      <w:start w:val="1"/>
      <w:numFmt w:val="bullet"/>
      <w:lvlText w:val=""/>
      <w:lvlJc w:val="left"/>
      <w:pPr>
        <w:tabs>
          <w:tab w:val="num" w:pos="6450"/>
        </w:tabs>
        <w:ind w:left="6450" w:hanging="360"/>
      </w:pPr>
      <w:rPr>
        <w:rFonts w:ascii="Wingdings" w:hAnsi="Wingdings" w:hint="default"/>
      </w:rPr>
    </w:lvl>
  </w:abstractNum>
  <w:abstractNum w:abstractNumId="36"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FF6748D"/>
    <w:multiLevelType w:val="hybridMultilevel"/>
    <w:tmpl w:val="49B6219A"/>
    <w:lvl w:ilvl="0" w:tplc="53D44C02">
      <w:start w:val="1"/>
      <w:numFmt w:val="bullet"/>
      <w:lvlText w:val=""/>
      <w:lvlJc w:val="left"/>
      <w:pPr>
        <w:tabs>
          <w:tab w:val="num" w:pos="720"/>
        </w:tabs>
        <w:ind w:left="720" w:hanging="360"/>
      </w:pPr>
      <w:rPr>
        <w:rFonts w:ascii="Symbol" w:hAnsi="Symbol" w:hint="default"/>
        <w:sz w:val="20"/>
      </w:rPr>
    </w:lvl>
    <w:lvl w:ilvl="1" w:tplc="603A2584">
      <w:start w:val="1"/>
      <w:numFmt w:val="bullet"/>
      <w:lvlText w:val=""/>
      <w:lvlJc w:val="left"/>
      <w:pPr>
        <w:tabs>
          <w:tab w:val="num" w:pos="1440"/>
        </w:tabs>
        <w:ind w:left="1440" w:hanging="360"/>
      </w:pPr>
      <w:rPr>
        <w:rFonts w:ascii="Symbol" w:hAnsi="Symbol" w:hint="default"/>
        <w:sz w:val="20"/>
      </w:rPr>
    </w:lvl>
    <w:lvl w:ilvl="2" w:tplc="7D268E60">
      <w:start w:val="1"/>
      <w:numFmt w:val="bullet"/>
      <w:lvlText w:val=""/>
      <w:lvlJc w:val="left"/>
      <w:pPr>
        <w:tabs>
          <w:tab w:val="num" w:pos="2160"/>
        </w:tabs>
        <w:ind w:left="2160" w:hanging="360"/>
      </w:pPr>
      <w:rPr>
        <w:rFonts w:ascii="Symbol" w:hAnsi="Symbol" w:hint="default"/>
        <w:sz w:val="20"/>
      </w:rPr>
    </w:lvl>
    <w:lvl w:ilvl="3" w:tplc="9184DC26">
      <w:start w:val="1"/>
      <w:numFmt w:val="bullet"/>
      <w:lvlText w:val=""/>
      <w:lvlJc w:val="left"/>
      <w:pPr>
        <w:tabs>
          <w:tab w:val="num" w:pos="2880"/>
        </w:tabs>
        <w:ind w:left="2880" w:hanging="360"/>
      </w:pPr>
      <w:rPr>
        <w:rFonts w:ascii="Symbol" w:hAnsi="Symbol" w:hint="default"/>
        <w:sz w:val="20"/>
      </w:rPr>
    </w:lvl>
    <w:lvl w:ilvl="4" w:tplc="22E2AC14">
      <w:start w:val="1"/>
      <w:numFmt w:val="bullet"/>
      <w:lvlText w:val=""/>
      <w:lvlJc w:val="left"/>
      <w:pPr>
        <w:tabs>
          <w:tab w:val="num" w:pos="3600"/>
        </w:tabs>
        <w:ind w:left="3600" w:hanging="360"/>
      </w:pPr>
      <w:rPr>
        <w:rFonts w:ascii="Symbol" w:hAnsi="Symbol" w:hint="default"/>
        <w:sz w:val="20"/>
      </w:rPr>
    </w:lvl>
    <w:lvl w:ilvl="5" w:tplc="1B948688">
      <w:start w:val="1"/>
      <w:numFmt w:val="bullet"/>
      <w:lvlText w:val=""/>
      <w:lvlJc w:val="left"/>
      <w:pPr>
        <w:tabs>
          <w:tab w:val="num" w:pos="4320"/>
        </w:tabs>
        <w:ind w:left="4320" w:hanging="360"/>
      </w:pPr>
      <w:rPr>
        <w:rFonts w:ascii="Symbol" w:hAnsi="Symbol" w:hint="default"/>
        <w:sz w:val="20"/>
      </w:rPr>
    </w:lvl>
    <w:lvl w:ilvl="6" w:tplc="A184E352">
      <w:start w:val="1"/>
      <w:numFmt w:val="bullet"/>
      <w:lvlText w:val=""/>
      <w:lvlJc w:val="left"/>
      <w:pPr>
        <w:tabs>
          <w:tab w:val="num" w:pos="5040"/>
        </w:tabs>
        <w:ind w:left="5040" w:hanging="360"/>
      </w:pPr>
      <w:rPr>
        <w:rFonts w:ascii="Symbol" w:hAnsi="Symbol" w:hint="default"/>
        <w:sz w:val="20"/>
      </w:rPr>
    </w:lvl>
    <w:lvl w:ilvl="7" w:tplc="5E1CAD86">
      <w:start w:val="1"/>
      <w:numFmt w:val="bullet"/>
      <w:lvlText w:val=""/>
      <w:lvlJc w:val="left"/>
      <w:pPr>
        <w:tabs>
          <w:tab w:val="num" w:pos="5760"/>
        </w:tabs>
        <w:ind w:left="5760" w:hanging="360"/>
      </w:pPr>
      <w:rPr>
        <w:rFonts w:ascii="Symbol" w:hAnsi="Symbol" w:hint="default"/>
        <w:sz w:val="20"/>
      </w:rPr>
    </w:lvl>
    <w:lvl w:ilvl="8" w:tplc="6B7CF848">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3"/>
  </w:num>
  <w:num w:numId="9">
    <w:abstractNumId w:val="10"/>
  </w:num>
  <w:num w:numId="10">
    <w:abstractNumId w:val="33"/>
  </w:num>
  <w:num w:numId="11">
    <w:abstractNumId w:val="12"/>
  </w:num>
  <w:num w:numId="12">
    <w:abstractNumId w:val="30"/>
  </w:num>
  <w:num w:numId="13">
    <w:abstractNumId w:val="21"/>
  </w:num>
  <w:num w:numId="14">
    <w:abstractNumId w:val="21"/>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0"/>
  </w:num>
  <w:num w:numId="16">
    <w:abstractNumId w:val="8"/>
  </w:num>
  <w:num w:numId="17">
    <w:abstractNumId w:val="31"/>
  </w:num>
  <w:num w:numId="18">
    <w:abstractNumId w:val="27"/>
  </w:num>
  <w:num w:numId="19">
    <w:abstractNumId w:val="24"/>
  </w:num>
  <w:num w:numId="20">
    <w:abstractNumId w:val="17"/>
  </w:num>
  <w:num w:numId="21">
    <w:abstractNumId w:val="22"/>
  </w:num>
  <w:num w:numId="22">
    <w:abstractNumId w:val="15"/>
  </w:num>
  <w:num w:numId="23">
    <w:abstractNumId w:val="7"/>
  </w:num>
  <w:num w:numId="24">
    <w:abstractNumId w:val="14"/>
  </w:num>
  <w:num w:numId="25">
    <w:abstractNumId w:val="13"/>
  </w:num>
  <w:num w:numId="26">
    <w:abstractNumId w:val="36"/>
  </w:num>
  <w:num w:numId="27">
    <w:abstractNumId w:val="0"/>
  </w:num>
  <w:num w:numId="28">
    <w:abstractNumId w:val="9"/>
  </w:num>
  <w:num w:numId="29">
    <w:abstractNumId w:val="19"/>
  </w:num>
  <w:num w:numId="30">
    <w:abstractNumId w:val="28"/>
  </w:num>
  <w:num w:numId="31">
    <w:abstractNumId w:val="29"/>
  </w:num>
  <w:num w:numId="32">
    <w:abstractNumId w:val="35"/>
  </w:num>
  <w:num w:numId="33">
    <w:abstractNumId w:val="34"/>
  </w:num>
  <w:num w:numId="34">
    <w:abstractNumId w:val="18"/>
  </w:num>
  <w:num w:numId="35">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num>
  <w:num w:numId="37">
    <w:abstractNumId w:val="34"/>
  </w:num>
  <w:num w:numId="38">
    <w:abstractNumId w:val="26"/>
  </w:num>
  <w:num w:numId="39">
    <w:abstractNumId w:val="37"/>
  </w:num>
  <w:num w:numId="40">
    <w:abstractNumId w:val="16"/>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3A"/>
    <w:rsid w:val="00001789"/>
    <w:rsid w:val="00001D73"/>
    <w:rsid w:val="00003469"/>
    <w:rsid w:val="0001094F"/>
    <w:rsid w:val="0002000B"/>
    <w:rsid w:val="00020F0A"/>
    <w:rsid w:val="00021170"/>
    <w:rsid w:val="0002128B"/>
    <w:rsid w:val="0002442E"/>
    <w:rsid w:val="00024DFD"/>
    <w:rsid w:val="00027AB8"/>
    <w:rsid w:val="000309DD"/>
    <w:rsid w:val="00031414"/>
    <w:rsid w:val="00033038"/>
    <w:rsid w:val="00033840"/>
    <w:rsid w:val="00033D63"/>
    <w:rsid w:val="0003436F"/>
    <w:rsid w:val="000414E8"/>
    <w:rsid w:val="00042477"/>
    <w:rsid w:val="0004593A"/>
    <w:rsid w:val="0004664A"/>
    <w:rsid w:val="00050A3E"/>
    <w:rsid w:val="00052A6F"/>
    <w:rsid w:val="00053F02"/>
    <w:rsid w:val="0005612B"/>
    <w:rsid w:val="00056628"/>
    <w:rsid w:val="000574AB"/>
    <w:rsid w:val="00057772"/>
    <w:rsid w:val="0006147A"/>
    <w:rsid w:val="0006234F"/>
    <w:rsid w:val="00066585"/>
    <w:rsid w:val="000775F8"/>
    <w:rsid w:val="00080CF7"/>
    <w:rsid w:val="0008273A"/>
    <w:rsid w:val="0008368D"/>
    <w:rsid w:val="00085181"/>
    <w:rsid w:val="000851B2"/>
    <w:rsid w:val="00092566"/>
    <w:rsid w:val="00094025"/>
    <w:rsid w:val="000968F8"/>
    <w:rsid w:val="00097012"/>
    <w:rsid w:val="000A0132"/>
    <w:rsid w:val="000A1997"/>
    <w:rsid w:val="000A6401"/>
    <w:rsid w:val="000A6DFE"/>
    <w:rsid w:val="000B032A"/>
    <w:rsid w:val="000B2C4E"/>
    <w:rsid w:val="000B2DF7"/>
    <w:rsid w:val="000B3880"/>
    <w:rsid w:val="000B536D"/>
    <w:rsid w:val="000B7D57"/>
    <w:rsid w:val="000C036D"/>
    <w:rsid w:val="000C0FF8"/>
    <w:rsid w:val="000C12F0"/>
    <w:rsid w:val="000D00E5"/>
    <w:rsid w:val="000D2722"/>
    <w:rsid w:val="000D48C0"/>
    <w:rsid w:val="000D658B"/>
    <w:rsid w:val="000D6CBA"/>
    <w:rsid w:val="000D7948"/>
    <w:rsid w:val="000D7C84"/>
    <w:rsid w:val="000E0AFD"/>
    <w:rsid w:val="000E4E13"/>
    <w:rsid w:val="000E78F6"/>
    <w:rsid w:val="000F034A"/>
    <w:rsid w:val="000F06B5"/>
    <w:rsid w:val="000F1B7A"/>
    <w:rsid w:val="000F33DF"/>
    <w:rsid w:val="000F39E9"/>
    <w:rsid w:val="000F55DD"/>
    <w:rsid w:val="000F5DC8"/>
    <w:rsid w:val="001006AA"/>
    <w:rsid w:val="00104B45"/>
    <w:rsid w:val="00105D8B"/>
    <w:rsid w:val="00106AC0"/>
    <w:rsid w:val="001071C8"/>
    <w:rsid w:val="00111232"/>
    <w:rsid w:val="00111288"/>
    <w:rsid w:val="0011342F"/>
    <w:rsid w:val="001140F9"/>
    <w:rsid w:val="001202E9"/>
    <w:rsid w:val="0012454F"/>
    <w:rsid w:val="00125273"/>
    <w:rsid w:val="0012575E"/>
    <w:rsid w:val="00127C06"/>
    <w:rsid w:val="00140541"/>
    <w:rsid w:val="00140D44"/>
    <w:rsid w:val="00144B3E"/>
    <w:rsid w:val="00145149"/>
    <w:rsid w:val="00145D4F"/>
    <w:rsid w:val="0014773C"/>
    <w:rsid w:val="00151E72"/>
    <w:rsid w:val="00152AD9"/>
    <w:rsid w:val="00163033"/>
    <w:rsid w:val="0016310F"/>
    <w:rsid w:val="00173E9A"/>
    <w:rsid w:val="0017696D"/>
    <w:rsid w:val="00177C3E"/>
    <w:rsid w:val="001818B1"/>
    <w:rsid w:val="00181DDF"/>
    <w:rsid w:val="001832E7"/>
    <w:rsid w:val="001848FC"/>
    <w:rsid w:val="00190590"/>
    <w:rsid w:val="00190B68"/>
    <w:rsid w:val="00193F21"/>
    <w:rsid w:val="001969C5"/>
    <w:rsid w:val="001A014A"/>
    <w:rsid w:val="001A3EC4"/>
    <w:rsid w:val="001A6CDD"/>
    <w:rsid w:val="001C12EE"/>
    <w:rsid w:val="001C7B02"/>
    <w:rsid w:val="001D10E3"/>
    <w:rsid w:val="001D2DC8"/>
    <w:rsid w:val="001D485B"/>
    <w:rsid w:val="001D7367"/>
    <w:rsid w:val="001E07EB"/>
    <w:rsid w:val="001E4DD4"/>
    <w:rsid w:val="001E69DC"/>
    <w:rsid w:val="001F169D"/>
    <w:rsid w:val="001F1DA1"/>
    <w:rsid w:val="001F20B3"/>
    <w:rsid w:val="001F6F93"/>
    <w:rsid w:val="001F7A20"/>
    <w:rsid w:val="001F7FE6"/>
    <w:rsid w:val="00210004"/>
    <w:rsid w:val="0021054A"/>
    <w:rsid w:val="0021195A"/>
    <w:rsid w:val="00213383"/>
    <w:rsid w:val="00213BB0"/>
    <w:rsid w:val="00220250"/>
    <w:rsid w:val="00222444"/>
    <w:rsid w:val="0022691B"/>
    <w:rsid w:val="00232163"/>
    <w:rsid w:val="00236A5D"/>
    <w:rsid w:val="002376F8"/>
    <w:rsid w:val="002408E4"/>
    <w:rsid w:val="00241591"/>
    <w:rsid w:val="00245B84"/>
    <w:rsid w:val="00250B4F"/>
    <w:rsid w:val="002535F2"/>
    <w:rsid w:val="0025386F"/>
    <w:rsid w:val="0025762F"/>
    <w:rsid w:val="00265663"/>
    <w:rsid w:val="002659B8"/>
    <w:rsid w:val="00266101"/>
    <w:rsid w:val="00266621"/>
    <w:rsid w:val="00266D09"/>
    <w:rsid w:val="002722E3"/>
    <w:rsid w:val="00275563"/>
    <w:rsid w:val="0028114D"/>
    <w:rsid w:val="00287649"/>
    <w:rsid w:val="00287E84"/>
    <w:rsid w:val="0029286C"/>
    <w:rsid w:val="0029300E"/>
    <w:rsid w:val="00296C0A"/>
    <w:rsid w:val="002A738E"/>
    <w:rsid w:val="002A76E6"/>
    <w:rsid w:val="002B0C3A"/>
    <w:rsid w:val="002B2116"/>
    <w:rsid w:val="002B2D9B"/>
    <w:rsid w:val="002B3E6F"/>
    <w:rsid w:val="002B5016"/>
    <w:rsid w:val="002B6FAE"/>
    <w:rsid w:val="002B742C"/>
    <w:rsid w:val="002B7F4D"/>
    <w:rsid w:val="002C285C"/>
    <w:rsid w:val="002C50AD"/>
    <w:rsid w:val="002C719B"/>
    <w:rsid w:val="002C7BE4"/>
    <w:rsid w:val="002D185F"/>
    <w:rsid w:val="002D417D"/>
    <w:rsid w:val="002D5E5D"/>
    <w:rsid w:val="002E7433"/>
    <w:rsid w:val="002E78A0"/>
    <w:rsid w:val="002E78E8"/>
    <w:rsid w:val="002E7BE4"/>
    <w:rsid w:val="002F2687"/>
    <w:rsid w:val="002F48E1"/>
    <w:rsid w:val="002F4F3B"/>
    <w:rsid w:val="002F65EB"/>
    <w:rsid w:val="002F697C"/>
    <w:rsid w:val="00302644"/>
    <w:rsid w:val="00304081"/>
    <w:rsid w:val="00304C86"/>
    <w:rsid w:val="003059EB"/>
    <w:rsid w:val="003116AC"/>
    <w:rsid w:val="00315567"/>
    <w:rsid w:val="00323097"/>
    <w:rsid w:val="00324527"/>
    <w:rsid w:val="00330144"/>
    <w:rsid w:val="00334329"/>
    <w:rsid w:val="00335F01"/>
    <w:rsid w:val="00345CBA"/>
    <w:rsid w:val="00346245"/>
    <w:rsid w:val="0034624A"/>
    <w:rsid w:val="00352FDC"/>
    <w:rsid w:val="00356267"/>
    <w:rsid w:val="00356981"/>
    <w:rsid w:val="00356BAD"/>
    <w:rsid w:val="003605B4"/>
    <w:rsid w:val="003627AC"/>
    <w:rsid w:val="00366914"/>
    <w:rsid w:val="003674BB"/>
    <w:rsid w:val="00372FE3"/>
    <w:rsid w:val="00373849"/>
    <w:rsid w:val="00373884"/>
    <w:rsid w:val="003755CB"/>
    <w:rsid w:val="00377116"/>
    <w:rsid w:val="0038375E"/>
    <w:rsid w:val="00383F85"/>
    <w:rsid w:val="00384F1F"/>
    <w:rsid w:val="003851DC"/>
    <w:rsid w:val="00387BA1"/>
    <w:rsid w:val="003939EE"/>
    <w:rsid w:val="003A306C"/>
    <w:rsid w:val="003A47B8"/>
    <w:rsid w:val="003A508D"/>
    <w:rsid w:val="003A7DE7"/>
    <w:rsid w:val="003B1006"/>
    <w:rsid w:val="003B2423"/>
    <w:rsid w:val="003C2588"/>
    <w:rsid w:val="003C3ABA"/>
    <w:rsid w:val="003C57E4"/>
    <w:rsid w:val="003C5F11"/>
    <w:rsid w:val="003D294B"/>
    <w:rsid w:val="003D5D73"/>
    <w:rsid w:val="003D6401"/>
    <w:rsid w:val="003E1863"/>
    <w:rsid w:val="003F14AF"/>
    <w:rsid w:val="00403233"/>
    <w:rsid w:val="00404808"/>
    <w:rsid w:val="00406643"/>
    <w:rsid w:val="00410D00"/>
    <w:rsid w:val="00411D5B"/>
    <w:rsid w:val="0041606D"/>
    <w:rsid w:val="00416962"/>
    <w:rsid w:val="00416E6B"/>
    <w:rsid w:val="004206A8"/>
    <w:rsid w:val="004266A0"/>
    <w:rsid w:val="004266F2"/>
    <w:rsid w:val="004302CF"/>
    <w:rsid w:val="004348CC"/>
    <w:rsid w:val="00435225"/>
    <w:rsid w:val="00437537"/>
    <w:rsid w:val="00445AF8"/>
    <w:rsid w:val="00450C58"/>
    <w:rsid w:val="004631B8"/>
    <w:rsid w:val="004658FF"/>
    <w:rsid w:val="004673BA"/>
    <w:rsid w:val="00474365"/>
    <w:rsid w:val="00474ED7"/>
    <w:rsid w:val="004756E1"/>
    <w:rsid w:val="004773D9"/>
    <w:rsid w:val="0048008A"/>
    <w:rsid w:val="00483E94"/>
    <w:rsid w:val="00484120"/>
    <w:rsid w:val="004853A0"/>
    <w:rsid w:val="00496B5F"/>
    <w:rsid w:val="004A2E10"/>
    <w:rsid w:val="004B17FF"/>
    <w:rsid w:val="004B1BA0"/>
    <w:rsid w:val="004B4760"/>
    <w:rsid w:val="004B6CEE"/>
    <w:rsid w:val="004C0EDD"/>
    <w:rsid w:val="004C2443"/>
    <w:rsid w:val="004C498F"/>
    <w:rsid w:val="004C5D29"/>
    <w:rsid w:val="004C681A"/>
    <w:rsid w:val="004D4D8A"/>
    <w:rsid w:val="004D5A3D"/>
    <w:rsid w:val="004E20B2"/>
    <w:rsid w:val="004F68EE"/>
    <w:rsid w:val="004F6FFD"/>
    <w:rsid w:val="00502935"/>
    <w:rsid w:val="00502E81"/>
    <w:rsid w:val="005038D5"/>
    <w:rsid w:val="00503C47"/>
    <w:rsid w:val="00511BA4"/>
    <w:rsid w:val="005131AC"/>
    <w:rsid w:val="005149E7"/>
    <w:rsid w:val="00514D5C"/>
    <w:rsid w:val="005232D6"/>
    <w:rsid w:val="0052659E"/>
    <w:rsid w:val="005333CC"/>
    <w:rsid w:val="005357C4"/>
    <w:rsid w:val="005363F1"/>
    <w:rsid w:val="005370A4"/>
    <w:rsid w:val="00537C1B"/>
    <w:rsid w:val="00540C36"/>
    <w:rsid w:val="00542CF9"/>
    <w:rsid w:val="0055007C"/>
    <w:rsid w:val="00554922"/>
    <w:rsid w:val="00555282"/>
    <w:rsid w:val="005560E7"/>
    <w:rsid w:val="005612CC"/>
    <w:rsid w:val="00563029"/>
    <w:rsid w:val="00565946"/>
    <w:rsid w:val="00567D12"/>
    <w:rsid w:val="00575613"/>
    <w:rsid w:val="00576062"/>
    <w:rsid w:val="00580D31"/>
    <w:rsid w:val="00582D86"/>
    <w:rsid w:val="0059095C"/>
    <w:rsid w:val="005949D4"/>
    <w:rsid w:val="0059559F"/>
    <w:rsid w:val="005A03F3"/>
    <w:rsid w:val="005A310B"/>
    <w:rsid w:val="005A49FF"/>
    <w:rsid w:val="005A68BB"/>
    <w:rsid w:val="005A7634"/>
    <w:rsid w:val="005A7E1E"/>
    <w:rsid w:val="005B0823"/>
    <w:rsid w:val="005B2DEE"/>
    <w:rsid w:val="005B2EDE"/>
    <w:rsid w:val="005B6F04"/>
    <w:rsid w:val="005C0447"/>
    <w:rsid w:val="005C1F10"/>
    <w:rsid w:val="005C2388"/>
    <w:rsid w:val="005C739F"/>
    <w:rsid w:val="005C73CA"/>
    <w:rsid w:val="005C7F9A"/>
    <w:rsid w:val="005D4768"/>
    <w:rsid w:val="005E2CAB"/>
    <w:rsid w:val="005E429E"/>
    <w:rsid w:val="005F6AA1"/>
    <w:rsid w:val="00601ED4"/>
    <w:rsid w:val="0060221D"/>
    <w:rsid w:val="006030BC"/>
    <w:rsid w:val="00612866"/>
    <w:rsid w:val="006159D2"/>
    <w:rsid w:val="00616894"/>
    <w:rsid w:val="00616EB5"/>
    <w:rsid w:val="006269D4"/>
    <w:rsid w:val="006327D8"/>
    <w:rsid w:val="0064070A"/>
    <w:rsid w:val="006438EC"/>
    <w:rsid w:val="00643A01"/>
    <w:rsid w:val="006464B6"/>
    <w:rsid w:val="00651039"/>
    <w:rsid w:val="00651D44"/>
    <w:rsid w:val="00654899"/>
    <w:rsid w:val="006574D2"/>
    <w:rsid w:val="00662438"/>
    <w:rsid w:val="00663563"/>
    <w:rsid w:val="006676D4"/>
    <w:rsid w:val="00670B93"/>
    <w:rsid w:val="006743DF"/>
    <w:rsid w:val="0067449E"/>
    <w:rsid w:val="00675535"/>
    <w:rsid w:val="0067587A"/>
    <w:rsid w:val="00681359"/>
    <w:rsid w:val="00682CFB"/>
    <w:rsid w:val="00685239"/>
    <w:rsid w:val="00685CA8"/>
    <w:rsid w:val="0069157C"/>
    <w:rsid w:val="0069323D"/>
    <w:rsid w:val="00696262"/>
    <w:rsid w:val="006A3202"/>
    <w:rsid w:val="006A723F"/>
    <w:rsid w:val="006C3222"/>
    <w:rsid w:val="006C3A4F"/>
    <w:rsid w:val="006C4845"/>
    <w:rsid w:val="006C717D"/>
    <w:rsid w:val="006D474F"/>
    <w:rsid w:val="006D60E7"/>
    <w:rsid w:val="006D6BC1"/>
    <w:rsid w:val="006E2BFC"/>
    <w:rsid w:val="006E5C57"/>
    <w:rsid w:val="006F22A5"/>
    <w:rsid w:val="006F558D"/>
    <w:rsid w:val="00702C73"/>
    <w:rsid w:val="00704FD7"/>
    <w:rsid w:val="00713394"/>
    <w:rsid w:val="007170DB"/>
    <w:rsid w:val="00722C86"/>
    <w:rsid w:val="00723AB6"/>
    <w:rsid w:val="00724677"/>
    <w:rsid w:val="00725AC2"/>
    <w:rsid w:val="00732880"/>
    <w:rsid w:val="00732EC3"/>
    <w:rsid w:val="00736E4D"/>
    <w:rsid w:val="007416B9"/>
    <w:rsid w:val="007422FD"/>
    <w:rsid w:val="007434B5"/>
    <w:rsid w:val="00743B03"/>
    <w:rsid w:val="00743E46"/>
    <w:rsid w:val="00744B38"/>
    <w:rsid w:val="00747C45"/>
    <w:rsid w:val="00753051"/>
    <w:rsid w:val="00754676"/>
    <w:rsid w:val="00756FDB"/>
    <w:rsid w:val="007629B6"/>
    <w:rsid w:val="007665BF"/>
    <w:rsid w:val="00771B2A"/>
    <w:rsid w:val="00773E71"/>
    <w:rsid w:val="007757CE"/>
    <w:rsid w:val="00775800"/>
    <w:rsid w:val="007810D1"/>
    <w:rsid w:val="007820E8"/>
    <w:rsid w:val="0079180E"/>
    <w:rsid w:val="007950CC"/>
    <w:rsid w:val="0079538B"/>
    <w:rsid w:val="007961B8"/>
    <w:rsid w:val="00796A4A"/>
    <w:rsid w:val="00797624"/>
    <w:rsid w:val="007A4828"/>
    <w:rsid w:val="007A5561"/>
    <w:rsid w:val="007A5D82"/>
    <w:rsid w:val="007B093D"/>
    <w:rsid w:val="007B2069"/>
    <w:rsid w:val="007C04A1"/>
    <w:rsid w:val="007C21FA"/>
    <w:rsid w:val="007D13B1"/>
    <w:rsid w:val="007D4351"/>
    <w:rsid w:val="007D7019"/>
    <w:rsid w:val="007E0C58"/>
    <w:rsid w:val="007E18DB"/>
    <w:rsid w:val="007E6F1C"/>
    <w:rsid w:val="007E75FB"/>
    <w:rsid w:val="007F1C01"/>
    <w:rsid w:val="00802DBF"/>
    <w:rsid w:val="00803E99"/>
    <w:rsid w:val="00804C69"/>
    <w:rsid w:val="0080711D"/>
    <w:rsid w:val="008155CD"/>
    <w:rsid w:val="00815E57"/>
    <w:rsid w:val="00826192"/>
    <w:rsid w:val="00833325"/>
    <w:rsid w:val="00840A41"/>
    <w:rsid w:val="00842824"/>
    <w:rsid w:val="00842F3C"/>
    <w:rsid w:val="008505D1"/>
    <w:rsid w:val="00855158"/>
    <w:rsid w:val="008579B1"/>
    <w:rsid w:val="00857EE8"/>
    <w:rsid w:val="0086075D"/>
    <w:rsid w:val="00862904"/>
    <w:rsid w:val="0086464B"/>
    <w:rsid w:val="008647FC"/>
    <w:rsid w:val="00864CA8"/>
    <w:rsid w:val="00865E2D"/>
    <w:rsid w:val="00867AE2"/>
    <w:rsid w:val="00870E6C"/>
    <w:rsid w:val="00875846"/>
    <w:rsid w:val="0087683C"/>
    <w:rsid w:val="00884486"/>
    <w:rsid w:val="008871A9"/>
    <w:rsid w:val="008916BA"/>
    <w:rsid w:val="00892176"/>
    <w:rsid w:val="00892950"/>
    <w:rsid w:val="00896708"/>
    <w:rsid w:val="008A1DB7"/>
    <w:rsid w:val="008A1FE8"/>
    <w:rsid w:val="008A403A"/>
    <w:rsid w:val="008A4C13"/>
    <w:rsid w:val="008A76B3"/>
    <w:rsid w:val="008B2035"/>
    <w:rsid w:val="008B3D25"/>
    <w:rsid w:val="008B604D"/>
    <w:rsid w:val="008C2FF4"/>
    <w:rsid w:val="008C448C"/>
    <w:rsid w:val="008C54A9"/>
    <w:rsid w:val="008C7C08"/>
    <w:rsid w:val="008E4101"/>
    <w:rsid w:val="008E67C3"/>
    <w:rsid w:val="008E7AA9"/>
    <w:rsid w:val="008F1AA0"/>
    <w:rsid w:val="008F589F"/>
    <w:rsid w:val="008F76A9"/>
    <w:rsid w:val="008F7E67"/>
    <w:rsid w:val="00900DBF"/>
    <w:rsid w:val="009017B1"/>
    <w:rsid w:val="009048B9"/>
    <w:rsid w:val="00904E91"/>
    <w:rsid w:val="00906621"/>
    <w:rsid w:val="00910BEA"/>
    <w:rsid w:val="00915886"/>
    <w:rsid w:val="00915A97"/>
    <w:rsid w:val="009173A0"/>
    <w:rsid w:val="00917CB5"/>
    <w:rsid w:val="00920E95"/>
    <w:rsid w:val="009214DC"/>
    <w:rsid w:val="00923170"/>
    <w:rsid w:val="009260E5"/>
    <w:rsid w:val="00927027"/>
    <w:rsid w:val="0093030A"/>
    <w:rsid w:val="009344BA"/>
    <w:rsid w:val="009443BD"/>
    <w:rsid w:val="009454B1"/>
    <w:rsid w:val="00946E61"/>
    <w:rsid w:val="00947806"/>
    <w:rsid w:val="00947F78"/>
    <w:rsid w:val="00950F64"/>
    <w:rsid w:val="00952850"/>
    <w:rsid w:val="00953234"/>
    <w:rsid w:val="00961597"/>
    <w:rsid w:val="00961EAF"/>
    <w:rsid w:val="0096278F"/>
    <w:rsid w:val="00964BF7"/>
    <w:rsid w:val="009726E1"/>
    <w:rsid w:val="00972A04"/>
    <w:rsid w:val="00977591"/>
    <w:rsid w:val="00980CBE"/>
    <w:rsid w:val="00980E75"/>
    <w:rsid w:val="00985679"/>
    <w:rsid w:val="0099200E"/>
    <w:rsid w:val="009948D4"/>
    <w:rsid w:val="00994BE0"/>
    <w:rsid w:val="00994CFC"/>
    <w:rsid w:val="00997CCB"/>
    <w:rsid w:val="009A25B1"/>
    <w:rsid w:val="009A459C"/>
    <w:rsid w:val="009A4608"/>
    <w:rsid w:val="009A6A57"/>
    <w:rsid w:val="009A70BF"/>
    <w:rsid w:val="009B0605"/>
    <w:rsid w:val="009B1235"/>
    <w:rsid w:val="009B1A15"/>
    <w:rsid w:val="009B7BDD"/>
    <w:rsid w:val="009C06D7"/>
    <w:rsid w:val="009C0852"/>
    <w:rsid w:val="009C13CA"/>
    <w:rsid w:val="009C248D"/>
    <w:rsid w:val="009C32C6"/>
    <w:rsid w:val="009C665F"/>
    <w:rsid w:val="009C6D86"/>
    <w:rsid w:val="009C7513"/>
    <w:rsid w:val="009D2E8B"/>
    <w:rsid w:val="009D3882"/>
    <w:rsid w:val="009D5661"/>
    <w:rsid w:val="009D740B"/>
    <w:rsid w:val="009D7E38"/>
    <w:rsid w:val="009E095B"/>
    <w:rsid w:val="009E1846"/>
    <w:rsid w:val="009E74E4"/>
    <w:rsid w:val="009E78FF"/>
    <w:rsid w:val="009F2F04"/>
    <w:rsid w:val="009F542F"/>
    <w:rsid w:val="00A009D3"/>
    <w:rsid w:val="00A01494"/>
    <w:rsid w:val="00A07DF7"/>
    <w:rsid w:val="00A15E29"/>
    <w:rsid w:val="00A22FA9"/>
    <w:rsid w:val="00A25024"/>
    <w:rsid w:val="00A255CA"/>
    <w:rsid w:val="00A25E1E"/>
    <w:rsid w:val="00A35F8F"/>
    <w:rsid w:val="00A40E3E"/>
    <w:rsid w:val="00A41377"/>
    <w:rsid w:val="00A422A6"/>
    <w:rsid w:val="00A4263D"/>
    <w:rsid w:val="00A509B8"/>
    <w:rsid w:val="00A52AB9"/>
    <w:rsid w:val="00A556CC"/>
    <w:rsid w:val="00A605D4"/>
    <w:rsid w:val="00A6177C"/>
    <w:rsid w:val="00A6210B"/>
    <w:rsid w:val="00A64EBF"/>
    <w:rsid w:val="00A666F7"/>
    <w:rsid w:val="00A70F1F"/>
    <w:rsid w:val="00A71200"/>
    <w:rsid w:val="00A7323A"/>
    <w:rsid w:val="00A74210"/>
    <w:rsid w:val="00A77028"/>
    <w:rsid w:val="00A831B4"/>
    <w:rsid w:val="00A86434"/>
    <w:rsid w:val="00A86850"/>
    <w:rsid w:val="00A92AD9"/>
    <w:rsid w:val="00A97798"/>
    <w:rsid w:val="00AA0284"/>
    <w:rsid w:val="00AA3BD5"/>
    <w:rsid w:val="00AA436F"/>
    <w:rsid w:val="00AA5213"/>
    <w:rsid w:val="00AA65A6"/>
    <w:rsid w:val="00AC1D8E"/>
    <w:rsid w:val="00AC48FA"/>
    <w:rsid w:val="00AD0240"/>
    <w:rsid w:val="00AD2C2A"/>
    <w:rsid w:val="00AD4137"/>
    <w:rsid w:val="00AE284B"/>
    <w:rsid w:val="00AE42E9"/>
    <w:rsid w:val="00AE5BFA"/>
    <w:rsid w:val="00AE6081"/>
    <w:rsid w:val="00AE6F9D"/>
    <w:rsid w:val="00AF2D68"/>
    <w:rsid w:val="00AF5065"/>
    <w:rsid w:val="00AF593A"/>
    <w:rsid w:val="00B008EF"/>
    <w:rsid w:val="00B037BA"/>
    <w:rsid w:val="00B06F05"/>
    <w:rsid w:val="00B17409"/>
    <w:rsid w:val="00B20139"/>
    <w:rsid w:val="00B218DA"/>
    <w:rsid w:val="00B23543"/>
    <w:rsid w:val="00B2601F"/>
    <w:rsid w:val="00B31688"/>
    <w:rsid w:val="00B32E0F"/>
    <w:rsid w:val="00B342FA"/>
    <w:rsid w:val="00B47A9E"/>
    <w:rsid w:val="00B51D00"/>
    <w:rsid w:val="00B53E8B"/>
    <w:rsid w:val="00B561E9"/>
    <w:rsid w:val="00B774D2"/>
    <w:rsid w:val="00B8015A"/>
    <w:rsid w:val="00B82A57"/>
    <w:rsid w:val="00B93F39"/>
    <w:rsid w:val="00BA053B"/>
    <w:rsid w:val="00BA2023"/>
    <w:rsid w:val="00BA59A5"/>
    <w:rsid w:val="00BA632D"/>
    <w:rsid w:val="00BA6863"/>
    <w:rsid w:val="00BB1402"/>
    <w:rsid w:val="00BB35AE"/>
    <w:rsid w:val="00BC0323"/>
    <w:rsid w:val="00BC03A1"/>
    <w:rsid w:val="00BC063A"/>
    <w:rsid w:val="00BC0D25"/>
    <w:rsid w:val="00BD2505"/>
    <w:rsid w:val="00BD2E69"/>
    <w:rsid w:val="00BD52FD"/>
    <w:rsid w:val="00BD7208"/>
    <w:rsid w:val="00BD72E5"/>
    <w:rsid w:val="00BE592D"/>
    <w:rsid w:val="00BF0AC3"/>
    <w:rsid w:val="00BF52B0"/>
    <w:rsid w:val="00BF5697"/>
    <w:rsid w:val="00BF78BB"/>
    <w:rsid w:val="00C01E4C"/>
    <w:rsid w:val="00C0493A"/>
    <w:rsid w:val="00C10121"/>
    <w:rsid w:val="00C11A25"/>
    <w:rsid w:val="00C14CCC"/>
    <w:rsid w:val="00C1695E"/>
    <w:rsid w:val="00C22C1C"/>
    <w:rsid w:val="00C3211E"/>
    <w:rsid w:val="00C33F2E"/>
    <w:rsid w:val="00C34936"/>
    <w:rsid w:val="00C34C14"/>
    <w:rsid w:val="00C355B9"/>
    <w:rsid w:val="00C37EF1"/>
    <w:rsid w:val="00C401C4"/>
    <w:rsid w:val="00C41680"/>
    <w:rsid w:val="00C54D61"/>
    <w:rsid w:val="00C55A70"/>
    <w:rsid w:val="00C60A25"/>
    <w:rsid w:val="00C65382"/>
    <w:rsid w:val="00C715C3"/>
    <w:rsid w:val="00C75308"/>
    <w:rsid w:val="00C75826"/>
    <w:rsid w:val="00C765C5"/>
    <w:rsid w:val="00C775CE"/>
    <w:rsid w:val="00C82479"/>
    <w:rsid w:val="00C82781"/>
    <w:rsid w:val="00C867F0"/>
    <w:rsid w:val="00C90855"/>
    <w:rsid w:val="00CA06D8"/>
    <w:rsid w:val="00CA0FBC"/>
    <w:rsid w:val="00CA2671"/>
    <w:rsid w:val="00CA345A"/>
    <w:rsid w:val="00CA615B"/>
    <w:rsid w:val="00CB0B21"/>
    <w:rsid w:val="00CB49FF"/>
    <w:rsid w:val="00CC02CF"/>
    <w:rsid w:val="00CC086A"/>
    <w:rsid w:val="00CC0BFA"/>
    <w:rsid w:val="00CC4774"/>
    <w:rsid w:val="00CD0E24"/>
    <w:rsid w:val="00CD0F66"/>
    <w:rsid w:val="00CD364B"/>
    <w:rsid w:val="00CD40B7"/>
    <w:rsid w:val="00CE037A"/>
    <w:rsid w:val="00CE23B8"/>
    <w:rsid w:val="00CE284E"/>
    <w:rsid w:val="00CE50D7"/>
    <w:rsid w:val="00CE5D0A"/>
    <w:rsid w:val="00CF30BF"/>
    <w:rsid w:val="00CF4CBE"/>
    <w:rsid w:val="00D00344"/>
    <w:rsid w:val="00D10E4F"/>
    <w:rsid w:val="00D1366A"/>
    <w:rsid w:val="00D1754D"/>
    <w:rsid w:val="00D2223F"/>
    <w:rsid w:val="00D22E28"/>
    <w:rsid w:val="00D274A4"/>
    <w:rsid w:val="00D277AF"/>
    <w:rsid w:val="00D31163"/>
    <w:rsid w:val="00D320B1"/>
    <w:rsid w:val="00D33AFD"/>
    <w:rsid w:val="00D35A7B"/>
    <w:rsid w:val="00D36489"/>
    <w:rsid w:val="00D369E9"/>
    <w:rsid w:val="00D42195"/>
    <w:rsid w:val="00D50704"/>
    <w:rsid w:val="00D5760A"/>
    <w:rsid w:val="00D61410"/>
    <w:rsid w:val="00D62E88"/>
    <w:rsid w:val="00D632F5"/>
    <w:rsid w:val="00D65B27"/>
    <w:rsid w:val="00D67512"/>
    <w:rsid w:val="00D711C1"/>
    <w:rsid w:val="00D8181D"/>
    <w:rsid w:val="00D8554D"/>
    <w:rsid w:val="00D93345"/>
    <w:rsid w:val="00D949CB"/>
    <w:rsid w:val="00D968D8"/>
    <w:rsid w:val="00D970DD"/>
    <w:rsid w:val="00D9791B"/>
    <w:rsid w:val="00DA2C40"/>
    <w:rsid w:val="00DA563D"/>
    <w:rsid w:val="00DA7277"/>
    <w:rsid w:val="00DB3627"/>
    <w:rsid w:val="00DB4724"/>
    <w:rsid w:val="00DB52E7"/>
    <w:rsid w:val="00DB6944"/>
    <w:rsid w:val="00DC1810"/>
    <w:rsid w:val="00DC4746"/>
    <w:rsid w:val="00DC5256"/>
    <w:rsid w:val="00DD0E89"/>
    <w:rsid w:val="00DE0701"/>
    <w:rsid w:val="00DE3C82"/>
    <w:rsid w:val="00DE6684"/>
    <w:rsid w:val="00DE6C62"/>
    <w:rsid w:val="00DE7149"/>
    <w:rsid w:val="00DE7B33"/>
    <w:rsid w:val="00E0314C"/>
    <w:rsid w:val="00E05467"/>
    <w:rsid w:val="00E13CDC"/>
    <w:rsid w:val="00E1508F"/>
    <w:rsid w:val="00E209A2"/>
    <w:rsid w:val="00E261DF"/>
    <w:rsid w:val="00E27240"/>
    <w:rsid w:val="00E27EDD"/>
    <w:rsid w:val="00E30584"/>
    <w:rsid w:val="00E310B9"/>
    <w:rsid w:val="00E32F96"/>
    <w:rsid w:val="00E36CFD"/>
    <w:rsid w:val="00E372A5"/>
    <w:rsid w:val="00E37E1B"/>
    <w:rsid w:val="00E5330D"/>
    <w:rsid w:val="00E562C0"/>
    <w:rsid w:val="00E57FAF"/>
    <w:rsid w:val="00E65C9A"/>
    <w:rsid w:val="00E66234"/>
    <w:rsid w:val="00E672D6"/>
    <w:rsid w:val="00E76024"/>
    <w:rsid w:val="00E8369E"/>
    <w:rsid w:val="00E852DC"/>
    <w:rsid w:val="00E856A2"/>
    <w:rsid w:val="00E937EC"/>
    <w:rsid w:val="00E967AD"/>
    <w:rsid w:val="00E96884"/>
    <w:rsid w:val="00EA12A5"/>
    <w:rsid w:val="00EA187E"/>
    <w:rsid w:val="00EA5435"/>
    <w:rsid w:val="00EA5F47"/>
    <w:rsid w:val="00EB455E"/>
    <w:rsid w:val="00EC3995"/>
    <w:rsid w:val="00EC3A23"/>
    <w:rsid w:val="00EC54F8"/>
    <w:rsid w:val="00EC79DE"/>
    <w:rsid w:val="00ED08CE"/>
    <w:rsid w:val="00ED3FA2"/>
    <w:rsid w:val="00ED4AAD"/>
    <w:rsid w:val="00ED4ACE"/>
    <w:rsid w:val="00ED68F5"/>
    <w:rsid w:val="00EE04C9"/>
    <w:rsid w:val="00EE1FE7"/>
    <w:rsid w:val="00EE4D35"/>
    <w:rsid w:val="00EF2DA7"/>
    <w:rsid w:val="00EF7CF2"/>
    <w:rsid w:val="00F01805"/>
    <w:rsid w:val="00F03346"/>
    <w:rsid w:val="00F0450A"/>
    <w:rsid w:val="00F1359F"/>
    <w:rsid w:val="00F1412B"/>
    <w:rsid w:val="00F15BFA"/>
    <w:rsid w:val="00F17BAA"/>
    <w:rsid w:val="00F2055B"/>
    <w:rsid w:val="00F25128"/>
    <w:rsid w:val="00F31245"/>
    <w:rsid w:val="00F32016"/>
    <w:rsid w:val="00F34FAB"/>
    <w:rsid w:val="00F362F2"/>
    <w:rsid w:val="00F4335B"/>
    <w:rsid w:val="00F435AA"/>
    <w:rsid w:val="00F5303A"/>
    <w:rsid w:val="00F5738A"/>
    <w:rsid w:val="00F612D4"/>
    <w:rsid w:val="00F724E8"/>
    <w:rsid w:val="00F7389E"/>
    <w:rsid w:val="00F77F1D"/>
    <w:rsid w:val="00F81A5B"/>
    <w:rsid w:val="00F850FF"/>
    <w:rsid w:val="00F857B1"/>
    <w:rsid w:val="00F87CCB"/>
    <w:rsid w:val="00F93F23"/>
    <w:rsid w:val="00FA2112"/>
    <w:rsid w:val="00FA48C7"/>
    <w:rsid w:val="00FB0A86"/>
    <w:rsid w:val="00FB3B97"/>
    <w:rsid w:val="00FB51FB"/>
    <w:rsid w:val="00FB73C1"/>
    <w:rsid w:val="00FC075D"/>
    <w:rsid w:val="00FC317B"/>
    <w:rsid w:val="00FC658F"/>
    <w:rsid w:val="00FC7822"/>
    <w:rsid w:val="00FD0146"/>
    <w:rsid w:val="00FE14C5"/>
    <w:rsid w:val="00FE5BC9"/>
    <w:rsid w:val="00FE6E85"/>
    <w:rsid w:val="00FE711D"/>
    <w:rsid w:val="00FE7612"/>
    <w:rsid w:val="00FF22D8"/>
    <w:rsid w:val="00FF4B3A"/>
    <w:rsid w:val="00FF6ED6"/>
    <w:rsid w:val="088EB648"/>
    <w:rsid w:val="0AA5380D"/>
    <w:rsid w:val="147DD713"/>
    <w:rsid w:val="167697D0"/>
    <w:rsid w:val="16980DF5"/>
    <w:rsid w:val="1A97E0D5"/>
    <w:rsid w:val="20627288"/>
    <w:rsid w:val="236C49A5"/>
    <w:rsid w:val="26FB6BF4"/>
    <w:rsid w:val="2CA75EEF"/>
    <w:rsid w:val="385CCBEB"/>
    <w:rsid w:val="3CE7BDB4"/>
    <w:rsid w:val="3E838E15"/>
    <w:rsid w:val="3EDB5407"/>
    <w:rsid w:val="3F01F496"/>
    <w:rsid w:val="4CD9FC0D"/>
    <w:rsid w:val="4DF1A471"/>
    <w:rsid w:val="4E6AEDF5"/>
    <w:rsid w:val="54A01D18"/>
    <w:rsid w:val="66E719F0"/>
    <w:rsid w:val="69F7AAA5"/>
    <w:rsid w:val="69FA292B"/>
    <w:rsid w:val="6A5D5793"/>
    <w:rsid w:val="779AB289"/>
    <w:rsid w:val="7AD83C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CABCF53"/>
  <w15:docId w15:val="{9A82FDC7-4A2E-4CE7-AC00-D8127258F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Default">
    <w:name w:val="Default"/>
    <w:rsid w:val="00A422A6"/>
    <w:pPr>
      <w:autoSpaceDE w:val="0"/>
      <w:autoSpaceDN w:val="0"/>
      <w:adjustRightInd w:val="0"/>
      <w:spacing w:after="0" w:line="240" w:lineRule="auto"/>
    </w:pPr>
    <w:rPr>
      <w:rFonts w:ascii="Calibri" w:eastAsia="MS Mincho" w:hAnsi="Calibri" w:cs="Calibri"/>
      <w:color w:val="000000"/>
      <w:sz w:val="24"/>
      <w:szCs w:val="24"/>
      <w:lang w:eastAsia="ja-JP"/>
    </w:rPr>
  </w:style>
  <w:style w:type="table" w:styleId="GridTable1Light-Accent2">
    <w:name w:val="Grid Table 1 Light Accent 2"/>
    <w:basedOn w:val="TableNormal"/>
    <w:uiPriority w:val="46"/>
    <w:rsid w:val="0038375E"/>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7509325">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87468373">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691955714">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1945572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oogle.com/url?sa=t&amp;rct=j&amp;q=&amp;esrc=s&amp;frm=1&amp;source=web&amp;cd=2&amp;ved=0CD0QFjAB&amp;url=http%3A%2F%2Fwww.astro.org%2F&amp;ei=fWoHT-DTF8_CgAfW9Z3yCw&amp;usg=AFQjCNF85hwCQ8XSGtxljw3ubhT_a4Wr9Q&amp;sig2=kiRR9P40zvK--HsIVKPnT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121"/>
    <w:rsid w:val="00021F89"/>
    <w:rsid w:val="00067068"/>
    <w:rsid w:val="00105D5D"/>
    <w:rsid w:val="00127222"/>
    <w:rsid w:val="001736D7"/>
    <w:rsid w:val="00190AF4"/>
    <w:rsid w:val="00223FA3"/>
    <w:rsid w:val="00281E87"/>
    <w:rsid w:val="002A288F"/>
    <w:rsid w:val="002C4F64"/>
    <w:rsid w:val="002C65A7"/>
    <w:rsid w:val="002F052A"/>
    <w:rsid w:val="00350176"/>
    <w:rsid w:val="003840F0"/>
    <w:rsid w:val="00437537"/>
    <w:rsid w:val="004D785E"/>
    <w:rsid w:val="00513FC9"/>
    <w:rsid w:val="0053654E"/>
    <w:rsid w:val="00610196"/>
    <w:rsid w:val="00632A7E"/>
    <w:rsid w:val="00632AB6"/>
    <w:rsid w:val="00730B33"/>
    <w:rsid w:val="00772B2A"/>
    <w:rsid w:val="007C672A"/>
    <w:rsid w:val="007D4368"/>
    <w:rsid w:val="00822666"/>
    <w:rsid w:val="00823ECC"/>
    <w:rsid w:val="00826796"/>
    <w:rsid w:val="00866C97"/>
    <w:rsid w:val="00891299"/>
    <w:rsid w:val="009017AE"/>
    <w:rsid w:val="009C542D"/>
    <w:rsid w:val="00A01A18"/>
    <w:rsid w:val="00A640F3"/>
    <w:rsid w:val="00A95183"/>
    <w:rsid w:val="00AB4AF7"/>
    <w:rsid w:val="00AD7C4F"/>
    <w:rsid w:val="00B445F5"/>
    <w:rsid w:val="00BD0B1E"/>
    <w:rsid w:val="00BD40CB"/>
    <w:rsid w:val="00C362A2"/>
    <w:rsid w:val="00C90121"/>
    <w:rsid w:val="00C96E73"/>
    <w:rsid w:val="00CA1FE8"/>
    <w:rsid w:val="00CA344F"/>
    <w:rsid w:val="00CA660C"/>
    <w:rsid w:val="00D1676E"/>
    <w:rsid w:val="00D55B3D"/>
    <w:rsid w:val="00D64886"/>
    <w:rsid w:val="00DC0246"/>
    <w:rsid w:val="00E6518A"/>
    <w:rsid w:val="00F03F9B"/>
    <w:rsid w:val="00F540AB"/>
    <w:rsid w:val="00F915BA"/>
    <w:rsid w:val="00FD1B0B"/>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6F15E894A20AB4A8C08CB36E56A7D57" ma:contentTypeVersion="12" ma:contentTypeDescription="Create a new document." ma:contentTypeScope="" ma:versionID="3caabfd3478285525bb3af3b76742076">
  <xsd:schema xmlns:xsd="http://www.w3.org/2001/XMLSchema" xmlns:xs="http://www.w3.org/2001/XMLSchema" xmlns:p="http://schemas.microsoft.com/office/2006/metadata/properties" xmlns:ns2="729ba519-fdf0-4d1e-822f-a497148b3b76" xmlns:ns3="c2b84374-c7b4-4c9f-a8cd-f2be2dc14ae3" targetNamespace="http://schemas.microsoft.com/office/2006/metadata/properties" ma:root="true" ma:fieldsID="eec9d5db75df79bc8bd8df0f0cf355c8" ns2:_="" ns3:_="">
    <xsd:import namespace="729ba519-fdf0-4d1e-822f-a497148b3b76"/>
    <xsd:import namespace="c2b84374-c7b4-4c9f-a8cd-f2be2dc14a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9ba519-fdf0-4d1e-822f-a497148b3b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b84374-c7b4-4c9f-a8cd-f2be2dc14ae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9C19E883-980B-4458-ADC1-A446E248337B}">
  <ds:schemaRefs>
    <ds:schemaRef ds:uri="http://schemas.openxmlformats.org/officeDocument/2006/bibliography"/>
  </ds:schemaRefs>
</ds:datastoreItem>
</file>

<file path=customXml/itemProps3.xml><?xml version="1.0" encoding="utf-8"?>
<ds:datastoreItem xmlns:ds="http://schemas.openxmlformats.org/officeDocument/2006/customXml" ds:itemID="{4BE70419-CC96-4D79-BBFC-E0BA3E014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9ba519-fdf0-4d1e-822f-a497148b3b76"/>
    <ds:schemaRef ds:uri="c2b84374-c7b4-4c9f-a8cd-f2be2dc14a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00C901-3C40-4C03-AF30-8401D54B3554}">
  <ds:schemaRefs>
    <ds:schemaRef ds:uri="http://schemas.microsoft.com/office/2006/documentManagement/types"/>
    <ds:schemaRef ds:uri="http://schemas.microsoft.com/office/infopath/2007/PartnerControls"/>
    <ds:schemaRef ds:uri="http://purl.org/dc/dcmitype/"/>
    <ds:schemaRef ds:uri="http://www.w3.org/XML/1998/namespace"/>
    <ds:schemaRef ds:uri="c2b84374-c7b4-4c9f-a8cd-f2be2dc14ae3"/>
    <ds:schemaRef ds:uri="http://schemas.openxmlformats.org/package/2006/metadata/core-properties"/>
    <ds:schemaRef ds:uri="http://schemas.microsoft.com/office/2006/metadata/properties"/>
    <ds:schemaRef ds:uri="729ba519-fdf0-4d1e-822f-a497148b3b76"/>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16</Pages>
  <Words>5939</Words>
  <Characters>33854</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39714</CharactersWithSpaces>
  <SharedDoc>false</SharedDoc>
  <HLinks>
    <vt:vector size="72" baseType="variant">
      <vt:variant>
        <vt:i4>5898249</vt:i4>
      </vt:variant>
      <vt:variant>
        <vt:i4>33</vt:i4>
      </vt:variant>
      <vt:variant>
        <vt:i4>0</vt:i4>
      </vt:variant>
      <vt:variant>
        <vt:i4>5</vt:i4>
      </vt:variant>
      <vt:variant>
        <vt:lpwstr/>
      </vt:variant>
      <vt:variant>
        <vt:lpwstr>question2b49</vt:lpwstr>
      </vt:variant>
      <vt:variant>
        <vt:i4>7929973</vt:i4>
      </vt:variant>
      <vt:variant>
        <vt:i4>30</vt:i4>
      </vt:variant>
      <vt:variant>
        <vt:i4>0</vt:i4>
      </vt:variant>
      <vt:variant>
        <vt:i4>5</vt:i4>
      </vt:variant>
      <vt:variant>
        <vt:lpwstr/>
      </vt:variant>
      <vt:variant>
        <vt:lpwstr>section2b5</vt:lpwstr>
      </vt:variant>
      <vt:variant>
        <vt:i4>7864437</vt:i4>
      </vt:variant>
      <vt:variant>
        <vt:i4>27</vt:i4>
      </vt:variant>
      <vt:variant>
        <vt:i4>0</vt:i4>
      </vt:variant>
      <vt:variant>
        <vt:i4>5</vt:i4>
      </vt:variant>
      <vt:variant>
        <vt:lpwstr/>
      </vt:variant>
      <vt:variant>
        <vt:lpwstr>section2b4</vt:lpwstr>
      </vt:variant>
      <vt:variant>
        <vt:i4>6160470</vt:i4>
      </vt:variant>
      <vt:variant>
        <vt:i4>24</vt:i4>
      </vt:variant>
      <vt:variant>
        <vt:i4>0</vt:i4>
      </vt:variant>
      <vt:variant>
        <vt:i4>5</vt:i4>
      </vt:variant>
      <vt:variant>
        <vt:lpwstr>http://www.google.com/url?sa=t&amp;rct=j&amp;q=&amp;esrc=s&amp;frm=1&amp;source=web&amp;cd=2&amp;ved=0CD0QFjAB&amp;url=http%3A%2F%2Fwww.astro.org%2F&amp;ei=fWoHT-DTF8_CgAfW9Z3yCw&amp;usg=AFQjCNF85hwCQ8XSGtxljw3ubhT_a4Wr9Q&amp;sig2=kiRR9P40zvK--HsIVKPnTA</vt:lpwstr>
      </vt:variant>
      <vt:variant>
        <vt:lpwstr/>
      </vt:variant>
      <vt:variant>
        <vt:i4>3932203</vt:i4>
      </vt:variant>
      <vt:variant>
        <vt:i4>21</vt:i4>
      </vt:variant>
      <vt:variant>
        <vt:i4>0</vt:i4>
      </vt:variant>
      <vt:variant>
        <vt:i4>5</vt:i4>
      </vt:variant>
      <vt:variant>
        <vt:lpwstr/>
      </vt:variant>
      <vt:variant>
        <vt:lpwstr>Note16</vt:lpwstr>
      </vt:variant>
      <vt:variant>
        <vt:i4>4128811</vt:i4>
      </vt:variant>
      <vt:variant>
        <vt:i4>18</vt:i4>
      </vt:variant>
      <vt:variant>
        <vt:i4>0</vt:i4>
      </vt:variant>
      <vt:variant>
        <vt:i4>5</vt:i4>
      </vt:variant>
      <vt:variant>
        <vt:lpwstr/>
      </vt:variant>
      <vt:variant>
        <vt:lpwstr>Note15</vt:lpwstr>
      </vt:variant>
      <vt:variant>
        <vt:i4>4063275</vt:i4>
      </vt:variant>
      <vt:variant>
        <vt:i4>15</vt:i4>
      </vt:variant>
      <vt:variant>
        <vt:i4>0</vt:i4>
      </vt:variant>
      <vt:variant>
        <vt:i4>5</vt:i4>
      </vt:variant>
      <vt:variant>
        <vt:lpwstr/>
      </vt:variant>
      <vt:variant>
        <vt:lpwstr>Note14</vt:lpwstr>
      </vt:variant>
      <vt:variant>
        <vt:i4>3735595</vt:i4>
      </vt:variant>
      <vt:variant>
        <vt:i4>12</vt:i4>
      </vt:variant>
      <vt:variant>
        <vt:i4>0</vt:i4>
      </vt:variant>
      <vt:variant>
        <vt:i4>5</vt:i4>
      </vt:variant>
      <vt:variant>
        <vt:lpwstr/>
      </vt:variant>
      <vt:variant>
        <vt:lpwstr>Note13</vt:lpwstr>
      </vt:variant>
      <vt:variant>
        <vt:i4>3670059</vt:i4>
      </vt:variant>
      <vt:variant>
        <vt:i4>9</vt:i4>
      </vt:variant>
      <vt:variant>
        <vt:i4>0</vt:i4>
      </vt:variant>
      <vt:variant>
        <vt:i4>5</vt:i4>
      </vt:variant>
      <vt:variant>
        <vt:lpwstr/>
      </vt:variant>
      <vt:variant>
        <vt:lpwstr>Note12</vt:lpwstr>
      </vt:variant>
      <vt:variant>
        <vt:i4>3866667</vt:i4>
      </vt:variant>
      <vt:variant>
        <vt:i4>6</vt:i4>
      </vt:variant>
      <vt:variant>
        <vt:i4>0</vt:i4>
      </vt:variant>
      <vt:variant>
        <vt:i4>5</vt:i4>
      </vt:variant>
      <vt:variant>
        <vt:lpwstr/>
      </vt:variant>
      <vt:variant>
        <vt:lpwstr>Note11</vt:lpwstr>
      </vt:variant>
      <vt:variant>
        <vt:i4>3801131</vt:i4>
      </vt:variant>
      <vt:variant>
        <vt:i4>3</vt:i4>
      </vt:variant>
      <vt:variant>
        <vt:i4>0</vt:i4>
      </vt:variant>
      <vt:variant>
        <vt:i4>5</vt:i4>
      </vt:variant>
      <vt:variant>
        <vt:lpwstr/>
      </vt:variant>
      <vt:variant>
        <vt:lpwstr>Note10</vt:lpwstr>
      </vt:variant>
      <vt:variant>
        <vt:i4>5177423</vt:i4>
      </vt:variant>
      <vt:variant>
        <vt:i4>0</vt:i4>
      </vt:variant>
      <vt:variant>
        <vt:i4>0</vt:i4>
      </vt:variant>
      <vt:variant>
        <vt:i4>5</vt:i4>
      </vt:variant>
      <vt:variant>
        <vt:lpwstr>http://www.qualityforum.org/Measuring_Performance/Submitting_Standards.aspx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subject/>
  <dc:creator>Reva Winkler</dc:creator>
  <cp:keywords/>
  <cp:lastModifiedBy>Angela Kennedy</cp:lastModifiedBy>
  <cp:revision>284</cp:revision>
  <cp:lastPrinted>2018-07-25T13:15:00Z</cp:lastPrinted>
  <dcterms:created xsi:type="dcterms:W3CDTF">2021-01-04T16:13:00Z</dcterms:created>
  <dcterms:modified xsi:type="dcterms:W3CDTF">2021-01-05T22:09:00Z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0x01010056F15E894A20AB4A8C08CB36E56A7D57</vt:lpwstr>
  </property>
</Properties>
</file>