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71F15042"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7504EA">
            <w:rPr>
              <w:rStyle w:val="Style1"/>
            </w:rPr>
            <w:t>0133</w:t>
          </w:r>
        </w:sdtContent>
      </w:sdt>
    </w:p>
    <w:p w14:paraId="0CABCF56" w14:textId="1CF492F2"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2110384125"/>
              <w:placeholder>
                <w:docPart w:val="82EC160A180A4B628ACE21A1475E401D"/>
              </w:placeholder>
            </w:sdtPr>
            <w:sdtEndPr>
              <w:rPr>
                <w:rStyle w:val="DefaultParagraphFont"/>
                <w:rFonts w:asciiTheme="majorHAnsi" w:hAnsiTheme="majorHAnsi"/>
                <w:noProof/>
                <w:color w:val="auto"/>
                <w:sz w:val="20"/>
                <w:szCs w:val="20"/>
              </w:rPr>
            </w:sdtEndPr>
            <w:sdtContent>
              <w:r w:rsidR="007504EA" w:rsidRPr="007504EA">
                <w:rPr>
                  <w:rStyle w:val="Style1"/>
                  <w:rFonts w:cstheme="minorHAnsi"/>
                </w:rPr>
                <w:t>In-Hospital Risk Adjusted Rate of Mortality for Patients Undergoing PCI</w:t>
              </w:r>
            </w:sdtContent>
          </w:sdt>
        </w:sdtContent>
      </w:sdt>
    </w:p>
    <w:p w14:paraId="0CABCF57" w14:textId="3558DCBB"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7-11-08T00:00:00Z">
            <w:dateFormat w:val="M/d/yyyy"/>
            <w:lid w:val="en-US"/>
            <w:storeMappedDataAs w:val="dateTime"/>
            <w:calendar w:val="gregorian"/>
          </w:date>
        </w:sdtPr>
        <w:sdtEndPr>
          <w:rPr>
            <w:rStyle w:val="DefaultParagraphFont"/>
            <w:noProof/>
            <w:color w:val="auto"/>
            <w:u w:val="none"/>
          </w:rPr>
        </w:sdtEndPr>
        <w:sdtContent>
          <w:r w:rsidR="007504EA">
            <w:rPr>
              <w:rStyle w:val="Style2"/>
              <w:rFonts w:cstheme="minorHAnsi"/>
            </w:rPr>
            <w:t>11/8/2017</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54033277" w:rsidR="000B7D57" w:rsidRPr="00C775CE" w:rsidRDefault="002E3F52"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7504EA">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2E3F52"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2E3F52"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2E3F52"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2E3F52"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2E3F52"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2E3F52"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w:t>
            </w:r>
            <w:proofErr w:type="gramStart"/>
            <w:r w:rsidRPr="000F034A">
              <w:rPr>
                <w:rFonts w:cstheme="minorHAnsi"/>
                <w:bCs/>
                <w:iCs/>
              </w:rPr>
              <w:t>time period</w:t>
            </w:r>
            <w:proofErr w:type="gramEnd"/>
            <w:r w:rsidRPr="000F034A">
              <w:rPr>
                <w:rFonts w:cstheme="minorHAnsi"/>
                <w:bCs/>
                <w:iCs/>
              </w:rPr>
              <w:t xml:space="preserve">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proofErr w:type="gramStart"/>
            <w:r w:rsidR="00145149" w:rsidRPr="00A831B4">
              <w:rPr>
                <w:rFonts w:cstheme="minorHAnsi"/>
                <w:sz w:val="20"/>
                <w:szCs w:val="20"/>
              </w:rPr>
              <w:t>received  smoking</w:t>
            </w:r>
            <w:proofErr w:type="gramEnd"/>
            <w:r w:rsidR="00145149" w:rsidRPr="00A831B4">
              <w:rPr>
                <w:rFonts w:cstheme="minorHAnsi"/>
                <w:sz w:val="20"/>
                <w:szCs w:val="20"/>
              </w:rPr>
              <w:t xml:space="preserve">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2E3F52"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2E3F52"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2E3F52"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2E3F52"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4BE7C5BF" w:rsidR="00A01494" w:rsidRPr="000F1B7A" w:rsidRDefault="002E3F52"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F55847">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36E1A9CF" w:rsidR="00A01494" w:rsidRPr="000F1B7A" w:rsidRDefault="002E3F52"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B67813">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2E3F52"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2E3F52"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2E3F52"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2E3F52"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2E3F52"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2E3F52"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020FBE3" w14:textId="03052333" w:rsidR="00F55847" w:rsidRPr="002A256C" w:rsidRDefault="00F55847" w:rsidP="00F55847">
      <w:pPr>
        <w:autoSpaceDE w:val="0"/>
        <w:autoSpaceDN w:val="0"/>
        <w:adjustRightInd w:val="0"/>
        <w:spacing w:after="0" w:line="240" w:lineRule="auto"/>
        <w:rPr>
          <w:rFonts w:cstheme="minorHAnsi"/>
          <w:color w:val="0070C0"/>
        </w:rPr>
      </w:pPr>
      <w:r w:rsidRPr="002A256C">
        <w:rPr>
          <w:rFonts w:cstheme="minorHAnsi"/>
          <w:color w:val="0070C0"/>
        </w:rPr>
        <w:t xml:space="preserve">We propose to use a clinical registry, the National Cardiovascular Data Registry (NCDR) for </w:t>
      </w:r>
      <w:proofErr w:type="spellStart"/>
      <w:r w:rsidRPr="002A256C">
        <w:rPr>
          <w:rFonts w:cstheme="minorHAnsi"/>
          <w:color w:val="0070C0"/>
        </w:rPr>
        <w:t>CathPCI</w:t>
      </w:r>
      <w:proofErr w:type="spellEnd"/>
      <w:r w:rsidRPr="002A256C">
        <w:rPr>
          <w:rFonts w:cstheme="minorHAnsi"/>
          <w:color w:val="0070C0"/>
        </w:rPr>
        <w:t xml:space="preserve"> Registry. This is a national quality improvement registry that is currently participated in &gt;1,300 US hospitals. Some states and healthcare systems mandate participation. Rigorous quality standards are applied to the data and both quarterly and ad hoc performance reports are generated for participating centers to track and improve their performance. </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7E1F2848" w14:textId="77777777" w:rsidR="00F55847" w:rsidRPr="002A256C" w:rsidRDefault="00F55847" w:rsidP="00F55847">
      <w:pPr>
        <w:autoSpaceDE w:val="0"/>
        <w:autoSpaceDN w:val="0"/>
        <w:adjustRightInd w:val="0"/>
        <w:spacing w:after="0" w:line="240" w:lineRule="auto"/>
        <w:rPr>
          <w:rFonts w:cstheme="minorHAnsi"/>
          <w:bCs/>
          <w:color w:val="0070C0"/>
        </w:rPr>
      </w:pPr>
      <w:r w:rsidRPr="002A256C">
        <w:rPr>
          <w:rFonts w:cstheme="minorHAnsi"/>
          <w:bCs/>
          <w:color w:val="0070C0"/>
        </w:rPr>
        <w:t xml:space="preserve">Since this model has already been approved by NQF as a performance measure, we have performed additional testing, in new data, to establish its continued value and accuracy as a performance measure. </w:t>
      </w:r>
    </w:p>
    <w:p w14:paraId="0C59428D" w14:textId="77777777" w:rsidR="00F55847" w:rsidRPr="002A256C" w:rsidRDefault="00F55847" w:rsidP="00F55847">
      <w:pPr>
        <w:autoSpaceDE w:val="0"/>
        <w:autoSpaceDN w:val="0"/>
        <w:adjustRightInd w:val="0"/>
        <w:spacing w:after="0" w:line="240" w:lineRule="auto"/>
        <w:rPr>
          <w:rFonts w:cstheme="minorHAnsi"/>
          <w:bCs/>
          <w:color w:val="0070C0"/>
        </w:rPr>
      </w:pPr>
    </w:p>
    <w:p w14:paraId="575AE061" w14:textId="77777777" w:rsidR="00F55847" w:rsidRPr="002A256C" w:rsidRDefault="00F55847" w:rsidP="00F55847">
      <w:pPr>
        <w:autoSpaceDE w:val="0"/>
        <w:autoSpaceDN w:val="0"/>
        <w:adjustRightInd w:val="0"/>
        <w:spacing w:after="0" w:line="240" w:lineRule="auto"/>
        <w:rPr>
          <w:rFonts w:cstheme="minorHAnsi"/>
          <w:bCs/>
          <w:color w:val="0070C0"/>
        </w:rPr>
      </w:pPr>
      <w:r w:rsidRPr="002A256C">
        <w:rPr>
          <w:rFonts w:cstheme="minorHAnsi"/>
          <w:bCs/>
          <w:color w:val="0070C0"/>
        </w:rPr>
        <w:t xml:space="preserve">We have chosen to use different datasets to provide support for different aspects of the proposed measure. </w:t>
      </w:r>
    </w:p>
    <w:p w14:paraId="545EDC2D" w14:textId="77777777" w:rsidR="00F55847" w:rsidRPr="002A256C" w:rsidRDefault="00F55847" w:rsidP="00F55847">
      <w:pPr>
        <w:autoSpaceDE w:val="0"/>
        <w:autoSpaceDN w:val="0"/>
        <w:adjustRightInd w:val="0"/>
        <w:spacing w:after="0" w:line="240" w:lineRule="auto"/>
        <w:rPr>
          <w:rFonts w:cstheme="minorHAnsi"/>
          <w:bCs/>
          <w:color w:val="0070C0"/>
        </w:rPr>
      </w:pPr>
      <w:r w:rsidRPr="002A256C">
        <w:rPr>
          <w:rFonts w:cstheme="minorHAnsi"/>
          <w:bCs/>
          <w:color w:val="0070C0"/>
        </w:rPr>
        <w:t>1. Audit data: 01/2009-12/ 2009 has been previously used to support the inter-rater reliability of the application. It was established that there is high inter-rater reliability, as compared with independent chart audits and found &gt;90% accuracy for most variables. Please see prior submission for these data.</w:t>
      </w:r>
    </w:p>
    <w:p w14:paraId="56319C9D" w14:textId="77777777" w:rsidR="00F55847" w:rsidRPr="002A256C" w:rsidRDefault="00F55847" w:rsidP="00F55847">
      <w:pPr>
        <w:autoSpaceDE w:val="0"/>
        <w:autoSpaceDN w:val="0"/>
        <w:adjustRightInd w:val="0"/>
        <w:spacing w:after="0" w:line="240" w:lineRule="auto"/>
        <w:rPr>
          <w:rFonts w:cs="Times New Roman"/>
          <w:color w:val="0070C0"/>
          <w:lang w:eastAsia="ja-JP"/>
        </w:rPr>
      </w:pPr>
      <w:r w:rsidRPr="002A256C">
        <w:rPr>
          <w:rFonts w:cstheme="minorHAnsi"/>
          <w:bCs/>
          <w:color w:val="0070C0"/>
        </w:rPr>
        <w:t xml:space="preserve">2. Creation of the Mortality model was performed on all national NCDR data from </w:t>
      </w:r>
      <w:r w:rsidRPr="002A256C">
        <w:rPr>
          <w:rFonts w:cs="Times New Roman"/>
          <w:color w:val="0070C0"/>
          <w:lang w:eastAsia="ja-JP"/>
        </w:rPr>
        <w:t>07/2009–06/2011 and has been used to provide a description and initial performance characteristics of the model.</w:t>
      </w:r>
    </w:p>
    <w:p w14:paraId="48520CF3" w14:textId="77777777" w:rsidR="00F55847" w:rsidRPr="002A256C" w:rsidRDefault="00F55847" w:rsidP="00F55847">
      <w:pPr>
        <w:autoSpaceDE w:val="0"/>
        <w:autoSpaceDN w:val="0"/>
        <w:adjustRightInd w:val="0"/>
        <w:spacing w:after="0" w:line="240" w:lineRule="auto"/>
        <w:rPr>
          <w:rFonts w:cstheme="minorHAnsi"/>
          <w:bCs/>
          <w:color w:val="0070C0"/>
        </w:rPr>
      </w:pPr>
      <w:r w:rsidRPr="002A256C">
        <w:rPr>
          <w:rFonts w:cs="Times New Roman"/>
          <w:color w:val="0070C0"/>
          <w:lang w:eastAsia="ja-JP"/>
        </w:rPr>
        <w:t xml:space="preserve">3. A separate cohort of the NCDR </w:t>
      </w:r>
      <w:proofErr w:type="spellStart"/>
      <w:r w:rsidRPr="002A256C">
        <w:rPr>
          <w:rFonts w:cs="Times New Roman"/>
          <w:color w:val="0070C0"/>
          <w:lang w:eastAsia="ja-JP"/>
        </w:rPr>
        <w:t>CathPCI</w:t>
      </w:r>
      <w:proofErr w:type="spellEnd"/>
      <w:r w:rsidRPr="002A256C">
        <w:rPr>
          <w:rFonts w:cs="Times New Roman"/>
          <w:color w:val="0070C0"/>
          <w:lang w:eastAsia="ja-JP"/>
        </w:rPr>
        <w:t xml:space="preserve"> registry was used to validate the model, which included all data collected during the 2012 calendar year (01/2012-12/2012). These data were also used to provide test-retest reliability of the data elements for the risk model and further validation of the relationship between the predictor variables and mortality, including additional data supporting the discrimination and calibration of the model. </w:t>
      </w:r>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2E3F52"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2E3F52"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2E3F52"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2E3F52"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037F3B5C" w:rsidR="000414E8" w:rsidRPr="00A01494" w:rsidRDefault="002E3F52"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F5584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21F88CEF" w:rsidR="000414E8" w:rsidRPr="00A01494" w:rsidRDefault="002E3F52"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F504C4">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2E3F52"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2E3F52"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2E3F52"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2E3F52"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0E1DDF71" w:rsidR="002B5016" w:rsidRPr="00F55847" w:rsidRDefault="002B5016" w:rsidP="00DB3627">
      <w:pPr>
        <w:autoSpaceDE w:val="0"/>
        <w:autoSpaceDN w:val="0"/>
        <w:adjustRightInd w:val="0"/>
        <w:spacing w:after="0" w:line="240" w:lineRule="auto"/>
        <w:rPr>
          <w:rFonts w:cstheme="minorHAnsi"/>
          <w:bCs/>
          <w:color w:val="FF0000"/>
        </w:rPr>
      </w:pPr>
    </w:p>
    <w:p w14:paraId="635BC9F7" w14:textId="77777777" w:rsidR="00F55847" w:rsidRPr="002A256C" w:rsidRDefault="00F55847" w:rsidP="00F55847">
      <w:pPr>
        <w:autoSpaceDE w:val="0"/>
        <w:autoSpaceDN w:val="0"/>
        <w:adjustRightInd w:val="0"/>
        <w:spacing w:after="0" w:line="240" w:lineRule="auto"/>
        <w:rPr>
          <w:rFonts w:asciiTheme="majorHAnsi" w:hAnsiTheme="majorHAnsi" w:cstheme="minorHAnsi"/>
          <w:bCs/>
          <w:i/>
          <w:color w:val="0070C0"/>
          <w:sz w:val="20"/>
          <w:szCs w:val="20"/>
        </w:rPr>
      </w:pPr>
      <w:r w:rsidRPr="002A256C">
        <w:rPr>
          <w:rFonts w:asciiTheme="majorHAnsi" w:hAnsiTheme="majorHAnsi" w:cstheme="minorHAnsi"/>
          <w:bCs/>
          <w:i/>
          <w:color w:val="0070C0"/>
          <w:sz w:val="20"/>
          <w:szCs w:val="20"/>
        </w:rPr>
        <w:t>Creation of the Mortality Derivation and Validation model:</w:t>
      </w:r>
    </w:p>
    <w:p w14:paraId="535FE351" w14:textId="77777777" w:rsidR="00F55847" w:rsidRPr="002A256C" w:rsidRDefault="00F55847" w:rsidP="00F55847">
      <w:pPr>
        <w:autoSpaceDE w:val="0"/>
        <w:autoSpaceDN w:val="0"/>
        <w:adjustRightInd w:val="0"/>
        <w:spacing w:after="0" w:line="240" w:lineRule="auto"/>
        <w:rPr>
          <w:rFonts w:asciiTheme="majorHAnsi" w:hAnsiTheme="majorHAnsi" w:cstheme="minorHAnsi"/>
          <w:bCs/>
          <w:color w:val="0070C0"/>
          <w:sz w:val="20"/>
          <w:szCs w:val="20"/>
        </w:rPr>
      </w:pPr>
      <w:r w:rsidRPr="002A256C">
        <w:rPr>
          <w:rFonts w:asciiTheme="majorHAnsi" w:hAnsiTheme="majorHAnsi" w:cstheme="minorHAnsi"/>
          <w:bCs/>
          <w:color w:val="0070C0"/>
          <w:sz w:val="20"/>
          <w:szCs w:val="20"/>
        </w:rPr>
        <w:t>1,253 hospitals were included. See additional information under section 1.6.</w:t>
      </w:r>
    </w:p>
    <w:p w14:paraId="2B11A394" w14:textId="5BFFDE40" w:rsidR="00F55847" w:rsidRDefault="00F55847" w:rsidP="00DB3627">
      <w:pPr>
        <w:autoSpaceDE w:val="0"/>
        <w:autoSpaceDN w:val="0"/>
        <w:adjustRightInd w:val="0"/>
        <w:spacing w:after="0" w:line="240" w:lineRule="auto"/>
        <w:rPr>
          <w:rFonts w:cstheme="minorHAnsi"/>
          <w:bCs/>
        </w:rPr>
      </w:pPr>
    </w:p>
    <w:p w14:paraId="05C2D6A2" w14:textId="77777777" w:rsidR="00F55847" w:rsidRPr="002A256C" w:rsidRDefault="002B5016" w:rsidP="00F55847">
      <w:pPr>
        <w:autoSpaceDE w:val="0"/>
        <w:autoSpaceDN w:val="0"/>
        <w:adjustRightInd w:val="0"/>
        <w:spacing w:after="0" w:line="240" w:lineRule="auto"/>
        <w:rPr>
          <w:rFonts w:asciiTheme="majorHAnsi" w:eastAsia="MS Mincho" w:hAnsiTheme="majorHAnsi" w:cs="Arial"/>
          <w:color w:val="0070C0"/>
          <w:sz w:val="20"/>
          <w:szCs w:val="20"/>
          <w:lang w:eastAsia="ja-JP"/>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F55847" w:rsidRPr="002A256C">
        <w:rPr>
          <w:rFonts w:asciiTheme="majorHAnsi" w:eastAsia="MS Mincho" w:hAnsiTheme="majorHAnsi" w:cs="Arial"/>
          <w:color w:val="0070C0"/>
          <w:sz w:val="20"/>
          <w:szCs w:val="20"/>
          <w:lang w:eastAsia="ja-JP"/>
        </w:rPr>
        <w:t xml:space="preserve">For the updated derivation and validation of the mortality risk model, 1,208,137 patients undergoing PCI between 7/2009-06/2011 at 1,253 hospitals were included; 60% in the derivation cohort and a random 40% in the validation cohort.   </w:t>
      </w:r>
      <w:r w:rsidR="00F55847" w:rsidRPr="002A256C">
        <w:rPr>
          <w:rFonts w:asciiTheme="majorHAnsi" w:hAnsiTheme="majorHAnsi" w:cs="AdvOT46dcae81"/>
          <w:color w:val="0070C0"/>
          <w:sz w:val="20"/>
          <w:szCs w:val="20"/>
        </w:rPr>
        <w:t>In-hospital mortality was 1.4%, ranging from 0.2% among elective cases (45.1% of total cases) to 65.9% among patients</w:t>
      </w:r>
      <w:r w:rsidR="00F55847" w:rsidRPr="002A256C">
        <w:rPr>
          <w:rFonts w:asciiTheme="majorHAnsi" w:eastAsia="MS Mincho" w:hAnsiTheme="majorHAnsi" w:cs="Arial"/>
          <w:color w:val="0070C0"/>
          <w:sz w:val="20"/>
          <w:szCs w:val="20"/>
          <w:lang w:eastAsia="ja-JP"/>
        </w:rPr>
        <w:t xml:space="preserve"> </w:t>
      </w:r>
      <w:r w:rsidR="00F55847" w:rsidRPr="002A256C">
        <w:rPr>
          <w:rFonts w:asciiTheme="majorHAnsi" w:hAnsiTheme="majorHAnsi" w:cs="AdvOT46dcae81"/>
          <w:color w:val="0070C0"/>
          <w:sz w:val="20"/>
          <w:szCs w:val="20"/>
        </w:rPr>
        <w:t>with shock and recent cardiac arrest (0.2% of total cases</w:t>
      </w:r>
      <w:proofErr w:type="gramStart"/>
      <w:r w:rsidR="00F55847" w:rsidRPr="002A256C">
        <w:rPr>
          <w:rFonts w:asciiTheme="majorHAnsi" w:hAnsiTheme="majorHAnsi" w:cs="AdvOT46dcae81"/>
          <w:color w:val="0070C0"/>
          <w:sz w:val="20"/>
          <w:szCs w:val="20"/>
        </w:rPr>
        <w:t>)</w:t>
      </w:r>
      <w:r w:rsidR="00F55847" w:rsidRPr="002A256C">
        <w:rPr>
          <w:rFonts w:asciiTheme="majorHAnsi" w:eastAsia="MS Mincho" w:hAnsiTheme="majorHAnsi" w:cs="Arial"/>
          <w:color w:val="0070C0"/>
          <w:sz w:val="20"/>
          <w:szCs w:val="20"/>
          <w:lang w:eastAsia="ja-JP"/>
        </w:rPr>
        <w:t xml:space="preserve"> .</w:t>
      </w:r>
      <w:proofErr w:type="gramEnd"/>
      <w:r w:rsidR="00F55847" w:rsidRPr="002A256C">
        <w:rPr>
          <w:rFonts w:asciiTheme="majorHAnsi" w:eastAsia="MS Mincho" w:hAnsiTheme="majorHAnsi" w:cs="Arial"/>
          <w:color w:val="0070C0"/>
          <w:sz w:val="20"/>
          <w:szCs w:val="20"/>
          <w:lang w:eastAsia="ja-JP"/>
        </w:rPr>
        <w:t xml:space="preserve"> A summary of these patients’ clinical characteristics and the hospital characteristics are provided under Table 1 and 2.</w:t>
      </w:r>
    </w:p>
    <w:p w14:paraId="1EB0BDCD" w14:textId="77777777" w:rsidR="00F55847" w:rsidRPr="002A256C" w:rsidRDefault="00F55847" w:rsidP="00F55847">
      <w:pPr>
        <w:autoSpaceDE w:val="0"/>
        <w:autoSpaceDN w:val="0"/>
        <w:adjustRightInd w:val="0"/>
        <w:spacing w:after="0" w:line="240" w:lineRule="auto"/>
        <w:rPr>
          <w:rFonts w:asciiTheme="majorHAnsi" w:eastAsia="MS Mincho" w:hAnsiTheme="majorHAnsi" w:cs="Arial"/>
          <w:color w:val="0070C0"/>
          <w:sz w:val="20"/>
          <w:szCs w:val="20"/>
          <w:lang w:eastAsia="ja-JP"/>
        </w:rPr>
      </w:pPr>
    </w:p>
    <w:p w14:paraId="7D6E16BE" w14:textId="2DAB6024" w:rsidR="00F55847" w:rsidRPr="002A256C" w:rsidRDefault="00F55847" w:rsidP="00F55847">
      <w:pPr>
        <w:pStyle w:val="Caption"/>
        <w:keepNext/>
        <w:rPr>
          <w:rFonts w:asciiTheme="majorHAnsi" w:hAnsiTheme="majorHAnsi"/>
          <w:color w:val="0070C0"/>
          <w:sz w:val="20"/>
          <w:szCs w:val="20"/>
        </w:rPr>
      </w:pPr>
      <w:r w:rsidRPr="002A256C">
        <w:rPr>
          <w:rFonts w:asciiTheme="majorHAnsi" w:hAnsiTheme="majorHAnsi"/>
          <w:color w:val="0070C0"/>
          <w:sz w:val="20"/>
          <w:szCs w:val="20"/>
        </w:rPr>
        <w:t xml:space="preserve">Table </w:t>
      </w:r>
      <w:r w:rsidRPr="002A256C">
        <w:rPr>
          <w:rFonts w:asciiTheme="majorHAnsi" w:hAnsiTheme="majorHAnsi"/>
          <w:color w:val="0070C0"/>
          <w:sz w:val="20"/>
          <w:szCs w:val="20"/>
        </w:rPr>
        <w:fldChar w:fldCharType="begin"/>
      </w:r>
      <w:r w:rsidRPr="002A256C">
        <w:rPr>
          <w:rFonts w:asciiTheme="majorHAnsi" w:hAnsiTheme="majorHAnsi"/>
          <w:color w:val="0070C0"/>
          <w:sz w:val="20"/>
          <w:szCs w:val="20"/>
        </w:rPr>
        <w:instrText xml:space="preserve"> SEQ Table \* ARABIC </w:instrText>
      </w:r>
      <w:r w:rsidRPr="002A256C">
        <w:rPr>
          <w:rFonts w:asciiTheme="majorHAnsi" w:hAnsiTheme="majorHAnsi"/>
          <w:color w:val="0070C0"/>
          <w:sz w:val="20"/>
          <w:szCs w:val="20"/>
        </w:rPr>
        <w:fldChar w:fldCharType="separate"/>
      </w:r>
      <w:r w:rsidR="003528B4">
        <w:rPr>
          <w:rFonts w:asciiTheme="majorHAnsi" w:hAnsiTheme="majorHAnsi"/>
          <w:noProof/>
          <w:color w:val="0070C0"/>
          <w:sz w:val="20"/>
          <w:szCs w:val="20"/>
        </w:rPr>
        <w:t>1</w:t>
      </w:r>
      <w:r w:rsidRPr="002A256C">
        <w:rPr>
          <w:rFonts w:asciiTheme="majorHAnsi" w:hAnsiTheme="majorHAnsi"/>
          <w:color w:val="0070C0"/>
          <w:sz w:val="20"/>
          <w:szCs w:val="20"/>
        </w:rPr>
        <w:fldChar w:fldCharType="end"/>
      </w:r>
      <w:r w:rsidRPr="002A256C">
        <w:rPr>
          <w:rFonts w:asciiTheme="majorHAnsi" w:hAnsiTheme="majorHAnsi"/>
          <w:color w:val="0070C0"/>
          <w:sz w:val="20"/>
          <w:szCs w:val="20"/>
        </w:rPr>
        <w:t>. Derivation and Validation Characteristics</w:t>
      </w:r>
    </w:p>
    <w:tbl>
      <w:tblPr>
        <w:tblW w:w="7484" w:type="dxa"/>
        <w:tblCellMar>
          <w:left w:w="14" w:type="dxa"/>
          <w:right w:w="14" w:type="dxa"/>
        </w:tblCellMar>
        <w:tblLook w:val="00A0" w:firstRow="1" w:lastRow="0" w:firstColumn="1" w:lastColumn="0" w:noHBand="0" w:noVBand="0"/>
      </w:tblPr>
      <w:tblGrid>
        <w:gridCol w:w="4154"/>
        <w:gridCol w:w="1800"/>
        <w:gridCol w:w="1530"/>
      </w:tblGrid>
      <w:tr w:rsidR="002A256C" w:rsidRPr="002A256C" w14:paraId="2D2232B9" w14:textId="77777777" w:rsidTr="00F55847">
        <w:tc>
          <w:tcPr>
            <w:tcW w:w="4154" w:type="dxa"/>
            <w:tcBorders>
              <w:top w:val="single" w:sz="12" w:space="0" w:color="auto"/>
              <w:bottom w:val="single" w:sz="6" w:space="0" w:color="auto"/>
            </w:tcBorders>
          </w:tcPr>
          <w:p w14:paraId="036B7CD9" w14:textId="77777777" w:rsidR="00F55847" w:rsidRPr="002A256C" w:rsidRDefault="00F55847" w:rsidP="00F55847">
            <w:pPr>
              <w:spacing w:line="240" w:lineRule="auto"/>
              <w:rPr>
                <w:rFonts w:asciiTheme="majorHAnsi" w:eastAsia="Calibri" w:hAnsiTheme="majorHAnsi" w:cs="Times New Roman"/>
                <w:b/>
                <w:color w:val="0070C0"/>
                <w:sz w:val="18"/>
                <w:szCs w:val="18"/>
              </w:rPr>
            </w:pPr>
          </w:p>
        </w:tc>
        <w:tc>
          <w:tcPr>
            <w:tcW w:w="1800" w:type="dxa"/>
            <w:tcBorders>
              <w:top w:val="single" w:sz="12" w:space="0" w:color="auto"/>
              <w:bottom w:val="single" w:sz="6" w:space="0" w:color="auto"/>
            </w:tcBorders>
            <w:vAlign w:val="bottom"/>
          </w:tcPr>
          <w:p w14:paraId="4DA15431" w14:textId="77777777" w:rsidR="00F55847" w:rsidRPr="002A256C" w:rsidRDefault="00F55847" w:rsidP="00F55847">
            <w:pPr>
              <w:adjustRightInd w:val="0"/>
              <w:spacing w:line="240" w:lineRule="auto"/>
              <w:jc w:val="center"/>
              <w:rPr>
                <w:rFonts w:asciiTheme="majorHAnsi" w:eastAsia="Calibri" w:hAnsiTheme="majorHAnsi" w:cs="Times New Roman"/>
                <w:b/>
                <w:bCs/>
                <w:color w:val="0070C0"/>
                <w:sz w:val="18"/>
                <w:szCs w:val="18"/>
              </w:rPr>
            </w:pPr>
            <w:r w:rsidRPr="002A256C">
              <w:rPr>
                <w:rFonts w:asciiTheme="majorHAnsi" w:eastAsia="Calibri" w:hAnsiTheme="majorHAnsi" w:cs="Times New Roman"/>
                <w:b/>
                <w:bCs/>
                <w:color w:val="0070C0"/>
                <w:sz w:val="18"/>
                <w:szCs w:val="18"/>
              </w:rPr>
              <w:t>Development</w:t>
            </w:r>
            <w:r w:rsidRPr="002A256C">
              <w:rPr>
                <w:rFonts w:asciiTheme="majorHAnsi" w:eastAsia="Calibri" w:hAnsiTheme="majorHAnsi" w:cs="Times New Roman"/>
                <w:b/>
                <w:bCs/>
                <w:color w:val="0070C0"/>
                <w:sz w:val="18"/>
                <w:szCs w:val="18"/>
              </w:rPr>
              <w:br/>
              <w:t>(N=724,883)</w:t>
            </w:r>
          </w:p>
        </w:tc>
        <w:tc>
          <w:tcPr>
            <w:tcW w:w="1530" w:type="dxa"/>
            <w:tcBorders>
              <w:top w:val="single" w:sz="12" w:space="0" w:color="auto"/>
              <w:bottom w:val="single" w:sz="6" w:space="0" w:color="auto"/>
            </w:tcBorders>
            <w:vAlign w:val="bottom"/>
          </w:tcPr>
          <w:p w14:paraId="4127C0F4" w14:textId="77777777" w:rsidR="00F55847" w:rsidRPr="002A256C" w:rsidRDefault="00F55847" w:rsidP="00F55847">
            <w:pPr>
              <w:adjustRightInd w:val="0"/>
              <w:spacing w:line="240" w:lineRule="auto"/>
              <w:jc w:val="center"/>
              <w:rPr>
                <w:rFonts w:asciiTheme="majorHAnsi" w:eastAsia="Calibri" w:hAnsiTheme="majorHAnsi" w:cs="Times New Roman"/>
                <w:b/>
                <w:bCs/>
                <w:color w:val="0070C0"/>
                <w:sz w:val="18"/>
                <w:szCs w:val="18"/>
              </w:rPr>
            </w:pPr>
            <w:r w:rsidRPr="002A256C">
              <w:rPr>
                <w:rFonts w:asciiTheme="majorHAnsi" w:eastAsia="Calibri" w:hAnsiTheme="majorHAnsi" w:cs="Times New Roman"/>
                <w:b/>
                <w:bCs/>
                <w:color w:val="0070C0"/>
                <w:sz w:val="18"/>
                <w:szCs w:val="18"/>
              </w:rPr>
              <w:t>Validation</w:t>
            </w:r>
            <w:r w:rsidRPr="002A256C">
              <w:rPr>
                <w:rFonts w:asciiTheme="majorHAnsi" w:eastAsia="Calibri" w:hAnsiTheme="majorHAnsi" w:cs="Times New Roman"/>
                <w:b/>
                <w:bCs/>
                <w:color w:val="0070C0"/>
                <w:sz w:val="18"/>
                <w:szCs w:val="18"/>
              </w:rPr>
              <w:br/>
              <w:t>(N=483,254)</w:t>
            </w:r>
          </w:p>
        </w:tc>
      </w:tr>
      <w:tr w:rsidR="002A256C" w:rsidRPr="002A256C" w14:paraId="264D04DB" w14:textId="77777777" w:rsidTr="00F55847">
        <w:tc>
          <w:tcPr>
            <w:tcW w:w="4154" w:type="dxa"/>
            <w:tcBorders>
              <w:top w:val="single" w:sz="6" w:space="0" w:color="auto"/>
            </w:tcBorders>
          </w:tcPr>
          <w:p w14:paraId="1400B422"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Overall population</w:t>
            </w:r>
          </w:p>
        </w:tc>
        <w:tc>
          <w:tcPr>
            <w:tcW w:w="1800" w:type="dxa"/>
            <w:tcBorders>
              <w:top w:val="single" w:sz="6" w:space="0" w:color="auto"/>
            </w:tcBorders>
          </w:tcPr>
          <w:p w14:paraId="7A0B366B"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1.38</w:t>
            </w:r>
          </w:p>
        </w:tc>
        <w:tc>
          <w:tcPr>
            <w:tcW w:w="1530" w:type="dxa"/>
            <w:tcBorders>
              <w:top w:val="single" w:sz="6" w:space="0" w:color="auto"/>
            </w:tcBorders>
          </w:tcPr>
          <w:p w14:paraId="1B339E4F"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1.40</w:t>
            </w:r>
          </w:p>
        </w:tc>
      </w:tr>
      <w:tr w:rsidR="002A256C" w:rsidRPr="002A256C" w14:paraId="53519026" w14:textId="77777777" w:rsidTr="00F55847">
        <w:tc>
          <w:tcPr>
            <w:tcW w:w="4154" w:type="dxa"/>
          </w:tcPr>
          <w:p w14:paraId="73C01C53"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MI status</w:t>
            </w:r>
          </w:p>
        </w:tc>
        <w:tc>
          <w:tcPr>
            <w:tcW w:w="1800" w:type="dxa"/>
          </w:tcPr>
          <w:p w14:paraId="2C0B8308"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p>
        </w:tc>
        <w:tc>
          <w:tcPr>
            <w:tcW w:w="1530" w:type="dxa"/>
          </w:tcPr>
          <w:p w14:paraId="50AE8C84"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p>
        </w:tc>
      </w:tr>
      <w:tr w:rsidR="002A256C" w:rsidRPr="002A256C" w14:paraId="6E4C8B92" w14:textId="77777777" w:rsidTr="00F55847">
        <w:tc>
          <w:tcPr>
            <w:tcW w:w="4154" w:type="dxa"/>
          </w:tcPr>
          <w:p w14:paraId="7B13E6BB"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STEMI</w:t>
            </w:r>
          </w:p>
        </w:tc>
        <w:tc>
          <w:tcPr>
            <w:tcW w:w="1800" w:type="dxa"/>
          </w:tcPr>
          <w:p w14:paraId="45878779"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5.22</w:t>
            </w:r>
          </w:p>
        </w:tc>
        <w:tc>
          <w:tcPr>
            <w:tcW w:w="1530" w:type="dxa"/>
          </w:tcPr>
          <w:p w14:paraId="7B650A64"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5.33</w:t>
            </w:r>
          </w:p>
        </w:tc>
      </w:tr>
      <w:tr w:rsidR="002A256C" w:rsidRPr="002A256C" w14:paraId="3D94A5D2" w14:textId="77777777" w:rsidTr="00F55847">
        <w:tc>
          <w:tcPr>
            <w:tcW w:w="4154" w:type="dxa"/>
          </w:tcPr>
          <w:p w14:paraId="099359F3"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No STEMI</w:t>
            </w:r>
          </w:p>
        </w:tc>
        <w:tc>
          <w:tcPr>
            <w:tcW w:w="1800" w:type="dxa"/>
          </w:tcPr>
          <w:p w14:paraId="74EE8721"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0.65</w:t>
            </w:r>
          </w:p>
        </w:tc>
        <w:tc>
          <w:tcPr>
            <w:tcW w:w="1530" w:type="dxa"/>
          </w:tcPr>
          <w:p w14:paraId="7DC3049B"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0.65</w:t>
            </w:r>
          </w:p>
        </w:tc>
      </w:tr>
      <w:tr w:rsidR="002A256C" w:rsidRPr="002A256C" w14:paraId="1538360D" w14:textId="77777777" w:rsidTr="00F55847">
        <w:tc>
          <w:tcPr>
            <w:tcW w:w="4154" w:type="dxa"/>
          </w:tcPr>
          <w:p w14:paraId="0AAA3858"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Gender</w:t>
            </w:r>
          </w:p>
        </w:tc>
        <w:tc>
          <w:tcPr>
            <w:tcW w:w="1800" w:type="dxa"/>
          </w:tcPr>
          <w:p w14:paraId="3F402D49"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p>
        </w:tc>
        <w:tc>
          <w:tcPr>
            <w:tcW w:w="1530" w:type="dxa"/>
          </w:tcPr>
          <w:p w14:paraId="1C160E88"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p>
        </w:tc>
      </w:tr>
      <w:tr w:rsidR="002A256C" w:rsidRPr="002A256C" w14:paraId="654D992F" w14:textId="77777777" w:rsidTr="00F55847">
        <w:tc>
          <w:tcPr>
            <w:tcW w:w="4154" w:type="dxa"/>
          </w:tcPr>
          <w:p w14:paraId="287E3E81"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Men</w:t>
            </w:r>
          </w:p>
        </w:tc>
        <w:tc>
          <w:tcPr>
            <w:tcW w:w="1800" w:type="dxa"/>
          </w:tcPr>
          <w:p w14:paraId="0E30B408"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1.22</w:t>
            </w:r>
          </w:p>
        </w:tc>
        <w:tc>
          <w:tcPr>
            <w:tcW w:w="1530" w:type="dxa"/>
          </w:tcPr>
          <w:p w14:paraId="7D775039"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1.23</w:t>
            </w:r>
          </w:p>
        </w:tc>
      </w:tr>
      <w:tr w:rsidR="002A256C" w:rsidRPr="002A256C" w14:paraId="1F35EC2D" w14:textId="77777777" w:rsidTr="00F55847">
        <w:tc>
          <w:tcPr>
            <w:tcW w:w="4154" w:type="dxa"/>
          </w:tcPr>
          <w:p w14:paraId="6CFA914A"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Women</w:t>
            </w:r>
          </w:p>
        </w:tc>
        <w:tc>
          <w:tcPr>
            <w:tcW w:w="1800" w:type="dxa"/>
          </w:tcPr>
          <w:p w14:paraId="63A4AF54"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1.72</w:t>
            </w:r>
          </w:p>
        </w:tc>
        <w:tc>
          <w:tcPr>
            <w:tcW w:w="1530" w:type="dxa"/>
          </w:tcPr>
          <w:p w14:paraId="3FE715A3"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1.74</w:t>
            </w:r>
          </w:p>
        </w:tc>
      </w:tr>
      <w:tr w:rsidR="002A256C" w:rsidRPr="002A256C" w14:paraId="1102A96D" w14:textId="77777777" w:rsidTr="00F55847">
        <w:tc>
          <w:tcPr>
            <w:tcW w:w="4154" w:type="dxa"/>
          </w:tcPr>
          <w:p w14:paraId="72B24BA4"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Age group</w:t>
            </w:r>
          </w:p>
        </w:tc>
        <w:tc>
          <w:tcPr>
            <w:tcW w:w="1800" w:type="dxa"/>
          </w:tcPr>
          <w:p w14:paraId="3D0CD5DA"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p>
        </w:tc>
        <w:tc>
          <w:tcPr>
            <w:tcW w:w="1530" w:type="dxa"/>
          </w:tcPr>
          <w:p w14:paraId="3074EF07"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p>
        </w:tc>
      </w:tr>
      <w:tr w:rsidR="002A256C" w:rsidRPr="002A256C" w14:paraId="2590E41D" w14:textId="77777777" w:rsidTr="00F55847">
        <w:tc>
          <w:tcPr>
            <w:tcW w:w="4154" w:type="dxa"/>
          </w:tcPr>
          <w:p w14:paraId="2E2A71D2"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Age &gt; 70 </w:t>
            </w:r>
            <w:proofErr w:type="spellStart"/>
            <w:r w:rsidRPr="002A256C">
              <w:rPr>
                <w:rFonts w:asciiTheme="majorHAnsi" w:eastAsia="Calibri" w:hAnsiTheme="majorHAnsi" w:cs="Times New Roman"/>
                <w:color w:val="0070C0"/>
                <w:sz w:val="18"/>
                <w:szCs w:val="18"/>
              </w:rPr>
              <w:t>yrs</w:t>
            </w:r>
            <w:proofErr w:type="spellEnd"/>
          </w:p>
        </w:tc>
        <w:tc>
          <w:tcPr>
            <w:tcW w:w="1800" w:type="dxa"/>
          </w:tcPr>
          <w:p w14:paraId="2D5D5A1C"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2.23</w:t>
            </w:r>
          </w:p>
        </w:tc>
        <w:tc>
          <w:tcPr>
            <w:tcW w:w="1530" w:type="dxa"/>
          </w:tcPr>
          <w:p w14:paraId="7156AF53"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2.25</w:t>
            </w:r>
          </w:p>
        </w:tc>
      </w:tr>
      <w:tr w:rsidR="002A256C" w:rsidRPr="002A256C" w14:paraId="7F8B7886" w14:textId="77777777" w:rsidTr="00F55847">
        <w:tc>
          <w:tcPr>
            <w:tcW w:w="4154" w:type="dxa"/>
          </w:tcPr>
          <w:p w14:paraId="428BE1CF"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Age ≤ 70 </w:t>
            </w:r>
            <w:proofErr w:type="spellStart"/>
            <w:r w:rsidRPr="002A256C">
              <w:rPr>
                <w:rFonts w:asciiTheme="majorHAnsi" w:eastAsia="Calibri" w:hAnsiTheme="majorHAnsi" w:cs="Times New Roman"/>
                <w:color w:val="0070C0"/>
                <w:sz w:val="18"/>
                <w:szCs w:val="18"/>
              </w:rPr>
              <w:t>yrs</w:t>
            </w:r>
            <w:proofErr w:type="spellEnd"/>
          </w:p>
        </w:tc>
        <w:tc>
          <w:tcPr>
            <w:tcW w:w="1800" w:type="dxa"/>
          </w:tcPr>
          <w:p w14:paraId="0B62A1A9"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0.96</w:t>
            </w:r>
          </w:p>
        </w:tc>
        <w:tc>
          <w:tcPr>
            <w:tcW w:w="1530" w:type="dxa"/>
          </w:tcPr>
          <w:p w14:paraId="61E0939A"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0.98</w:t>
            </w:r>
          </w:p>
        </w:tc>
      </w:tr>
      <w:tr w:rsidR="002A256C" w:rsidRPr="002A256C" w14:paraId="6DC91AD8" w14:textId="77777777" w:rsidTr="00F55847">
        <w:tc>
          <w:tcPr>
            <w:tcW w:w="4154" w:type="dxa"/>
          </w:tcPr>
          <w:p w14:paraId="249B9701"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Diabetes status</w:t>
            </w:r>
          </w:p>
        </w:tc>
        <w:tc>
          <w:tcPr>
            <w:tcW w:w="1800" w:type="dxa"/>
          </w:tcPr>
          <w:p w14:paraId="7FFCD19C"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p>
        </w:tc>
        <w:tc>
          <w:tcPr>
            <w:tcW w:w="1530" w:type="dxa"/>
          </w:tcPr>
          <w:p w14:paraId="21023C1E"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p>
        </w:tc>
      </w:tr>
      <w:tr w:rsidR="002A256C" w:rsidRPr="002A256C" w14:paraId="4F111F12" w14:textId="77777777" w:rsidTr="00F55847">
        <w:tc>
          <w:tcPr>
            <w:tcW w:w="4154" w:type="dxa"/>
          </w:tcPr>
          <w:p w14:paraId="5717C967"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Diabetes mellitus</w:t>
            </w:r>
          </w:p>
        </w:tc>
        <w:tc>
          <w:tcPr>
            <w:tcW w:w="1800" w:type="dxa"/>
          </w:tcPr>
          <w:p w14:paraId="469654DA"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1.51</w:t>
            </w:r>
          </w:p>
        </w:tc>
        <w:tc>
          <w:tcPr>
            <w:tcW w:w="1530" w:type="dxa"/>
          </w:tcPr>
          <w:p w14:paraId="10420045"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1.50</w:t>
            </w:r>
          </w:p>
        </w:tc>
      </w:tr>
      <w:tr w:rsidR="002A256C" w:rsidRPr="002A256C" w14:paraId="3F825A49" w14:textId="77777777" w:rsidTr="00F55847">
        <w:tc>
          <w:tcPr>
            <w:tcW w:w="4154" w:type="dxa"/>
          </w:tcPr>
          <w:p w14:paraId="5EE1E4BB"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No diabetes mellitus</w:t>
            </w:r>
          </w:p>
        </w:tc>
        <w:tc>
          <w:tcPr>
            <w:tcW w:w="1800" w:type="dxa"/>
          </w:tcPr>
          <w:p w14:paraId="1B10C90E"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1.31</w:t>
            </w:r>
          </w:p>
        </w:tc>
        <w:tc>
          <w:tcPr>
            <w:tcW w:w="1530" w:type="dxa"/>
          </w:tcPr>
          <w:p w14:paraId="6DFDDFDF"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1.34</w:t>
            </w:r>
          </w:p>
        </w:tc>
      </w:tr>
      <w:tr w:rsidR="002A256C" w:rsidRPr="002A256C" w14:paraId="1EB4F2A7" w14:textId="77777777" w:rsidTr="00F55847">
        <w:tc>
          <w:tcPr>
            <w:tcW w:w="4154" w:type="dxa"/>
          </w:tcPr>
          <w:p w14:paraId="06CE6822"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Cardiac arrest</w:t>
            </w:r>
          </w:p>
        </w:tc>
        <w:tc>
          <w:tcPr>
            <w:tcW w:w="1800" w:type="dxa"/>
          </w:tcPr>
          <w:p w14:paraId="377D8A03"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24.32</w:t>
            </w:r>
          </w:p>
        </w:tc>
        <w:tc>
          <w:tcPr>
            <w:tcW w:w="1530" w:type="dxa"/>
          </w:tcPr>
          <w:p w14:paraId="66246EA1"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25.07</w:t>
            </w:r>
          </w:p>
        </w:tc>
      </w:tr>
      <w:tr w:rsidR="002A256C" w:rsidRPr="002A256C" w14:paraId="60B863B7" w14:textId="77777777" w:rsidTr="00F55847">
        <w:tc>
          <w:tcPr>
            <w:tcW w:w="4154" w:type="dxa"/>
          </w:tcPr>
          <w:p w14:paraId="1ECDB42E"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Cardiogenic shock and PCI status</w:t>
            </w:r>
          </w:p>
        </w:tc>
        <w:tc>
          <w:tcPr>
            <w:tcW w:w="1800" w:type="dxa"/>
          </w:tcPr>
          <w:p w14:paraId="54861570"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p>
        </w:tc>
        <w:tc>
          <w:tcPr>
            <w:tcW w:w="1530" w:type="dxa"/>
          </w:tcPr>
          <w:p w14:paraId="36F14387"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p>
        </w:tc>
      </w:tr>
      <w:tr w:rsidR="002A256C" w:rsidRPr="002A256C" w14:paraId="15109CFD" w14:textId="77777777" w:rsidTr="00F55847">
        <w:tc>
          <w:tcPr>
            <w:tcW w:w="4154" w:type="dxa"/>
          </w:tcPr>
          <w:p w14:paraId="1CD63CDF"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Sustained shock and salvage</w:t>
            </w:r>
          </w:p>
        </w:tc>
        <w:tc>
          <w:tcPr>
            <w:tcW w:w="1800" w:type="dxa"/>
          </w:tcPr>
          <w:p w14:paraId="61EA053C"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63.99</w:t>
            </w:r>
          </w:p>
        </w:tc>
        <w:tc>
          <w:tcPr>
            <w:tcW w:w="1530" w:type="dxa"/>
          </w:tcPr>
          <w:p w14:paraId="69D7C0E9"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68.85</w:t>
            </w:r>
          </w:p>
        </w:tc>
      </w:tr>
      <w:tr w:rsidR="002A256C" w:rsidRPr="002A256C" w14:paraId="5D117598" w14:textId="77777777" w:rsidTr="00F55847">
        <w:tc>
          <w:tcPr>
            <w:tcW w:w="4154" w:type="dxa"/>
          </w:tcPr>
          <w:p w14:paraId="3963506E"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Sustained shock or salvage</w:t>
            </w:r>
          </w:p>
        </w:tc>
        <w:tc>
          <w:tcPr>
            <w:tcW w:w="1800" w:type="dxa"/>
          </w:tcPr>
          <w:p w14:paraId="3211607B"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33.45</w:t>
            </w:r>
          </w:p>
        </w:tc>
        <w:tc>
          <w:tcPr>
            <w:tcW w:w="1530" w:type="dxa"/>
          </w:tcPr>
          <w:p w14:paraId="5FAF2453"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34.33</w:t>
            </w:r>
          </w:p>
        </w:tc>
      </w:tr>
      <w:tr w:rsidR="002A256C" w:rsidRPr="002A256C" w14:paraId="4EFC554C" w14:textId="77777777" w:rsidTr="00F55847">
        <w:tc>
          <w:tcPr>
            <w:tcW w:w="4154" w:type="dxa"/>
          </w:tcPr>
          <w:p w14:paraId="01D92236"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Transient shock but not salvage</w:t>
            </w:r>
          </w:p>
        </w:tc>
        <w:tc>
          <w:tcPr>
            <w:tcW w:w="1800" w:type="dxa"/>
          </w:tcPr>
          <w:p w14:paraId="02022ADE"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15.26</w:t>
            </w:r>
          </w:p>
        </w:tc>
        <w:tc>
          <w:tcPr>
            <w:tcW w:w="1530" w:type="dxa"/>
          </w:tcPr>
          <w:p w14:paraId="28333170"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14.85</w:t>
            </w:r>
          </w:p>
        </w:tc>
      </w:tr>
      <w:tr w:rsidR="002A256C" w:rsidRPr="002A256C" w14:paraId="10BBDD45" w14:textId="77777777" w:rsidTr="00F55847">
        <w:tc>
          <w:tcPr>
            <w:tcW w:w="4154" w:type="dxa"/>
          </w:tcPr>
          <w:p w14:paraId="41611EF9"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Emergency PCI without shock/salvage</w:t>
            </w:r>
          </w:p>
        </w:tc>
        <w:tc>
          <w:tcPr>
            <w:tcW w:w="1800" w:type="dxa"/>
          </w:tcPr>
          <w:p w14:paraId="45EE128B"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2.26</w:t>
            </w:r>
          </w:p>
        </w:tc>
        <w:tc>
          <w:tcPr>
            <w:tcW w:w="1530" w:type="dxa"/>
          </w:tcPr>
          <w:p w14:paraId="594A4166"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2.29</w:t>
            </w:r>
          </w:p>
        </w:tc>
      </w:tr>
      <w:tr w:rsidR="002A256C" w:rsidRPr="002A256C" w14:paraId="613AE44D" w14:textId="77777777" w:rsidTr="00F55847">
        <w:tc>
          <w:tcPr>
            <w:tcW w:w="4154" w:type="dxa"/>
          </w:tcPr>
          <w:p w14:paraId="1224532C"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Urgent PCI without shock/salvage</w:t>
            </w:r>
          </w:p>
        </w:tc>
        <w:tc>
          <w:tcPr>
            <w:tcW w:w="1800" w:type="dxa"/>
          </w:tcPr>
          <w:p w14:paraId="16976DD1"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0.63</w:t>
            </w:r>
          </w:p>
        </w:tc>
        <w:tc>
          <w:tcPr>
            <w:tcW w:w="1530" w:type="dxa"/>
          </w:tcPr>
          <w:p w14:paraId="4A5CB28F"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0.63</w:t>
            </w:r>
          </w:p>
        </w:tc>
      </w:tr>
      <w:tr w:rsidR="002A256C" w:rsidRPr="002A256C" w14:paraId="1DE48C32" w14:textId="77777777" w:rsidTr="00F55847">
        <w:tc>
          <w:tcPr>
            <w:tcW w:w="4154" w:type="dxa"/>
            <w:tcBorders>
              <w:bottom w:val="single" w:sz="12" w:space="0" w:color="auto"/>
            </w:tcBorders>
          </w:tcPr>
          <w:p w14:paraId="2B553B56"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 xml:space="preserve">   Elective PCI without shock/salvage</w:t>
            </w:r>
          </w:p>
        </w:tc>
        <w:tc>
          <w:tcPr>
            <w:tcW w:w="1800" w:type="dxa"/>
            <w:tcBorders>
              <w:bottom w:val="single" w:sz="12" w:space="0" w:color="auto"/>
            </w:tcBorders>
          </w:tcPr>
          <w:p w14:paraId="7FD21227"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0.18</w:t>
            </w:r>
          </w:p>
        </w:tc>
        <w:tc>
          <w:tcPr>
            <w:tcW w:w="1530" w:type="dxa"/>
            <w:tcBorders>
              <w:bottom w:val="single" w:sz="12" w:space="0" w:color="auto"/>
            </w:tcBorders>
          </w:tcPr>
          <w:p w14:paraId="390F600C" w14:textId="77777777" w:rsidR="00F55847" w:rsidRPr="002A256C" w:rsidRDefault="00F55847" w:rsidP="00F55847">
            <w:pPr>
              <w:adjustRightInd w:val="0"/>
              <w:spacing w:line="240" w:lineRule="auto"/>
              <w:jc w:val="center"/>
              <w:rPr>
                <w:rFonts w:asciiTheme="majorHAnsi" w:eastAsia="Calibri" w:hAnsiTheme="majorHAnsi" w:cs="Times New Roman"/>
                <w:color w:val="0070C0"/>
                <w:sz w:val="18"/>
                <w:szCs w:val="18"/>
              </w:rPr>
            </w:pPr>
            <w:r w:rsidRPr="002A256C">
              <w:rPr>
                <w:rFonts w:asciiTheme="majorHAnsi" w:eastAsia="Calibri" w:hAnsiTheme="majorHAnsi" w:cs="Times New Roman"/>
                <w:color w:val="0070C0"/>
                <w:sz w:val="18"/>
                <w:szCs w:val="18"/>
              </w:rPr>
              <w:t>0.18</w:t>
            </w:r>
          </w:p>
        </w:tc>
      </w:tr>
      <w:tr w:rsidR="002A256C" w:rsidRPr="002A256C" w14:paraId="1A63A92C" w14:textId="77777777" w:rsidTr="00F55847">
        <w:tc>
          <w:tcPr>
            <w:tcW w:w="7484" w:type="dxa"/>
            <w:gridSpan w:val="3"/>
            <w:tcBorders>
              <w:top w:val="single" w:sz="12" w:space="0" w:color="auto"/>
            </w:tcBorders>
          </w:tcPr>
          <w:p w14:paraId="63E319DA" w14:textId="77777777" w:rsidR="00F55847" w:rsidRPr="002A256C" w:rsidRDefault="00F55847" w:rsidP="00F55847">
            <w:pPr>
              <w:adjustRightInd w:val="0"/>
              <w:spacing w:line="240" w:lineRule="auto"/>
              <w:rPr>
                <w:rFonts w:asciiTheme="majorHAnsi" w:eastAsia="Calibri" w:hAnsiTheme="majorHAnsi" w:cs="Times New Roman"/>
                <w:color w:val="0070C0"/>
                <w:sz w:val="18"/>
                <w:szCs w:val="18"/>
              </w:rPr>
            </w:pPr>
            <w:r w:rsidRPr="002A256C">
              <w:rPr>
                <w:rFonts w:asciiTheme="majorHAnsi" w:hAnsiTheme="majorHAnsi"/>
                <w:color w:val="0070C0"/>
                <w:sz w:val="18"/>
                <w:szCs w:val="18"/>
              </w:rPr>
              <w:t>STEMI = ST-segment elevation myocardial infarction; All other abbreviations can be found in Table 1.</w:t>
            </w:r>
          </w:p>
        </w:tc>
      </w:tr>
    </w:tbl>
    <w:p w14:paraId="7C5DC2D0" w14:textId="158DC4CF" w:rsidR="00F55847" w:rsidRPr="002A256C" w:rsidRDefault="00F55847" w:rsidP="00F55847">
      <w:pPr>
        <w:pStyle w:val="Caption"/>
        <w:keepNext/>
        <w:rPr>
          <w:rFonts w:asciiTheme="majorHAnsi" w:hAnsiTheme="majorHAnsi"/>
          <w:color w:val="0070C0"/>
        </w:rPr>
      </w:pPr>
      <w:r w:rsidRPr="002A256C">
        <w:rPr>
          <w:rFonts w:asciiTheme="majorHAnsi" w:hAnsiTheme="majorHAnsi"/>
          <w:color w:val="0070C0"/>
        </w:rPr>
        <w:t xml:space="preserve">Table </w:t>
      </w:r>
      <w:r w:rsidRPr="002A256C">
        <w:rPr>
          <w:rFonts w:asciiTheme="majorHAnsi" w:hAnsiTheme="majorHAnsi"/>
          <w:color w:val="0070C0"/>
        </w:rPr>
        <w:fldChar w:fldCharType="begin"/>
      </w:r>
      <w:r w:rsidRPr="002A256C">
        <w:rPr>
          <w:rFonts w:asciiTheme="majorHAnsi" w:hAnsiTheme="majorHAnsi"/>
          <w:color w:val="0070C0"/>
        </w:rPr>
        <w:instrText xml:space="preserve"> SEQ Table \* ARABIC </w:instrText>
      </w:r>
      <w:r w:rsidRPr="002A256C">
        <w:rPr>
          <w:rFonts w:asciiTheme="majorHAnsi" w:hAnsiTheme="majorHAnsi"/>
          <w:color w:val="0070C0"/>
        </w:rPr>
        <w:fldChar w:fldCharType="separate"/>
      </w:r>
      <w:r w:rsidR="003528B4">
        <w:rPr>
          <w:rFonts w:asciiTheme="majorHAnsi" w:hAnsiTheme="majorHAnsi"/>
          <w:noProof/>
          <w:color w:val="0070C0"/>
        </w:rPr>
        <w:t>2</w:t>
      </w:r>
      <w:r w:rsidRPr="002A256C">
        <w:rPr>
          <w:rFonts w:asciiTheme="majorHAnsi" w:hAnsiTheme="majorHAnsi"/>
          <w:color w:val="0070C0"/>
        </w:rPr>
        <w:fldChar w:fldCharType="end"/>
      </w:r>
      <w:r w:rsidRPr="002A256C">
        <w:rPr>
          <w:rFonts w:asciiTheme="majorHAnsi" w:hAnsiTheme="majorHAnsi"/>
          <w:color w:val="0070C0"/>
        </w:rPr>
        <w:t>. Hospital Characteristics</w:t>
      </w:r>
    </w:p>
    <w:tbl>
      <w:tblPr>
        <w:tblW w:w="0" w:type="auto"/>
        <w:jc w:val="center"/>
        <w:tblLayout w:type="fixed"/>
        <w:tblCellMar>
          <w:left w:w="0" w:type="dxa"/>
          <w:right w:w="0" w:type="dxa"/>
        </w:tblCellMar>
        <w:tblLook w:val="0000" w:firstRow="0" w:lastRow="0" w:firstColumn="0" w:lastColumn="0" w:noHBand="0" w:noVBand="0"/>
      </w:tblPr>
      <w:tblGrid>
        <w:gridCol w:w="3108"/>
        <w:gridCol w:w="1255"/>
      </w:tblGrid>
      <w:tr w:rsidR="002A256C" w:rsidRPr="002A256C" w14:paraId="26188ED0" w14:textId="77777777" w:rsidTr="00F55847">
        <w:trPr>
          <w:cantSplit/>
          <w:tblHeader/>
          <w:jc w:val="center"/>
        </w:trPr>
        <w:tc>
          <w:tcPr>
            <w:tcW w:w="4363" w:type="dxa"/>
            <w:gridSpan w:val="2"/>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3407B0DB" w14:textId="77777777" w:rsidR="00F55847" w:rsidRPr="002A256C" w:rsidRDefault="00F55847" w:rsidP="00F55847">
            <w:pPr>
              <w:keepNext/>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2012 Data</w:t>
            </w:r>
          </w:p>
        </w:tc>
      </w:tr>
      <w:tr w:rsidR="002A256C" w:rsidRPr="002A256C" w14:paraId="010D5288" w14:textId="77777777" w:rsidTr="00F55847">
        <w:trPr>
          <w:cantSplit/>
          <w:tblHeader/>
          <w:jc w:val="center"/>
        </w:trPr>
        <w:tc>
          <w:tcPr>
            <w:tcW w:w="3108" w:type="dxa"/>
            <w:vMerge w:val="restart"/>
            <w:tcBorders>
              <w:top w:val="nil"/>
              <w:left w:val="single" w:sz="6" w:space="0" w:color="000000"/>
              <w:bottom w:val="single" w:sz="2" w:space="0" w:color="000000"/>
              <w:right w:val="nil"/>
            </w:tcBorders>
            <w:shd w:val="clear" w:color="auto" w:fill="BBBBBB"/>
            <w:tcMar>
              <w:left w:w="60" w:type="dxa"/>
              <w:right w:w="60" w:type="dxa"/>
            </w:tcMar>
            <w:vAlign w:val="bottom"/>
          </w:tcPr>
          <w:p w14:paraId="172B7F75" w14:textId="77777777" w:rsidR="00F55847" w:rsidRPr="002A256C" w:rsidRDefault="00F55847" w:rsidP="00F55847">
            <w:pPr>
              <w:keepNext/>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255"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7AC56053"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Total</w:t>
            </w:r>
          </w:p>
        </w:tc>
      </w:tr>
      <w:tr w:rsidR="002A256C" w:rsidRPr="002A256C" w14:paraId="20DD06CD" w14:textId="77777777" w:rsidTr="00F55847">
        <w:trPr>
          <w:cantSplit/>
          <w:tblHeader/>
          <w:jc w:val="center"/>
        </w:trPr>
        <w:tc>
          <w:tcPr>
            <w:tcW w:w="3108" w:type="dxa"/>
            <w:vMerge/>
            <w:tcBorders>
              <w:top w:val="nil"/>
              <w:left w:val="single" w:sz="6" w:space="0" w:color="000000"/>
              <w:bottom w:val="single" w:sz="2" w:space="0" w:color="000000"/>
              <w:right w:val="nil"/>
            </w:tcBorders>
            <w:shd w:val="clear" w:color="auto" w:fill="BBBBBB"/>
            <w:tcMar>
              <w:left w:w="60" w:type="dxa"/>
              <w:right w:w="60" w:type="dxa"/>
            </w:tcMar>
            <w:vAlign w:val="bottom"/>
          </w:tcPr>
          <w:p w14:paraId="7723E0FA" w14:textId="77777777" w:rsidR="00F55847" w:rsidRPr="002A256C" w:rsidRDefault="00F55847" w:rsidP="00F55847">
            <w:pPr>
              <w:keepNext/>
              <w:adjustRightInd w:val="0"/>
              <w:rPr>
                <w:rFonts w:asciiTheme="majorHAnsi" w:hAnsiTheme="majorHAnsi"/>
                <w:color w:val="0070C0"/>
                <w:sz w:val="18"/>
                <w:szCs w:val="20"/>
              </w:rPr>
            </w:pPr>
          </w:p>
        </w:tc>
        <w:tc>
          <w:tcPr>
            <w:tcW w:w="1255"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367AD228"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n = 1367</w:t>
            </w:r>
          </w:p>
        </w:tc>
      </w:tr>
      <w:tr w:rsidR="002A256C" w:rsidRPr="002A256C" w14:paraId="47F2D4D6" w14:textId="77777777" w:rsidTr="00F55847">
        <w:trPr>
          <w:cantSplit/>
          <w:jc w:val="center"/>
        </w:trPr>
        <w:tc>
          <w:tcPr>
            <w:tcW w:w="3108" w:type="dxa"/>
            <w:tcBorders>
              <w:top w:val="nil"/>
              <w:left w:val="single" w:sz="6" w:space="0" w:color="000000"/>
              <w:bottom w:val="single" w:sz="2" w:space="0" w:color="000000"/>
              <w:right w:val="nil"/>
            </w:tcBorders>
            <w:shd w:val="clear" w:color="auto" w:fill="FFFFFF"/>
            <w:tcMar>
              <w:left w:w="60" w:type="dxa"/>
              <w:right w:w="60" w:type="dxa"/>
            </w:tcMar>
          </w:tcPr>
          <w:p w14:paraId="5A5A97C6" w14:textId="77777777" w:rsidR="00F55847" w:rsidRPr="002A256C" w:rsidRDefault="00F55847" w:rsidP="00F55847">
            <w:pPr>
              <w:keepNext/>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Participant Classification</w:t>
            </w:r>
            <w:r w:rsidRPr="002A256C">
              <w:rPr>
                <w:rFonts w:asciiTheme="majorHAnsi" w:hAnsiTheme="majorHAnsi" w:cs="Arial"/>
                <w:color w:val="0070C0"/>
                <w:sz w:val="18"/>
                <w:szCs w:val="20"/>
              </w:rPr>
              <w:br/>
              <w:t>     FREE STANDING CATH LAB</w:t>
            </w:r>
            <w:r w:rsidRPr="002A256C">
              <w:rPr>
                <w:rFonts w:asciiTheme="majorHAnsi" w:hAnsiTheme="majorHAnsi" w:cs="Arial"/>
                <w:color w:val="0070C0"/>
                <w:sz w:val="18"/>
                <w:szCs w:val="20"/>
              </w:rPr>
              <w:br/>
              <w:t>     FREE STANDING CATH LAB/CLINIC</w:t>
            </w:r>
            <w:r w:rsidRPr="002A256C">
              <w:rPr>
                <w:rFonts w:asciiTheme="majorHAnsi" w:hAnsiTheme="majorHAnsi" w:cs="Arial"/>
                <w:color w:val="0070C0"/>
                <w:sz w:val="18"/>
                <w:szCs w:val="20"/>
              </w:rPr>
              <w:br/>
              <w:t>     HEALTH SYSTEM/NETWORK</w:t>
            </w:r>
            <w:r w:rsidRPr="002A256C">
              <w:rPr>
                <w:rFonts w:asciiTheme="majorHAnsi" w:hAnsiTheme="majorHAnsi" w:cs="Arial"/>
                <w:color w:val="0070C0"/>
                <w:sz w:val="18"/>
                <w:szCs w:val="20"/>
              </w:rPr>
              <w:br/>
              <w:t>     HOSPITAL</w:t>
            </w:r>
            <w:r w:rsidRPr="002A256C">
              <w:rPr>
                <w:rFonts w:asciiTheme="majorHAnsi" w:hAnsiTheme="majorHAnsi" w:cs="Arial"/>
                <w:color w:val="0070C0"/>
                <w:sz w:val="18"/>
                <w:szCs w:val="20"/>
              </w:rPr>
              <w:br/>
              <w:t>     HOSPITAL/HEALTH NETWORK</w:t>
            </w:r>
            <w:r w:rsidRPr="002A256C">
              <w:rPr>
                <w:rFonts w:asciiTheme="majorHAnsi" w:hAnsiTheme="majorHAnsi" w:cs="Arial"/>
                <w:color w:val="0070C0"/>
                <w:sz w:val="18"/>
                <w:szCs w:val="20"/>
              </w:rPr>
              <w:br/>
              <w:t>     OTHER</w:t>
            </w:r>
            <w:r w:rsidRPr="002A256C">
              <w:rPr>
                <w:rFonts w:asciiTheme="majorHAnsi" w:hAnsiTheme="majorHAnsi" w:cs="Arial"/>
                <w:color w:val="0070C0"/>
                <w:sz w:val="18"/>
                <w:szCs w:val="20"/>
              </w:rPr>
              <w:br/>
              <w:t>     PRIVATE CV PRACTICE</w:t>
            </w:r>
            <w:r w:rsidRPr="002A256C">
              <w:rPr>
                <w:rFonts w:asciiTheme="majorHAnsi" w:hAnsiTheme="majorHAnsi" w:cs="Arial"/>
                <w:color w:val="0070C0"/>
                <w:sz w:val="18"/>
                <w:szCs w:val="20"/>
              </w:rPr>
              <w:br/>
              <w:t>     Missing</w:t>
            </w:r>
          </w:p>
        </w:tc>
        <w:tc>
          <w:tcPr>
            <w:tcW w:w="125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07D74B3"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1 (0.1%)</w:t>
            </w:r>
            <w:r w:rsidRPr="002A256C">
              <w:rPr>
                <w:rFonts w:asciiTheme="majorHAnsi" w:hAnsiTheme="majorHAnsi" w:cs="Arial"/>
                <w:color w:val="0070C0"/>
                <w:sz w:val="18"/>
                <w:szCs w:val="20"/>
              </w:rPr>
              <w:br/>
              <w:t>3 (0.2%)</w:t>
            </w:r>
            <w:r w:rsidRPr="002A256C">
              <w:rPr>
                <w:rFonts w:asciiTheme="majorHAnsi" w:hAnsiTheme="majorHAnsi" w:cs="Arial"/>
                <w:color w:val="0070C0"/>
                <w:sz w:val="18"/>
                <w:szCs w:val="20"/>
              </w:rPr>
              <w:br/>
              <w:t>60 (4.4%)</w:t>
            </w:r>
            <w:r w:rsidRPr="002A256C">
              <w:rPr>
                <w:rFonts w:asciiTheme="majorHAnsi" w:hAnsiTheme="majorHAnsi" w:cs="Arial"/>
                <w:color w:val="0070C0"/>
                <w:sz w:val="18"/>
                <w:szCs w:val="20"/>
              </w:rPr>
              <w:br/>
              <w:t>1203 (88.1%)</w:t>
            </w:r>
            <w:r w:rsidRPr="002A256C">
              <w:rPr>
                <w:rFonts w:asciiTheme="majorHAnsi" w:hAnsiTheme="majorHAnsi" w:cs="Arial"/>
                <w:color w:val="0070C0"/>
                <w:sz w:val="18"/>
                <w:szCs w:val="20"/>
              </w:rPr>
              <w:br/>
              <w:t>95 (7.0%)</w:t>
            </w:r>
            <w:r w:rsidRPr="002A256C">
              <w:rPr>
                <w:rFonts w:asciiTheme="majorHAnsi" w:hAnsiTheme="majorHAnsi" w:cs="Arial"/>
                <w:color w:val="0070C0"/>
                <w:sz w:val="18"/>
                <w:szCs w:val="20"/>
              </w:rPr>
              <w:br/>
              <w:t>3 (0.2%)</w:t>
            </w:r>
            <w:r w:rsidRPr="002A256C">
              <w:rPr>
                <w:rFonts w:asciiTheme="majorHAnsi" w:hAnsiTheme="majorHAnsi" w:cs="Arial"/>
                <w:color w:val="0070C0"/>
                <w:sz w:val="18"/>
                <w:szCs w:val="20"/>
              </w:rPr>
              <w:br/>
              <w:t>1 (0.1%)</w:t>
            </w:r>
            <w:r w:rsidRPr="002A256C">
              <w:rPr>
                <w:rFonts w:asciiTheme="majorHAnsi" w:hAnsiTheme="majorHAnsi" w:cs="Arial"/>
                <w:color w:val="0070C0"/>
                <w:sz w:val="18"/>
                <w:szCs w:val="20"/>
              </w:rPr>
              <w:br/>
              <w:t>1</w:t>
            </w:r>
          </w:p>
        </w:tc>
      </w:tr>
      <w:tr w:rsidR="002A256C" w:rsidRPr="002A256C" w14:paraId="2EDF5AAF" w14:textId="77777777" w:rsidTr="00F55847">
        <w:trPr>
          <w:cantSplit/>
          <w:jc w:val="center"/>
        </w:trPr>
        <w:tc>
          <w:tcPr>
            <w:tcW w:w="3108" w:type="dxa"/>
            <w:tcBorders>
              <w:top w:val="nil"/>
              <w:left w:val="single" w:sz="6" w:space="0" w:color="000000"/>
              <w:bottom w:val="single" w:sz="2" w:space="0" w:color="000000"/>
              <w:right w:val="nil"/>
            </w:tcBorders>
            <w:shd w:val="clear" w:color="auto" w:fill="FFFFFF"/>
            <w:tcMar>
              <w:left w:w="60" w:type="dxa"/>
              <w:right w:w="60" w:type="dxa"/>
            </w:tcMar>
          </w:tcPr>
          <w:p w14:paraId="49DBFF77" w14:textId="77777777" w:rsidR="00F55847" w:rsidRPr="002A256C" w:rsidRDefault="00F55847" w:rsidP="00F55847">
            <w:pPr>
              <w:keepNext/>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Hospital Location</w:t>
            </w:r>
            <w:r w:rsidRPr="002A256C">
              <w:rPr>
                <w:rFonts w:asciiTheme="majorHAnsi" w:hAnsiTheme="majorHAnsi" w:cs="Arial"/>
                <w:color w:val="0070C0"/>
                <w:sz w:val="18"/>
                <w:szCs w:val="20"/>
              </w:rPr>
              <w:br/>
              <w:t>     RURAL</w:t>
            </w:r>
            <w:r w:rsidRPr="002A256C">
              <w:rPr>
                <w:rFonts w:asciiTheme="majorHAnsi" w:hAnsiTheme="majorHAnsi" w:cs="Arial"/>
                <w:color w:val="0070C0"/>
                <w:sz w:val="18"/>
                <w:szCs w:val="20"/>
              </w:rPr>
              <w:br/>
              <w:t>     SUBURBAN</w:t>
            </w:r>
            <w:r w:rsidRPr="002A256C">
              <w:rPr>
                <w:rFonts w:asciiTheme="majorHAnsi" w:hAnsiTheme="majorHAnsi" w:cs="Arial"/>
                <w:color w:val="0070C0"/>
                <w:sz w:val="18"/>
                <w:szCs w:val="20"/>
              </w:rPr>
              <w:br/>
              <w:t>     URBAN</w:t>
            </w:r>
            <w:r w:rsidRPr="002A256C">
              <w:rPr>
                <w:rFonts w:asciiTheme="majorHAnsi" w:hAnsiTheme="majorHAnsi" w:cs="Arial"/>
                <w:color w:val="0070C0"/>
                <w:sz w:val="18"/>
                <w:szCs w:val="20"/>
              </w:rPr>
              <w:br/>
              <w:t>     Missing</w:t>
            </w:r>
          </w:p>
        </w:tc>
        <w:tc>
          <w:tcPr>
            <w:tcW w:w="125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7E45D63"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249 (18.2%)</w:t>
            </w:r>
            <w:r w:rsidRPr="002A256C">
              <w:rPr>
                <w:rFonts w:asciiTheme="majorHAnsi" w:hAnsiTheme="majorHAnsi" w:cs="Arial"/>
                <w:color w:val="0070C0"/>
                <w:sz w:val="18"/>
                <w:szCs w:val="20"/>
              </w:rPr>
              <w:br/>
              <w:t>492 (36.0%)</w:t>
            </w:r>
            <w:r w:rsidRPr="002A256C">
              <w:rPr>
                <w:rFonts w:asciiTheme="majorHAnsi" w:hAnsiTheme="majorHAnsi" w:cs="Arial"/>
                <w:color w:val="0070C0"/>
                <w:sz w:val="18"/>
                <w:szCs w:val="20"/>
              </w:rPr>
              <w:br/>
              <w:t>625 (45.8%)</w:t>
            </w:r>
            <w:r w:rsidRPr="002A256C">
              <w:rPr>
                <w:rFonts w:asciiTheme="majorHAnsi" w:hAnsiTheme="majorHAnsi" w:cs="Arial"/>
                <w:color w:val="0070C0"/>
                <w:sz w:val="18"/>
                <w:szCs w:val="20"/>
              </w:rPr>
              <w:br/>
              <w:t>1</w:t>
            </w:r>
          </w:p>
        </w:tc>
      </w:tr>
      <w:tr w:rsidR="002A256C" w:rsidRPr="002A256C" w14:paraId="62DF961C" w14:textId="77777777" w:rsidTr="00F55847">
        <w:trPr>
          <w:cantSplit/>
          <w:jc w:val="center"/>
        </w:trPr>
        <w:tc>
          <w:tcPr>
            <w:tcW w:w="3108" w:type="dxa"/>
            <w:tcBorders>
              <w:top w:val="nil"/>
              <w:left w:val="single" w:sz="6" w:space="0" w:color="000000"/>
              <w:bottom w:val="single" w:sz="2" w:space="0" w:color="000000"/>
              <w:right w:val="nil"/>
            </w:tcBorders>
            <w:shd w:val="clear" w:color="auto" w:fill="FFFFFF"/>
            <w:tcMar>
              <w:left w:w="60" w:type="dxa"/>
              <w:right w:w="60" w:type="dxa"/>
            </w:tcMar>
          </w:tcPr>
          <w:p w14:paraId="49A6BC7F"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Participant Type</w:t>
            </w:r>
            <w:r w:rsidRPr="002A256C">
              <w:rPr>
                <w:rFonts w:asciiTheme="majorHAnsi" w:hAnsiTheme="majorHAnsi" w:cs="Arial"/>
                <w:color w:val="0070C0"/>
                <w:sz w:val="18"/>
                <w:szCs w:val="20"/>
              </w:rPr>
              <w:br/>
              <w:t>     GOVERNMENT</w:t>
            </w:r>
            <w:r w:rsidRPr="002A256C">
              <w:rPr>
                <w:rFonts w:asciiTheme="majorHAnsi" w:hAnsiTheme="majorHAnsi" w:cs="Arial"/>
                <w:color w:val="0070C0"/>
                <w:sz w:val="18"/>
                <w:szCs w:val="20"/>
              </w:rPr>
              <w:br/>
              <w:t>     PRIVATE/COMMUNITY</w:t>
            </w:r>
            <w:r w:rsidRPr="002A256C">
              <w:rPr>
                <w:rFonts w:asciiTheme="majorHAnsi" w:hAnsiTheme="majorHAnsi" w:cs="Arial"/>
                <w:color w:val="0070C0"/>
                <w:sz w:val="18"/>
                <w:szCs w:val="20"/>
              </w:rPr>
              <w:br/>
              <w:t>     UNIVERSITY</w:t>
            </w:r>
            <w:r w:rsidRPr="002A256C">
              <w:rPr>
                <w:rFonts w:asciiTheme="majorHAnsi" w:hAnsiTheme="majorHAnsi" w:cs="Arial"/>
                <w:color w:val="0070C0"/>
                <w:sz w:val="18"/>
                <w:szCs w:val="20"/>
              </w:rPr>
              <w:br/>
              <w:t>     Missing</w:t>
            </w:r>
          </w:p>
        </w:tc>
        <w:tc>
          <w:tcPr>
            <w:tcW w:w="125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C9A349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21 (1.5%)</w:t>
            </w:r>
            <w:r w:rsidRPr="002A256C">
              <w:rPr>
                <w:rFonts w:asciiTheme="majorHAnsi" w:hAnsiTheme="majorHAnsi" w:cs="Arial"/>
                <w:color w:val="0070C0"/>
                <w:sz w:val="18"/>
                <w:szCs w:val="20"/>
              </w:rPr>
              <w:br/>
              <w:t>1232 (90.2%)</w:t>
            </w:r>
            <w:r w:rsidRPr="002A256C">
              <w:rPr>
                <w:rFonts w:asciiTheme="majorHAnsi" w:hAnsiTheme="majorHAnsi" w:cs="Arial"/>
                <w:color w:val="0070C0"/>
                <w:sz w:val="18"/>
                <w:szCs w:val="20"/>
              </w:rPr>
              <w:br/>
              <w:t>113 (8.3%)</w:t>
            </w:r>
            <w:r w:rsidRPr="002A256C">
              <w:rPr>
                <w:rFonts w:asciiTheme="majorHAnsi" w:hAnsiTheme="majorHAnsi" w:cs="Arial"/>
                <w:color w:val="0070C0"/>
                <w:sz w:val="18"/>
                <w:szCs w:val="20"/>
              </w:rPr>
              <w:br/>
              <w:t>1</w:t>
            </w:r>
          </w:p>
        </w:tc>
      </w:tr>
      <w:tr w:rsidR="002A256C" w:rsidRPr="002A256C" w14:paraId="763D7645" w14:textId="77777777" w:rsidTr="00F55847">
        <w:trPr>
          <w:cantSplit/>
          <w:jc w:val="center"/>
        </w:trPr>
        <w:tc>
          <w:tcPr>
            <w:tcW w:w="3108" w:type="dxa"/>
            <w:tcBorders>
              <w:top w:val="nil"/>
              <w:left w:val="single" w:sz="6" w:space="0" w:color="000000"/>
              <w:bottom w:val="single" w:sz="2" w:space="0" w:color="000000"/>
              <w:right w:val="nil"/>
            </w:tcBorders>
            <w:shd w:val="clear" w:color="auto" w:fill="FFFFFF"/>
            <w:tcMar>
              <w:left w:w="60" w:type="dxa"/>
              <w:right w:w="60" w:type="dxa"/>
            </w:tcMar>
          </w:tcPr>
          <w:p w14:paraId="368E9E8B"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Teaching Hospital</w:t>
            </w:r>
            <w:r w:rsidRPr="002A256C">
              <w:rPr>
                <w:rFonts w:asciiTheme="majorHAnsi" w:hAnsiTheme="majorHAnsi" w:cs="Arial"/>
                <w:color w:val="0070C0"/>
                <w:sz w:val="18"/>
                <w:szCs w:val="20"/>
              </w:rPr>
              <w:br/>
              <w:t>     Missing (.)</w:t>
            </w:r>
          </w:p>
        </w:tc>
        <w:tc>
          <w:tcPr>
            <w:tcW w:w="125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865035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524 (38.4%)</w:t>
            </w:r>
            <w:r w:rsidRPr="002A256C">
              <w:rPr>
                <w:rFonts w:asciiTheme="majorHAnsi" w:hAnsiTheme="majorHAnsi" w:cs="Arial"/>
                <w:color w:val="0070C0"/>
                <w:sz w:val="18"/>
                <w:szCs w:val="20"/>
              </w:rPr>
              <w:br/>
              <w:t>1</w:t>
            </w:r>
          </w:p>
        </w:tc>
      </w:tr>
      <w:tr w:rsidR="002A256C" w:rsidRPr="002A256C" w14:paraId="1B2F49E4" w14:textId="77777777" w:rsidTr="00F55847">
        <w:trPr>
          <w:cantSplit/>
          <w:jc w:val="center"/>
        </w:trPr>
        <w:tc>
          <w:tcPr>
            <w:tcW w:w="3108" w:type="dxa"/>
            <w:tcBorders>
              <w:top w:val="nil"/>
              <w:left w:val="single" w:sz="6" w:space="0" w:color="000000"/>
              <w:bottom w:val="single" w:sz="2" w:space="0" w:color="000000"/>
              <w:right w:val="nil"/>
            </w:tcBorders>
            <w:shd w:val="clear" w:color="auto" w:fill="FFFFFF"/>
            <w:tcMar>
              <w:left w:w="60" w:type="dxa"/>
              <w:right w:w="60" w:type="dxa"/>
            </w:tcMar>
          </w:tcPr>
          <w:p w14:paraId="2EEF1D38" w14:textId="77777777" w:rsidR="00F55847" w:rsidRPr="002A256C" w:rsidRDefault="00F55847" w:rsidP="00F55847">
            <w:pPr>
              <w:keepNext/>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Public Hospital</w:t>
            </w:r>
            <w:r w:rsidRPr="002A256C">
              <w:rPr>
                <w:rFonts w:asciiTheme="majorHAnsi" w:hAnsiTheme="majorHAnsi" w:cs="Arial"/>
                <w:color w:val="0070C0"/>
                <w:sz w:val="18"/>
                <w:szCs w:val="20"/>
              </w:rPr>
              <w:br/>
              <w:t>     Missing (.)</w:t>
            </w:r>
          </w:p>
        </w:tc>
        <w:tc>
          <w:tcPr>
            <w:tcW w:w="125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640B367"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530 (38.8%)</w:t>
            </w:r>
            <w:r w:rsidRPr="002A256C">
              <w:rPr>
                <w:rFonts w:asciiTheme="majorHAnsi" w:hAnsiTheme="majorHAnsi" w:cs="Arial"/>
                <w:color w:val="0070C0"/>
                <w:sz w:val="18"/>
                <w:szCs w:val="20"/>
              </w:rPr>
              <w:br/>
              <w:t>1</w:t>
            </w:r>
          </w:p>
        </w:tc>
      </w:tr>
      <w:tr w:rsidR="002A256C" w:rsidRPr="002A256C" w14:paraId="7ADCBBA7" w14:textId="77777777" w:rsidTr="00F55847">
        <w:trPr>
          <w:cantSplit/>
          <w:jc w:val="center"/>
        </w:trPr>
        <w:tc>
          <w:tcPr>
            <w:tcW w:w="3108" w:type="dxa"/>
            <w:tcBorders>
              <w:top w:val="nil"/>
              <w:left w:val="single" w:sz="6" w:space="0" w:color="000000"/>
              <w:bottom w:val="single" w:sz="2" w:space="0" w:color="000000"/>
              <w:right w:val="nil"/>
            </w:tcBorders>
            <w:shd w:val="clear" w:color="auto" w:fill="FFFFFF"/>
            <w:tcMar>
              <w:left w:w="60" w:type="dxa"/>
              <w:right w:w="60" w:type="dxa"/>
            </w:tcMar>
          </w:tcPr>
          <w:p w14:paraId="003270A5" w14:textId="77777777" w:rsidR="00F55847" w:rsidRPr="002A256C" w:rsidRDefault="00F55847" w:rsidP="00F55847">
            <w:pPr>
              <w:keepNext/>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Volume (Med (IQR))</w:t>
            </w:r>
          </w:p>
        </w:tc>
        <w:tc>
          <w:tcPr>
            <w:tcW w:w="125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A1821FD"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367 (188, 643)</w:t>
            </w:r>
          </w:p>
        </w:tc>
      </w:tr>
      <w:tr w:rsidR="002A256C" w:rsidRPr="002A256C" w14:paraId="65E2DC4F" w14:textId="77777777" w:rsidTr="00F55847">
        <w:trPr>
          <w:cantSplit/>
          <w:jc w:val="center"/>
        </w:trPr>
        <w:tc>
          <w:tcPr>
            <w:tcW w:w="3108" w:type="dxa"/>
            <w:tcBorders>
              <w:top w:val="nil"/>
              <w:left w:val="single" w:sz="6" w:space="0" w:color="000000"/>
              <w:bottom w:val="single" w:sz="6" w:space="0" w:color="000000"/>
              <w:right w:val="nil"/>
            </w:tcBorders>
            <w:shd w:val="clear" w:color="auto" w:fill="FFFFFF"/>
            <w:tcMar>
              <w:left w:w="60" w:type="dxa"/>
              <w:right w:w="60" w:type="dxa"/>
            </w:tcMar>
          </w:tcPr>
          <w:p w14:paraId="0117EE9B"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Census Region</w:t>
            </w:r>
            <w:r w:rsidRPr="002A256C">
              <w:rPr>
                <w:rFonts w:asciiTheme="majorHAnsi" w:hAnsiTheme="majorHAnsi" w:cs="Arial"/>
                <w:color w:val="0070C0"/>
                <w:sz w:val="18"/>
                <w:szCs w:val="20"/>
              </w:rPr>
              <w:br/>
              <w:t>     MIDWEST REGION</w:t>
            </w:r>
            <w:r w:rsidRPr="002A256C">
              <w:rPr>
                <w:rFonts w:asciiTheme="majorHAnsi" w:hAnsiTheme="majorHAnsi" w:cs="Arial"/>
                <w:color w:val="0070C0"/>
                <w:sz w:val="18"/>
                <w:szCs w:val="20"/>
              </w:rPr>
              <w:br/>
              <w:t>     NORTHEAST REGION</w:t>
            </w:r>
            <w:r w:rsidRPr="002A256C">
              <w:rPr>
                <w:rFonts w:asciiTheme="majorHAnsi" w:hAnsiTheme="majorHAnsi" w:cs="Arial"/>
                <w:color w:val="0070C0"/>
                <w:sz w:val="18"/>
                <w:szCs w:val="20"/>
              </w:rPr>
              <w:br/>
              <w:t>     SOUTH REGION</w:t>
            </w:r>
            <w:r w:rsidRPr="002A256C">
              <w:rPr>
                <w:rFonts w:asciiTheme="majorHAnsi" w:hAnsiTheme="majorHAnsi" w:cs="Arial"/>
                <w:color w:val="0070C0"/>
                <w:sz w:val="18"/>
                <w:szCs w:val="20"/>
              </w:rPr>
              <w:br/>
              <w:t>     WEST REGION</w:t>
            </w:r>
            <w:r w:rsidRPr="002A256C">
              <w:rPr>
                <w:rFonts w:asciiTheme="majorHAnsi" w:hAnsiTheme="majorHAnsi" w:cs="Arial"/>
                <w:color w:val="0070C0"/>
                <w:sz w:val="18"/>
                <w:szCs w:val="20"/>
              </w:rPr>
              <w:br/>
              <w:t>     Missing</w:t>
            </w:r>
          </w:p>
        </w:tc>
        <w:tc>
          <w:tcPr>
            <w:tcW w:w="1255"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0E296A6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395 (28.9%)</w:t>
            </w:r>
            <w:r w:rsidRPr="002A256C">
              <w:rPr>
                <w:rFonts w:asciiTheme="majorHAnsi" w:hAnsiTheme="majorHAnsi" w:cs="Arial"/>
                <w:color w:val="0070C0"/>
                <w:sz w:val="18"/>
                <w:szCs w:val="20"/>
              </w:rPr>
              <w:br/>
              <w:t>182 (13.3%)</w:t>
            </w:r>
            <w:r w:rsidRPr="002A256C">
              <w:rPr>
                <w:rFonts w:asciiTheme="majorHAnsi" w:hAnsiTheme="majorHAnsi" w:cs="Arial"/>
                <w:color w:val="0070C0"/>
                <w:sz w:val="18"/>
                <w:szCs w:val="20"/>
              </w:rPr>
              <w:br/>
              <w:t>521 (38.2%)</w:t>
            </w:r>
            <w:r w:rsidRPr="002A256C">
              <w:rPr>
                <w:rFonts w:asciiTheme="majorHAnsi" w:hAnsiTheme="majorHAnsi" w:cs="Arial"/>
                <w:color w:val="0070C0"/>
                <w:sz w:val="18"/>
                <w:szCs w:val="20"/>
              </w:rPr>
              <w:br/>
              <w:t>267 (19.6%)</w:t>
            </w:r>
            <w:r w:rsidRPr="002A256C">
              <w:rPr>
                <w:rFonts w:asciiTheme="majorHAnsi" w:hAnsiTheme="majorHAnsi" w:cs="Arial"/>
                <w:color w:val="0070C0"/>
                <w:sz w:val="18"/>
                <w:szCs w:val="20"/>
              </w:rPr>
              <w:br/>
              <w:t>2</w:t>
            </w:r>
          </w:p>
        </w:tc>
      </w:tr>
    </w:tbl>
    <w:p w14:paraId="4B2ABC92" w14:textId="77777777" w:rsidR="00F55847" w:rsidRPr="002A256C" w:rsidRDefault="00F55847" w:rsidP="00F55847">
      <w:pPr>
        <w:autoSpaceDE w:val="0"/>
        <w:autoSpaceDN w:val="0"/>
        <w:adjustRightInd w:val="0"/>
        <w:spacing w:after="0" w:line="240" w:lineRule="auto"/>
        <w:rPr>
          <w:rFonts w:asciiTheme="majorHAnsi" w:eastAsia="MS Mincho" w:hAnsiTheme="majorHAnsi" w:cs="Arial"/>
          <w:color w:val="0070C0"/>
          <w:sz w:val="20"/>
          <w:szCs w:val="20"/>
          <w:lang w:eastAsia="ja-JP"/>
        </w:rPr>
      </w:pPr>
    </w:p>
    <w:p w14:paraId="4191048E" w14:textId="77777777" w:rsidR="00F55847" w:rsidRPr="002A256C" w:rsidRDefault="00F55847" w:rsidP="00F55847">
      <w:pPr>
        <w:autoSpaceDE w:val="0"/>
        <w:autoSpaceDN w:val="0"/>
        <w:adjustRightInd w:val="0"/>
        <w:spacing w:after="0" w:line="240" w:lineRule="auto"/>
        <w:rPr>
          <w:rFonts w:asciiTheme="majorHAnsi" w:eastAsia="MS Mincho" w:hAnsiTheme="majorHAnsi" w:cs="Arial"/>
          <w:color w:val="0070C0"/>
          <w:sz w:val="20"/>
          <w:szCs w:val="20"/>
          <w:lang w:eastAsia="ja-JP"/>
        </w:rPr>
      </w:pPr>
    </w:p>
    <w:p w14:paraId="73689B6B" w14:textId="77777777" w:rsidR="00F55847" w:rsidRPr="002A256C" w:rsidRDefault="00F55847" w:rsidP="00F55847">
      <w:pPr>
        <w:autoSpaceDE w:val="0"/>
        <w:autoSpaceDN w:val="0"/>
        <w:adjustRightInd w:val="0"/>
        <w:spacing w:after="0" w:line="240" w:lineRule="auto"/>
        <w:rPr>
          <w:rFonts w:asciiTheme="majorHAnsi" w:hAnsiTheme="majorHAnsi" w:cs="Times New Roman"/>
          <w:bCs/>
          <w:color w:val="0070C0"/>
          <w:sz w:val="20"/>
          <w:szCs w:val="20"/>
        </w:rPr>
      </w:pPr>
      <w:r w:rsidRPr="002A256C">
        <w:rPr>
          <w:rFonts w:asciiTheme="majorHAnsi" w:hAnsiTheme="majorHAnsi" w:cs="Times New Roman"/>
          <w:bCs/>
          <w:color w:val="0070C0"/>
          <w:sz w:val="20"/>
          <w:szCs w:val="20"/>
        </w:rPr>
        <w:t>For the additional testing of predictive validity, calibration and test-retest reliability, we used 634,084 patients undergoing PCI between 1/2012-12/2012, of whom 10,212 (1.6%) had a mortality event.</w:t>
      </w:r>
      <w:r w:rsidRPr="002A256C">
        <w:rPr>
          <w:rFonts w:asciiTheme="majorHAnsi" w:eastAsia="MS Mincho" w:hAnsiTheme="majorHAnsi" w:cs="Times New Roman"/>
          <w:color w:val="0070C0"/>
          <w:sz w:val="20"/>
          <w:szCs w:val="20"/>
          <w:lang w:eastAsia="ja-JP"/>
        </w:rPr>
        <w:t xml:space="preserve"> A summary of these patients’ clinical characteristics (focusing upon those that are predictor variables in the final, full model) are provided under Table 3.</w:t>
      </w:r>
    </w:p>
    <w:p w14:paraId="0F1F3DED" w14:textId="77777777" w:rsidR="00F55847" w:rsidRPr="002A256C" w:rsidRDefault="00F55847" w:rsidP="00F55847">
      <w:pPr>
        <w:autoSpaceDE w:val="0"/>
        <w:autoSpaceDN w:val="0"/>
        <w:adjustRightInd w:val="0"/>
        <w:spacing w:after="0" w:line="240" w:lineRule="auto"/>
        <w:rPr>
          <w:rFonts w:asciiTheme="majorHAnsi" w:hAnsiTheme="majorHAnsi" w:cs="Arial"/>
          <w:bCs/>
          <w:color w:val="0070C0"/>
          <w:sz w:val="20"/>
          <w:szCs w:val="20"/>
        </w:rPr>
      </w:pPr>
    </w:p>
    <w:p w14:paraId="3C976FDC" w14:textId="03CFF252" w:rsidR="00F55847" w:rsidRPr="002A256C" w:rsidRDefault="00F55847" w:rsidP="00F55847">
      <w:pPr>
        <w:pStyle w:val="Caption"/>
        <w:keepNext/>
        <w:rPr>
          <w:rFonts w:asciiTheme="majorHAnsi" w:hAnsiTheme="majorHAnsi"/>
          <w:color w:val="0070C0"/>
          <w:sz w:val="20"/>
          <w:szCs w:val="20"/>
        </w:rPr>
      </w:pPr>
      <w:r w:rsidRPr="002A256C">
        <w:rPr>
          <w:rFonts w:asciiTheme="majorHAnsi" w:hAnsiTheme="majorHAnsi"/>
          <w:color w:val="0070C0"/>
          <w:sz w:val="20"/>
          <w:szCs w:val="20"/>
        </w:rPr>
        <w:t xml:space="preserve">Table </w:t>
      </w:r>
      <w:r w:rsidRPr="002A256C">
        <w:rPr>
          <w:rFonts w:asciiTheme="majorHAnsi" w:hAnsiTheme="majorHAnsi"/>
          <w:color w:val="0070C0"/>
          <w:sz w:val="20"/>
          <w:szCs w:val="20"/>
        </w:rPr>
        <w:fldChar w:fldCharType="begin"/>
      </w:r>
      <w:r w:rsidRPr="002A256C">
        <w:rPr>
          <w:rFonts w:asciiTheme="majorHAnsi" w:hAnsiTheme="majorHAnsi"/>
          <w:color w:val="0070C0"/>
          <w:sz w:val="20"/>
          <w:szCs w:val="20"/>
        </w:rPr>
        <w:instrText xml:space="preserve"> SEQ Table \* ARABIC </w:instrText>
      </w:r>
      <w:r w:rsidRPr="002A256C">
        <w:rPr>
          <w:rFonts w:asciiTheme="majorHAnsi" w:hAnsiTheme="majorHAnsi"/>
          <w:color w:val="0070C0"/>
          <w:sz w:val="20"/>
          <w:szCs w:val="20"/>
        </w:rPr>
        <w:fldChar w:fldCharType="separate"/>
      </w:r>
      <w:r w:rsidR="003528B4">
        <w:rPr>
          <w:rFonts w:asciiTheme="majorHAnsi" w:hAnsiTheme="majorHAnsi"/>
          <w:noProof/>
          <w:color w:val="0070C0"/>
          <w:sz w:val="20"/>
          <w:szCs w:val="20"/>
        </w:rPr>
        <w:t>3</w:t>
      </w:r>
      <w:r w:rsidRPr="002A256C">
        <w:rPr>
          <w:rFonts w:asciiTheme="majorHAnsi" w:hAnsiTheme="majorHAnsi"/>
          <w:color w:val="0070C0"/>
          <w:sz w:val="20"/>
          <w:szCs w:val="20"/>
        </w:rPr>
        <w:fldChar w:fldCharType="end"/>
      </w:r>
      <w:r w:rsidRPr="002A256C">
        <w:rPr>
          <w:rFonts w:asciiTheme="majorHAnsi" w:hAnsiTheme="majorHAnsi"/>
          <w:color w:val="0070C0"/>
          <w:sz w:val="20"/>
          <w:szCs w:val="20"/>
        </w:rPr>
        <w:t>. Predicted Probability of Mortality</w:t>
      </w:r>
    </w:p>
    <w:tbl>
      <w:tblPr>
        <w:tblW w:w="11499" w:type="dxa"/>
        <w:jc w:val="center"/>
        <w:tblLayout w:type="fixed"/>
        <w:tblCellMar>
          <w:left w:w="0" w:type="dxa"/>
          <w:right w:w="0" w:type="dxa"/>
        </w:tblCellMar>
        <w:tblLook w:val="0000" w:firstRow="0" w:lastRow="0" w:firstColumn="0" w:lastColumn="0" w:noHBand="0" w:noVBand="0"/>
      </w:tblPr>
      <w:tblGrid>
        <w:gridCol w:w="5882"/>
        <w:gridCol w:w="1484"/>
        <w:gridCol w:w="1484"/>
        <w:gridCol w:w="1484"/>
        <w:gridCol w:w="1165"/>
      </w:tblGrid>
      <w:tr w:rsidR="002A256C" w:rsidRPr="002A256C" w14:paraId="77C548FC" w14:textId="77777777" w:rsidTr="00F55847">
        <w:trPr>
          <w:cantSplit/>
          <w:tblHeader/>
          <w:jc w:val="center"/>
        </w:trPr>
        <w:tc>
          <w:tcPr>
            <w:tcW w:w="11499" w:type="dxa"/>
            <w:gridSpan w:val="5"/>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18AB1EB2" w14:textId="77777777" w:rsidR="00F55847" w:rsidRPr="002A256C" w:rsidRDefault="00F55847" w:rsidP="00F55847">
            <w:pPr>
              <w:keepNext/>
              <w:adjustRightInd w:val="0"/>
              <w:spacing w:before="60" w:after="60"/>
              <w:rPr>
                <w:rFonts w:asciiTheme="majorHAnsi" w:hAnsiTheme="majorHAnsi" w:cs="Arial"/>
                <w:color w:val="0070C0"/>
                <w:sz w:val="18"/>
                <w:szCs w:val="20"/>
              </w:rPr>
            </w:pPr>
          </w:p>
        </w:tc>
      </w:tr>
      <w:tr w:rsidR="002A256C" w:rsidRPr="002A256C" w14:paraId="2E2C0285" w14:textId="77777777" w:rsidTr="00F55847">
        <w:trPr>
          <w:cantSplit/>
          <w:tblHeader/>
          <w:jc w:val="center"/>
        </w:trPr>
        <w:tc>
          <w:tcPr>
            <w:tcW w:w="5882" w:type="dxa"/>
            <w:vMerge w:val="restart"/>
            <w:tcBorders>
              <w:top w:val="nil"/>
              <w:left w:val="single" w:sz="6" w:space="0" w:color="000000"/>
              <w:bottom w:val="single" w:sz="2" w:space="0" w:color="000000"/>
              <w:right w:val="nil"/>
            </w:tcBorders>
            <w:shd w:val="clear" w:color="auto" w:fill="BBBBBB"/>
            <w:tcMar>
              <w:left w:w="60" w:type="dxa"/>
              <w:right w:w="60" w:type="dxa"/>
            </w:tcMar>
            <w:vAlign w:val="bottom"/>
          </w:tcPr>
          <w:p w14:paraId="668DDFD5" w14:textId="77777777" w:rsidR="00F55847" w:rsidRPr="002A256C" w:rsidRDefault="00F55847" w:rsidP="00F55847">
            <w:pPr>
              <w:keepNext/>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484" w:type="dxa"/>
            <w:tcBorders>
              <w:top w:val="nil"/>
              <w:left w:val="single" w:sz="2" w:space="0" w:color="000000"/>
              <w:bottom w:val="single" w:sz="2" w:space="0" w:color="000000"/>
              <w:right w:val="nil"/>
            </w:tcBorders>
            <w:shd w:val="clear" w:color="auto" w:fill="BBBBBB"/>
            <w:tcMar>
              <w:left w:w="60" w:type="dxa"/>
              <w:right w:w="60" w:type="dxa"/>
            </w:tcMar>
            <w:vAlign w:val="bottom"/>
          </w:tcPr>
          <w:p w14:paraId="6BD0EAFB"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Total</w:t>
            </w:r>
          </w:p>
        </w:tc>
        <w:tc>
          <w:tcPr>
            <w:tcW w:w="2968" w:type="dxa"/>
            <w:gridSpan w:val="2"/>
            <w:tcBorders>
              <w:top w:val="nil"/>
              <w:left w:val="single" w:sz="2" w:space="0" w:color="000000"/>
              <w:bottom w:val="single" w:sz="2" w:space="0" w:color="000000"/>
              <w:right w:val="nil"/>
            </w:tcBorders>
            <w:shd w:val="clear" w:color="auto" w:fill="BBBBBB"/>
            <w:tcMar>
              <w:left w:w="60" w:type="dxa"/>
              <w:right w:w="60" w:type="dxa"/>
            </w:tcMar>
            <w:vAlign w:val="bottom"/>
          </w:tcPr>
          <w:p w14:paraId="48D3A202"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Observed Mortality</w:t>
            </w:r>
          </w:p>
        </w:tc>
        <w:tc>
          <w:tcPr>
            <w:tcW w:w="1165" w:type="dxa"/>
            <w:vMerge w:val="restart"/>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79FB0642"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P-Value</w:t>
            </w:r>
          </w:p>
        </w:tc>
      </w:tr>
      <w:tr w:rsidR="002A256C" w:rsidRPr="002A256C" w14:paraId="2BA7D445" w14:textId="77777777" w:rsidTr="00F55847">
        <w:trPr>
          <w:cantSplit/>
          <w:tblHeader/>
          <w:jc w:val="center"/>
        </w:trPr>
        <w:tc>
          <w:tcPr>
            <w:tcW w:w="5882" w:type="dxa"/>
            <w:vMerge/>
            <w:tcBorders>
              <w:top w:val="nil"/>
              <w:left w:val="single" w:sz="6" w:space="0" w:color="000000"/>
              <w:bottom w:val="single" w:sz="2" w:space="0" w:color="000000"/>
              <w:right w:val="nil"/>
            </w:tcBorders>
            <w:shd w:val="clear" w:color="auto" w:fill="BBBBBB"/>
            <w:tcMar>
              <w:left w:w="60" w:type="dxa"/>
              <w:right w:w="60" w:type="dxa"/>
            </w:tcMar>
            <w:vAlign w:val="bottom"/>
          </w:tcPr>
          <w:p w14:paraId="69697B8F" w14:textId="77777777" w:rsidR="00F55847" w:rsidRPr="002A256C" w:rsidRDefault="00F55847" w:rsidP="00F55847">
            <w:pPr>
              <w:keepNext/>
              <w:adjustRightInd w:val="0"/>
              <w:rPr>
                <w:rFonts w:asciiTheme="majorHAnsi" w:hAnsiTheme="majorHAnsi"/>
                <w:color w:val="0070C0"/>
                <w:sz w:val="18"/>
                <w:szCs w:val="20"/>
              </w:rPr>
            </w:pPr>
          </w:p>
        </w:tc>
        <w:tc>
          <w:tcPr>
            <w:tcW w:w="1484" w:type="dxa"/>
            <w:tcBorders>
              <w:top w:val="nil"/>
              <w:left w:val="single" w:sz="2" w:space="0" w:color="000000"/>
              <w:bottom w:val="single" w:sz="2" w:space="0" w:color="000000"/>
              <w:right w:val="nil"/>
            </w:tcBorders>
            <w:shd w:val="clear" w:color="auto" w:fill="BBBBBB"/>
            <w:tcMar>
              <w:left w:w="60" w:type="dxa"/>
              <w:right w:w="60" w:type="dxa"/>
            </w:tcMar>
            <w:vAlign w:val="bottom"/>
          </w:tcPr>
          <w:p w14:paraId="0EB61596"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n = 634084</w:t>
            </w:r>
          </w:p>
        </w:tc>
        <w:tc>
          <w:tcPr>
            <w:tcW w:w="1484" w:type="dxa"/>
            <w:tcBorders>
              <w:top w:val="nil"/>
              <w:left w:val="single" w:sz="2" w:space="0" w:color="000000"/>
              <w:bottom w:val="single" w:sz="2" w:space="0" w:color="000000"/>
              <w:right w:val="nil"/>
            </w:tcBorders>
            <w:shd w:val="clear" w:color="auto" w:fill="BBBBBB"/>
            <w:tcMar>
              <w:left w:w="60" w:type="dxa"/>
              <w:right w:w="60" w:type="dxa"/>
            </w:tcMar>
            <w:vAlign w:val="bottom"/>
          </w:tcPr>
          <w:p w14:paraId="7A66DFE6"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Yes</w:t>
            </w:r>
            <w:r w:rsidRPr="002A256C">
              <w:rPr>
                <w:rFonts w:asciiTheme="majorHAnsi" w:hAnsiTheme="majorHAnsi" w:cs="Arial"/>
                <w:color w:val="0070C0"/>
                <w:sz w:val="18"/>
                <w:szCs w:val="20"/>
              </w:rPr>
              <w:br/>
              <w:t>n = 10212</w:t>
            </w:r>
          </w:p>
        </w:tc>
        <w:tc>
          <w:tcPr>
            <w:tcW w:w="1484" w:type="dxa"/>
            <w:tcBorders>
              <w:top w:val="nil"/>
              <w:left w:val="single" w:sz="2" w:space="0" w:color="000000"/>
              <w:bottom w:val="single" w:sz="2" w:space="0" w:color="000000"/>
              <w:right w:val="nil"/>
            </w:tcBorders>
            <w:shd w:val="clear" w:color="auto" w:fill="BBBBBB"/>
            <w:tcMar>
              <w:left w:w="60" w:type="dxa"/>
              <w:right w:w="60" w:type="dxa"/>
            </w:tcMar>
            <w:vAlign w:val="bottom"/>
          </w:tcPr>
          <w:p w14:paraId="57A87489"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No</w:t>
            </w:r>
            <w:r w:rsidRPr="002A256C">
              <w:rPr>
                <w:rFonts w:asciiTheme="majorHAnsi" w:hAnsiTheme="majorHAnsi" w:cs="Arial"/>
                <w:color w:val="0070C0"/>
                <w:sz w:val="18"/>
                <w:szCs w:val="20"/>
              </w:rPr>
              <w:br/>
              <w:t>n = 623872</w:t>
            </w:r>
          </w:p>
        </w:tc>
        <w:tc>
          <w:tcPr>
            <w:tcW w:w="1165" w:type="dxa"/>
            <w:vMerge/>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748BA0E1" w14:textId="77777777" w:rsidR="00F55847" w:rsidRPr="002A256C" w:rsidRDefault="00F55847" w:rsidP="00F55847">
            <w:pPr>
              <w:keepNext/>
              <w:adjustRightInd w:val="0"/>
              <w:rPr>
                <w:rFonts w:asciiTheme="majorHAnsi" w:hAnsiTheme="majorHAnsi"/>
                <w:color w:val="0070C0"/>
                <w:sz w:val="18"/>
                <w:szCs w:val="20"/>
              </w:rPr>
            </w:pPr>
          </w:p>
        </w:tc>
      </w:tr>
      <w:tr w:rsidR="002A256C" w:rsidRPr="002A256C" w14:paraId="0CB3AD07"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608730B5" w14:textId="77777777" w:rsidR="00F55847" w:rsidRPr="002A256C" w:rsidRDefault="00F55847" w:rsidP="00F55847">
            <w:pPr>
              <w:keepNext/>
              <w:adjustRightInd w:val="0"/>
              <w:spacing w:before="60" w:after="60"/>
              <w:rPr>
                <w:rFonts w:asciiTheme="majorHAnsi" w:hAnsiTheme="majorHAnsi" w:cs="Arial"/>
                <w:b/>
                <w:bCs/>
                <w:i/>
                <w:iCs/>
                <w:color w:val="0070C0"/>
                <w:sz w:val="18"/>
                <w:szCs w:val="20"/>
              </w:rPr>
            </w:pPr>
            <w:r w:rsidRPr="002A256C">
              <w:rPr>
                <w:rFonts w:asciiTheme="majorHAnsi" w:hAnsiTheme="majorHAnsi" w:cs="Arial"/>
                <w:b/>
                <w:bCs/>
                <w:i/>
                <w:iCs/>
                <w:color w:val="0070C0"/>
                <w:sz w:val="18"/>
                <w:szCs w:val="20"/>
              </w:rPr>
              <w:t>Mortality</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D648132"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3BD3527"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CACF8C7"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2D0BB71" w14:textId="77777777" w:rsidR="00F55847" w:rsidRPr="002A256C" w:rsidRDefault="00F55847" w:rsidP="00F55847">
            <w:pPr>
              <w:keepNext/>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xml:space="preserve"> </w:t>
            </w:r>
          </w:p>
        </w:tc>
      </w:tr>
      <w:tr w:rsidR="002A256C" w:rsidRPr="002A256C" w14:paraId="717C671D"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6401AA40"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Predicted Probability of Death</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EED48B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0.01583 ± 0.06557</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00C85A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0.26718 ± 0.27434</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B702F5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0.01171 ± 0.04569</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9D4BDA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51AC666A"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4C8CAD42" w14:textId="77777777" w:rsidR="00F55847" w:rsidRPr="002A256C" w:rsidRDefault="00F55847" w:rsidP="00F55847">
            <w:pPr>
              <w:adjustRightInd w:val="0"/>
              <w:spacing w:before="60" w:after="60"/>
              <w:rPr>
                <w:rFonts w:asciiTheme="majorHAnsi" w:hAnsiTheme="majorHAnsi" w:cs="Arial"/>
                <w:b/>
                <w:bCs/>
                <w:i/>
                <w:iCs/>
                <w:color w:val="0070C0"/>
                <w:sz w:val="18"/>
                <w:szCs w:val="20"/>
              </w:rPr>
            </w:pPr>
            <w:r w:rsidRPr="002A256C">
              <w:rPr>
                <w:rFonts w:asciiTheme="majorHAnsi" w:hAnsiTheme="majorHAnsi" w:cs="Arial"/>
                <w:b/>
                <w:bCs/>
                <w:i/>
                <w:iCs/>
                <w:color w:val="0070C0"/>
                <w:sz w:val="18"/>
                <w:szCs w:val="20"/>
              </w:rPr>
              <w:t>Mortality Variables</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BDFA23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D5E8DF0"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F78235B"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EF1148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xml:space="preserve"> </w:t>
            </w:r>
          </w:p>
        </w:tc>
      </w:tr>
      <w:tr w:rsidR="002A256C" w:rsidRPr="002A256C" w14:paraId="7115627E"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5DE1CA45"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STEMI</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A19AA2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111775 (17.6%)</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5A0B7D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6275 (61.4%)</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1BA672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105500 (16.9%)</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71378FD"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5AC39F8B"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5C7071C9"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Age</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0CA092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64.8 ± 12.1</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1CE14E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70.4 ± 12.8</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A04C5CD"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64.7 ± 12.0</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42501D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4E82D257"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1DCC7190"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Body Mass Index</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72D618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30.0 ± 6.4</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303451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28.5 ± 7.0</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F7D92E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30.0 ± 6.4</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F78F60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5BBFEABB"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0BCC3A1C"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CVD</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4DE0A3B"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79750 (12.6%)</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53B4CE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1771 (17.3%)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F022119"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77979 (12.5%)</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FBC7420"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6F5AF9A5"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6C9CF27B"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PVD</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C0F3DC3"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79224 (12.5%)</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FC13D0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1800 (17.6%)</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34F118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77424 (12.4%)</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B615086"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77F700B6"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10282E66"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Prior PCI</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088B17B"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258993 (40.8%)</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70D9EE3"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2665 (26.1%)</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095572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256328 (41.1%)</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C3E956B"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3A14C15C"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59E333F6"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Left Ventricular Ejection Fraction</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C4D494B"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52.6 ± 10.1</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C01B5C9"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43.2 ± 13.6</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8A7BD7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52.8 ± 10.0</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61BF863"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57423DF3"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494AC6A1"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GFR</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4B2F10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71.4 ± 18.0</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FD5212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55.9 ± 19.9</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E66F62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71.7 ± 17.9</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EFDBCD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78C052EC"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234F75CF"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Non-insulin Diabetes vs. No Diabetes</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A675A9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145444 (22.9%)</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A0A5AB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2256 (22.1%)</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A4824B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143188 (23.0%)</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CB50CF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xml:space="preserve">  0.040</w:t>
            </w:r>
          </w:p>
        </w:tc>
      </w:tr>
      <w:tr w:rsidR="002A256C" w:rsidRPr="002A256C" w14:paraId="06EC28AD"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053A223F"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Insulin Diabetes vs. No Diabetes</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2407DC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91052 (14.4%)</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F25887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1811 (17.7%)</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DF21DC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89241 (14.3%)</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C6CD9CB"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69A69DEE"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2CE125DA"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HF NYHA Class I/II/III w/in 2 </w:t>
            </w:r>
            <w:proofErr w:type="spellStart"/>
            <w:r w:rsidRPr="002A256C">
              <w:rPr>
                <w:rFonts w:asciiTheme="majorHAnsi" w:hAnsiTheme="majorHAnsi" w:cs="Arial"/>
                <w:color w:val="0070C0"/>
                <w:sz w:val="18"/>
                <w:szCs w:val="20"/>
              </w:rPr>
              <w:t>Wks</w:t>
            </w:r>
            <w:proofErr w:type="spellEnd"/>
            <w:r w:rsidRPr="002A256C">
              <w:rPr>
                <w:rFonts w:asciiTheme="majorHAnsi" w:hAnsiTheme="majorHAnsi" w:cs="Arial"/>
                <w:color w:val="0070C0"/>
                <w:sz w:val="18"/>
                <w:szCs w:val="20"/>
              </w:rPr>
              <w:t> vs. No HF</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475EE1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49822 (7.9%)</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B3BD6A6"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1250 (12.2%)</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1A6868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48572 (7.8%)</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C83DC48"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0B10E787"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3805A354"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HF NYHA Class IV w/in 2 </w:t>
            </w:r>
            <w:proofErr w:type="spellStart"/>
            <w:r w:rsidRPr="002A256C">
              <w:rPr>
                <w:rFonts w:asciiTheme="majorHAnsi" w:hAnsiTheme="majorHAnsi" w:cs="Arial"/>
                <w:color w:val="0070C0"/>
                <w:sz w:val="18"/>
                <w:szCs w:val="20"/>
              </w:rPr>
              <w:t>Wks</w:t>
            </w:r>
            <w:proofErr w:type="spellEnd"/>
            <w:r w:rsidRPr="002A256C">
              <w:rPr>
                <w:rFonts w:asciiTheme="majorHAnsi" w:hAnsiTheme="majorHAnsi" w:cs="Arial"/>
                <w:color w:val="0070C0"/>
                <w:sz w:val="18"/>
                <w:szCs w:val="20"/>
              </w:rPr>
              <w:t> vs. No HF</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B57AE9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16595 (2.6%)</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DD2F32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1889 (18.5%)</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0C841B8"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14706 (2.4%)</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D8DFC3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530E639A"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228EE5F5"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Cardiac arrest w/in 24 </w:t>
            </w:r>
            <w:proofErr w:type="spellStart"/>
            <w:r w:rsidRPr="002A256C">
              <w:rPr>
                <w:rFonts w:asciiTheme="majorHAnsi" w:hAnsiTheme="majorHAnsi" w:cs="Arial"/>
                <w:color w:val="0070C0"/>
                <w:sz w:val="18"/>
                <w:szCs w:val="20"/>
              </w:rPr>
              <w:t>hrs</w:t>
            </w:r>
            <w:proofErr w:type="spellEnd"/>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F18BF8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13637 (2.2%)</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3783126"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3559 (34.9%)</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50264DB"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10078 (1.6%)</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7E40E89"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208AD975"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6A0FEFDF"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xml:space="preserve">     Salvage Status and </w:t>
            </w:r>
            <w:proofErr w:type="spellStart"/>
            <w:r w:rsidRPr="002A256C">
              <w:rPr>
                <w:rFonts w:asciiTheme="majorHAnsi" w:hAnsiTheme="majorHAnsi" w:cs="Arial"/>
                <w:color w:val="0070C0"/>
                <w:sz w:val="18"/>
                <w:szCs w:val="20"/>
              </w:rPr>
              <w:t>Carshock</w:t>
            </w:r>
            <w:proofErr w:type="spellEnd"/>
            <w:r w:rsidRPr="002A256C">
              <w:rPr>
                <w:rFonts w:asciiTheme="majorHAnsi" w:hAnsiTheme="majorHAnsi" w:cs="Arial"/>
                <w:color w:val="0070C0"/>
                <w:sz w:val="18"/>
                <w:szCs w:val="20"/>
              </w:rPr>
              <w:t xml:space="preserve"> w/in 24hrs and at start of PCI vs. Elective Status and No </w:t>
            </w:r>
            <w:proofErr w:type="spellStart"/>
            <w:r w:rsidRPr="002A256C">
              <w:rPr>
                <w:rFonts w:asciiTheme="majorHAnsi" w:hAnsiTheme="majorHAnsi" w:cs="Arial"/>
                <w:color w:val="0070C0"/>
                <w:sz w:val="18"/>
                <w:szCs w:val="20"/>
              </w:rPr>
              <w:t>Carshock</w:t>
            </w:r>
            <w:proofErr w:type="spellEnd"/>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072318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1563 (0.2%)</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7E3CB8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1072 (10.5%)</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903198A"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491 (0.1%)</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6F783D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39B07B77"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09C51002"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xml:space="preserve">     Salvage Status or </w:t>
            </w:r>
            <w:proofErr w:type="spellStart"/>
            <w:r w:rsidRPr="002A256C">
              <w:rPr>
                <w:rFonts w:asciiTheme="majorHAnsi" w:hAnsiTheme="majorHAnsi" w:cs="Arial"/>
                <w:color w:val="0070C0"/>
                <w:sz w:val="18"/>
                <w:szCs w:val="20"/>
              </w:rPr>
              <w:t>Carshock</w:t>
            </w:r>
            <w:proofErr w:type="spellEnd"/>
            <w:r w:rsidRPr="002A256C">
              <w:rPr>
                <w:rFonts w:asciiTheme="majorHAnsi" w:hAnsiTheme="majorHAnsi" w:cs="Arial"/>
                <w:color w:val="0070C0"/>
                <w:sz w:val="18"/>
                <w:szCs w:val="20"/>
              </w:rPr>
              <w:t xml:space="preserve"> w/in 24hrs and at start of PCI (not both) vs. Elective Status and No </w:t>
            </w:r>
            <w:proofErr w:type="spellStart"/>
            <w:r w:rsidRPr="002A256C">
              <w:rPr>
                <w:rFonts w:asciiTheme="majorHAnsi" w:hAnsiTheme="majorHAnsi" w:cs="Arial"/>
                <w:color w:val="0070C0"/>
                <w:sz w:val="18"/>
                <w:szCs w:val="20"/>
              </w:rPr>
              <w:t>Carshock</w:t>
            </w:r>
            <w:proofErr w:type="spellEnd"/>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803E089"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9115 (1.4%)</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7C9D05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3159 (30.9%)</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44B95D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5956 (1.0%)</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2C138E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1C84442C"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427D48A4"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xml:space="preserve">     </w:t>
            </w:r>
            <w:proofErr w:type="spellStart"/>
            <w:r w:rsidRPr="002A256C">
              <w:rPr>
                <w:rFonts w:asciiTheme="majorHAnsi" w:hAnsiTheme="majorHAnsi" w:cs="Arial"/>
                <w:color w:val="0070C0"/>
                <w:sz w:val="18"/>
                <w:szCs w:val="20"/>
              </w:rPr>
              <w:t>Carshock</w:t>
            </w:r>
            <w:proofErr w:type="spellEnd"/>
            <w:r w:rsidRPr="002A256C">
              <w:rPr>
                <w:rFonts w:asciiTheme="majorHAnsi" w:hAnsiTheme="majorHAnsi" w:cs="Arial"/>
                <w:color w:val="0070C0"/>
                <w:sz w:val="18"/>
                <w:szCs w:val="20"/>
              </w:rPr>
              <w:t xml:space="preserve"> w/in 24hrs or at start of PCI (not both) vs. Elective Status and No </w:t>
            </w:r>
            <w:proofErr w:type="spellStart"/>
            <w:r w:rsidRPr="002A256C">
              <w:rPr>
                <w:rFonts w:asciiTheme="majorHAnsi" w:hAnsiTheme="majorHAnsi" w:cs="Arial"/>
                <w:color w:val="0070C0"/>
                <w:sz w:val="18"/>
                <w:szCs w:val="20"/>
              </w:rPr>
              <w:t>Carshock</w:t>
            </w:r>
            <w:proofErr w:type="spellEnd"/>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B588F3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8460 (1.3%)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F7A6646"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1295 (12.7%)</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5B287F6"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7165 (1.1%)</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D16BE0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0F9B28E0"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1937FFC3"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Emergent Status and No Carshock vs. Elective Status and No Carshock</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45BA306"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107052 (16.9%)</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A89E616"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2440 (23.9%)</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74CA9B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104612 (16.8%)</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317B583"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65CC74D1"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4E7BDB63"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Urgent Status and No Carshock vs. Elective Status and No Carshock</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09C3FC8"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254411 (40.1%)</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54794D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1757 (17.2%)</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6255333"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252654 (40.5%)</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0F583C3"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6F674A80"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6FAA551F"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w:t>
            </w:r>
            <w:proofErr w:type="spellStart"/>
            <w:r w:rsidRPr="002A256C">
              <w:rPr>
                <w:rFonts w:asciiTheme="majorHAnsi" w:hAnsiTheme="majorHAnsi" w:cs="Arial"/>
                <w:color w:val="0070C0"/>
                <w:sz w:val="18"/>
                <w:szCs w:val="20"/>
              </w:rPr>
              <w:t>pLAD</w:t>
            </w:r>
            <w:proofErr w:type="spellEnd"/>
            <w:r w:rsidRPr="002A256C">
              <w:rPr>
                <w:rFonts w:asciiTheme="majorHAnsi" w:hAnsiTheme="majorHAnsi" w:cs="Arial"/>
                <w:color w:val="0070C0"/>
                <w:sz w:val="18"/>
                <w:szCs w:val="20"/>
              </w:rPr>
              <w:t> vs. Other</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4907620"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107452 (16.9%)</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510B12B"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2732 (26.8%)</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C69AF1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104720 (16.8%)</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D6ED17C"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2AF5FC52"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68A20323"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Left Main vs. Other</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A5F529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14756 (2.3%)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5F16FBC"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831 (8.1%)</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A584E3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13925 (2.2%)</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8BCB84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00032CD4"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39DD93AE"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In-stent Thrombosis on some lesion previously treated w/in 1 month</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477556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2044 (0.3%)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1140610"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152 (1.5%)</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839961D"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1892 (0.3%)</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440AB9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1F1DA2AB"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14DB6F40"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Number of Diseased Vessels (2,3) vs. (0,1)</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147A080"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260307 (41.1%)</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3E5234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6245 (61.2%)</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8875BF8"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254062 (40.7%)</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BE018A1"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7050D22A"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4EF64D37"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Chronic Total Occlusion</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9FD21AD"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19138 (3.0%)</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F01DCDC"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597 (5.8%)</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582DD2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18541 (3.0%)</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86B1D5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11D898B9"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679B8D5E" w14:textId="77777777" w:rsidR="00F55847" w:rsidRPr="002A256C" w:rsidRDefault="00F55847" w:rsidP="00F55847">
            <w:pPr>
              <w:adjustRightInd w:val="0"/>
              <w:spacing w:before="60" w:after="60"/>
              <w:rPr>
                <w:rFonts w:asciiTheme="majorHAnsi" w:hAnsiTheme="majorHAnsi" w:cs="Arial"/>
                <w:b/>
                <w:bCs/>
                <w:i/>
                <w:iCs/>
                <w:color w:val="0070C0"/>
                <w:sz w:val="18"/>
                <w:szCs w:val="20"/>
              </w:rPr>
            </w:pPr>
            <w:r w:rsidRPr="002A256C">
              <w:rPr>
                <w:rFonts w:asciiTheme="majorHAnsi" w:hAnsiTheme="majorHAnsi" w:cs="Arial"/>
                <w:b/>
                <w:bCs/>
                <w:i/>
                <w:iCs/>
                <w:color w:val="0070C0"/>
                <w:sz w:val="18"/>
                <w:szCs w:val="20"/>
              </w:rPr>
              <w:t>History</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58B2F9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7AD3833"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B51EAE6"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0AD426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xml:space="preserve"> </w:t>
            </w:r>
          </w:p>
        </w:tc>
      </w:tr>
      <w:tr w:rsidR="002A256C" w:rsidRPr="002A256C" w14:paraId="70952563"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3D67B2FF"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Intra-Aortic Balloon Pump</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E4AB20C"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15357 (2.4%)</w:t>
            </w:r>
            <w:r w:rsidRPr="002A256C">
              <w:rPr>
                <w:rFonts w:asciiTheme="majorHAnsi" w:hAnsiTheme="majorHAnsi" w:cs="Arial"/>
                <w:color w:val="0070C0"/>
                <w:sz w:val="18"/>
                <w:szCs w:val="20"/>
              </w:rPr>
              <w:br/>
              <w:t>169</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29D4A9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3864 (37.8%)</w:t>
            </w:r>
            <w:r w:rsidRPr="002A256C">
              <w:rPr>
                <w:rFonts w:asciiTheme="majorHAnsi" w:hAnsiTheme="majorHAnsi" w:cs="Arial"/>
                <w:color w:val="0070C0"/>
                <w:sz w:val="18"/>
                <w:szCs w:val="20"/>
              </w:rPr>
              <w:br/>
              <w:t>1</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742EFE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11493 (1.8%)</w:t>
            </w:r>
            <w:r w:rsidRPr="002A256C">
              <w:rPr>
                <w:rFonts w:asciiTheme="majorHAnsi" w:hAnsiTheme="majorHAnsi" w:cs="Arial"/>
                <w:color w:val="0070C0"/>
                <w:sz w:val="18"/>
                <w:szCs w:val="20"/>
              </w:rPr>
              <w:br/>
              <w:t>168</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DFA261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6E98DDEB"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24C834A9"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Prior MI</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F990E3D"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193054 (30.5%)</w:t>
            </w:r>
            <w:r w:rsidRPr="002A256C">
              <w:rPr>
                <w:rFonts w:asciiTheme="majorHAnsi" w:hAnsiTheme="majorHAnsi" w:cs="Arial"/>
                <w:color w:val="0070C0"/>
                <w:sz w:val="18"/>
                <w:szCs w:val="20"/>
              </w:rPr>
              <w:br/>
              <w:t>173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DC401A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2808 (27.6%)</w:t>
            </w:r>
            <w:r w:rsidRPr="002A256C">
              <w:rPr>
                <w:rFonts w:asciiTheme="majorHAnsi" w:hAnsiTheme="majorHAnsi" w:cs="Arial"/>
                <w:color w:val="0070C0"/>
                <w:sz w:val="18"/>
                <w:szCs w:val="20"/>
              </w:rPr>
              <w:br/>
              <w:t>21</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37FD55C"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190246 (30.5%)</w:t>
            </w:r>
            <w:r w:rsidRPr="002A256C">
              <w:rPr>
                <w:rFonts w:asciiTheme="majorHAnsi" w:hAnsiTheme="majorHAnsi" w:cs="Arial"/>
                <w:color w:val="0070C0"/>
                <w:sz w:val="18"/>
                <w:szCs w:val="20"/>
              </w:rPr>
              <w:br/>
              <w:t>152</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A28E9A9"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3DF526E2"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7986854A"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Prior PCI</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8B4711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258993 (40.9%)</w:t>
            </w:r>
            <w:r w:rsidRPr="002A256C">
              <w:rPr>
                <w:rFonts w:asciiTheme="majorHAnsi" w:hAnsiTheme="majorHAnsi" w:cs="Arial"/>
                <w:color w:val="0070C0"/>
                <w:sz w:val="18"/>
                <w:szCs w:val="20"/>
              </w:rPr>
              <w:br/>
              <w:t>150</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D62D63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2665 (26.1%)</w:t>
            </w:r>
            <w:r w:rsidRPr="002A256C">
              <w:rPr>
                <w:rFonts w:asciiTheme="majorHAnsi" w:hAnsiTheme="majorHAnsi" w:cs="Arial"/>
                <w:color w:val="0070C0"/>
                <w:sz w:val="18"/>
                <w:szCs w:val="20"/>
              </w:rPr>
              <w:br/>
              <w:t>13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3C106E6"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256328 (41.1%)</w:t>
            </w:r>
            <w:r w:rsidRPr="002A256C">
              <w:rPr>
                <w:rFonts w:asciiTheme="majorHAnsi" w:hAnsiTheme="majorHAnsi" w:cs="Arial"/>
                <w:color w:val="0070C0"/>
                <w:sz w:val="18"/>
                <w:szCs w:val="20"/>
              </w:rPr>
              <w:br/>
              <w:t>137</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F32766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66A3E622"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00E1814D"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Currently on Dialysis</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62A083D"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15882 (2.5%)</w:t>
            </w:r>
            <w:r w:rsidRPr="002A256C">
              <w:rPr>
                <w:rFonts w:asciiTheme="majorHAnsi" w:hAnsiTheme="majorHAnsi" w:cs="Arial"/>
                <w:color w:val="0070C0"/>
                <w:sz w:val="18"/>
                <w:szCs w:val="20"/>
              </w:rPr>
              <w:br/>
              <w:t>605</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58AFEE0"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665 (6.5%)</w:t>
            </w:r>
            <w:r w:rsidRPr="002A256C">
              <w:rPr>
                <w:rFonts w:asciiTheme="majorHAnsi" w:hAnsiTheme="majorHAnsi" w:cs="Arial"/>
                <w:color w:val="0070C0"/>
                <w:sz w:val="18"/>
                <w:szCs w:val="20"/>
              </w:rPr>
              <w:br/>
              <w:t>21</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060C03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15217 (2.4%)</w:t>
            </w:r>
            <w:r w:rsidRPr="002A256C">
              <w:rPr>
                <w:rFonts w:asciiTheme="majorHAnsi" w:hAnsiTheme="majorHAnsi" w:cs="Arial"/>
                <w:color w:val="0070C0"/>
                <w:sz w:val="18"/>
                <w:szCs w:val="20"/>
              </w:rPr>
              <w:br/>
              <w:t>584</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ABA42DD"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443A7487"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38C09BFD"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Chronic Lung Disease</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02D197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97244 (15.3%)</w:t>
            </w:r>
            <w:r w:rsidRPr="002A256C">
              <w:rPr>
                <w:rFonts w:asciiTheme="majorHAnsi" w:hAnsiTheme="majorHAnsi" w:cs="Arial"/>
                <w:color w:val="0070C0"/>
                <w:sz w:val="18"/>
                <w:szCs w:val="20"/>
              </w:rPr>
              <w:br/>
              <w:t>322</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D37D5C8"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2202 (21.6%)</w:t>
            </w:r>
            <w:r w:rsidRPr="002A256C">
              <w:rPr>
                <w:rFonts w:asciiTheme="majorHAnsi" w:hAnsiTheme="majorHAnsi" w:cs="Arial"/>
                <w:color w:val="0070C0"/>
                <w:sz w:val="18"/>
                <w:szCs w:val="20"/>
              </w:rPr>
              <w:br/>
              <w:t>23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2113FC9"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95042 (15.2%)</w:t>
            </w:r>
            <w:r w:rsidRPr="002A256C">
              <w:rPr>
                <w:rFonts w:asciiTheme="majorHAnsi" w:hAnsiTheme="majorHAnsi" w:cs="Arial"/>
                <w:color w:val="0070C0"/>
                <w:sz w:val="18"/>
                <w:szCs w:val="20"/>
              </w:rPr>
              <w:br/>
              <w:t>299</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AC8CBAD"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7D09330F"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1195403A"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Diabetes Mellitus</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5CDBB1A"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236496 (37.3%)</w:t>
            </w:r>
            <w:r w:rsidRPr="002A256C">
              <w:rPr>
                <w:rFonts w:asciiTheme="majorHAnsi" w:hAnsiTheme="majorHAnsi" w:cs="Arial"/>
                <w:color w:val="0070C0"/>
                <w:sz w:val="18"/>
                <w:szCs w:val="20"/>
              </w:rPr>
              <w:br/>
              <w:t>297</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08F999A"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4067 (39.9%)</w:t>
            </w:r>
            <w:r w:rsidRPr="002A256C">
              <w:rPr>
                <w:rFonts w:asciiTheme="majorHAnsi" w:hAnsiTheme="majorHAnsi" w:cs="Arial"/>
                <w:color w:val="0070C0"/>
                <w:sz w:val="18"/>
                <w:szCs w:val="20"/>
              </w:rPr>
              <w:br/>
              <w:t>16</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0049BE4"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232429 (37.3%)</w:t>
            </w:r>
            <w:r w:rsidRPr="002A256C">
              <w:rPr>
                <w:rFonts w:asciiTheme="majorHAnsi" w:hAnsiTheme="majorHAnsi" w:cs="Arial"/>
                <w:color w:val="0070C0"/>
                <w:sz w:val="18"/>
                <w:szCs w:val="20"/>
              </w:rPr>
              <w:br/>
              <w:t>281</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BDD1F5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4192ACCC"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64F8D350" w14:textId="77777777" w:rsidR="00F55847" w:rsidRPr="002A256C" w:rsidRDefault="00F55847" w:rsidP="00F55847">
            <w:pPr>
              <w:adjustRightInd w:val="0"/>
              <w:spacing w:before="60" w:after="60"/>
              <w:rPr>
                <w:rFonts w:asciiTheme="majorHAnsi" w:hAnsiTheme="majorHAnsi" w:cs="Arial"/>
                <w:b/>
                <w:bCs/>
                <w:i/>
                <w:iCs/>
                <w:color w:val="0070C0"/>
                <w:sz w:val="18"/>
                <w:szCs w:val="20"/>
              </w:rPr>
            </w:pPr>
            <w:r w:rsidRPr="002A256C">
              <w:rPr>
                <w:rFonts w:asciiTheme="majorHAnsi" w:hAnsiTheme="majorHAnsi" w:cs="Arial"/>
                <w:b/>
                <w:bCs/>
                <w:i/>
                <w:iCs/>
                <w:color w:val="0070C0"/>
                <w:sz w:val="18"/>
                <w:szCs w:val="20"/>
              </w:rPr>
              <w:t>Cath Lab Visit</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8CF907C"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DE6B88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7418721"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7E9DB66"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xml:space="preserve"> </w:t>
            </w:r>
          </w:p>
        </w:tc>
      </w:tr>
      <w:tr w:rsidR="002A256C" w:rsidRPr="002A256C" w14:paraId="7A266D1A"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32FBF8A9"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PCI Indication</w:t>
            </w:r>
            <w:r w:rsidRPr="002A256C">
              <w:rPr>
                <w:rFonts w:asciiTheme="majorHAnsi" w:hAnsiTheme="majorHAnsi" w:cs="Arial"/>
                <w:color w:val="0070C0"/>
                <w:sz w:val="18"/>
                <w:szCs w:val="20"/>
              </w:rPr>
              <w:br/>
              <w:t>          Immediate PCI for STEMI</w:t>
            </w:r>
            <w:r w:rsidRPr="002A256C">
              <w:rPr>
                <w:rFonts w:asciiTheme="majorHAnsi" w:hAnsiTheme="majorHAnsi" w:cs="Arial"/>
                <w:color w:val="0070C0"/>
                <w:sz w:val="18"/>
                <w:szCs w:val="20"/>
              </w:rPr>
              <w:br/>
              <w:t>          PCI for STEMI (Unstable, &gt;12 </w:t>
            </w:r>
            <w:proofErr w:type="spellStart"/>
            <w:r w:rsidRPr="002A256C">
              <w:rPr>
                <w:rFonts w:asciiTheme="majorHAnsi" w:hAnsiTheme="majorHAnsi" w:cs="Arial"/>
                <w:color w:val="0070C0"/>
                <w:sz w:val="18"/>
                <w:szCs w:val="20"/>
              </w:rPr>
              <w:t>hrs</w:t>
            </w:r>
            <w:proofErr w:type="spellEnd"/>
            <w:r w:rsidRPr="002A256C">
              <w:rPr>
                <w:rFonts w:asciiTheme="majorHAnsi" w:hAnsiTheme="majorHAnsi" w:cs="Arial"/>
                <w:color w:val="0070C0"/>
                <w:sz w:val="18"/>
                <w:szCs w:val="20"/>
              </w:rPr>
              <w:t> from </w:t>
            </w:r>
            <w:proofErr w:type="spellStart"/>
            <w:r w:rsidRPr="002A256C">
              <w:rPr>
                <w:rFonts w:asciiTheme="majorHAnsi" w:hAnsiTheme="majorHAnsi" w:cs="Arial"/>
                <w:color w:val="0070C0"/>
                <w:sz w:val="18"/>
                <w:szCs w:val="20"/>
              </w:rPr>
              <w:t>Sx</w:t>
            </w:r>
            <w:proofErr w:type="spellEnd"/>
            <w:r w:rsidRPr="002A256C">
              <w:rPr>
                <w:rFonts w:asciiTheme="majorHAnsi" w:hAnsiTheme="majorHAnsi" w:cs="Arial"/>
                <w:color w:val="0070C0"/>
                <w:sz w:val="18"/>
                <w:szCs w:val="20"/>
              </w:rPr>
              <w:t> onset)</w:t>
            </w:r>
            <w:r w:rsidRPr="002A256C">
              <w:rPr>
                <w:rFonts w:asciiTheme="majorHAnsi" w:hAnsiTheme="majorHAnsi" w:cs="Arial"/>
                <w:color w:val="0070C0"/>
                <w:sz w:val="18"/>
                <w:szCs w:val="20"/>
              </w:rPr>
              <w:br/>
              <w:t>          PCI for STEMI (Stable, &gt;12 </w:t>
            </w:r>
            <w:proofErr w:type="spellStart"/>
            <w:r w:rsidRPr="002A256C">
              <w:rPr>
                <w:rFonts w:asciiTheme="majorHAnsi" w:hAnsiTheme="majorHAnsi" w:cs="Arial"/>
                <w:color w:val="0070C0"/>
                <w:sz w:val="18"/>
                <w:szCs w:val="20"/>
              </w:rPr>
              <w:t>hrs</w:t>
            </w:r>
            <w:proofErr w:type="spellEnd"/>
            <w:r w:rsidRPr="002A256C">
              <w:rPr>
                <w:rFonts w:asciiTheme="majorHAnsi" w:hAnsiTheme="majorHAnsi" w:cs="Arial"/>
                <w:color w:val="0070C0"/>
                <w:sz w:val="18"/>
                <w:szCs w:val="20"/>
              </w:rPr>
              <w:t> from </w:t>
            </w:r>
            <w:proofErr w:type="spellStart"/>
            <w:r w:rsidRPr="002A256C">
              <w:rPr>
                <w:rFonts w:asciiTheme="majorHAnsi" w:hAnsiTheme="majorHAnsi" w:cs="Arial"/>
                <w:color w:val="0070C0"/>
                <w:sz w:val="18"/>
                <w:szCs w:val="20"/>
              </w:rPr>
              <w:t>Sx</w:t>
            </w:r>
            <w:proofErr w:type="spellEnd"/>
            <w:r w:rsidRPr="002A256C">
              <w:rPr>
                <w:rFonts w:asciiTheme="majorHAnsi" w:hAnsiTheme="majorHAnsi" w:cs="Arial"/>
                <w:color w:val="0070C0"/>
                <w:sz w:val="18"/>
                <w:szCs w:val="20"/>
              </w:rPr>
              <w:t> onset)</w:t>
            </w:r>
            <w:r w:rsidRPr="002A256C">
              <w:rPr>
                <w:rFonts w:asciiTheme="majorHAnsi" w:hAnsiTheme="majorHAnsi" w:cs="Arial"/>
                <w:color w:val="0070C0"/>
                <w:sz w:val="18"/>
                <w:szCs w:val="20"/>
              </w:rPr>
              <w:br/>
              <w:t>          PCI for STEMI (Stable after successful full-dose Thrombolysis)</w:t>
            </w:r>
            <w:r w:rsidRPr="002A256C">
              <w:rPr>
                <w:rFonts w:asciiTheme="majorHAnsi" w:hAnsiTheme="majorHAnsi" w:cs="Arial"/>
                <w:color w:val="0070C0"/>
                <w:sz w:val="18"/>
                <w:szCs w:val="20"/>
              </w:rPr>
              <w:br/>
              <w:t>          Rescue PCI for STEMI (after failed full-dose </w:t>
            </w:r>
            <w:proofErr w:type="spellStart"/>
            <w:r w:rsidRPr="002A256C">
              <w:rPr>
                <w:rFonts w:asciiTheme="majorHAnsi" w:hAnsiTheme="majorHAnsi" w:cs="Arial"/>
                <w:color w:val="0070C0"/>
                <w:sz w:val="18"/>
                <w:szCs w:val="20"/>
              </w:rPr>
              <w:t>lytics</w:t>
            </w:r>
            <w:proofErr w:type="spellEnd"/>
            <w:r w:rsidRPr="002A256C">
              <w:rPr>
                <w:rFonts w:asciiTheme="majorHAnsi" w:hAnsiTheme="majorHAnsi" w:cs="Arial"/>
                <w:color w:val="0070C0"/>
                <w:sz w:val="18"/>
                <w:szCs w:val="20"/>
              </w:rPr>
              <w:t>)</w:t>
            </w:r>
            <w:r w:rsidRPr="002A256C">
              <w:rPr>
                <w:rFonts w:asciiTheme="majorHAnsi" w:hAnsiTheme="majorHAnsi" w:cs="Arial"/>
                <w:color w:val="0070C0"/>
                <w:sz w:val="18"/>
                <w:szCs w:val="20"/>
              </w:rPr>
              <w:br/>
              <w:t>          PCI for high risk Non-STEMI or unstable angina</w:t>
            </w:r>
            <w:r w:rsidRPr="002A256C">
              <w:rPr>
                <w:rFonts w:asciiTheme="majorHAnsi" w:hAnsiTheme="majorHAnsi" w:cs="Arial"/>
                <w:color w:val="0070C0"/>
                <w:sz w:val="18"/>
                <w:szCs w:val="20"/>
              </w:rPr>
              <w:br/>
              <w:t>          Staged PCI</w:t>
            </w:r>
            <w:r w:rsidRPr="002A256C">
              <w:rPr>
                <w:rFonts w:asciiTheme="majorHAnsi" w:hAnsiTheme="majorHAnsi" w:cs="Arial"/>
                <w:color w:val="0070C0"/>
                <w:sz w:val="18"/>
                <w:szCs w:val="20"/>
              </w:rPr>
              <w:br/>
              <w:t>          Other</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77F2A1D"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97691 (15.4%)</w:t>
            </w:r>
            <w:r w:rsidRPr="002A256C">
              <w:rPr>
                <w:rFonts w:asciiTheme="majorHAnsi" w:hAnsiTheme="majorHAnsi" w:cs="Arial"/>
                <w:color w:val="0070C0"/>
                <w:sz w:val="18"/>
                <w:szCs w:val="20"/>
              </w:rPr>
              <w:br/>
              <w:t>5944 (0.9%)</w:t>
            </w:r>
            <w:r w:rsidRPr="002A256C">
              <w:rPr>
                <w:rFonts w:asciiTheme="majorHAnsi" w:hAnsiTheme="majorHAnsi" w:cs="Arial"/>
                <w:color w:val="0070C0"/>
                <w:sz w:val="18"/>
                <w:szCs w:val="20"/>
              </w:rPr>
              <w:br/>
              <w:t>2546 (0.4%)</w:t>
            </w:r>
            <w:r w:rsidRPr="002A256C">
              <w:rPr>
                <w:rFonts w:asciiTheme="majorHAnsi" w:hAnsiTheme="majorHAnsi" w:cs="Arial"/>
                <w:color w:val="0070C0"/>
                <w:sz w:val="18"/>
                <w:szCs w:val="20"/>
              </w:rPr>
              <w:br/>
              <w:t>2221 (0.4%)</w:t>
            </w:r>
            <w:r w:rsidRPr="002A256C">
              <w:rPr>
                <w:rFonts w:asciiTheme="majorHAnsi" w:hAnsiTheme="majorHAnsi" w:cs="Arial"/>
                <w:color w:val="0070C0"/>
                <w:sz w:val="18"/>
                <w:szCs w:val="20"/>
              </w:rPr>
              <w:br/>
              <w:t>3364 (0.5%)</w:t>
            </w:r>
            <w:r w:rsidRPr="002A256C">
              <w:rPr>
                <w:rFonts w:asciiTheme="majorHAnsi" w:hAnsiTheme="majorHAnsi" w:cs="Arial"/>
                <w:color w:val="0070C0"/>
                <w:sz w:val="18"/>
                <w:szCs w:val="20"/>
              </w:rPr>
              <w:br/>
              <w:t>332909 (52.5%)</w:t>
            </w:r>
            <w:r w:rsidRPr="002A256C">
              <w:rPr>
                <w:rFonts w:asciiTheme="majorHAnsi" w:hAnsiTheme="majorHAnsi" w:cs="Arial"/>
                <w:color w:val="0070C0"/>
                <w:sz w:val="18"/>
                <w:szCs w:val="20"/>
              </w:rPr>
              <w:br/>
              <w:t>34929 (5.5%)</w:t>
            </w:r>
            <w:r w:rsidRPr="002A256C">
              <w:rPr>
                <w:rFonts w:asciiTheme="majorHAnsi" w:hAnsiTheme="majorHAnsi" w:cs="Arial"/>
                <w:color w:val="0070C0"/>
                <w:sz w:val="18"/>
                <w:szCs w:val="20"/>
              </w:rPr>
              <w:br/>
              <w:t>154318 (24.3%)</w:t>
            </w:r>
            <w:r w:rsidRPr="002A256C">
              <w:rPr>
                <w:rFonts w:asciiTheme="majorHAnsi" w:hAnsiTheme="majorHAnsi" w:cs="Arial"/>
                <w:color w:val="0070C0"/>
                <w:sz w:val="18"/>
                <w:szCs w:val="20"/>
              </w:rPr>
              <w:br/>
              <w:t>162</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47F4F49"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5516 (54.0%)</w:t>
            </w:r>
            <w:r w:rsidRPr="002A256C">
              <w:rPr>
                <w:rFonts w:asciiTheme="majorHAnsi" w:hAnsiTheme="majorHAnsi" w:cs="Arial"/>
                <w:color w:val="0070C0"/>
                <w:sz w:val="18"/>
                <w:szCs w:val="20"/>
              </w:rPr>
              <w:br/>
              <w:t>498 (4.9%)</w:t>
            </w:r>
            <w:r w:rsidRPr="002A256C">
              <w:rPr>
                <w:rFonts w:asciiTheme="majorHAnsi" w:hAnsiTheme="majorHAnsi" w:cs="Arial"/>
                <w:color w:val="0070C0"/>
                <w:sz w:val="18"/>
                <w:szCs w:val="20"/>
              </w:rPr>
              <w:br/>
              <w:t>72 (0.7%)</w:t>
            </w:r>
            <w:r w:rsidRPr="002A256C">
              <w:rPr>
                <w:rFonts w:asciiTheme="majorHAnsi" w:hAnsiTheme="majorHAnsi" w:cs="Arial"/>
                <w:color w:val="0070C0"/>
                <w:sz w:val="18"/>
                <w:szCs w:val="20"/>
              </w:rPr>
              <w:br/>
              <w:t>15 (0.1%)</w:t>
            </w:r>
            <w:r w:rsidRPr="002A256C">
              <w:rPr>
                <w:rFonts w:asciiTheme="majorHAnsi" w:hAnsiTheme="majorHAnsi" w:cs="Arial"/>
                <w:color w:val="0070C0"/>
                <w:sz w:val="18"/>
                <w:szCs w:val="20"/>
              </w:rPr>
              <w:br/>
              <w:t>172 (1.7%)</w:t>
            </w:r>
            <w:r w:rsidRPr="002A256C">
              <w:rPr>
                <w:rFonts w:asciiTheme="majorHAnsi" w:hAnsiTheme="majorHAnsi" w:cs="Arial"/>
                <w:color w:val="0070C0"/>
                <w:sz w:val="18"/>
                <w:szCs w:val="20"/>
              </w:rPr>
              <w:br/>
              <w:t>3231 (31.6%)</w:t>
            </w:r>
            <w:r w:rsidRPr="002A256C">
              <w:rPr>
                <w:rFonts w:asciiTheme="majorHAnsi" w:hAnsiTheme="majorHAnsi" w:cs="Arial"/>
                <w:color w:val="0070C0"/>
                <w:sz w:val="18"/>
                <w:szCs w:val="20"/>
              </w:rPr>
              <w:br/>
              <w:t>98 (1.0%)</w:t>
            </w:r>
            <w:r w:rsidRPr="002A256C">
              <w:rPr>
                <w:rFonts w:asciiTheme="majorHAnsi" w:hAnsiTheme="majorHAnsi" w:cs="Arial"/>
                <w:color w:val="0070C0"/>
                <w:sz w:val="18"/>
                <w:szCs w:val="20"/>
              </w:rPr>
              <w:br/>
              <w:t>607 (5.9%)</w:t>
            </w:r>
            <w:r w:rsidRPr="002A256C">
              <w:rPr>
                <w:rFonts w:asciiTheme="majorHAnsi" w:hAnsiTheme="majorHAnsi" w:cs="Arial"/>
                <w:color w:val="0070C0"/>
                <w:sz w:val="18"/>
                <w:szCs w:val="20"/>
              </w:rPr>
              <w:br/>
              <w:t>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3117891"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92175 (14.8%)</w:t>
            </w:r>
            <w:r w:rsidRPr="002A256C">
              <w:rPr>
                <w:rFonts w:asciiTheme="majorHAnsi" w:hAnsiTheme="majorHAnsi" w:cs="Arial"/>
                <w:color w:val="0070C0"/>
                <w:sz w:val="18"/>
                <w:szCs w:val="20"/>
              </w:rPr>
              <w:br/>
              <w:t>5446 (0.9%)</w:t>
            </w:r>
            <w:r w:rsidRPr="002A256C">
              <w:rPr>
                <w:rFonts w:asciiTheme="majorHAnsi" w:hAnsiTheme="majorHAnsi" w:cs="Arial"/>
                <w:color w:val="0070C0"/>
                <w:sz w:val="18"/>
                <w:szCs w:val="20"/>
              </w:rPr>
              <w:br/>
              <w:t>2474 (0.4%)</w:t>
            </w:r>
            <w:r w:rsidRPr="002A256C">
              <w:rPr>
                <w:rFonts w:asciiTheme="majorHAnsi" w:hAnsiTheme="majorHAnsi" w:cs="Arial"/>
                <w:color w:val="0070C0"/>
                <w:sz w:val="18"/>
                <w:szCs w:val="20"/>
              </w:rPr>
              <w:br/>
              <w:t>2206 (0.4%)</w:t>
            </w:r>
            <w:r w:rsidRPr="002A256C">
              <w:rPr>
                <w:rFonts w:asciiTheme="majorHAnsi" w:hAnsiTheme="majorHAnsi" w:cs="Arial"/>
                <w:color w:val="0070C0"/>
                <w:sz w:val="18"/>
                <w:szCs w:val="20"/>
              </w:rPr>
              <w:br/>
              <w:t>3192 (0.5%)</w:t>
            </w:r>
            <w:r w:rsidRPr="002A256C">
              <w:rPr>
                <w:rFonts w:asciiTheme="majorHAnsi" w:hAnsiTheme="majorHAnsi" w:cs="Arial"/>
                <w:color w:val="0070C0"/>
                <w:sz w:val="18"/>
                <w:szCs w:val="20"/>
              </w:rPr>
              <w:br/>
              <w:t>329678 (52.9%)</w:t>
            </w:r>
            <w:r w:rsidRPr="002A256C">
              <w:rPr>
                <w:rFonts w:asciiTheme="majorHAnsi" w:hAnsiTheme="majorHAnsi" w:cs="Arial"/>
                <w:color w:val="0070C0"/>
                <w:sz w:val="18"/>
                <w:szCs w:val="20"/>
              </w:rPr>
              <w:br/>
              <w:t>34831 (5.6%)</w:t>
            </w:r>
            <w:r w:rsidRPr="002A256C">
              <w:rPr>
                <w:rFonts w:asciiTheme="majorHAnsi" w:hAnsiTheme="majorHAnsi" w:cs="Arial"/>
                <w:color w:val="0070C0"/>
                <w:sz w:val="18"/>
                <w:szCs w:val="20"/>
              </w:rPr>
              <w:br/>
              <w:t>153711 (24.6%)</w:t>
            </w:r>
            <w:r w:rsidRPr="002A256C">
              <w:rPr>
                <w:rFonts w:asciiTheme="majorHAnsi" w:hAnsiTheme="majorHAnsi" w:cs="Arial"/>
                <w:color w:val="0070C0"/>
                <w:sz w:val="18"/>
                <w:szCs w:val="20"/>
              </w:rPr>
              <w:br/>
              <w:t>159</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04B0C5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4F92C839"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2F34816C"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CAD Presentation</w:t>
            </w:r>
            <w:r w:rsidRPr="002A256C">
              <w:rPr>
                <w:rFonts w:asciiTheme="majorHAnsi" w:hAnsiTheme="majorHAnsi" w:cs="Arial"/>
                <w:color w:val="0070C0"/>
                <w:sz w:val="18"/>
                <w:szCs w:val="20"/>
              </w:rPr>
              <w:br/>
              <w:t>          No symptom, no angina</w:t>
            </w:r>
            <w:r w:rsidRPr="002A256C">
              <w:rPr>
                <w:rFonts w:asciiTheme="majorHAnsi" w:hAnsiTheme="majorHAnsi" w:cs="Arial"/>
                <w:color w:val="0070C0"/>
                <w:sz w:val="18"/>
                <w:szCs w:val="20"/>
              </w:rPr>
              <w:br/>
              <w:t>          Symptom unlikely to be ischemic</w:t>
            </w:r>
            <w:r w:rsidRPr="002A256C">
              <w:rPr>
                <w:rFonts w:asciiTheme="majorHAnsi" w:hAnsiTheme="majorHAnsi" w:cs="Arial"/>
                <w:color w:val="0070C0"/>
                <w:sz w:val="18"/>
                <w:szCs w:val="20"/>
              </w:rPr>
              <w:br/>
              <w:t>          Stable angina</w:t>
            </w:r>
            <w:r w:rsidRPr="002A256C">
              <w:rPr>
                <w:rFonts w:asciiTheme="majorHAnsi" w:hAnsiTheme="majorHAnsi" w:cs="Arial"/>
                <w:color w:val="0070C0"/>
                <w:sz w:val="18"/>
                <w:szCs w:val="20"/>
              </w:rPr>
              <w:br/>
              <w:t>          Unstable angina</w:t>
            </w:r>
            <w:r w:rsidRPr="002A256C">
              <w:rPr>
                <w:rFonts w:asciiTheme="majorHAnsi" w:hAnsiTheme="majorHAnsi" w:cs="Arial"/>
                <w:color w:val="0070C0"/>
                <w:sz w:val="18"/>
                <w:szCs w:val="20"/>
              </w:rPr>
              <w:br/>
              <w:t>          Non-STEMI</w:t>
            </w:r>
            <w:r w:rsidRPr="002A256C">
              <w:rPr>
                <w:rFonts w:asciiTheme="majorHAnsi" w:hAnsiTheme="majorHAnsi" w:cs="Arial"/>
                <w:color w:val="0070C0"/>
                <w:sz w:val="18"/>
                <w:szCs w:val="20"/>
              </w:rPr>
              <w:br/>
              <w:t>          ST-Elevation MI (STEMI) or equivalent</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C55D33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35865 (5.7%)</w:t>
            </w:r>
            <w:r w:rsidRPr="002A256C">
              <w:rPr>
                <w:rFonts w:asciiTheme="majorHAnsi" w:hAnsiTheme="majorHAnsi" w:cs="Arial"/>
                <w:color w:val="0070C0"/>
                <w:sz w:val="18"/>
                <w:szCs w:val="20"/>
              </w:rPr>
              <w:br/>
              <w:t>14307 (2.3%)</w:t>
            </w:r>
            <w:r w:rsidRPr="002A256C">
              <w:rPr>
                <w:rFonts w:asciiTheme="majorHAnsi" w:hAnsiTheme="majorHAnsi" w:cs="Arial"/>
                <w:color w:val="0070C0"/>
                <w:sz w:val="18"/>
                <w:szCs w:val="20"/>
              </w:rPr>
              <w:br/>
              <w:t>89810 (14.2%)</w:t>
            </w:r>
            <w:r w:rsidRPr="002A256C">
              <w:rPr>
                <w:rFonts w:asciiTheme="majorHAnsi" w:hAnsiTheme="majorHAnsi" w:cs="Arial"/>
                <w:color w:val="0070C0"/>
                <w:sz w:val="18"/>
                <w:szCs w:val="20"/>
              </w:rPr>
              <w:br/>
              <w:t>249827 (39.4%)</w:t>
            </w:r>
            <w:r w:rsidRPr="002A256C">
              <w:rPr>
                <w:rFonts w:asciiTheme="majorHAnsi" w:hAnsiTheme="majorHAnsi" w:cs="Arial"/>
                <w:color w:val="0070C0"/>
                <w:sz w:val="18"/>
                <w:szCs w:val="20"/>
              </w:rPr>
              <w:br/>
              <w:t>134840 (21.3%)</w:t>
            </w:r>
            <w:r w:rsidRPr="002A256C">
              <w:rPr>
                <w:rFonts w:asciiTheme="majorHAnsi" w:hAnsiTheme="majorHAnsi" w:cs="Arial"/>
                <w:color w:val="0070C0"/>
                <w:sz w:val="18"/>
                <w:szCs w:val="20"/>
              </w:rPr>
              <w:br/>
              <w:t>109286 (17.2%)</w:t>
            </w:r>
            <w:r w:rsidRPr="002A256C">
              <w:rPr>
                <w:rFonts w:asciiTheme="majorHAnsi" w:hAnsiTheme="majorHAnsi" w:cs="Arial"/>
                <w:color w:val="0070C0"/>
                <w:sz w:val="18"/>
                <w:szCs w:val="20"/>
              </w:rPr>
              <w:br/>
              <w:t>149</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393D92A"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328 (3.2%)</w:t>
            </w:r>
            <w:r w:rsidRPr="002A256C">
              <w:rPr>
                <w:rFonts w:asciiTheme="majorHAnsi" w:hAnsiTheme="majorHAnsi" w:cs="Arial"/>
                <w:color w:val="0070C0"/>
                <w:sz w:val="18"/>
                <w:szCs w:val="20"/>
              </w:rPr>
              <w:br/>
              <w:t>119 (1.2%)</w:t>
            </w:r>
            <w:r w:rsidRPr="002A256C">
              <w:rPr>
                <w:rFonts w:asciiTheme="majorHAnsi" w:hAnsiTheme="majorHAnsi" w:cs="Arial"/>
                <w:color w:val="0070C0"/>
                <w:sz w:val="18"/>
                <w:szCs w:val="20"/>
              </w:rPr>
              <w:br/>
              <w:t>137 (1.3%)</w:t>
            </w:r>
            <w:r w:rsidRPr="002A256C">
              <w:rPr>
                <w:rFonts w:asciiTheme="majorHAnsi" w:hAnsiTheme="majorHAnsi" w:cs="Arial"/>
                <w:color w:val="0070C0"/>
                <w:sz w:val="18"/>
                <w:szCs w:val="20"/>
              </w:rPr>
              <w:br/>
              <w:t>934 (9.1%)</w:t>
            </w:r>
            <w:r w:rsidRPr="002A256C">
              <w:rPr>
                <w:rFonts w:asciiTheme="majorHAnsi" w:hAnsiTheme="majorHAnsi" w:cs="Arial"/>
                <w:color w:val="0070C0"/>
                <w:sz w:val="18"/>
                <w:szCs w:val="20"/>
              </w:rPr>
              <w:br/>
              <w:t>2539 (24.9%)</w:t>
            </w:r>
            <w:r w:rsidRPr="002A256C">
              <w:rPr>
                <w:rFonts w:asciiTheme="majorHAnsi" w:hAnsiTheme="majorHAnsi" w:cs="Arial"/>
                <w:color w:val="0070C0"/>
                <w:sz w:val="18"/>
                <w:szCs w:val="20"/>
              </w:rPr>
              <w:br/>
              <w:t>6152 (60.3%)</w:t>
            </w:r>
            <w:r w:rsidRPr="002A256C">
              <w:rPr>
                <w:rFonts w:asciiTheme="majorHAnsi" w:hAnsiTheme="majorHAnsi" w:cs="Arial"/>
                <w:color w:val="0070C0"/>
                <w:sz w:val="18"/>
                <w:szCs w:val="20"/>
              </w:rPr>
              <w:br/>
              <w:t>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9FEFC58"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35537 (5.7%)</w:t>
            </w:r>
            <w:r w:rsidRPr="002A256C">
              <w:rPr>
                <w:rFonts w:asciiTheme="majorHAnsi" w:hAnsiTheme="majorHAnsi" w:cs="Arial"/>
                <w:color w:val="0070C0"/>
                <w:sz w:val="18"/>
                <w:szCs w:val="20"/>
              </w:rPr>
              <w:br/>
              <w:t>14188 (2.3%)</w:t>
            </w:r>
            <w:r w:rsidRPr="002A256C">
              <w:rPr>
                <w:rFonts w:asciiTheme="majorHAnsi" w:hAnsiTheme="majorHAnsi" w:cs="Arial"/>
                <w:color w:val="0070C0"/>
                <w:sz w:val="18"/>
                <w:szCs w:val="20"/>
              </w:rPr>
              <w:br/>
              <w:t>89673 (14.4%)</w:t>
            </w:r>
            <w:r w:rsidRPr="002A256C">
              <w:rPr>
                <w:rFonts w:asciiTheme="majorHAnsi" w:hAnsiTheme="majorHAnsi" w:cs="Arial"/>
                <w:color w:val="0070C0"/>
                <w:sz w:val="18"/>
                <w:szCs w:val="20"/>
              </w:rPr>
              <w:br/>
              <w:t>248893 (39.9%)</w:t>
            </w:r>
            <w:r w:rsidRPr="002A256C">
              <w:rPr>
                <w:rFonts w:asciiTheme="majorHAnsi" w:hAnsiTheme="majorHAnsi" w:cs="Arial"/>
                <w:color w:val="0070C0"/>
                <w:sz w:val="18"/>
                <w:szCs w:val="20"/>
              </w:rPr>
              <w:br/>
              <w:t>132301 (21.2%)</w:t>
            </w:r>
            <w:r w:rsidRPr="002A256C">
              <w:rPr>
                <w:rFonts w:asciiTheme="majorHAnsi" w:hAnsiTheme="majorHAnsi" w:cs="Arial"/>
                <w:color w:val="0070C0"/>
                <w:sz w:val="18"/>
                <w:szCs w:val="20"/>
              </w:rPr>
              <w:br/>
              <w:t>103134 (16.5%)</w:t>
            </w:r>
            <w:r w:rsidRPr="002A256C">
              <w:rPr>
                <w:rFonts w:asciiTheme="majorHAnsi" w:hAnsiTheme="majorHAnsi" w:cs="Arial"/>
                <w:color w:val="0070C0"/>
                <w:sz w:val="18"/>
                <w:szCs w:val="20"/>
              </w:rPr>
              <w:br/>
              <w:t>146</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6239ED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57655710"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4D180C3F"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Heart Failure w/in 2 Weeks</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E9AA90D"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66417 (10.5%)</w:t>
            </w:r>
            <w:r w:rsidRPr="002A256C">
              <w:rPr>
                <w:rFonts w:asciiTheme="majorHAnsi" w:hAnsiTheme="majorHAnsi" w:cs="Arial"/>
                <w:color w:val="0070C0"/>
                <w:sz w:val="18"/>
                <w:szCs w:val="20"/>
              </w:rPr>
              <w:br/>
              <w:t>275</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E541B3B"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3139 (30.8%)</w:t>
            </w:r>
            <w:r w:rsidRPr="002A256C">
              <w:rPr>
                <w:rFonts w:asciiTheme="majorHAnsi" w:hAnsiTheme="majorHAnsi" w:cs="Arial"/>
                <w:color w:val="0070C0"/>
                <w:sz w:val="18"/>
                <w:szCs w:val="20"/>
              </w:rPr>
              <w:br/>
              <w:t>10</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BA5998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63278 (10.1%)</w:t>
            </w:r>
            <w:r w:rsidRPr="002A256C">
              <w:rPr>
                <w:rFonts w:asciiTheme="majorHAnsi" w:hAnsiTheme="majorHAnsi" w:cs="Arial"/>
                <w:color w:val="0070C0"/>
                <w:sz w:val="18"/>
                <w:szCs w:val="20"/>
              </w:rPr>
              <w:br/>
              <w:t>265</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AFF838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7510C278"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65C9E12B"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Cardiomyopathy or Left Ventricular Systolic Dysfunction</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CD01F18"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68481 (10.8%)</w:t>
            </w:r>
            <w:r w:rsidRPr="002A256C">
              <w:rPr>
                <w:rFonts w:asciiTheme="majorHAnsi" w:hAnsiTheme="majorHAnsi" w:cs="Arial"/>
                <w:color w:val="0070C0"/>
                <w:sz w:val="18"/>
                <w:szCs w:val="20"/>
              </w:rPr>
              <w:br/>
              <w:t>156</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745817C"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2274 (22.3%)</w:t>
            </w:r>
            <w:r w:rsidRPr="002A256C">
              <w:rPr>
                <w:rFonts w:asciiTheme="majorHAnsi" w:hAnsiTheme="majorHAnsi" w:cs="Arial"/>
                <w:color w:val="0070C0"/>
                <w:sz w:val="18"/>
                <w:szCs w:val="20"/>
              </w:rPr>
              <w:br/>
              <w:t>2</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30853A81"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66207 (10.6%)</w:t>
            </w:r>
            <w:r w:rsidRPr="002A256C">
              <w:rPr>
                <w:rFonts w:asciiTheme="majorHAnsi" w:hAnsiTheme="majorHAnsi" w:cs="Arial"/>
                <w:color w:val="0070C0"/>
                <w:sz w:val="18"/>
                <w:szCs w:val="20"/>
              </w:rPr>
              <w:br/>
              <w:t>154</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222332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2E24E2BE"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1F015FFF"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Pre-operative Evaluation Before Non-Cardiac Surgery</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2CC817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11823 (1.9%)</w:t>
            </w:r>
            <w:r w:rsidRPr="002A256C">
              <w:rPr>
                <w:rFonts w:asciiTheme="majorHAnsi" w:hAnsiTheme="majorHAnsi" w:cs="Arial"/>
                <w:color w:val="0070C0"/>
                <w:sz w:val="18"/>
                <w:szCs w:val="20"/>
              </w:rPr>
              <w:br/>
              <w:t>223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A90A008"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101 (1.0%)</w:t>
            </w:r>
            <w:r w:rsidRPr="002A256C">
              <w:rPr>
                <w:rFonts w:asciiTheme="majorHAnsi" w:hAnsiTheme="majorHAnsi" w:cs="Arial"/>
                <w:color w:val="0070C0"/>
                <w:sz w:val="18"/>
                <w:szCs w:val="20"/>
              </w:rPr>
              <w:br/>
              <w:t>2</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95823E8"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11722 (1.9%)</w:t>
            </w:r>
            <w:r w:rsidRPr="002A256C">
              <w:rPr>
                <w:rFonts w:asciiTheme="majorHAnsi" w:hAnsiTheme="majorHAnsi" w:cs="Arial"/>
                <w:color w:val="0070C0"/>
                <w:sz w:val="18"/>
                <w:szCs w:val="20"/>
              </w:rPr>
              <w:br/>
              <w:t>221</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5663C52"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48D80446"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581B5B67"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Cardiogenic Shock w/in 24 Hours</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C8E6A17"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13197 (2.1%)</w:t>
            </w:r>
            <w:r w:rsidRPr="002A256C">
              <w:rPr>
                <w:rFonts w:asciiTheme="majorHAnsi" w:hAnsiTheme="majorHAnsi" w:cs="Arial"/>
                <w:color w:val="0070C0"/>
                <w:sz w:val="18"/>
                <w:szCs w:val="20"/>
              </w:rPr>
              <w:br/>
              <w:t>109</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E88CED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4528 (44.3%)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17504AD"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8669 (1.4%)</w:t>
            </w:r>
            <w:r w:rsidRPr="002A256C">
              <w:rPr>
                <w:rFonts w:asciiTheme="majorHAnsi" w:hAnsiTheme="majorHAnsi" w:cs="Arial"/>
                <w:color w:val="0070C0"/>
                <w:sz w:val="18"/>
                <w:szCs w:val="20"/>
              </w:rPr>
              <w:br/>
              <w:t>109</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1411539"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12CE5009"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2228BFBB"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Cardiac Arrest w/in 24 Hours</w:t>
            </w:r>
            <w:r w:rsidRPr="002A256C">
              <w:rPr>
                <w:rFonts w:asciiTheme="majorHAnsi" w:hAnsiTheme="majorHAnsi" w:cs="Arial"/>
                <w:color w:val="0070C0"/>
                <w:sz w:val="18"/>
                <w:szCs w:val="20"/>
              </w:rPr>
              <w:br/>
              <w:t>          Missing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0503BA8"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13637 (2.2%)</w:t>
            </w:r>
            <w:r w:rsidRPr="002A256C">
              <w:rPr>
                <w:rFonts w:asciiTheme="majorHAnsi" w:hAnsiTheme="majorHAnsi" w:cs="Arial"/>
                <w:color w:val="0070C0"/>
                <w:sz w:val="18"/>
                <w:szCs w:val="20"/>
              </w:rPr>
              <w:br/>
              <w:t>178</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710D63E3"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3559 (34.9%)</w:t>
            </w:r>
            <w:r w:rsidRPr="002A256C">
              <w:rPr>
                <w:rFonts w:asciiTheme="majorHAnsi" w:hAnsiTheme="majorHAnsi" w:cs="Arial"/>
                <w:color w:val="0070C0"/>
                <w:sz w:val="18"/>
                <w:szCs w:val="20"/>
              </w:rPr>
              <w:br/>
              <w:t>3</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9BDDCB9"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10078 (1.6%)</w:t>
            </w:r>
            <w:r w:rsidRPr="002A256C">
              <w:rPr>
                <w:rFonts w:asciiTheme="majorHAnsi" w:hAnsiTheme="majorHAnsi" w:cs="Arial"/>
                <w:color w:val="0070C0"/>
                <w:sz w:val="18"/>
                <w:szCs w:val="20"/>
              </w:rPr>
              <w:br/>
              <w:t>175</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3C9765A"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075E7820"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0FE12E22"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Pre-PCI Left Ventricular Ejection Fraction</w:t>
            </w:r>
            <w:r w:rsidRPr="002A256C">
              <w:rPr>
                <w:rFonts w:asciiTheme="majorHAnsi" w:hAnsiTheme="majorHAnsi" w:cs="Arial"/>
                <w:color w:val="0070C0"/>
                <w:sz w:val="18"/>
                <w:szCs w:val="20"/>
              </w:rPr>
              <w:br/>
              <w:t>          Missing</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4CB37F0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52.4 ± 12.5</w:t>
            </w:r>
            <w:r w:rsidRPr="002A256C">
              <w:rPr>
                <w:rFonts w:asciiTheme="majorHAnsi" w:hAnsiTheme="majorHAnsi" w:cs="Arial"/>
                <w:color w:val="0070C0"/>
                <w:sz w:val="18"/>
                <w:szCs w:val="20"/>
              </w:rPr>
              <w:br/>
              <w:t>188804</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D1E187A"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37.8 ± 16.1</w:t>
            </w:r>
            <w:r w:rsidRPr="002A256C">
              <w:rPr>
                <w:rFonts w:asciiTheme="majorHAnsi" w:hAnsiTheme="majorHAnsi" w:cs="Arial"/>
                <w:color w:val="0070C0"/>
                <w:sz w:val="18"/>
                <w:szCs w:val="20"/>
              </w:rPr>
              <w:br/>
              <w:t>5396</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269DB260"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52.5 ± 12.4</w:t>
            </w:r>
            <w:r w:rsidRPr="002A256C">
              <w:rPr>
                <w:rFonts w:asciiTheme="majorHAnsi" w:hAnsiTheme="majorHAnsi" w:cs="Arial"/>
                <w:color w:val="0070C0"/>
                <w:sz w:val="18"/>
                <w:szCs w:val="20"/>
              </w:rPr>
              <w:br/>
              <w:t>183408</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AD0CD3E"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2DF3E990"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4E332ABB" w14:textId="77777777" w:rsidR="00F55847" w:rsidRPr="002A256C" w:rsidRDefault="00F55847" w:rsidP="00F55847">
            <w:pPr>
              <w:adjustRightInd w:val="0"/>
              <w:spacing w:before="60" w:after="60"/>
              <w:rPr>
                <w:rFonts w:asciiTheme="majorHAnsi" w:hAnsiTheme="majorHAnsi" w:cs="Arial"/>
                <w:b/>
                <w:bCs/>
                <w:i/>
                <w:iCs/>
                <w:color w:val="0070C0"/>
                <w:sz w:val="18"/>
                <w:szCs w:val="20"/>
              </w:rPr>
            </w:pPr>
            <w:r w:rsidRPr="002A256C">
              <w:rPr>
                <w:rFonts w:asciiTheme="majorHAnsi" w:hAnsiTheme="majorHAnsi" w:cs="Arial"/>
                <w:b/>
                <w:bCs/>
                <w:i/>
                <w:iCs/>
                <w:color w:val="0070C0"/>
                <w:sz w:val="18"/>
                <w:szCs w:val="20"/>
              </w:rPr>
              <w:t>Outcomes</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BFB303C"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E7641A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69C1143B"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F320B9A"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xml:space="preserve"> </w:t>
            </w:r>
          </w:p>
        </w:tc>
      </w:tr>
      <w:tr w:rsidR="002A256C" w:rsidRPr="002A256C" w14:paraId="7C303F83" w14:textId="77777777" w:rsidTr="00F55847">
        <w:trPr>
          <w:cantSplit/>
          <w:jc w:val="center"/>
        </w:trPr>
        <w:tc>
          <w:tcPr>
            <w:tcW w:w="5882" w:type="dxa"/>
            <w:tcBorders>
              <w:top w:val="nil"/>
              <w:left w:val="single" w:sz="6" w:space="0" w:color="000000"/>
              <w:bottom w:val="single" w:sz="2" w:space="0" w:color="000000"/>
              <w:right w:val="nil"/>
            </w:tcBorders>
            <w:shd w:val="clear" w:color="auto" w:fill="FFFFFF"/>
            <w:tcMar>
              <w:left w:w="60" w:type="dxa"/>
              <w:right w:w="60" w:type="dxa"/>
            </w:tcMar>
          </w:tcPr>
          <w:p w14:paraId="01541242" w14:textId="77777777" w:rsidR="00F55847" w:rsidRPr="002A256C" w:rsidRDefault="00F55847" w:rsidP="00F55847">
            <w:pPr>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     Discharge Status</w:t>
            </w:r>
            <w:r w:rsidRPr="002A256C">
              <w:rPr>
                <w:rFonts w:asciiTheme="majorHAnsi" w:hAnsiTheme="majorHAnsi" w:cs="Arial"/>
                <w:color w:val="0070C0"/>
                <w:sz w:val="18"/>
                <w:szCs w:val="20"/>
              </w:rPr>
              <w:br/>
              <w:t>          Alive</w:t>
            </w:r>
            <w:r w:rsidRPr="002A256C">
              <w:rPr>
                <w:rFonts w:asciiTheme="majorHAnsi" w:hAnsiTheme="majorHAnsi" w:cs="Arial"/>
                <w:color w:val="0070C0"/>
                <w:sz w:val="18"/>
                <w:szCs w:val="20"/>
              </w:rPr>
              <w:br/>
              <w:t>          Deceased</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114D1265"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623872 (98.4%)</w:t>
            </w:r>
            <w:r w:rsidRPr="002A256C">
              <w:rPr>
                <w:rFonts w:asciiTheme="majorHAnsi" w:hAnsiTheme="majorHAnsi" w:cs="Arial"/>
                <w:color w:val="0070C0"/>
                <w:sz w:val="18"/>
                <w:szCs w:val="20"/>
              </w:rPr>
              <w:br/>
              <w:t>10212 (1.6%)</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54C76AC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0 (0.0%)</w:t>
            </w:r>
            <w:r w:rsidRPr="002A256C">
              <w:rPr>
                <w:rFonts w:asciiTheme="majorHAnsi" w:hAnsiTheme="majorHAnsi" w:cs="Arial"/>
                <w:color w:val="0070C0"/>
                <w:sz w:val="18"/>
                <w:szCs w:val="20"/>
              </w:rPr>
              <w:br/>
              <w:t>10212 (100.0%)</w:t>
            </w:r>
          </w:p>
        </w:tc>
        <w:tc>
          <w:tcPr>
            <w:tcW w:w="1484" w:type="dxa"/>
            <w:tcBorders>
              <w:top w:val="nil"/>
              <w:left w:val="single" w:sz="2" w:space="0" w:color="000000"/>
              <w:bottom w:val="single" w:sz="2" w:space="0" w:color="000000"/>
              <w:right w:val="nil"/>
            </w:tcBorders>
            <w:shd w:val="clear" w:color="auto" w:fill="FFFFFF"/>
            <w:tcMar>
              <w:left w:w="60" w:type="dxa"/>
              <w:right w:w="60" w:type="dxa"/>
            </w:tcMar>
          </w:tcPr>
          <w:p w14:paraId="01595C6F"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 </w:t>
            </w:r>
            <w:r w:rsidRPr="002A256C">
              <w:rPr>
                <w:rFonts w:asciiTheme="majorHAnsi" w:hAnsiTheme="majorHAnsi" w:cs="Arial"/>
                <w:color w:val="0070C0"/>
                <w:sz w:val="18"/>
                <w:szCs w:val="20"/>
              </w:rPr>
              <w:br/>
              <w:t>623872 (100.0%)</w:t>
            </w:r>
            <w:r w:rsidRPr="002A256C">
              <w:rPr>
                <w:rFonts w:asciiTheme="majorHAnsi" w:hAnsiTheme="majorHAnsi" w:cs="Arial"/>
                <w:color w:val="0070C0"/>
                <w:sz w:val="18"/>
                <w:szCs w:val="20"/>
              </w:rPr>
              <w:br/>
              <w:t>0 (0.0%)</w:t>
            </w:r>
          </w:p>
        </w:tc>
        <w:tc>
          <w:tcPr>
            <w:tcW w:w="1165"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C3BC638" w14:textId="77777777" w:rsidR="00F55847" w:rsidRPr="002A256C" w:rsidRDefault="00F55847" w:rsidP="00F55847">
            <w:pPr>
              <w:adjustRightInd w:val="0"/>
              <w:spacing w:before="60" w:after="60"/>
              <w:jc w:val="center"/>
              <w:rPr>
                <w:rFonts w:asciiTheme="majorHAnsi" w:hAnsiTheme="majorHAnsi" w:cs="Arial"/>
                <w:color w:val="0070C0"/>
                <w:sz w:val="18"/>
                <w:szCs w:val="20"/>
              </w:rPr>
            </w:pPr>
            <w:r w:rsidRPr="002A256C">
              <w:rPr>
                <w:rFonts w:asciiTheme="majorHAnsi" w:hAnsiTheme="majorHAnsi" w:cs="Arial"/>
                <w:color w:val="0070C0"/>
                <w:sz w:val="18"/>
                <w:szCs w:val="20"/>
              </w:rPr>
              <w:t>&lt; 0.001</w:t>
            </w:r>
          </w:p>
        </w:tc>
      </w:tr>
      <w:tr w:rsidR="002A256C" w:rsidRPr="002A256C" w14:paraId="6F0574DA" w14:textId="77777777" w:rsidTr="00F55847">
        <w:trPr>
          <w:cantSplit/>
          <w:jc w:val="center"/>
        </w:trPr>
        <w:tc>
          <w:tcPr>
            <w:tcW w:w="11499" w:type="dxa"/>
            <w:gridSpan w:val="5"/>
            <w:tcBorders>
              <w:top w:val="nil"/>
              <w:left w:val="single" w:sz="6" w:space="0" w:color="000000"/>
              <w:bottom w:val="single" w:sz="6" w:space="0" w:color="000000"/>
              <w:right w:val="single" w:sz="6" w:space="0" w:color="000000"/>
            </w:tcBorders>
            <w:shd w:val="clear" w:color="auto" w:fill="BBBBBB"/>
            <w:tcMar>
              <w:left w:w="60" w:type="dxa"/>
              <w:right w:w="60" w:type="dxa"/>
            </w:tcMar>
            <w:vAlign w:val="bottom"/>
          </w:tcPr>
          <w:p w14:paraId="620182D8" w14:textId="77777777" w:rsidR="00F55847" w:rsidRPr="002A256C" w:rsidRDefault="00F55847" w:rsidP="00F55847">
            <w:pPr>
              <w:keepNext/>
              <w:adjustRightInd w:val="0"/>
              <w:spacing w:before="60" w:after="60"/>
              <w:rPr>
                <w:rFonts w:asciiTheme="majorHAnsi" w:hAnsiTheme="majorHAnsi" w:cs="Arial"/>
                <w:color w:val="0070C0"/>
                <w:sz w:val="18"/>
                <w:szCs w:val="20"/>
              </w:rPr>
            </w:pPr>
            <w:r w:rsidRPr="002A256C">
              <w:rPr>
                <w:rFonts w:asciiTheme="majorHAnsi" w:hAnsiTheme="majorHAnsi" w:cs="Arial"/>
                <w:color w:val="0070C0"/>
                <w:sz w:val="18"/>
                <w:szCs w:val="20"/>
              </w:rPr>
              <w:t>Continuous variables compared using Student's T-test.</w:t>
            </w:r>
            <w:r w:rsidRPr="002A256C">
              <w:rPr>
                <w:rFonts w:asciiTheme="majorHAnsi" w:hAnsiTheme="majorHAnsi" w:cs="Arial"/>
                <w:color w:val="0070C0"/>
                <w:sz w:val="18"/>
                <w:szCs w:val="20"/>
              </w:rPr>
              <w:br/>
              <w:t>Categorical variables compared using chi-square or Fisher's exact test.</w:t>
            </w:r>
          </w:p>
        </w:tc>
      </w:tr>
    </w:tbl>
    <w:p w14:paraId="0CABCFC9" w14:textId="77777777" w:rsidR="007422FD" w:rsidRDefault="007422FD" w:rsidP="00DB3627">
      <w:pPr>
        <w:autoSpaceDE w:val="0"/>
        <w:autoSpaceDN w:val="0"/>
        <w:adjustRightInd w:val="0"/>
        <w:spacing w:after="0" w:line="240" w:lineRule="auto"/>
        <w:rPr>
          <w:rFonts w:cstheme="minorHAnsi"/>
          <w:bCs/>
        </w:rPr>
      </w:pPr>
    </w:p>
    <w:p w14:paraId="0CABCFCA" w14:textId="70C85FF9"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15CC528D" w14:textId="77777777" w:rsidR="00F55847" w:rsidRPr="002A256C" w:rsidRDefault="00F55847" w:rsidP="00F55847">
      <w:pPr>
        <w:autoSpaceDE w:val="0"/>
        <w:autoSpaceDN w:val="0"/>
        <w:adjustRightInd w:val="0"/>
        <w:spacing w:after="0" w:line="240" w:lineRule="auto"/>
        <w:rPr>
          <w:rFonts w:cstheme="minorHAnsi"/>
          <w:bCs/>
          <w:color w:val="0070C0"/>
        </w:rPr>
      </w:pPr>
      <w:r w:rsidRPr="002A256C">
        <w:rPr>
          <w:rFonts w:cstheme="minorHAnsi"/>
          <w:bCs/>
          <w:color w:val="0070C0"/>
        </w:rPr>
        <w:t xml:space="preserve">We used the same data described above for all aspects of this supplement, except for the test-retest reliability of the data elements, where we restricted the sample to those with 2 procedures in 2012. </w:t>
      </w:r>
    </w:p>
    <w:p w14:paraId="5216D575" w14:textId="77777777" w:rsidR="00F55847" w:rsidRDefault="00F55847" w:rsidP="00E37E1B">
      <w:pPr>
        <w:autoSpaceDE w:val="0"/>
        <w:autoSpaceDN w:val="0"/>
        <w:adjustRightInd w:val="0"/>
        <w:spacing w:after="0" w:line="240" w:lineRule="auto"/>
        <w:rPr>
          <w:rFonts w:cstheme="minorHAnsi"/>
          <w:bCs/>
        </w:rPr>
      </w:pP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F7493D">
        <w:rPr>
          <w:rFonts w:cstheme="minorHAnsi"/>
          <w:b/>
          <w:bCs/>
          <w:highlight w:val="yellow"/>
        </w:rPr>
        <w:t>1.8</w:t>
      </w:r>
      <w:r w:rsidRPr="00F7493D">
        <w:rPr>
          <w:rFonts w:cstheme="minorHAnsi"/>
          <w:bCs/>
          <w:highlight w:val="yellow"/>
        </w:rPr>
        <w:t xml:space="preserve"> </w:t>
      </w:r>
      <w:r w:rsidRPr="00F7493D">
        <w:rPr>
          <w:rFonts w:cstheme="minorHAnsi"/>
          <w:b/>
          <w:bCs/>
          <w:highlight w:val="yellow"/>
        </w:rPr>
        <w:t xml:space="preserve">What were the </w:t>
      </w:r>
      <w:r w:rsidR="009C7513" w:rsidRPr="00F7493D">
        <w:rPr>
          <w:rFonts w:cstheme="minorHAnsi"/>
          <w:b/>
          <w:bCs/>
          <w:highlight w:val="yellow"/>
        </w:rPr>
        <w:t>social risk factors</w:t>
      </w:r>
      <w:r w:rsidRPr="00F7493D">
        <w:rPr>
          <w:rFonts w:cstheme="minorHAnsi"/>
          <w:b/>
          <w:bCs/>
          <w:highlight w:val="yellow"/>
        </w:rPr>
        <w:t xml:space="preserve"> that were available and analyzed</w:t>
      </w:r>
      <w:r w:rsidRPr="00F7493D">
        <w:rPr>
          <w:rFonts w:cstheme="minorHAnsi"/>
          <w:bCs/>
          <w:highlight w:val="yellow"/>
        </w:rPr>
        <w:t>?</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1ACB9A55" w14:textId="77777777" w:rsidR="002E3F52" w:rsidRDefault="002E3F52" w:rsidP="002E3F52">
      <w:pPr>
        <w:autoSpaceDE w:val="0"/>
        <w:autoSpaceDN w:val="0"/>
        <w:adjustRightInd w:val="0"/>
        <w:spacing w:after="0" w:line="240" w:lineRule="auto"/>
        <w:rPr>
          <w:rFonts w:cstheme="minorHAnsi"/>
          <w:noProof/>
          <w:color w:val="FF0000"/>
        </w:rPr>
      </w:pPr>
      <w:r>
        <w:rPr>
          <w:rFonts w:cstheme="minorHAnsi"/>
          <w:noProof/>
          <w:color w:val="FF0000"/>
        </w:rPr>
        <w:t>Social risk factors were not used in this risk model for the following reasons. First, as a detailed clincial registry used for quality assessment and improvement, there are not prospective interviews with patients to obtain patient-reported data. Second, while proxy variables could be considered, these were not felt to be relevant to an inpatient mortality model, in contrast to a longer-term outcome model where difficulties with access to care, affording medications or cardiac rehabilitation would be more important. Moreover, while it may be true that worse social risk factors might be associated with more severe illness at the time of presentation, we had direct access to detailed clinical variables describing the severity of illness and feel that incorporating such factors (e.g. cardiogenic shock, cardiac arrest, etc.) is a much more accurate means of stratifying risk. Accordingly, we feel that in this model of in-hospital mortality, given the rich clinical data available through the NCDR CathPCI registry, that social risk factors, which are not readily available, would not likely contribute much improvement to this particular risk model.</w:t>
      </w:r>
      <w:bookmarkStart w:id="11" w:name="_GoBack"/>
      <w:bookmarkEnd w:id="11"/>
    </w:p>
    <w:p w14:paraId="0CABCFCD" w14:textId="3A6F7B0D"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F7493D">
        <w:rPr>
          <w:rFonts w:cstheme="minorHAnsi"/>
          <w:b/>
          <w:noProof/>
          <w:highlight w:val="yellow"/>
        </w:rPr>
        <w:t>2</w:t>
      </w:r>
      <w:r w:rsidR="00EA5F47" w:rsidRPr="00F7493D">
        <w:rPr>
          <w:rFonts w:cstheme="minorHAnsi"/>
          <w:b/>
          <w:noProof/>
          <w:highlight w:val="yellow"/>
        </w:rPr>
        <w:t>a</w:t>
      </w:r>
      <w:r w:rsidRPr="00F7493D">
        <w:rPr>
          <w:rFonts w:cstheme="minorHAnsi"/>
          <w:b/>
          <w:noProof/>
          <w:highlight w:val="yellow"/>
        </w:rPr>
        <w:t xml:space="preserve">2. </w:t>
      </w:r>
      <w:r w:rsidRPr="00F7493D">
        <w:rPr>
          <w:rFonts w:cstheme="minorHAnsi"/>
          <w:b/>
          <w:bCs/>
          <w:highlight w:val="yellow"/>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558EDFFD"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D95E7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4E52BE">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A88DB7F" w14:textId="77777777" w:rsidR="004E52BE" w:rsidRPr="002A256C" w:rsidRDefault="004E52BE" w:rsidP="004E52BE">
      <w:pPr>
        <w:spacing w:after="0" w:line="240" w:lineRule="auto"/>
        <w:contextualSpacing/>
        <w:rPr>
          <w:bCs/>
          <w:color w:val="0070C0"/>
          <w:u w:val="single"/>
        </w:rPr>
      </w:pPr>
      <w:r w:rsidRPr="002A256C">
        <w:rPr>
          <w:bCs/>
          <w:color w:val="0070C0"/>
          <w:u w:val="single"/>
        </w:rPr>
        <w:t>Measure Score:</w:t>
      </w:r>
    </w:p>
    <w:p w14:paraId="0F595B1A" w14:textId="77777777" w:rsidR="004E52BE" w:rsidRPr="002A256C" w:rsidRDefault="004E52BE" w:rsidP="004E52BE">
      <w:pPr>
        <w:spacing w:after="0" w:line="240" w:lineRule="auto"/>
        <w:contextualSpacing/>
        <w:rPr>
          <w:color w:val="0070C0"/>
        </w:rPr>
      </w:pPr>
      <w:r w:rsidRPr="002A256C">
        <w:rPr>
          <w:color w:val="0070C0"/>
        </w:rPr>
        <w:t>ACCF performed the signal-to-noise analysis on the same cohort of individuals as noted under Section 1.3. (testing method 3). Only hospitals with a minimum of 10 eligible patients were included in the analysis to prevent undetected bias introduced by the inclusion of hospitals with a small sample size.</w:t>
      </w:r>
    </w:p>
    <w:p w14:paraId="72089E41" w14:textId="77777777" w:rsidR="004E52BE" w:rsidRPr="002A256C" w:rsidRDefault="004E52BE" w:rsidP="004E52BE">
      <w:pPr>
        <w:spacing w:after="0" w:line="240" w:lineRule="auto"/>
        <w:contextualSpacing/>
        <w:rPr>
          <w:color w:val="0070C0"/>
        </w:rPr>
      </w:pPr>
    </w:p>
    <w:p w14:paraId="4FAC0B17" w14:textId="77777777" w:rsidR="004E52BE" w:rsidRPr="002A256C" w:rsidRDefault="004E52BE" w:rsidP="004E52BE">
      <w:pPr>
        <w:autoSpaceDE w:val="0"/>
        <w:autoSpaceDN w:val="0"/>
        <w:adjustRightInd w:val="0"/>
        <w:spacing w:after="0" w:line="240" w:lineRule="auto"/>
        <w:rPr>
          <w:rFonts w:cstheme="minorHAnsi"/>
          <w:bCs/>
          <w:color w:val="0070C0"/>
          <w:u w:val="single"/>
        </w:rPr>
      </w:pPr>
      <w:r w:rsidRPr="002A256C">
        <w:rPr>
          <w:rFonts w:cstheme="minorHAnsi"/>
          <w:bCs/>
          <w:color w:val="0070C0"/>
          <w:u w:val="single"/>
        </w:rPr>
        <w:t>Data Element:</w:t>
      </w:r>
    </w:p>
    <w:p w14:paraId="1632455A" w14:textId="77777777" w:rsidR="004E52BE" w:rsidRPr="002A256C" w:rsidRDefault="004E52BE" w:rsidP="004E52BE">
      <w:pPr>
        <w:autoSpaceDE w:val="0"/>
        <w:autoSpaceDN w:val="0"/>
        <w:adjustRightInd w:val="0"/>
        <w:spacing w:after="0" w:line="240" w:lineRule="auto"/>
        <w:rPr>
          <w:rFonts w:cstheme="minorHAnsi"/>
          <w:bCs/>
          <w:color w:val="0070C0"/>
        </w:rPr>
      </w:pPr>
      <w:r w:rsidRPr="002A256C">
        <w:rPr>
          <w:rFonts w:cstheme="minorHAnsi"/>
          <w:bCs/>
          <w:color w:val="0070C0"/>
        </w:rPr>
        <w:t xml:space="preserve">ACCF evaluated the test-retest reliability by reviewing </w:t>
      </w:r>
      <w:proofErr w:type="spellStart"/>
      <w:r w:rsidRPr="002A256C">
        <w:rPr>
          <w:rFonts w:cstheme="minorHAnsi"/>
          <w:bCs/>
          <w:color w:val="0070C0"/>
        </w:rPr>
        <w:t>CathPCI</w:t>
      </w:r>
      <w:proofErr w:type="spellEnd"/>
      <w:r w:rsidRPr="002A256C">
        <w:rPr>
          <w:rFonts w:cstheme="minorHAnsi"/>
          <w:bCs/>
          <w:color w:val="0070C0"/>
        </w:rPr>
        <w:t xml:space="preserve"> patients who were readmitted or had a repeat procedure in 2012. This approach enabled us to examine 2 independent abstractions of data for the same patient. For certain characteristics that would not change (e.g. gender), we would expect near perfect reproducibility. For other characteristics (e.g. diabetes) we would expect that any patient diagnosed with diabetes on the first visit should also have diabetes recorded on the second visit. It is, however, clinically plausible that someone could be diagnosed with diabetes between their first and second visit, so the emergence of diabetes on the second visit is not necessarily an ‘error’ and no interpretation is made for these scenarios.</w:t>
      </w:r>
    </w:p>
    <w:p w14:paraId="219B58ED" w14:textId="77777777" w:rsidR="004E52BE" w:rsidRPr="002A256C" w:rsidRDefault="004E52BE" w:rsidP="004E52BE">
      <w:pPr>
        <w:autoSpaceDE w:val="0"/>
        <w:autoSpaceDN w:val="0"/>
        <w:adjustRightInd w:val="0"/>
        <w:spacing w:after="0" w:line="240" w:lineRule="auto"/>
        <w:rPr>
          <w:rFonts w:cstheme="minorHAnsi"/>
          <w:bCs/>
          <w:color w:val="0070C0"/>
        </w:rPr>
      </w:pPr>
    </w:p>
    <w:p w14:paraId="5FAF3DA9" w14:textId="77777777" w:rsidR="004E52BE" w:rsidRPr="002A256C" w:rsidRDefault="004E52BE" w:rsidP="004E52BE">
      <w:pPr>
        <w:autoSpaceDE w:val="0"/>
        <w:autoSpaceDN w:val="0"/>
        <w:adjustRightInd w:val="0"/>
        <w:spacing w:after="0" w:line="240" w:lineRule="auto"/>
        <w:rPr>
          <w:rFonts w:cstheme="minorHAnsi"/>
          <w:bCs/>
          <w:color w:val="0070C0"/>
          <w:u w:val="single"/>
        </w:rPr>
      </w:pPr>
      <w:r w:rsidRPr="002A256C">
        <w:rPr>
          <w:rFonts w:cstheme="minorHAnsi"/>
          <w:bCs/>
          <w:color w:val="0070C0"/>
          <w:u w:val="single"/>
        </w:rPr>
        <w:t>Data Element:</w:t>
      </w:r>
    </w:p>
    <w:p w14:paraId="60DD53C2" w14:textId="77777777" w:rsidR="004E52BE" w:rsidRPr="002A256C" w:rsidRDefault="004E52BE" w:rsidP="004E52BE">
      <w:pPr>
        <w:spacing w:after="0" w:line="240" w:lineRule="auto"/>
        <w:rPr>
          <w:color w:val="0070C0"/>
        </w:rPr>
      </w:pPr>
      <w:r w:rsidRPr="002A256C">
        <w:rPr>
          <w:color w:val="0070C0"/>
        </w:rPr>
        <w:t xml:space="preserve">The NCDR Data Quality Program ensures that data submitted to the NCDR are complete validly collected. The NCDR Data Quality Program consists of 3 main components: data completeness, consistency, and accuracy. Completeness focuses on the proportion of missing data within fields, whereas consistency determines the extent to which logically related fields contain values consistent with other fields. Accuracy characterizes the agreement between registry data and the contents of original charts from the hospitals submitting data. Before entering the Enterprise Data Warehouse (EDW), all submissions are scored for file integrity and data completeness, receiving 1 of 3 scores that are transmitted back to facilities using a color coding scheme. A “red light” means that a submission has failed because of file integrity problems such as excessive missing data and internally inconsistent data. Such data are not processed or loaded into the EDW. A “yellow light” status means that a submission has passed the integrity checks but failed in completeness according to predetermined thresholds. Such data are processed and loaded into the EDW but are not included in any registry aggregate computations until corrected. Facilities are notified about data submission problems and provided an opportunity to resubmit data. Finally, a “green light” means that a submission has passed all integrity and quality checks. Such submissions are loaded to the EDW. After passing the DQR, data are loaded into a common EDW that houses data from all registries and included for all registry aggregate computations. In a secondary transaction process, data are loaded into registry-specific, dimensionally modeled data marts. </w:t>
      </w:r>
      <w:r w:rsidRPr="002A256C">
        <w:rPr>
          <w:rFonts w:cstheme="minorHAnsi"/>
          <w:bCs/>
          <w:color w:val="0070C0"/>
        </w:rPr>
        <w:t>A summary of the Program is noted under Table 4.</w:t>
      </w:r>
    </w:p>
    <w:p w14:paraId="25E331BD" w14:textId="77777777" w:rsidR="004E52BE" w:rsidRPr="002A256C" w:rsidRDefault="004E52BE" w:rsidP="004E52BE">
      <w:pPr>
        <w:autoSpaceDE w:val="0"/>
        <w:autoSpaceDN w:val="0"/>
        <w:adjustRightInd w:val="0"/>
        <w:spacing w:after="0" w:line="240" w:lineRule="auto"/>
        <w:rPr>
          <w:rFonts w:cs="Calibri"/>
          <w:bCs/>
          <w:color w:val="0070C0"/>
        </w:rPr>
      </w:pPr>
    </w:p>
    <w:p w14:paraId="17F7E798" w14:textId="7C1CAA6F" w:rsidR="004E52BE" w:rsidRPr="002A256C" w:rsidRDefault="004E52BE" w:rsidP="004E52BE">
      <w:pPr>
        <w:pStyle w:val="Caption"/>
        <w:keepNext/>
        <w:spacing w:after="0"/>
        <w:rPr>
          <w:color w:val="0070C0"/>
          <w:sz w:val="22"/>
          <w:szCs w:val="22"/>
        </w:rPr>
      </w:pPr>
      <w:r w:rsidRPr="002A256C">
        <w:rPr>
          <w:color w:val="0070C0"/>
          <w:sz w:val="22"/>
          <w:szCs w:val="22"/>
        </w:rPr>
        <w:t xml:space="preserve">Table </w:t>
      </w:r>
      <w:r w:rsidRPr="002A256C">
        <w:rPr>
          <w:color w:val="0070C0"/>
          <w:sz w:val="22"/>
          <w:szCs w:val="22"/>
        </w:rPr>
        <w:fldChar w:fldCharType="begin"/>
      </w:r>
      <w:r w:rsidRPr="002A256C">
        <w:rPr>
          <w:color w:val="0070C0"/>
          <w:sz w:val="22"/>
          <w:szCs w:val="22"/>
        </w:rPr>
        <w:instrText xml:space="preserve"> SEQ Table \* ARABIC </w:instrText>
      </w:r>
      <w:r w:rsidRPr="002A256C">
        <w:rPr>
          <w:color w:val="0070C0"/>
          <w:sz w:val="22"/>
          <w:szCs w:val="22"/>
        </w:rPr>
        <w:fldChar w:fldCharType="separate"/>
      </w:r>
      <w:r w:rsidR="003528B4">
        <w:rPr>
          <w:noProof/>
          <w:color w:val="0070C0"/>
          <w:sz w:val="22"/>
          <w:szCs w:val="22"/>
        </w:rPr>
        <w:t>4</w:t>
      </w:r>
      <w:r w:rsidRPr="002A256C">
        <w:rPr>
          <w:color w:val="0070C0"/>
          <w:sz w:val="22"/>
          <w:szCs w:val="22"/>
        </w:rPr>
        <w:fldChar w:fldCharType="end"/>
      </w:r>
      <w:r w:rsidRPr="002A256C">
        <w:rPr>
          <w:color w:val="0070C0"/>
          <w:sz w:val="22"/>
          <w:szCs w:val="22"/>
        </w:rPr>
        <w:t>. Data Quality Program Overview</w:t>
      </w:r>
    </w:p>
    <w:tbl>
      <w:tblPr>
        <w:tblW w:w="968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0"/>
        <w:gridCol w:w="7982"/>
      </w:tblGrid>
      <w:tr w:rsidR="002A256C" w:rsidRPr="002A256C" w14:paraId="28B0F45C" w14:textId="77777777" w:rsidTr="00F00A44">
        <w:tc>
          <w:tcPr>
            <w:tcW w:w="1700" w:type="dxa"/>
            <w:shd w:val="clear" w:color="auto" w:fill="F2F2F2"/>
          </w:tcPr>
          <w:p w14:paraId="1C7C7415" w14:textId="77777777" w:rsidR="004E52BE" w:rsidRPr="002A256C" w:rsidRDefault="004E52BE" w:rsidP="004E52BE">
            <w:pPr>
              <w:pStyle w:val="ListParagraph"/>
              <w:spacing w:after="0" w:line="240" w:lineRule="auto"/>
              <w:ind w:left="0"/>
              <w:rPr>
                <w:rFonts w:cs="Calibri"/>
                <w:b/>
                <w:bCs/>
                <w:color w:val="0070C0"/>
              </w:rPr>
            </w:pPr>
            <w:r w:rsidRPr="002A256C">
              <w:rPr>
                <w:rFonts w:cs="Calibri"/>
                <w:b/>
                <w:bCs/>
                <w:color w:val="0070C0"/>
              </w:rPr>
              <w:t>Methodology</w:t>
            </w:r>
          </w:p>
        </w:tc>
        <w:tc>
          <w:tcPr>
            <w:tcW w:w="7982" w:type="dxa"/>
            <w:shd w:val="clear" w:color="auto" w:fill="auto"/>
          </w:tcPr>
          <w:p w14:paraId="6D7E1681"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 xml:space="preserve">Nationwide program (i.e., all submitting participants in the </w:t>
            </w:r>
          </w:p>
          <w:p w14:paraId="19323AA4" w14:textId="77777777" w:rsidR="004E52BE" w:rsidRPr="002A256C" w:rsidRDefault="004E52BE" w:rsidP="004E52BE">
            <w:pPr>
              <w:pStyle w:val="ListParagraph"/>
              <w:spacing w:after="0" w:line="240" w:lineRule="auto"/>
              <w:ind w:left="432"/>
              <w:rPr>
                <w:rFonts w:cs="Calibri"/>
                <w:bCs/>
                <w:color w:val="0070C0"/>
              </w:rPr>
            </w:pPr>
            <w:r w:rsidRPr="002A256C">
              <w:rPr>
                <w:rFonts w:cs="Calibri"/>
                <w:bCs/>
                <w:color w:val="0070C0"/>
              </w:rPr>
              <w:t>United States)</w:t>
            </w:r>
          </w:p>
          <w:p w14:paraId="37006F15"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Review of data submitted the previous year</w:t>
            </w:r>
          </w:p>
          <w:p w14:paraId="26B259BD"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Review of a subset of data elements that can rotate each year</w:t>
            </w:r>
          </w:p>
          <w:p w14:paraId="23296AB9"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Remote review of data combined with couple of onsite visit</w:t>
            </w:r>
          </w:p>
          <w:p w14:paraId="06F0047E"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Onsite visits are targeted based on the Data Outlier Program</w:t>
            </w:r>
          </w:p>
          <w:p w14:paraId="40E8FB9D"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Random selection of sites and records</w:t>
            </w:r>
          </w:p>
          <w:p w14:paraId="45098576"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Blinded data abstraction from medical charts</w:t>
            </w:r>
          </w:p>
          <w:p w14:paraId="1951C807"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 xml:space="preserve">Inter-rater Reliability Assessment conducted to validate the audit </w:t>
            </w:r>
          </w:p>
          <w:p w14:paraId="717364F2" w14:textId="77777777" w:rsidR="004E52BE" w:rsidRPr="002A256C" w:rsidRDefault="004E52BE" w:rsidP="004E52BE">
            <w:pPr>
              <w:pStyle w:val="ListParagraph"/>
              <w:spacing w:after="0" w:line="240" w:lineRule="auto"/>
              <w:ind w:left="432"/>
              <w:rPr>
                <w:rFonts w:cs="Calibri"/>
                <w:bCs/>
                <w:color w:val="0070C0"/>
              </w:rPr>
            </w:pPr>
            <w:r w:rsidRPr="002A256C">
              <w:rPr>
                <w:rFonts w:cs="Calibri"/>
                <w:bCs/>
                <w:color w:val="0070C0"/>
              </w:rPr>
              <w:t>findings</w:t>
            </w:r>
          </w:p>
          <w:p w14:paraId="72F47ECA"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Adjudication step for participant to refute audit findings</w:t>
            </w:r>
          </w:p>
        </w:tc>
      </w:tr>
      <w:tr w:rsidR="002A256C" w:rsidRPr="002A256C" w14:paraId="5ECFA1F9" w14:textId="77777777" w:rsidTr="00F00A44">
        <w:tc>
          <w:tcPr>
            <w:tcW w:w="1700" w:type="dxa"/>
            <w:tcBorders>
              <w:bottom w:val="single" w:sz="4" w:space="0" w:color="auto"/>
            </w:tcBorders>
            <w:shd w:val="clear" w:color="auto" w:fill="F2F2F2"/>
          </w:tcPr>
          <w:p w14:paraId="279B3355" w14:textId="77777777" w:rsidR="004E52BE" w:rsidRPr="002A256C" w:rsidRDefault="004E52BE" w:rsidP="004E52BE">
            <w:pPr>
              <w:pStyle w:val="ListParagraph"/>
              <w:spacing w:after="0" w:line="240" w:lineRule="auto"/>
              <w:ind w:left="0"/>
              <w:rPr>
                <w:rFonts w:cs="Calibri"/>
                <w:b/>
                <w:bCs/>
                <w:color w:val="0070C0"/>
              </w:rPr>
            </w:pPr>
            <w:r w:rsidRPr="002A256C">
              <w:rPr>
                <w:rFonts w:cs="Calibri"/>
                <w:b/>
                <w:bCs/>
                <w:color w:val="0070C0"/>
              </w:rPr>
              <w:t>Scope</w:t>
            </w:r>
          </w:p>
        </w:tc>
        <w:tc>
          <w:tcPr>
            <w:tcW w:w="7982" w:type="dxa"/>
            <w:shd w:val="clear" w:color="auto" w:fill="auto"/>
          </w:tcPr>
          <w:p w14:paraId="080D096B"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 xml:space="preserve">Review of hospital’s medical records for related episodes of care </w:t>
            </w:r>
          </w:p>
          <w:p w14:paraId="772EF08F"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 xml:space="preserve">Assessment of complete submission (Comparison of two </w:t>
            </w:r>
            <w:proofErr w:type="gramStart"/>
            <w:r w:rsidRPr="002A256C">
              <w:rPr>
                <w:rFonts w:cs="Calibri"/>
                <w:bCs/>
                <w:color w:val="0070C0"/>
              </w:rPr>
              <w:t>lists :</w:t>
            </w:r>
            <w:proofErr w:type="gramEnd"/>
            <w:r w:rsidRPr="002A256C">
              <w:rPr>
                <w:rFonts w:cs="Calibri"/>
                <w:bCs/>
                <w:color w:val="0070C0"/>
              </w:rPr>
              <w:t xml:space="preserve"> hospital list of cases with specific billing codes versus NCDR submitted records) </w:t>
            </w:r>
          </w:p>
        </w:tc>
      </w:tr>
      <w:tr w:rsidR="002A256C" w:rsidRPr="002A256C" w14:paraId="6F8F2324" w14:textId="77777777" w:rsidTr="00F00A44">
        <w:tc>
          <w:tcPr>
            <w:tcW w:w="1700" w:type="dxa"/>
            <w:tcBorders>
              <w:bottom w:val="single" w:sz="4" w:space="0" w:color="auto"/>
            </w:tcBorders>
            <w:shd w:val="clear" w:color="auto" w:fill="F2F2F2"/>
          </w:tcPr>
          <w:p w14:paraId="5E85A964" w14:textId="77777777" w:rsidR="004E52BE" w:rsidRPr="002A256C" w:rsidRDefault="004E52BE" w:rsidP="004E52BE">
            <w:pPr>
              <w:pStyle w:val="ListParagraph"/>
              <w:spacing w:after="0" w:line="240" w:lineRule="auto"/>
              <w:ind w:left="0"/>
              <w:rPr>
                <w:rFonts w:cs="Calibri"/>
                <w:b/>
                <w:bCs/>
                <w:color w:val="0070C0"/>
              </w:rPr>
            </w:pPr>
            <w:r w:rsidRPr="002A256C">
              <w:rPr>
                <w:rFonts w:cs="Calibri"/>
                <w:b/>
                <w:bCs/>
                <w:color w:val="0070C0"/>
              </w:rPr>
              <w:t>Criteria for selecting sites/records</w:t>
            </w:r>
          </w:p>
        </w:tc>
        <w:tc>
          <w:tcPr>
            <w:tcW w:w="7982" w:type="dxa"/>
            <w:shd w:val="clear" w:color="auto" w:fill="auto"/>
          </w:tcPr>
          <w:p w14:paraId="48C05CA9" w14:textId="77777777" w:rsidR="004E52BE" w:rsidRPr="002A256C" w:rsidRDefault="004E52BE" w:rsidP="004E52BE">
            <w:pPr>
              <w:pStyle w:val="ListParagraph"/>
              <w:spacing w:after="0" w:line="240" w:lineRule="auto"/>
              <w:ind w:left="0"/>
              <w:rPr>
                <w:rFonts w:cs="Calibri"/>
                <w:bCs/>
                <w:color w:val="0070C0"/>
              </w:rPr>
            </w:pPr>
            <w:r w:rsidRPr="002A256C">
              <w:rPr>
                <w:rFonts w:cs="Calibri"/>
                <w:bCs/>
                <w:color w:val="0070C0"/>
              </w:rPr>
              <w:t xml:space="preserve">Remote </w:t>
            </w:r>
            <w:proofErr w:type="gramStart"/>
            <w:r w:rsidRPr="002A256C">
              <w:rPr>
                <w:rFonts w:cs="Calibri"/>
                <w:bCs/>
                <w:color w:val="0070C0"/>
              </w:rPr>
              <w:t>audit :</w:t>
            </w:r>
            <w:proofErr w:type="gramEnd"/>
            <w:r w:rsidRPr="002A256C">
              <w:rPr>
                <w:rFonts w:cs="Calibri"/>
                <w:bCs/>
                <w:color w:val="0070C0"/>
              </w:rPr>
              <w:t xml:space="preserve"> </w:t>
            </w:r>
          </w:p>
          <w:p w14:paraId="16AF987D"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 xml:space="preserve">Sites passing their quarterly Data Quality Report for 2 quarters within audited year </w:t>
            </w:r>
          </w:p>
          <w:p w14:paraId="6979A5C3"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Sites submitting at least the number of records/sites being reviewed</w:t>
            </w:r>
          </w:p>
          <w:p w14:paraId="7AD90613" w14:textId="77777777" w:rsidR="004E52BE" w:rsidRPr="002A256C" w:rsidRDefault="004E52BE" w:rsidP="004E52BE">
            <w:pPr>
              <w:pStyle w:val="ListParagraph"/>
              <w:spacing w:after="0" w:line="240" w:lineRule="auto"/>
              <w:ind w:left="0"/>
              <w:rPr>
                <w:rFonts w:cs="Calibri"/>
                <w:bCs/>
                <w:color w:val="0070C0"/>
              </w:rPr>
            </w:pPr>
            <w:r w:rsidRPr="002A256C">
              <w:rPr>
                <w:rFonts w:cs="Calibri"/>
                <w:bCs/>
                <w:color w:val="0070C0"/>
              </w:rPr>
              <w:t>Onsite audit</w:t>
            </w:r>
          </w:p>
          <w:p w14:paraId="72CAF7BE" w14:textId="77777777" w:rsidR="004E52BE" w:rsidRPr="002A256C" w:rsidRDefault="004E52BE" w:rsidP="004E52BE">
            <w:pPr>
              <w:pStyle w:val="ListParagraph"/>
              <w:numPr>
                <w:ilvl w:val="0"/>
                <w:numId w:val="30"/>
              </w:numPr>
              <w:spacing w:after="0" w:line="240" w:lineRule="auto"/>
              <w:ind w:left="432"/>
              <w:rPr>
                <w:rFonts w:cs="Calibri"/>
                <w:bCs/>
                <w:color w:val="0070C0"/>
              </w:rPr>
            </w:pPr>
            <w:r w:rsidRPr="002A256C">
              <w:rPr>
                <w:rFonts w:cs="Calibri"/>
                <w:bCs/>
                <w:color w:val="0070C0"/>
              </w:rPr>
              <w:t>Sites identified with an outlier and not contacted with the data outlier program</w:t>
            </w:r>
          </w:p>
        </w:tc>
      </w:tr>
      <w:tr w:rsidR="002A256C" w:rsidRPr="002A256C" w14:paraId="178F779B" w14:textId="77777777" w:rsidTr="00F00A44">
        <w:trPr>
          <w:trHeight w:val="1160"/>
        </w:trPr>
        <w:tc>
          <w:tcPr>
            <w:tcW w:w="1700" w:type="dxa"/>
            <w:tcBorders>
              <w:top w:val="single" w:sz="4" w:space="0" w:color="auto"/>
              <w:bottom w:val="single" w:sz="4" w:space="0" w:color="auto"/>
            </w:tcBorders>
            <w:shd w:val="clear" w:color="auto" w:fill="F2F2F2"/>
          </w:tcPr>
          <w:p w14:paraId="6144044D" w14:textId="77777777" w:rsidR="004E52BE" w:rsidRPr="002A256C" w:rsidRDefault="004E52BE" w:rsidP="004E52BE">
            <w:pPr>
              <w:pStyle w:val="ListParagraph"/>
              <w:spacing w:after="0" w:line="240" w:lineRule="auto"/>
              <w:ind w:left="0"/>
              <w:rPr>
                <w:rFonts w:cs="Calibri"/>
                <w:b/>
                <w:bCs/>
                <w:color w:val="0070C0"/>
              </w:rPr>
            </w:pPr>
            <w:r w:rsidRPr="002A256C">
              <w:rPr>
                <w:rFonts w:cs="Calibri"/>
                <w:b/>
                <w:bCs/>
                <w:color w:val="0070C0"/>
              </w:rPr>
              <w:t>Scoring</w:t>
            </w:r>
          </w:p>
        </w:tc>
        <w:tc>
          <w:tcPr>
            <w:tcW w:w="7982" w:type="dxa"/>
            <w:shd w:val="clear" w:color="auto" w:fill="auto"/>
          </w:tcPr>
          <w:p w14:paraId="0965F14A" w14:textId="77777777" w:rsidR="004E52BE" w:rsidRPr="002A256C" w:rsidRDefault="004E52BE" w:rsidP="004E52BE">
            <w:pPr>
              <w:spacing w:after="0" w:line="240" w:lineRule="auto"/>
              <w:contextualSpacing/>
              <w:rPr>
                <w:rFonts w:cs="Calibri"/>
                <w:bCs/>
                <w:color w:val="0070C0"/>
              </w:rPr>
            </w:pPr>
            <w:r w:rsidRPr="002A256C">
              <w:rPr>
                <w:rFonts w:cs="Calibri"/>
                <w:bCs/>
                <w:color w:val="0070C0"/>
              </w:rPr>
              <w:t xml:space="preserve">NCDR uses a grading system for identifying the amount of agreement or </w:t>
            </w:r>
          </w:p>
          <w:p w14:paraId="26E66C44" w14:textId="77777777" w:rsidR="004E52BE" w:rsidRPr="002A256C" w:rsidRDefault="004E52BE" w:rsidP="004E52BE">
            <w:pPr>
              <w:spacing w:after="0" w:line="240" w:lineRule="auto"/>
              <w:contextualSpacing/>
              <w:rPr>
                <w:rFonts w:cs="Calibri"/>
                <w:bCs/>
                <w:color w:val="0070C0"/>
              </w:rPr>
            </w:pPr>
            <w:r w:rsidRPr="002A256C">
              <w:rPr>
                <w:rFonts w:cs="Calibri"/>
                <w:bCs/>
                <w:color w:val="0070C0"/>
              </w:rPr>
              <w:t xml:space="preserve">matching between the data captured during the medical record review </w:t>
            </w:r>
          </w:p>
          <w:p w14:paraId="70D43202" w14:textId="77777777" w:rsidR="004E52BE" w:rsidRPr="002A256C" w:rsidRDefault="004E52BE" w:rsidP="004E52BE">
            <w:pPr>
              <w:spacing w:after="0" w:line="240" w:lineRule="auto"/>
              <w:contextualSpacing/>
              <w:rPr>
                <w:rFonts w:cs="Calibri"/>
                <w:bCs/>
                <w:color w:val="0070C0"/>
              </w:rPr>
            </w:pPr>
            <w:r w:rsidRPr="002A256C">
              <w:rPr>
                <w:rFonts w:cs="Calibri"/>
                <w:bCs/>
                <w:color w:val="0070C0"/>
              </w:rPr>
              <w:t>and data submitted to the NCDR.</w:t>
            </w:r>
          </w:p>
        </w:tc>
      </w:tr>
    </w:tbl>
    <w:p w14:paraId="0CABCFD2" w14:textId="77777777" w:rsidR="008C54A9" w:rsidRPr="002A256C" w:rsidRDefault="008C54A9" w:rsidP="008C54A9">
      <w:pPr>
        <w:autoSpaceDE w:val="0"/>
        <w:autoSpaceDN w:val="0"/>
        <w:adjustRightInd w:val="0"/>
        <w:spacing w:after="0" w:line="240" w:lineRule="auto"/>
        <w:rPr>
          <w:rFonts w:cstheme="minorHAnsi"/>
          <w:bCs/>
          <w:color w:val="0070C0"/>
        </w:rPr>
      </w:pPr>
    </w:p>
    <w:p w14:paraId="57677FA0" w14:textId="77777777" w:rsidR="004E52BE" w:rsidRPr="002A256C" w:rsidRDefault="00092566" w:rsidP="004E52BE">
      <w:pPr>
        <w:autoSpaceDE w:val="0"/>
        <w:autoSpaceDN w:val="0"/>
        <w:adjustRightInd w:val="0"/>
        <w:spacing w:after="0" w:line="240" w:lineRule="auto"/>
        <w:rPr>
          <w:rFonts w:cstheme="minorHAnsi"/>
          <w:b/>
          <w:bCs/>
          <w:i/>
          <w:color w:val="0070C0"/>
          <w:sz w:val="20"/>
          <w:szCs w:val="20"/>
          <w:u w:val="single"/>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4E52BE" w:rsidRPr="002A256C">
        <w:rPr>
          <w:rFonts w:cstheme="minorHAnsi"/>
          <w:b/>
          <w:bCs/>
          <w:i/>
          <w:color w:val="0070C0"/>
          <w:sz w:val="20"/>
          <w:szCs w:val="20"/>
          <w:u w:val="single"/>
        </w:rPr>
        <w:t>Signal to Noise Analysis:</w:t>
      </w:r>
    </w:p>
    <w:p w14:paraId="3897FB03"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r w:rsidRPr="002A256C">
        <w:rPr>
          <w:rFonts w:cstheme="minorHAnsi"/>
          <w:bCs/>
          <w:color w:val="0070C0"/>
          <w:sz w:val="20"/>
          <w:szCs w:val="20"/>
        </w:rPr>
        <w:t>Signal to Noise analysis for the hospitals are noted under Table 5.</w:t>
      </w:r>
    </w:p>
    <w:p w14:paraId="39856C6B" w14:textId="77777777" w:rsidR="004E52BE" w:rsidRPr="002A256C" w:rsidRDefault="004E52BE" w:rsidP="004E52BE">
      <w:pPr>
        <w:autoSpaceDE w:val="0"/>
        <w:autoSpaceDN w:val="0"/>
        <w:adjustRightInd w:val="0"/>
        <w:spacing w:after="0" w:line="240" w:lineRule="auto"/>
        <w:rPr>
          <w:rFonts w:cstheme="minorHAnsi"/>
          <w:b/>
          <w:bCs/>
          <w:i/>
          <w:color w:val="0070C0"/>
          <w:sz w:val="20"/>
          <w:szCs w:val="20"/>
          <w:u w:val="single"/>
        </w:rPr>
      </w:pPr>
    </w:p>
    <w:p w14:paraId="4E9D25E7" w14:textId="24E7D1E6" w:rsidR="004E52BE" w:rsidRPr="002A256C" w:rsidRDefault="004E52BE" w:rsidP="004E52BE">
      <w:pPr>
        <w:pStyle w:val="Caption"/>
        <w:keepNext/>
        <w:rPr>
          <w:color w:val="0070C0"/>
          <w:sz w:val="20"/>
          <w:szCs w:val="20"/>
        </w:rPr>
      </w:pPr>
      <w:r w:rsidRPr="002A256C">
        <w:rPr>
          <w:color w:val="0070C0"/>
          <w:sz w:val="20"/>
          <w:szCs w:val="20"/>
        </w:rPr>
        <w:t xml:space="preserve">Table </w:t>
      </w:r>
      <w:r w:rsidRPr="002A256C">
        <w:rPr>
          <w:color w:val="0070C0"/>
          <w:sz w:val="20"/>
          <w:szCs w:val="20"/>
        </w:rPr>
        <w:fldChar w:fldCharType="begin"/>
      </w:r>
      <w:r w:rsidRPr="002A256C">
        <w:rPr>
          <w:color w:val="0070C0"/>
          <w:sz w:val="20"/>
          <w:szCs w:val="20"/>
        </w:rPr>
        <w:instrText xml:space="preserve"> SEQ Table \* ARABIC </w:instrText>
      </w:r>
      <w:r w:rsidRPr="002A256C">
        <w:rPr>
          <w:color w:val="0070C0"/>
          <w:sz w:val="20"/>
          <w:szCs w:val="20"/>
        </w:rPr>
        <w:fldChar w:fldCharType="separate"/>
      </w:r>
      <w:r w:rsidR="003528B4">
        <w:rPr>
          <w:noProof/>
          <w:color w:val="0070C0"/>
          <w:sz w:val="20"/>
          <w:szCs w:val="20"/>
        </w:rPr>
        <w:t>5</w:t>
      </w:r>
      <w:r w:rsidRPr="002A256C">
        <w:rPr>
          <w:color w:val="0070C0"/>
          <w:sz w:val="20"/>
          <w:szCs w:val="20"/>
        </w:rPr>
        <w:fldChar w:fldCharType="end"/>
      </w:r>
      <w:r w:rsidRPr="002A256C">
        <w:rPr>
          <w:color w:val="0070C0"/>
          <w:sz w:val="20"/>
          <w:szCs w:val="20"/>
        </w:rPr>
        <w:t>. Signal to Noise Analysis</w:t>
      </w:r>
    </w:p>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8"/>
        <w:gridCol w:w="1368"/>
      </w:tblGrid>
      <w:tr w:rsidR="002A256C" w:rsidRPr="002A256C" w14:paraId="33DD18B2" w14:textId="77777777" w:rsidTr="00F00A44">
        <w:trPr>
          <w:trHeight w:val="367"/>
        </w:trPr>
        <w:tc>
          <w:tcPr>
            <w:tcW w:w="2888" w:type="dxa"/>
          </w:tcPr>
          <w:p w14:paraId="7DC3F15F" w14:textId="77777777" w:rsidR="004E52BE" w:rsidRPr="002A256C" w:rsidRDefault="004E52BE" w:rsidP="00F00A44">
            <w:pPr>
              <w:rPr>
                <w:color w:val="0070C0"/>
                <w:sz w:val="18"/>
                <w:szCs w:val="20"/>
              </w:rPr>
            </w:pPr>
            <w:r w:rsidRPr="002A256C">
              <w:rPr>
                <w:color w:val="0070C0"/>
                <w:sz w:val="18"/>
                <w:szCs w:val="20"/>
              </w:rPr>
              <w:t>Level</w:t>
            </w:r>
          </w:p>
        </w:tc>
        <w:tc>
          <w:tcPr>
            <w:tcW w:w="1368" w:type="dxa"/>
          </w:tcPr>
          <w:p w14:paraId="610FBD46" w14:textId="77777777" w:rsidR="004E52BE" w:rsidRPr="002A256C" w:rsidRDefault="004E52BE" w:rsidP="00F00A44">
            <w:pPr>
              <w:rPr>
                <w:color w:val="0070C0"/>
                <w:sz w:val="18"/>
                <w:szCs w:val="20"/>
              </w:rPr>
            </w:pPr>
            <w:r w:rsidRPr="002A256C">
              <w:rPr>
                <w:color w:val="0070C0"/>
                <w:sz w:val="18"/>
                <w:szCs w:val="20"/>
              </w:rPr>
              <w:t>Signal-to-Noise</w:t>
            </w:r>
          </w:p>
        </w:tc>
      </w:tr>
      <w:tr w:rsidR="002A256C" w:rsidRPr="002A256C" w14:paraId="29C1470D" w14:textId="77777777" w:rsidTr="00F00A44">
        <w:trPr>
          <w:trHeight w:val="425"/>
        </w:trPr>
        <w:tc>
          <w:tcPr>
            <w:tcW w:w="2888" w:type="dxa"/>
          </w:tcPr>
          <w:p w14:paraId="44093E94" w14:textId="77777777" w:rsidR="004E52BE" w:rsidRPr="002A256C" w:rsidRDefault="004E52BE" w:rsidP="00F00A44">
            <w:pPr>
              <w:rPr>
                <w:color w:val="0070C0"/>
                <w:sz w:val="18"/>
                <w:szCs w:val="20"/>
              </w:rPr>
            </w:pPr>
            <w:r w:rsidRPr="002A256C">
              <w:rPr>
                <w:color w:val="0070C0"/>
                <w:sz w:val="18"/>
                <w:szCs w:val="20"/>
              </w:rPr>
              <w:t>All, &gt;10 Procedures</w:t>
            </w:r>
          </w:p>
        </w:tc>
        <w:tc>
          <w:tcPr>
            <w:tcW w:w="1368" w:type="dxa"/>
          </w:tcPr>
          <w:p w14:paraId="31B28C68" w14:textId="77777777" w:rsidR="004E52BE" w:rsidRPr="002A256C" w:rsidRDefault="004E52BE" w:rsidP="00F00A44">
            <w:pPr>
              <w:rPr>
                <w:color w:val="0070C0"/>
                <w:sz w:val="18"/>
                <w:szCs w:val="20"/>
              </w:rPr>
            </w:pPr>
            <w:r w:rsidRPr="002A256C">
              <w:rPr>
                <w:color w:val="0070C0"/>
                <w:sz w:val="18"/>
                <w:szCs w:val="20"/>
              </w:rPr>
              <w:t>.537</w:t>
            </w:r>
          </w:p>
        </w:tc>
      </w:tr>
      <w:tr w:rsidR="002A256C" w:rsidRPr="002A256C" w14:paraId="28E5D157" w14:textId="77777777" w:rsidTr="00F00A44">
        <w:trPr>
          <w:trHeight w:val="475"/>
        </w:trPr>
        <w:tc>
          <w:tcPr>
            <w:tcW w:w="2888" w:type="dxa"/>
          </w:tcPr>
          <w:p w14:paraId="76CF8C52" w14:textId="77777777" w:rsidR="004E52BE" w:rsidRPr="002A256C" w:rsidRDefault="004E52BE" w:rsidP="00F00A44">
            <w:pPr>
              <w:rPr>
                <w:color w:val="0070C0"/>
                <w:sz w:val="18"/>
                <w:szCs w:val="20"/>
              </w:rPr>
            </w:pPr>
            <w:r w:rsidRPr="002A256C">
              <w:rPr>
                <w:color w:val="0070C0"/>
                <w:sz w:val="18"/>
                <w:szCs w:val="20"/>
              </w:rPr>
              <w:t>&gt;Q1 (&gt;181 Procedures)</w:t>
            </w:r>
          </w:p>
        </w:tc>
        <w:tc>
          <w:tcPr>
            <w:tcW w:w="1368" w:type="dxa"/>
          </w:tcPr>
          <w:p w14:paraId="13471463" w14:textId="77777777" w:rsidR="004E52BE" w:rsidRPr="002A256C" w:rsidRDefault="004E52BE" w:rsidP="00F00A44">
            <w:pPr>
              <w:rPr>
                <w:color w:val="0070C0"/>
                <w:sz w:val="18"/>
                <w:szCs w:val="20"/>
              </w:rPr>
            </w:pPr>
            <w:r w:rsidRPr="002A256C">
              <w:rPr>
                <w:color w:val="0070C0"/>
                <w:sz w:val="18"/>
                <w:szCs w:val="20"/>
              </w:rPr>
              <w:t>.582</w:t>
            </w:r>
          </w:p>
        </w:tc>
      </w:tr>
      <w:tr w:rsidR="002A256C" w:rsidRPr="002A256C" w14:paraId="76CDD159" w14:textId="77777777" w:rsidTr="00F00A44">
        <w:trPr>
          <w:trHeight w:val="467"/>
        </w:trPr>
        <w:tc>
          <w:tcPr>
            <w:tcW w:w="2888" w:type="dxa"/>
          </w:tcPr>
          <w:p w14:paraId="139CB300" w14:textId="77777777" w:rsidR="004E52BE" w:rsidRPr="002A256C" w:rsidRDefault="004E52BE" w:rsidP="00F00A44">
            <w:pPr>
              <w:rPr>
                <w:color w:val="0070C0"/>
                <w:sz w:val="18"/>
                <w:szCs w:val="20"/>
              </w:rPr>
            </w:pPr>
            <w:r w:rsidRPr="002A256C">
              <w:rPr>
                <w:color w:val="0070C0"/>
                <w:sz w:val="18"/>
                <w:szCs w:val="20"/>
              </w:rPr>
              <w:t>&gt;Q2 (&gt;356 Procedures)</w:t>
            </w:r>
          </w:p>
        </w:tc>
        <w:tc>
          <w:tcPr>
            <w:tcW w:w="1368" w:type="dxa"/>
          </w:tcPr>
          <w:p w14:paraId="7D8BC9E8" w14:textId="77777777" w:rsidR="004E52BE" w:rsidRPr="002A256C" w:rsidRDefault="004E52BE" w:rsidP="00F00A44">
            <w:pPr>
              <w:rPr>
                <w:color w:val="0070C0"/>
                <w:sz w:val="18"/>
                <w:szCs w:val="20"/>
              </w:rPr>
            </w:pPr>
            <w:r w:rsidRPr="002A256C">
              <w:rPr>
                <w:color w:val="0070C0"/>
                <w:sz w:val="18"/>
                <w:szCs w:val="20"/>
              </w:rPr>
              <w:t>.659</w:t>
            </w:r>
          </w:p>
        </w:tc>
      </w:tr>
      <w:tr w:rsidR="002A256C" w:rsidRPr="002A256C" w14:paraId="291ED02F" w14:textId="77777777" w:rsidTr="00F00A44">
        <w:trPr>
          <w:trHeight w:val="417"/>
        </w:trPr>
        <w:tc>
          <w:tcPr>
            <w:tcW w:w="2888" w:type="dxa"/>
          </w:tcPr>
          <w:p w14:paraId="50E53E24" w14:textId="77777777" w:rsidR="004E52BE" w:rsidRPr="002A256C" w:rsidRDefault="004E52BE" w:rsidP="00F00A44">
            <w:pPr>
              <w:rPr>
                <w:color w:val="0070C0"/>
                <w:sz w:val="18"/>
                <w:szCs w:val="20"/>
              </w:rPr>
            </w:pPr>
            <w:r w:rsidRPr="002A256C">
              <w:rPr>
                <w:color w:val="0070C0"/>
                <w:sz w:val="18"/>
                <w:szCs w:val="20"/>
              </w:rPr>
              <w:t>&gt;Q3 (&gt;626 Procedures)</w:t>
            </w:r>
          </w:p>
        </w:tc>
        <w:tc>
          <w:tcPr>
            <w:tcW w:w="1368" w:type="dxa"/>
          </w:tcPr>
          <w:p w14:paraId="058DB9D5" w14:textId="77777777" w:rsidR="004E52BE" w:rsidRPr="002A256C" w:rsidRDefault="004E52BE" w:rsidP="00F00A44">
            <w:pPr>
              <w:rPr>
                <w:color w:val="0070C0"/>
                <w:sz w:val="18"/>
                <w:szCs w:val="20"/>
              </w:rPr>
            </w:pPr>
            <w:r w:rsidRPr="002A256C">
              <w:rPr>
                <w:color w:val="0070C0"/>
                <w:sz w:val="18"/>
                <w:szCs w:val="20"/>
              </w:rPr>
              <w:t>.748</w:t>
            </w:r>
          </w:p>
        </w:tc>
      </w:tr>
      <w:tr w:rsidR="004E52BE" w:rsidRPr="002A256C" w14:paraId="79301CF0" w14:textId="77777777" w:rsidTr="00F00A44">
        <w:trPr>
          <w:trHeight w:val="366"/>
        </w:trPr>
        <w:tc>
          <w:tcPr>
            <w:tcW w:w="2888" w:type="dxa"/>
          </w:tcPr>
          <w:p w14:paraId="1E257092" w14:textId="77777777" w:rsidR="004E52BE" w:rsidRPr="002A256C" w:rsidRDefault="004E52BE" w:rsidP="00F00A44">
            <w:pPr>
              <w:rPr>
                <w:color w:val="0070C0"/>
                <w:sz w:val="18"/>
                <w:szCs w:val="20"/>
              </w:rPr>
            </w:pPr>
            <w:r w:rsidRPr="002A256C">
              <w:rPr>
                <w:color w:val="0070C0"/>
                <w:sz w:val="18"/>
                <w:szCs w:val="20"/>
              </w:rPr>
              <w:t>&gt;Average (&gt;467 Procedures)</w:t>
            </w:r>
          </w:p>
        </w:tc>
        <w:tc>
          <w:tcPr>
            <w:tcW w:w="1368" w:type="dxa"/>
          </w:tcPr>
          <w:p w14:paraId="1D5C4E2F" w14:textId="77777777" w:rsidR="004E52BE" w:rsidRPr="002A256C" w:rsidRDefault="004E52BE" w:rsidP="00F00A44">
            <w:pPr>
              <w:rPr>
                <w:color w:val="0070C0"/>
                <w:sz w:val="18"/>
                <w:szCs w:val="20"/>
              </w:rPr>
            </w:pPr>
            <w:r w:rsidRPr="002A256C">
              <w:rPr>
                <w:color w:val="0070C0"/>
                <w:sz w:val="18"/>
                <w:szCs w:val="20"/>
              </w:rPr>
              <w:t>.700</w:t>
            </w:r>
          </w:p>
        </w:tc>
      </w:tr>
    </w:tbl>
    <w:p w14:paraId="45D32869" w14:textId="77777777" w:rsidR="004E52BE" w:rsidRPr="002A256C" w:rsidRDefault="004E52BE" w:rsidP="004E52BE">
      <w:pPr>
        <w:autoSpaceDE w:val="0"/>
        <w:autoSpaceDN w:val="0"/>
        <w:adjustRightInd w:val="0"/>
        <w:spacing w:after="0" w:line="240" w:lineRule="auto"/>
        <w:rPr>
          <w:rFonts w:cstheme="minorHAnsi"/>
          <w:b/>
          <w:bCs/>
          <w:i/>
          <w:color w:val="0070C0"/>
          <w:sz w:val="20"/>
          <w:szCs w:val="20"/>
          <w:u w:val="single"/>
        </w:rPr>
      </w:pPr>
    </w:p>
    <w:p w14:paraId="50C21C7C" w14:textId="77777777" w:rsidR="004E52BE" w:rsidRPr="002A256C" w:rsidRDefault="004E52BE" w:rsidP="004E52BE">
      <w:pPr>
        <w:autoSpaceDE w:val="0"/>
        <w:autoSpaceDN w:val="0"/>
        <w:adjustRightInd w:val="0"/>
        <w:spacing w:after="0" w:line="240" w:lineRule="auto"/>
        <w:rPr>
          <w:rFonts w:cstheme="minorHAnsi"/>
          <w:b/>
          <w:bCs/>
          <w:i/>
          <w:color w:val="0070C0"/>
          <w:sz w:val="20"/>
          <w:szCs w:val="20"/>
          <w:u w:val="single"/>
        </w:rPr>
      </w:pPr>
    </w:p>
    <w:p w14:paraId="41CBA0CE" w14:textId="77777777" w:rsidR="004E52BE" w:rsidRPr="002A256C" w:rsidRDefault="004E52BE" w:rsidP="004E52BE">
      <w:pPr>
        <w:autoSpaceDE w:val="0"/>
        <w:autoSpaceDN w:val="0"/>
        <w:adjustRightInd w:val="0"/>
        <w:spacing w:after="0" w:line="240" w:lineRule="auto"/>
        <w:rPr>
          <w:rFonts w:cstheme="minorHAnsi"/>
          <w:b/>
          <w:bCs/>
          <w:i/>
          <w:color w:val="0070C0"/>
          <w:sz w:val="20"/>
          <w:szCs w:val="20"/>
          <w:u w:val="single"/>
        </w:rPr>
      </w:pPr>
      <w:r w:rsidRPr="002A256C">
        <w:rPr>
          <w:rFonts w:cstheme="minorHAnsi"/>
          <w:b/>
          <w:bCs/>
          <w:i/>
          <w:color w:val="0070C0"/>
          <w:sz w:val="20"/>
          <w:szCs w:val="20"/>
          <w:u w:val="single"/>
        </w:rPr>
        <w:t>Assessment of test-retest reliability among patients undergoing 2 procedures within 2012:</w:t>
      </w:r>
    </w:p>
    <w:p w14:paraId="3BE4DDEC"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r w:rsidRPr="002A256C">
        <w:rPr>
          <w:rFonts w:cstheme="minorHAnsi"/>
          <w:bCs/>
          <w:color w:val="0070C0"/>
          <w:sz w:val="20"/>
          <w:szCs w:val="20"/>
        </w:rPr>
        <w:t>The key data elements for the mortality risk model tested among patients with 2 procedures in 2012 are shown below:</w:t>
      </w:r>
    </w:p>
    <w:p w14:paraId="56226D77"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p>
    <w:p w14:paraId="01CE5A0E"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r w:rsidRPr="002A256C">
        <w:rPr>
          <w:rFonts w:cstheme="minorHAnsi"/>
          <w:b/>
          <w:bCs/>
          <w:color w:val="0070C0"/>
          <w:sz w:val="20"/>
          <w:szCs w:val="20"/>
        </w:rPr>
        <w:t>Gender</w:t>
      </w:r>
      <w:r w:rsidRPr="002A256C">
        <w:rPr>
          <w:rFonts w:cstheme="minorHAnsi"/>
          <w:bCs/>
          <w:color w:val="0070C0"/>
          <w:sz w:val="20"/>
          <w:szCs w:val="20"/>
        </w:rPr>
        <w:t xml:space="preserve"> demonstrated excellent reproducibility, with only 12 of 40,197 (0.03%) patients having different genders on the 2 procedures. </w:t>
      </w:r>
    </w:p>
    <w:p w14:paraId="64618D2C"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p>
    <w:p w14:paraId="0D71B2C6"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r w:rsidRPr="002A256C">
        <w:rPr>
          <w:rFonts w:cstheme="minorHAnsi"/>
          <w:b/>
          <w:bCs/>
          <w:color w:val="0070C0"/>
          <w:sz w:val="20"/>
          <w:szCs w:val="20"/>
        </w:rPr>
        <w:t xml:space="preserve">Age as assessed by Date of Birth </w:t>
      </w:r>
      <w:r w:rsidRPr="002A256C">
        <w:rPr>
          <w:rFonts w:cstheme="minorHAnsi"/>
          <w:bCs/>
          <w:color w:val="0070C0"/>
          <w:sz w:val="20"/>
          <w:szCs w:val="20"/>
        </w:rPr>
        <w:t>was identical in 99.91% of the 40,045 patients on both assessments.</w:t>
      </w:r>
    </w:p>
    <w:p w14:paraId="5DE3FB9E"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p>
    <w:p w14:paraId="0E38C441"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r w:rsidRPr="002A256C">
        <w:rPr>
          <w:rFonts w:cstheme="minorHAnsi"/>
          <w:b/>
          <w:bCs/>
          <w:color w:val="0070C0"/>
          <w:sz w:val="20"/>
          <w:szCs w:val="20"/>
        </w:rPr>
        <w:t>Cerebrovascular disease (CVD)</w:t>
      </w:r>
      <w:r w:rsidRPr="002A256C">
        <w:rPr>
          <w:rFonts w:cstheme="minorHAnsi"/>
          <w:bCs/>
          <w:color w:val="0070C0"/>
          <w:sz w:val="20"/>
          <w:szCs w:val="20"/>
        </w:rPr>
        <w:t xml:space="preserve"> revealed that only 1160 patients had evidence of CVD on the initial visit that was not noted on the second visit. This represents 2.9% of the population being clearly misclassified on one of the assessments.</w:t>
      </w:r>
    </w:p>
    <w:p w14:paraId="32CD9BA6" w14:textId="77777777" w:rsidR="004E52BE" w:rsidRPr="002A256C" w:rsidRDefault="004E52BE" w:rsidP="004E52BE">
      <w:pPr>
        <w:autoSpaceDE w:val="0"/>
        <w:autoSpaceDN w:val="0"/>
        <w:adjustRightInd w:val="0"/>
        <w:spacing w:after="0" w:line="240" w:lineRule="auto"/>
        <w:rPr>
          <w:rFonts w:cstheme="minorHAnsi"/>
          <w:b/>
          <w:bCs/>
          <w:color w:val="0070C0"/>
          <w:sz w:val="20"/>
          <w:szCs w:val="20"/>
        </w:rPr>
      </w:pPr>
    </w:p>
    <w:p w14:paraId="14D90553"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r w:rsidRPr="002A256C">
        <w:rPr>
          <w:rFonts w:cstheme="minorHAnsi"/>
          <w:b/>
          <w:bCs/>
          <w:color w:val="0070C0"/>
          <w:sz w:val="20"/>
          <w:szCs w:val="20"/>
        </w:rPr>
        <w:t>Peripheral Vascular Disease (PVD)</w:t>
      </w:r>
      <w:r w:rsidRPr="002A256C">
        <w:rPr>
          <w:rFonts w:cstheme="minorHAnsi"/>
          <w:bCs/>
          <w:color w:val="0070C0"/>
          <w:sz w:val="20"/>
          <w:szCs w:val="20"/>
        </w:rPr>
        <w:t xml:space="preserve"> revealed that only 1332 (3.3%) patients who had evidence of PVD at the time of their initial PCI no longer had this recorded at the time of their second procedure and were clearly misclassified on one of the assessments.</w:t>
      </w:r>
    </w:p>
    <w:p w14:paraId="64AE08B5"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p>
    <w:p w14:paraId="0390F381"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r w:rsidRPr="002A256C">
        <w:rPr>
          <w:rFonts w:cstheme="minorHAnsi"/>
          <w:b/>
          <w:bCs/>
          <w:color w:val="0070C0"/>
          <w:sz w:val="20"/>
          <w:szCs w:val="20"/>
        </w:rPr>
        <w:t>Chronic Lung Disease (CLD)</w:t>
      </w:r>
      <w:r w:rsidRPr="002A256C">
        <w:rPr>
          <w:rFonts w:cstheme="minorHAnsi"/>
          <w:bCs/>
          <w:color w:val="0070C0"/>
          <w:sz w:val="20"/>
          <w:szCs w:val="20"/>
        </w:rPr>
        <w:t xml:space="preserve"> was recorded in 1366 (3.4%) of the patients at the time of their initial PCI, but not at the time of the second procedure.</w:t>
      </w:r>
    </w:p>
    <w:p w14:paraId="6ADA56FB"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p>
    <w:p w14:paraId="5547C116"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r w:rsidRPr="002A256C">
        <w:rPr>
          <w:rFonts w:cstheme="minorHAnsi"/>
          <w:b/>
          <w:bCs/>
          <w:color w:val="0070C0"/>
          <w:sz w:val="20"/>
          <w:szCs w:val="20"/>
        </w:rPr>
        <w:t xml:space="preserve">Prior PCI </w:t>
      </w:r>
      <w:r w:rsidRPr="002A256C">
        <w:rPr>
          <w:rFonts w:cstheme="minorHAnsi"/>
          <w:bCs/>
          <w:color w:val="0070C0"/>
          <w:sz w:val="20"/>
          <w:szCs w:val="20"/>
        </w:rPr>
        <w:t>should have been recorded on the second procedure for each of the 40,045 patients. 987 (2.5%) were not classified as having had a prior PCI.</w:t>
      </w:r>
    </w:p>
    <w:p w14:paraId="3CC74408"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p>
    <w:p w14:paraId="4389B4FB"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r w:rsidRPr="002A256C">
        <w:rPr>
          <w:rFonts w:cstheme="minorHAnsi"/>
          <w:b/>
          <w:bCs/>
          <w:color w:val="0070C0"/>
          <w:sz w:val="20"/>
          <w:szCs w:val="20"/>
        </w:rPr>
        <w:t>Diabetes</w:t>
      </w:r>
      <w:r w:rsidRPr="002A256C">
        <w:rPr>
          <w:rFonts w:cstheme="minorHAnsi"/>
          <w:bCs/>
          <w:color w:val="0070C0"/>
          <w:sz w:val="20"/>
          <w:szCs w:val="20"/>
        </w:rPr>
        <w:t xml:space="preserve"> was not recorded among 731 (1.8%) of the patients who were noted to have diabetes at the time of their original procedure. </w:t>
      </w:r>
    </w:p>
    <w:p w14:paraId="14F0E55E"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p>
    <w:p w14:paraId="789BF500" w14:textId="77777777" w:rsidR="004E52BE" w:rsidRPr="002A256C" w:rsidRDefault="004E52BE" w:rsidP="004E52BE">
      <w:pPr>
        <w:autoSpaceDE w:val="0"/>
        <w:autoSpaceDN w:val="0"/>
        <w:adjustRightInd w:val="0"/>
        <w:spacing w:after="0" w:line="240" w:lineRule="auto"/>
        <w:rPr>
          <w:rFonts w:cstheme="minorHAnsi"/>
          <w:bCs/>
          <w:color w:val="0070C0"/>
          <w:sz w:val="20"/>
          <w:szCs w:val="20"/>
        </w:rPr>
      </w:pPr>
      <w:r w:rsidRPr="002A256C">
        <w:rPr>
          <w:rFonts w:cstheme="minorHAnsi"/>
          <w:bCs/>
          <w:color w:val="0070C0"/>
          <w:sz w:val="20"/>
          <w:szCs w:val="20"/>
        </w:rPr>
        <w:t>Because dynamic elements are expected to change over time, the following variables could not have their test-retest reliability assessed by this method: Prior cardiac arrest, GFR, NYHA classification, shock within 24 hours of PCI, indication for PCI (e.g. STEMI vs. NSTEMI vs. others), urgency of the procedure, number, appearance and location of diseased vessels, lesion severity as assessed by the SCAI definitions, BMI, and TIMI flow could not be assessed using this approach.</w:t>
      </w:r>
    </w:p>
    <w:p w14:paraId="12130780" w14:textId="77777777" w:rsidR="004E52BE" w:rsidRPr="004E52BE" w:rsidRDefault="004E52BE" w:rsidP="004E52BE">
      <w:pPr>
        <w:autoSpaceDE w:val="0"/>
        <w:autoSpaceDN w:val="0"/>
        <w:adjustRightInd w:val="0"/>
        <w:spacing w:after="0" w:line="240" w:lineRule="auto"/>
        <w:rPr>
          <w:rFonts w:asciiTheme="majorHAnsi" w:hAnsiTheme="majorHAnsi" w:cstheme="minorHAnsi"/>
          <w:bCs/>
          <w:color w:val="FF0000"/>
          <w:sz w:val="20"/>
          <w:szCs w:val="20"/>
        </w:rPr>
      </w:pPr>
    </w:p>
    <w:p w14:paraId="0CABCFD3" w14:textId="77777777" w:rsidR="007422FD" w:rsidRPr="00A25024" w:rsidRDefault="007422FD" w:rsidP="008C54A9">
      <w:pPr>
        <w:autoSpaceDE w:val="0"/>
        <w:autoSpaceDN w:val="0"/>
        <w:adjustRightInd w:val="0"/>
        <w:spacing w:after="0" w:line="240" w:lineRule="auto"/>
        <w:rPr>
          <w:rFonts w:cstheme="minorHAnsi"/>
          <w:bCs/>
        </w:rPr>
      </w:pPr>
    </w:p>
    <w:p w14:paraId="4B7862F8" w14:textId="77777777" w:rsidR="004E52BE" w:rsidRPr="002A256C" w:rsidRDefault="00092566" w:rsidP="004E52BE">
      <w:pPr>
        <w:autoSpaceDE w:val="0"/>
        <w:autoSpaceDN w:val="0"/>
        <w:adjustRightInd w:val="0"/>
        <w:spacing w:after="0" w:line="240" w:lineRule="auto"/>
        <w:rPr>
          <w:rFonts w:asciiTheme="majorHAnsi" w:hAnsiTheme="majorHAnsi" w:cstheme="minorHAnsi"/>
          <w:b/>
          <w:bCs/>
          <w:i/>
          <w:color w:val="0070C0"/>
          <w:sz w:val="20"/>
          <w:szCs w:val="20"/>
          <w:u w:val="single"/>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4E52BE" w:rsidRPr="002A256C">
        <w:rPr>
          <w:rFonts w:asciiTheme="majorHAnsi" w:hAnsiTheme="majorHAnsi" w:cstheme="minorHAnsi"/>
          <w:b/>
          <w:bCs/>
          <w:i/>
          <w:color w:val="0070C0"/>
          <w:sz w:val="20"/>
          <w:szCs w:val="20"/>
          <w:u w:val="single"/>
        </w:rPr>
        <w:t>Signal to Noise Analysis:</w:t>
      </w:r>
    </w:p>
    <w:p w14:paraId="6479AD24" w14:textId="77777777" w:rsidR="004E52BE" w:rsidRPr="002A256C" w:rsidRDefault="004E52BE" w:rsidP="004E52BE">
      <w:pPr>
        <w:autoSpaceDE w:val="0"/>
        <w:autoSpaceDN w:val="0"/>
        <w:adjustRightInd w:val="0"/>
        <w:spacing w:after="0" w:line="240" w:lineRule="auto"/>
        <w:rPr>
          <w:rFonts w:asciiTheme="majorHAnsi" w:hAnsiTheme="majorHAnsi"/>
          <w:color w:val="0070C0"/>
          <w:sz w:val="20"/>
          <w:szCs w:val="20"/>
        </w:rPr>
      </w:pPr>
      <w:r w:rsidRPr="002A256C">
        <w:rPr>
          <w:rFonts w:asciiTheme="majorHAnsi" w:hAnsiTheme="majorHAnsi"/>
          <w:color w:val="0070C0"/>
          <w:sz w:val="20"/>
          <w:szCs w:val="20"/>
        </w:rPr>
        <w:t>The signal to noise ratio analysis measures the confidence levels in differentiating performance between hospitals. These numbers demonstrate variability that is attributable to real differences in hospital quality as opposed to measurement error.</w:t>
      </w:r>
    </w:p>
    <w:p w14:paraId="2AF4313F" w14:textId="77777777" w:rsidR="004E52BE" w:rsidRPr="002A256C" w:rsidRDefault="004E52BE" w:rsidP="004E52BE">
      <w:pPr>
        <w:autoSpaceDE w:val="0"/>
        <w:autoSpaceDN w:val="0"/>
        <w:adjustRightInd w:val="0"/>
        <w:spacing w:after="0" w:line="240" w:lineRule="auto"/>
        <w:rPr>
          <w:rFonts w:asciiTheme="majorHAnsi" w:hAnsiTheme="majorHAnsi" w:cstheme="minorHAnsi"/>
          <w:b/>
          <w:bCs/>
          <w:i/>
          <w:color w:val="0070C0"/>
          <w:sz w:val="20"/>
          <w:szCs w:val="20"/>
          <w:u w:val="single"/>
        </w:rPr>
      </w:pPr>
    </w:p>
    <w:p w14:paraId="7511F854" w14:textId="77777777" w:rsidR="004E52BE" w:rsidRPr="002A256C" w:rsidRDefault="004E52BE" w:rsidP="004E52BE">
      <w:pPr>
        <w:autoSpaceDE w:val="0"/>
        <w:autoSpaceDN w:val="0"/>
        <w:adjustRightInd w:val="0"/>
        <w:spacing w:after="0" w:line="240" w:lineRule="auto"/>
        <w:rPr>
          <w:rFonts w:asciiTheme="majorHAnsi" w:hAnsiTheme="majorHAnsi" w:cstheme="minorHAnsi"/>
          <w:b/>
          <w:bCs/>
          <w:i/>
          <w:color w:val="0070C0"/>
          <w:sz w:val="20"/>
          <w:szCs w:val="20"/>
          <w:u w:val="single"/>
        </w:rPr>
      </w:pPr>
      <w:r w:rsidRPr="002A256C">
        <w:rPr>
          <w:rFonts w:asciiTheme="majorHAnsi" w:hAnsiTheme="majorHAnsi" w:cstheme="minorHAnsi"/>
          <w:b/>
          <w:bCs/>
          <w:i/>
          <w:color w:val="0070C0"/>
          <w:sz w:val="20"/>
          <w:szCs w:val="20"/>
          <w:u w:val="single"/>
        </w:rPr>
        <w:t>Assessment of test-retest reliability among patients undergoing 2 procedures within 2012:</w:t>
      </w:r>
    </w:p>
    <w:p w14:paraId="4D70A26E" w14:textId="77777777" w:rsidR="004E52BE" w:rsidRPr="002A256C" w:rsidRDefault="004E52BE" w:rsidP="004E52BE">
      <w:pPr>
        <w:autoSpaceDE w:val="0"/>
        <w:autoSpaceDN w:val="0"/>
        <w:adjustRightInd w:val="0"/>
        <w:spacing w:after="0" w:line="240" w:lineRule="auto"/>
        <w:rPr>
          <w:rFonts w:asciiTheme="majorHAnsi" w:hAnsiTheme="majorHAnsi" w:cstheme="minorHAnsi"/>
          <w:bCs/>
          <w:color w:val="0070C0"/>
          <w:sz w:val="20"/>
          <w:szCs w:val="20"/>
        </w:rPr>
      </w:pPr>
      <w:r w:rsidRPr="002A256C">
        <w:rPr>
          <w:rFonts w:asciiTheme="majorHAnsi" w:hAnsiTheme="majorHAnsi" w:cstheme="minorHAnsi"/>
          <w:bCs/>
          <w:color w:val="0070C0"/>
          <w:sz w:val="20"/>
          <w:szCs w:val="20"/>
        </w:rPr>
        <w:t>Finding no clear misclassification by test-retest reliability for any assessable risk factor being &gt;3.5% provides strong support for the test-retest reliability of the mortality risk factors assessed.</w:t>
      </w:r>
    </w:p>
    <w:p w14:paraId="75142FCC" w14:textId="77777777" w:rsidR="004E52BE" w:rsidRPr="002A256C" w:rsidRDefault="004E52BE" w:rsidP="004E52BE">
      <w:pPr>
        <w:autoSpaceDE w:val="0"/>
        <w:autoSpaceDN w:val="0"/>
        <w:adjustRightInd w:val="0"/>
        <w:spacing w:after="0" w:line="240" w:lineRule="auto"/>
        <w:rPr>
          <w:rFonts w:asciiTheme="majorHAnsi" w:hAnsiTheme="majorHAnsi" w:cstheme="minorHAnsi"/>
          <w:bCs/>
          <w:color w:val="0070C0"/>
          <w:sz w:val="20"/>
          <w:szCs w:val="20"/>
        </w:rPr>
      </w:pPr>
    </w:p>
    <w:p w14:paraId="227A9D26" w14:textId="77777777" w:rsidR="004E52BE" w:rsidRPr="002A256C" w:rsidRDefault="004E52BE" w:rsidP="004E52BE">
      <w:pPr>
        <w:autoSpaceDE w:val="0"/>
        <w:autoSpaceDN w:val="0"/>
        <w:adjustRightInd w:val="0"/>
        <w:spacing w:after="0" w:line="240" w:lineRule="auto"/>
        <w:rPr>
          <w:rFonts w:asciiTheme="majorHAnsi" w:hAnsiTheme="majorHAnsi"/>
          <w:color w:val="0070C0"/>
          <w:sz w:val="20"/>
          <w:szCs w:val="20"/>
        </w:rPr>
      </w:pPr>
      <w:r w:rsidRPr="002A256C">
        <w:rPr>
          <w:rFonts w:asciiTheme="majorHAnsi" w:hAnsiTheme="majorHAnsi"/>
          <w:color w:val="0070C0"/>
          <w:sz w:val="20"/>
          <w:szCs w:val="20"/>
        </w:rPr>
        <w:t xml:space="preserve">Collectively, we believe that the prior audit data and repeat procedure data strongly support the reliability of the data elements used in the model. </w:t>
      </w:r>
    </w:p>
    <w:p w14:paraId="54EB6DFB" w14:textId="77777777" w:rsidR="004E52BE" w:rsidRPr="002A256C" w:rsidRDefault="004E52BE" w:rsidP="004E52BE">
      <w:pPr>
        <w:spacing w:line="240" w:lineRule="auto"/>
        <w:contextualSpacing/>
        <w:rPr>
          <w:rFonts w:asciiTheme="majorHAnsi" w:hAnsiTheme="majorHAnsi"/>
          <w:color w:val="0070C0"/>
          <w:sz w:val="20"/>
          <w:szCs w:val="20"/>
        </w:rPr>
      </w:pPr>
    </w:p>
    <w:p w14:paraId="66E71258" w14:textId="77777777" w:rsidR="004E52BE" w:rsidRPr="002A256C" w:rsidRDefault="004E52BE" w:rsidP="004E52BE">
      <w:pPr>
        <w:spacing w:line="240" w:lineRule="auto"/>
        <w:contextualSpacing/>
        <w:rPr>
          <w:rFonts w:asciiTheme="majorHAnsi" w:hAnsiTheme="majorHAnsi"/>
          <w:color w:val="0070C0"/>
          <w:sz w:val="20"/>
          <w:szCs w:val="20"/>
        </w:rPr>
      </w:pPr>
      <w:r w:rsidRPr="002A256C">
        <w:rPr>
          <w:rFonts w:asciiTheme="majorHAnsi" w:hAnsiTheme="majorHAnsi"/>
          <w:color w:val="0070C0"/>
          <w:sz w:val="20"/>
          <w:szCs w:val="20"/>
        </w:rPr>
        <w:t xml:space="preserve">(Reference:  Landis J, Koch G, The measurement of observer agreement for categorical data, </w:t>
      </w:r>
      <w:r w:rsidRPr="002A256C">
        <w:rPr>
          <w:rFonts w:asciiTheme="majorHAnsi" w:hAnsiTheme="majorHAnsi"/>
          <w:i/>
          <w:iCs/>
          <w:color w:val="0070C0"/>
          <w:sz w:val="20"/>
          <w:szCs w:val="20"/>
        </w:rPr>
        <w:t>Biometrics</w:t>
      </w:r>
      <w:r w:rsidRPr="002A256C">
        <w:rPr>
          <w:rFonts w:asciiTheme="majorHAnsi" w:hAnsiTheme="majorHAnsi"/>
          <w:color w:val="0070C0"/>
          <w:sz w:val="20"/>
          <w:szCs w:val="20"/>
        </w:rPr>
        <w:t xml:space="preserve">, 1977;33:159-174.) </w:t>
      </w:r>
    </w:p>
    <w:p w14:paraId="0CABCFD4" w14:textId="77777777" w:rsidR="007422FD" w:rsidRPr="00A25024" w:rsidRDefault="007422FD"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F7493D">
        <w:rPr>
          <w:rFonts w:cstheme="minorHAnsi"/>
          <w:b/>
          <w:noProof/>
          <w:highlight w:val="yellow"/>
        </w:rPr>
        <w:t>2</w:t>
      </w:r>
      <w:r w:rsidR="00EA5F47" w:rsidRPr="00F7493D">
        <w:rPr>
          <w:rFonts w:cstheme="minorHAnsi"/>
          <w:b/>
          <w:noProof/>
          <w:highlight w:val="yellow"/>
        </w:rPr>
        <w:t>b</w:t>
      </w:r>
      <w:r w:rsidR="009C7513" w:rsidRPr="00F7493D">
        <w:rPr>
          <w:rFonts w:cstheme="minorHAnsi"/>
          <w:b/>
          <w:noProof/>
          <w:highlight w:val="yellow"/>
        </w:rPr>
        <w:t>1</w:t>
      </w:r>
      <w:r w:rsidRPr="00F7493D">
        <w:rPr>
          <w:rFonts w:cstheme="minorHAnsi"/>
          <w:b/>
          <w:noProof/>
          <w:highlight w:val="yellow"/>
        </w:rPr>
        <w:t xml:space="preserve">. </w:t>
      </w:r>
      <w:r w:rsidRPr="00F7493D">
        <w:rPr>
          <w:rFonts w:cstheme="minorHAnsi"/>
          <w:b/>
          <w:bCs/>
          <w:highlight w:val="yellow"/>
        </w:rPr>
        <w:t>VALIDITY TESTING</w:t>
      </w:r>
      <w:r w:rsidRPr="00A25024">
        <w:rPr>
          <w:rFonts w:cstheme="minorHAnsi"/>
          <w:b/>
          <w:bCs/>
        </w:rPr>
        <w:t xml:space="preserve">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425CB9F" w:rsidR="00696262" w:rsidRPr="00A25024" w:rsidRDefault="002E3F52"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4E52B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118EC801" w:rsidR="000574AB" w:rsidRPr="00A25024" w:rsidRDefault="002E3F52"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4E52B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4E52B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 xml:space="preserve">good from poor </w:t>
      </w:r>
      <w:proofErr w:type="gramStart"/>
      <w:r w:rsidR="000414E8">
        <w:rPr>
          <w:rFonts w:eastAsia="MS Gothic" w:cstheme="minorHAnsi"/>
          <w:bCs/>
          <w:i/>
        </w:rPr>
        <w:t>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proofErr w:type="gramEnd"/>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16D79D10" w14:textId="77777777" w:rsidR="004E52BE" w:rsidRPr="002A256C" w:rsidRDefault="009C7513" w:rsidP="004E52BE">
      <w:pPr>
        <w:autoSpaceDE w:val="0"/>
        <w:autoSpaceDN w:val="0"/>
        <w:adjustRightInd w:val="0"/>
        <w:spacing w:after="0" w:line="240" w:lineRule="auto"/>
        <w:rPr>
          <w:rFonts w:asciiTheme="majorHAnsi" w:hAnsiTheme="majorHAnsi" w:cstheme="minorHAnsi"/>
          <w:bCs/>
          <w:color w:val="0070C0"/>
          <w:sz w:val="20"/>
          <w:szCs w:val="20"/>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4E52BE" w:rsidRPr="002A256C">
        <w:rPr>
          <w:rFonts w:asciiTheme="majorHAnsi" w:eastAsia="Times New Roman" w:hAnsiTheme="majorHAnsi" w:cs="Times New Roman"/>
          <w:b/>
          <w:color w:val="0070C0"/>
          <w:sz w:val="20"/>
          <w:szCs w:val="20"/>
          <w:lang w:eastAsia="ja-JP"/>
        </w:rPr>
        <w:t xml:space="preserve">Rationale for proposing this outcome - </w:t>
      </w:r>
      <w:r w:rsidR="004E52BE" w:rsidRPr="002A256C">
        <w:rPr>
          <w:rFonts w:asciiTheme="majorHAnsi" w:eastAsia="Times New Roman" w:hAnsiTheme="majorHAnsi" w:cs="Times New Roman"/>
          <w:color w:val="0070C0"/>
          <w:sz w:val="20"/>
          <w:szCs w:val="20"/>
          <w:lang w:eastAsia="ja-JP"/>
        </w:rPr>
        <w:t>Peri-procedural mortality is the most dreaded complication of PCI. The currently NQF-approved risk-adjusted peri-procedural mortality model has excellent discrimination and markedly shifts the observed performance of hospitals (see Section 2b4.9 below) by accounting for patient characteristics present prior to the conduct of the procedure. Given the marked distribution of performance across hospitals, we believe that some hospitals are clearly performing PCI more safely than others and that there is great opportunity to improve the safety of PCI at some centers. Importantly, we have also created a much simpler, pre-procedural risk model that can be used clinically to assess patients’ risks for mortality. These estimates can be used by heart teams to define the best treatment strategy for each patient.</w:t>
      </w:r>
    </w:p>
    <w:p w14:paraId="68B13D2F" w14:textId="77777777" w:rsidR="004E52BE" w:rsidRPr="002A256C" w:rsidRDefault="004E52BE" w:rsidP="004E52BE">
      <w:pPr>
        <w:autoSpaceDE w:val="0"/>
        <w:autoSpaceDN w:val="0"/>
        <w:adjustRightInd w:val="0"/>
        <w:spacing w:after="0" w:line="240" w:lineRule="auto"/>
        <w:rPr>
          <w:rFonts w:asciiTheme="majorHAnsi" w:hAnsiTheme="majorHAnsi" w:cstheme="minorHAnsi"/>
          <w:bCs/>
          <w:color w:val="0070C0"/>
          <w:sz w:val="20"/>
          <w:szCs w:val="20"/>
        </w:rPr>
      </w:pPr>
    </w:p>
    <w:p w14:paraId="72853420" w14:textId="77777777" w:rsidR="004E52BE" w:rsidRPr="002A256C" w:rsidRDefault="004E52BE" w:rsidP="004E52BE">
      <w:pPr>
        <w:autoSpaceDE w:val="0"/>
        <w:autoSpaceDN w:val="0"/>
        <w:adjustRightInd w:val="0"/>
        <w:spacing w:after="0" w:line="240" w:lineRule="auto"/>
        <w:rPr>
          <w:rFonts w:asciiTheme="majorHAnsi" w:hAnsiTheme="majorHAnsi" w:cstheme="minorHAnsi"/>
          <w:bCs/>
          <w:color w:val="0070C0"/>
          <w:sz w:val="20"/>
          <w:szCs w:val="20"/>
        </w:rPr>
      </w:pPr>
      <w:r w:rsidRPr="002A256C">
        <w:rPr>
          <w:rFonts w:asciiTheme="majorHAnsi" w:hAnsiTheme="majorHAnsi" w:cstheme="minorHAnsi"/>
          <w:b/>
          <w:bCs/>
          <w:color w:val="0070C0"/>
          <w:sz w:val="20"/>
          <w:szCs w:val="20"/>
        </w:rPr>
        <w:t>Content validity of this outcome –</w:t>
      </w:r>
      <w:r w:rsidRPr="002A256C">
        <w:rPr>
          <w:rFonts w:asciiTheme="majorHAnsi" w:hAnsiTheme="majorHAnsi" w:cstheme="minorHAnsi"/>
          <w:bCs/>
          <w:color w:val="0070C0"/>
          <w:sz w:val="20"/>
          <w:szCs w:val="20"/>
        </w:rPr>
        <w:t xml:space="preserve">the specific definition used in defining peri-procedural mortality and the inclusion/exclusion criteria were was achieved by the specialized expertise of those individuals who developed this model as well as the structured discussions that the group </w:t>
      </w:r>
      <w:proofErr w:type="gramStart"/>
      <w:r w:rsidRPr="002A256C">
        <w:rPr>
          <w:rFonts w:asciiTheme="majorHAnsi" w:hAnsiTheme="majorHAnsi" w:cstheme="minorHAnsi"/>
          <w:bCs/>
          <w:color w:val="0070C0"/>
          <w:sz w:val="20"/>
          <w:szCs w:val="20"/>
        </w:rPr>
        <w:t>conducted(</w:t>
      </w:r>
      <w:proofErr w:type="gramEnd"/>
      <w:r w:rsidRPr="002A256C">
        <w:rPr>
          <w:rFonts w:asciiTheme="majorHAnsi" w:hAnsiTheme="majorHAnsi" w:cstheme="minorHAnsi"/>
          <w:bCs/>
          <w:color w:val="0070C0"/>
          <w:sz w:val="20"/>
          <w:szCs w:val="20"/>
        </w:rPr>
        <w:t xml:space="preserve">Peterson et al. </w:t>
      </w:r>
      <w:r w:rsidRPr="002A256C">
        <w:rPr>
          <w:rFonts w:asciiTheme="majorHAnsi" w:hAnsiTheme="majorHAnsi" w:cstheme="minorHAnsi"/>
          <w:bCs/>
          <w:i/>
          <w:color w:val="0070C0"/>
          <w:sz w:val="20"/>
          <w:szCs w:val="20"/>
        </w:rPr>
        <w:t xml:space="preserve">J Am Coll </w:t>
      </w:r>
      <w:proofErr w:type="spellStart"/>
      <w:r w:rsidRPr="002A256C">
        <w:rPr>
          <w:rFonts w:asciiTheme="majorHAnsi" w:hAnsiTheme="majorHAnsi" w:cstheme="minorHAnsi"/>
          <w:bCs/>
          <w:i/>
          <w:color w:val="0070C0"/>
          <w:sz w:val="20"/>
          <w:szCs w:val="20"/>
        </w:rPr>
        <w:t>Cardiol</w:t>
      </w:r>
      <w:proofErr w:type="spellEnd"/>
      <w:r w:rsidRPr="002A256C">
        <w:rPr>
          <w:rFonts w:asciiTheme="majorHAnsi" w:hAnsiTheme="majorHAnsi" w:cstheme="minorHAnsi"/>
          <w:bCs/>
          <w:color w:val="0070C0"/>
          <w:sz w:val="20"/>
          <w:szCs w:val="20"/>
        </w:rPr>
        <w:t xml:space="preserve"> 2010; 55: 1923-32). For this </w:t>
      </w:r>
      <w:proofErr w:type="gramStart"/>
      <w:r w:rsidRPr="002A256C">
        <w:rPr>
          <w:rFonts w:asciiTheme="majorHAnsi" w:hAnsiTheme="majorHAnsi" w:cstheme="minorHAnsi"/>
          <w:bCs/>
          <w:color w:val="0070C0"/>
          <w:sz w:val="20"/>
          <w:szCs w:val="20"/>
        </w:rPr>
        <w:t>particular topic</w:t>
      </w:r>
      <w:proofErr w:type="gramEnd"/>
      <w:r w:rsidRPr="002A256C">
        <w:rPr>
          <w:rFonts w:asciiTheme="majorHAnsi" w:hAnsiTheme="majorHAnsi" w:cstheme="minorHAnsi"/>
          <w:bCs/>
          <w:color w:val="0070C0"/>
          <w:sz w:val="20"/>
          <w:szCs w:val="20"/>
        </w:rPr>
        <w:t xml:space="preserve"> those individuals who were involved in identifying the key attributes and variables for this risk model were leaders and experts in the field of interventional cardiology. Serial phone calls were held to be both define the event and to examine and vet the risk model. Additional review was provided by the following specific committees and workgroups are noted below:</w:t>
      </w:r>
    </w:p>
    <w:p w14:paraId="7B2D99B8" w14:textId="77777777" w:rsidR="004E52BE" w:rsidRPr="002A256C" w:rsidRDefault="004E52BE" w:rsidP="004E52BE">
      <w:pPr>
        <w:autoSpaceDE w:val="0"/>
        <w:autoSpaceDN w:val="0"/>
        <w:adjustRightInd w:val="0"/>
        <w:spacing w:after="0" w:line="240" w:lineRule="auto"/>
        <w:rPr>
          <w:rFonts w:asciiTheme="majorHAnsi" w:hAnsiTheme="majorHAnsi" w:cstheme="minorHAnsi"/>
          <w:bCs/>
          <w:color w:val="0070C0"/>
          <w:sz w:val="20"/>
          <w:szCs w:val="20"/>
        </w:rPr>
      </w:pPr>
    </w:p>
    <w:p w14:paraId="1F6F2FD7" w14:textId="77777777" w:rsidR="004E52BE" w:rsidRPr="002A256C" w:rsidRDefault="004E52BE" w:rsidP="004E52BE">
      <w:pPr>
        <w:autoSpaceDE w:val="0"/>
        <w:autoSpaceDN w:val="0"/>
        <w:adjustRightInd w:val="0"/>
        <w:spacing w:after="0" w:line="240" w:lineRule="auto"/>
        <w:rPr>
          <w:rFonts w:asciiTheme="majorHAnsi" w:hAnsiTheme="majorHAnsi" w:cs="Calibri"/>
          <w:bCs/>
          <w:color w:val="0070C0"/>
          <w:sz w:val="20"/>
          <w:szCs w:val="20"/>
        </w:rPr>
      </w:pPr>
      <w:r w:rsidRPr="002A256C">
        <w:rPr>
          <w:rFonts w:asciiTheme="majorHAnsi" w:hAnsiTheme="majorHAnsi" w:cs="Calibri"/>
          <w:bCs/>
          <w:color w:val="0070C0"/>
          <w:sz w:val="20"/>
          <w:szCs w:val="20"/>
        </w:rPr>
        <w:t xml:space="preserve">NCDR Strategic Quality and Oversight Committee— an ACC leadership oversight committee that serves as the primary resource for crosscutting scientific and quality of care methodological issues – ensured the data dictionaries and metrics are consistent across registries. They also reviewed and approved the methodology and results of the mortality as an outcome and model. </w:t>
      </w:r>
    </w:p>
    <w:p w14:paraId="078B18A9" w14:textId="77777777" w:rsidR="004E52BE" w:rsidRPr="002A256C" w:rsidRDefault="004E52BE" w:rsidP="004E52BE">
      <w:pPr>
        <w:rPr>
          <w:rFonts w:asciiTheme="majorHAnsi" w:hAnsiTheme="majorHAnsi"/>
          <w:color w:val="0070C0"/>
          <w:sz w:val="20"/>
          <w:szCs w:val="20"/>
        </w:rPr>
      </w:pPr>
      <w:r w:rsidRPr="002A256C">
        <w:rPr>
          <w:rFonts w:asciiTheme="majorHAnsi" w:hAnsiTheme="majorHAnsi" w:cs="Calibri"/>
          <w:bCs/>
          <w:color w:val="0070C0"/>
          <w:sz w:val="20"/>
          <w:szCs w:val="20"/>
        </w:rPr>
        <w:t xml:space="preserve">These members include </w:t>
      </w:r>
      <w:r w:rsidRPr="002A256C">
        <w:rPr>
          <w:rFonts w:asciiTheme="majorHAnsi" w:hAnsiTheme="majorHAnsi"/>
          <w:color w:val="0070C0"/>
          <w:sz w:val="20"/>
          <w:szCs w:val="20"/>
        </w:rPr>
        <w:t xml:space="preserve">Dr. Frederick </w:t>
      </w:r>
      <w:proofErr w:type="spellStart"/>
      <w:r w:rsidRPr="002A256C">
        <w:rPr>
          <w:rFonts w:asciiTheme="majorHAnsi" w:hAnsiTheme="majorHAnsi"/>
          <w:color w:val="0070C0"/>
          <w:sz w:val="20"/>
          <w:szCs w:val="20"/>
        </w:rPr>
        <w:t>Masoudi</w:t>
      </w:r>
      <w:proofErr w:type="spellEnd"/>
      <w:r w:rsidRPr="002A256C">
        <w:rPr>
          <w:rFonts w:asciiTheme="majorHAnsi" w:hAnsiTheme="majorHAnsi"/>
          <w:color w:val="0070C0"/>
          <w:sz w:val="20"/>
          <w:szCs w:val="20"/>
        </w:rPr>
        <w:t xml:space="preserve"> (chair</w:t>
      </w:r>
      <w:proofErr w:type="gramStart"/>
      <w:r w:rsidRPr="002A256C">
        <w:rPr>
          <w:rFonts w:asciiTheme="majorHAnsi" w:hAnsiTheme="majorHAnsi"/>
          <w:color w:val="0070C0"/>
          <w:sz w:val="20"/>
          <w:szCs w:val="20"/>
        </w:rPr>
        <w:t>) ,</w:t>
      </w:r>
      <w:proofErr w:type="gramEnd"/>
      <w:r w:rsidRPr="002A256C">
        <w:rPr>
          <w:rFonts w:asciiTheme="majorHAnsi" w:hAnsiTheme="majorHAnsi"/>
          <w:color w:val="0070C0"/>
          <w:sz w:val="20"/>
          <w:szCs w:val="20"/>
        </w:rPr>
        <w:t xml:space="preserve"> Dr. David </w:t>
      </w:r>
      <w:proofErr w:type="spellStart"/>
      <w:r w:rsidRPr="002A256C">
        <w:rPr>
          <w:rFonts w:asciiTheme="majorHAnsi" w:hAnsiTheme="majorHAnsi"/>
          <w:color w:val="0070C0"/>
          <w:sz w:val="20"/>
          <w:szCs w:val="20"/>
        </w:rPr>
        <w:t>Malenka</w:t>
      </w:r>
      <w:proofErr w:type="spellEnd"/>
      <w:r w:rsidRPr="002A256C">
        <w:rPr>
          <w:rFonts w:asciiTheme="majorHAnsi" w:hAnsiTheme="majorHAnsi"/>
          <w:color w:val="0070C0"/>
          <w:sz w:val="20"/>
          <w:szCs w:val="20"/>
        </w:rPr>
        <w:t xml:space="preserve">, Dr. Thomas Tsai, Dr. Matthew </w:t>
      </w:r>
      <w:proofErr w:type="spellStart"/>
      <w:r w:rsidRPr="002A256C">
        <w:rPr>
          <w:rFonts w:asciiTheme="majorHAnsi" w:hAnsiTheme="majorHAnsi"/>
          <w:color w:val="0070C0"/>
          <w:sz w:val="20"/>
          <w:szCs w:val="20"/>
        </w:rPr>
        <w:t>Reynolds,Dr</w:t>
      </w:r>
      <w:proofErr w:type="spellEnd"/>
      <w:r w:rsidRPr="002A256C">
        <w:rPr>
          <w:rFonts w:asciiTheme="majorHAnsi" w:hAnsiTheme="majorHAnsi"/>
          <w:color w:val="0070C0"/>
          <w:sz w:val="20"/>
          <w:szCs w:val="20"/>
        </w:rPr>
        <w:t xml:space="preserve">. David </w:t>
      </w:r>
      <w:proofErr w:type="spellStart"/>
      <w:r w:rsidRPr="002A256C">
        <w:rPr>
          <w:rFonts w:asciiTheme="majorHAnsi" w:hAnsiTheme="majorHAnsi"/>
          <w:color w:val="0070C0"/>
          <w:sz w:val="20"/>
          <w:szCs w:val="20"/>
        </w:rPr>
        <w:t>Shahian</w:t>
      </w:r>
      <w:proofErr w:type="spellEnd"/>
      <w:r w:rsidRPr="002A256C">
        <w:rPr>
          <w:rFonts w:asciiTheme="majorHAnsi" w:hAnsiTheme="majorHAnsi"/>
          <w:color w:val="0070C0"/>
          <w:sz w:val="20"/>
          <w:szCs w:val="20"/>
        </w:rPr>
        <w:t xml:space="preserve">, Dr. John Windle, Dr. Fred </w:t>
      </w:r>
      <w:proofErr w:type="spellStart"/>
      <w:r w:rsidRPr="002A256C">
        <w:rPr>
          <w:rFonts w:asciiTheme="majorHAnsi" w:hAnsiTheme="majorHAnsi"/>
          <w:color w:val="0070C0"/>
          <w:sz w:val="20"/>
          <w:szCs w:val="20"/>
        </w:rPr>
        <w:t>Resnic</w:t>
      </w:r>
      <w:proofErr w:type="spellEnd"/>
      <w:r w:rsidRPr="002A256C">
        <w:rPr>
          <w:rFonts w:asciiTheme="majorHAnsi" w:hAnsiTheme="majorHAnsi"/>
          <w:color w:val="0070C0"/>
          <w:sz w:val="20"/>
          <w:szCs w:val="20"/>
        </w:rPr>
        <w:t xml:space="preserve">, Dr. John Moore, Dr. Deepak Bhatt, Dr. James </w:t>
      </w:r>
      <w:proofErr w:type="spellStart"/>
      <w:r w:rsidRPr="002A256C">
        <w:rPr>
          <w:rFonts w:asciiTheme="majorHAnsi" w:hAnsiTheme="majorHAnsi"/>
          <w:color w:val="0070C0"/>
          <w:sz w:val="20"/>
          <w:szCs w:val="20"/>
        </w:rPr>
        <w:t>Tcheng</w:t>
      </w:r>
      <w:proofErr w:type="spellEnd"/>
      <w:r w:rsidRPr="002A256C">
        <w:rPr>
          <w:rFonts w:asciiTheme="majorHAnsi" w:hAnsiTheme="majorHAnsi"/>
          <w:color w:val="0070C0"/>
          <w:sz w:val="20"/>
          <w:szCs w:val="20"/>
        </w:rPr>
        <w:t xml:space="preserve">, Dr.  </w:t>
      </w:r>
      <w:proofErr w:type="spellStart"/>
      <w:r w:rsidRPr="002A256C">
        <w:rPr>
          <w:rFonts w:asciiTheme="majorHAnsi" w:hAnsiTheme="majorHAnsi"/>
          <w:color w:val="0070C0"/>
          <w:sz w:val="20"/>
          <w:szCs w:val="20"/>
        </w:rPr>
        <w:t>Jeptha</w:t>
      </w:r>
      <w:proofErr w:type="spellEnd"/>
      <w:r w:rsidRPr="002A256C">
        <w:rPr>
          <w:rFonts w:asciiTheme="majorHAnsi" w:hAnsiTheme="majorHAnsi"/>
          <w:color w:val="0070C0"/>
          <w:sz w:val="20"/>
          <w:szCs w:val="20"/>
        </w:rPr>
        <w:t xml:space="preserve"> Curtis, Dr. Paul Chan, Dr. Matt Roe, and Dr. John Rumsfeld</w:t>
      </w:r>
    </w:p>
    <w:p w14:paraId="7E3DBECB" w14:textId="77777777" w:rsidR="004E52BE" w:rsidRPr="002A256C" w:rsidRDefault="004E52BE" w:rsidP="004E52BE">
      <w:pPr>
        <w:autoSpaceDE w:val="0"/>
        <w:autoSpaceDN w:val="0"/>
        <w:adjustRightInd w:val="0"/>
        <w:spacing w:after="0" w:line="240" w:lineRule="auto"/>
        <w:rPr>
          <w:rFonts w:asciiTheme="majorHAnsi" w:hAnsiTheme="majorHAnsi" w:cs="Calibri"/>
          <w:bCs/>
          <w:color w:val="0070C0"/>
          <w:sz w:val="20"/>
          <w:szCs w:val="20"/>
        </w:rPr>
      </w:pPr>
      <w:r w:rsidRPr="002A256C">
        <w:rPr>
          <w:rFonts w:asciiTheme="majorHAnsi" w:hAnsiTheme="majorHAnsi" w:cs="Calibri"/>
          <w:bCs/>
          <w:color w:val="0070C0"/>
          <w:sz w:val="20"/>
          <w:szCs w:val="20"/>
        </w:rPr>
        <w:t xml:space="preserve">NCDR Clinical </w:t>
      </w:r>
      <w:proofErr w:type="spellStart"/>
      <w:r w:rsidRPr="002A256C">
        <w:rPr>
          <w:rFonts w:asciiTheme="majorHAnsi" w:hAnsiTheme="majorHAnsi" w:cs="Calibri"/>
          <w:bCs/>
          <w:color w:val="0070C0"/>
          <w:sz w:val="20"/>
          <w:szCs w:val="20"/>
        </w:rPr>
        <w:t>SubWorkgroup</w:t>
      </w:r>
      <w:proofErr w:type="spellEnd"/>
      <w:r w:rsidRPr="002A256C">
        <w:rPr>
          <w:rFonts w:asciiTheme="majorHAnsi" w:hAnsiTheme="majorHAnsi" w:cs="Calibri"/>
          <w:bCs/>
          <w:color w:val="0070C0"/>
          <w:sz w:val="20"/>
          <w:szCs w:val="20"/>
        </w:rPr>
        <w:t xml:space="preserve"> is a designated set of experts that oversees this NQF application. Prior to submission, it ensures there is variation in care, disparities data, and that the measure is a true reflection of quality care at a </w:t>
      </w:r>
      <w:proofErr w:type="gramStart"/>
      <w:r w:rsidRPr="002A256C">
        <w:rPr>
          <w:rFonts w:asciiTheme="majorHAnsi" w:hAnsiTheme="majorHAnsi" w:cs="Calibri"/>
          <w:bCs/>
          <w:color w:val="0070C0"/>
          <w:sz w:val="20"/>
          <w:szCs w:val="20"/>
        </w:rPr>
        <w:t>particular site</w:t>
      </w:r>
      <w:proofErr w:type="gramEnd"/>
      <w:r w:rsidRPr="002A256C">
        <w:rPr>
          <w:rFonts w:asciiTheme="majorHAnsi" w:hAnsiTheme="majorHAnsi" w:cs="Calibri"/>
          <w:bCs/>
          <w:color w:val="0070C0"/>
          <w:sz w:val="20"/>
          <w:szCs w:val="20"/>
        </w:rPr>
        <w:t xml:space="preserve"> and can also be used to improve quality.</w:t>
      </w:r>
    </w:p>
    <w:p w14:paraId="21CD62D1" w14:textId="77777777" w:rsidR="004E52BE" w:rsidRPr="002A256C" w:rsidRDefault="004E52BE" w:rsidP="004E52BE">
      <w:pPr>
        <w:autoSpaceDE w:val="0"/>
        <w:autoSpaceDN w:val="0"/>
        <w:adjustRightInd w:val="0"/>
        <w:spacing w:after="0" w:line="240" w:lineRule="auto"/>
        <w:rPr>
          <w:rFonts w:asciiTheme="majorHAnsi" w:hAnsiTheme="majorHAnsi" w:cs="Calibri"/>
          <w:bCs/>
          <w:color w:val="0070C0"/>
          <w:sz w:val="20"/>
          <w:szCs w:val="20"/>
        </w:rPr>
      </w:pPr>
      <w:r w:rsidRPr="002A256C">
        <w:rPr>
          <w:rFonts w:asciiTheme="majorHAnsi" w:hAnsiTheme="majorHAnsi" w:cs="Calibri"/>
          <w:bCs/>
          <w:color w:val="0070C0"/>
          <w:sz w:val="20"/>
          <w:szCs w:val="20"/>
        </w:rPr>
        <w:t xml:space="preserve">Dr. </w:t>
      </w:r>
      <w:proofErr w:type="spellStart"/>
      <w:r w:rsidRPr="002A256C">
        <w:rPr>
          <w:rFonts w:asciiTheme="majorHAnsi" w:hAnsiTheme="majorHAnsi" w:cs="Calibri"/>
          <w:bCs/>
          <w:color w:val="0070C0"/>
          <w:sz w:val="20"/>
          <w:szCs w:val="20"/>
        </w:rPr>
        <w:t>Jeptha</w:t>
      </w:r>
      <w:proofErr w:type="spellEnd"/>
      <w:r w:rsidRPr="002A256C">
        <w:rPr>
          <w:rFonts w:asciiTheme="majorHAnsi" w:hAnsiTheme="majorHAnsi" w:cs="Calibri"/>
          <w:bCs/>
          <w:color w:val="0070C0"/>
          <w:sz w:val="20"/>
          <w:szCs w:val="20"/>
        </w:rPr>
        <w:t xml:space="preserve"> Curtis (chair), Dr. Frederick </w:t>
      </w:r>
      <w:proofErr w:type="spellStart"/>
      <w:r w:rsidRPr="002A256C">
        <w:rPr>
          <w:rFonts w:asciiTheme="majorHAnsi" w:hAnsiTheme="majorHAnsi" w:cs="Calibri"/>
          <w:bCs/>
          <w:color w:val="0070C0"/>
          <w:sz w:val="20"/>
          <w:szCs w:val="20"/>
        </w:rPr>
        <w:t>Masoudi</w:t>
      </w:r>
      <w:proofErr w:type="spellEnd"/>
      <w:r w:rsidRPr="002A256C">
        <w:rPr>
          <w:rFonts w:asciiTheme="majorHAnsi" w:hAnsiTheme="majorHAnsi" w:cs="Calibri"/>
          <w:bCs/>
          <w:color w:val="0070C0"/>
          <w:sz w:val="20"/>
          <w:szCs w:val="20"/>
        </w:rPr>
        <w:t xml:space="preserve">, Dr. John Rumsfeld, Dr. David </w:t>
      </w:r>
      <w:proofErr w:type="spellStart"/>
      <w:r w:rsidRPr="002A256C">
        <w:rPr>
          <w:rFonts w:asciiTheme="majorHAnsi" w:hAnsiTheme="majorHAnsi" w:cs="Calibri"/>
          <w:bCs/>
          <w:color w:val="0070C0"/>
          <w:sz w:val="20"/>
          <w:szCs w:val="20"/>
        </w:rPr>
        <w:t>Malenka</w:t>
      </w:r>
      <w:proofErr w:type="spellEnd"/>
      <w:r w:rsidRPr="002A256C">
        <w:rPr>
          <w:rFonts w:asciiTheme="majorHAnsi" w:hAnsiTheme="majorHAnsi" w:cs="Calibri"/>
          <w:bCs/>
          <w:color w:val="0070C0"/>
          <w:sz w:val="20"/>
          <w:szCs w:val="20"/>
        </w:rPr>
        <w:t xml:space="preserve">, and Dr. </w:t>
      </w:r>
      <w:proofErr w:type="spellStart"/>
      <w:r w:rsidRPr="002A256C">
        <w:rPr>
          <w:rFonts w:asciiTheme="majorHAnsi" w:hAnsiTheme="majorHAnsi" w:cs="Calibri"/>
          <w:bCs/>
          <w:color w:val="0070C0"/>
          <w:sz w:val="20"/>
          <w:szCs w:val="20"/>
        </w:rPr>
        <w:t>Issam</w:t>
      </w:r>
      <w:proofErr w:type="spellEnd"/>
      <w:r w:rsidRPr="002A256C">
        <w:rPr>
          <w:rFonts w:asciiTheme="majorHAnsi" w:hAnsiTheme="majorHAnsi" w:cs="Calibri"/>
          <w:bCs/>
          <w:color w:val="0070C0"/>
          <w:sz w:val="20"/>
          <w:szCs w:val="20"/>
        </w:rPr>
        <w:t xml:space="preserve"> Moussa.  </w:t>
      </w:r>
    </w:p>
    <w:p w14:paraId="5F54A325" w14:textId="77777777" w:rsidR="004E52BE" w:rsidRPr="002A256C" w:rsidRDefault="004E52BE" w:rsidP="004E52BE">
      <w:pPr>
        <w:autoSpaceDE w:val="0"/>
        <w:autoSpaceDN w:val="0"/>
        <w:adjustRightInd w:val="0"/>
        <w:spacing w:after="0" w:line="240" w:lineRule="auto"/>
        <w:rPr>
          <w:rFonts w:asciiTheme="majorHAnsi" w:hAnsiTheme="majorHAnsi" w:cs="Calibri"/>
          <w:bCs/>
          <w:color w:val="0070C0"/>
          <w:sz w:val="20"/>
          <w:szCs w:val="20"/>
        </w:rPr>
      </w:pPr>
    </w:p>
    <w:p w14:paraId="4D03BD9F" w14:textId="77777777" w:rsidR="004E52BE" w:rsidRPr="002A256C" w:rsidRDefault="004E52BE" w:rsidP="004E52BE">
      <w:pPr>
        <w:autoSpaceDE w:val="0"/>
        <w:autoSpaceDN w:val="0"/>
        <w:adjustRightInd w:val="0"/>
        <w:spacing w:after="0" w:line="240" w:lineRule="auto"/>
        <w:rPr>
          <w:rFonts w:asciiTheme="majorHAnsi" w:hAnsiTheme="majorHAnsi" w:cs="Calibri"/>
          <w:bCs/>
          <w:color w:val="0070C0"/>
          <w:sz w:val="20"/>
          <w:szCs w:val="20"/>
        </w:rPr>
      </w:pPr>
      <w:r w:rsidRPr="002A256C">
        <w:rPr>
          <w:rFonts w:asciiTheme="majorHAnsi" w:hAnsiTheme="majorHAnsi" w:cs="Calibri"/>
          <w:bCs/>
          <w:color w:val="0070C0"/>
          <w:sz w:val="20"/>
          <w:szCs w:val="20"/>
        </w:rPr>
        <w:t xml:space="preserve">NCDR Registry Steering Committee provides strategic direction for the Registry and ensures the measures submitted to NQF met key criterion such as reliability, feasibility, and that there is compelling evidence base behind the development and implementation of this measure. </w:t>
      </w:r>
    </w:p>
    <w:p w14:paraId="238E6E48" w14:textId="77777777" w:rsidR="004E52BE" w:rsidRPr="002A256C" w:rsidRDefault="004E52BE" w:rsidP="004E52BE">
      <w:pPr>
        <w:autoSpaceDE w:val="0"/>
        <w:autoSpaceDN w:val="0"/>
        <w:adjustRightInd w:val="0"/>
        <w:spacing w:after="0" w:line="240" w:lineRule="auto"/>
        <w:rPr>
          <w:rFonts w:asciiTheme="majorHAnsi" w:hAnsiTheme="majorHAnsi" w:cs="Calibri"/>
          <w:bCs/>
          <w:color w:val="0070C0"/>
          <w:sz w:val="20"/>
          <w:szCs w:val="20"/>
        </w:rPr>
      </w:pPr>
      <w:r w:rsidRPr="002A256C">
        <w:rPr>
          <w:rFonts w:asciiTheme="majorHAnsi" w:hAnsiTheme="majorHAnsi" w:cs="Calibri"/>
          <w:bCs/>
          <w:color w:val="0070C0"/>
          <w:sz w:val="20"/>
          <w:szCs w:val="20"/>
        </w:rPr>
        <w:t xml:space="preserve">Dr. </w:t>
      </w:r>
      <w:proofErr w:type="spellStart"/>
      <w:r w:rsidRPr="002A256C">
        <w:rPr>
          <w:rFonts w:asciiTheme="majorHAnsi" w:hAnsiTheme="majorHAnsi" w:cs="Calibri"/>
          <w:bCs/>
          <w:color w:val="0070C0"/>
          <w:sz w:val="20"/>
          <w:szCs w:val="20"/>
        </w:rPr>
        <w:t>Issam</w:t>
      </w:r>
      <w:proofErr w:type="spellEnd"/>
      <w:r w:rsidRPr="002A256C">
        <w:rPr>
          <w:rFonts w:asciiTheme="majorHAnsi" w:hAnsiTheme="majorHAnsi" w:cs="Calibri"/>
          <w:bCs/>
          <w:color w:val="0070C0"/>
          <w:sz w:val="20"/>
          <w:szCs w:val="20"/>
        </w:rPr>
        <w:t xml:space="preserve"> D. Moussa (chair), Dr. Kirk N. Garratt, Dr. Lloyd W. Klein, Dr. Kendrick A. </w:t>
      </w:r>
      <w:proofErr w:type="spellStart"/>
      <w:r w:rsidRPr="002A256C">
        <w:rPr>
          <w:rFonts w:asciiTheme="majorHAnsi" w:hAnsiTheme="majorHAnsi" w:cs="Calibri"/>
          <w:bCs/>
          <w:color w:val="0070C0"/>
          <w:sz w:val="20"/>
          <w:szCs w:val="20"/>
        </w:rPr>
        <w:t>Shunk</w:t>
      </w:r>
      <w:proofErr w:type="spellEnd"/>
      <w:r w:rsidRPr="002A256C">
        <w:rPr>
          <w:rFonts w:asciiTheme="majorHAnsi" w:hAnsiTheme="majorHAnsi" w:cs="Calibri"/>
          <w:bCs/>
          <w:color w:val="0070C0"/>
          <w:sz w:val="20"/>
          <w:szCs w:val="20"/>
        </w:rPr>
        <w:t xml:space="preserve">, Dr. Samir R. Kapadia, Dr. Robert N. </w:t>
      </w:r>
      <w:proofErr w:type="spellStart"/>
      <w:r w:rsidRPr="002A256C">
        <w:rPr>
          <w:rFonts w:asciiTheme="majorHAnsi" w:hAnsiTheme="majorHAnsi" w:cs="Calibri"/>
          <w:bCs/>
          <w:color w:val="0070C0"/>
          <w:sz w:val="20"/>
          <w:szCs w:val="20"/>
        </w:rPr>
        <w:t>Piana</w:t>
      </w:r>
      <w:proofErr w:type="spellEnd"/>
      <w:r w:rsidRPr="002A256C">
        <w:rPr>
          <w:rFonts w:asciiTheme="majorHAnsi" w:hAnsiTheme="majorHAnsi" w:cs="Calibri"/>
          <w:bCs/>
          <w:color w:val="0070C0"/>
          <w:sz w:val="20"/>
          <w:szCs w:val="20"/>
        </w:rPr>
        <w:t xml:space="preserve">, Dr. Roxana Mehran, Dr. Frederic S. </w:t>
      </w:r>
      <w:proofErr w:type="spellStart"/>
      <w:r w:rsidRPr="002A256C">
        <w:rPr>
          <w:rFonts w:asciiTheme="majorHAnsi" w:hAnsiTheme="majorHAnsi" w:cs="Calibri"/>
          <w:bCs/>
          <w:color w:val="0070C0"/>
          <w:sz w:val="20"/>
          <w:szCs w:val="20"/>
        </w:rPr>
        <w:t>Resnic</w:t>
      </w:r>
      <w:proofErr w:type="spellEnd"/>
      <w:r w:rsidRPr="002A256C">
        <w:rPr>
          <w:rFonts w:asciiTheme="majorHAnsi" w:hAnsiTheme="majorHAnsi" w:cs="Calibri"/>
          <w:bCs/>
          <w:color w:val="0070C0"/>
          <w:sz w:val="20"/>
          <w:szCs w:val="20"/>
        </w:rPr>
        <w:t xml:space="preserve">, Dr. Aaron D. </w:t>
      </w:r>
      <w:proofErr w:type="spellStart"/>
      <w:r w:rsidRPr="002A256C">
        <w:rPr>
          <w:rFonts w:asciiTheme="majorHAnsi" w:hAnsiTheme="majorHAnsi" w:cs="Calibri"/>
          <w:bCs/>
          <w:color w:val="0070C0"/>
          <w:sz w:val="20"/>
          <w:szCs w:val="20"/>
        </w:rPr>
        <w:t>Kugelmass</w:t>
      </w:r>
      <w:proofErr w:type="spellEnd"/>
      <w:r w:rsidRPr="002A256C">
        <w:rPr>
          <w:rFonts w:asciiTheme="majorHAnsi" w:hAnsiTheme="majorHAnsi" w:cs="Calibri"/>
          <w:bCs/>
          <w:color w:val="0070C0"/>
          <w:sz w:val="20"/>
          <w:szCs w:val="20"/>
        </w:rPr>
        <w:t>,</w:t>
      </w:r>
    </w:p>
    <w:p w14:paraId="2A297AC0" w14:textId="77777777" w:rsidR="004E52BE" w:rsidRPr="002A256C" w:rsidRDefault="004E52BE" w:rsidP="004E52BE">
      <w:pPr>
        <w:autoSpaceDE w:val="0"/>
        <w:autoSpaceDN w:val="0"/>
        <w:adjustRightInd w:val="0"/>
        <w:spacing w:after="0" w:line="240" w:lineRule="auto"/>
        <w:rPr>
          <w:rFonts w:asciiTheme="majorHAnsi" w:hAnsiTheme="majorHAnsi" w:cs="Calibri"/>
          <w:bCs/>
          <w:color w:val="0070C0"/>
          <w:sz w:val="20"/>
          <w:szCs w:val="20"/>
        </w:rPr>
      </w:pPr>
      <w:r w:rsidRPr="002A256C">
        <w:rPr>
          <w:rFonts w:asciiTheme="majorHAnsi" w:hAnsiTheme="majorHAnsi" w:cs="Calibri"/>
          <w:bCs/>
          <w:color w:val="0070C0"/>
          <w:sz w:val="20"/>
          <w:szCs w:val="20"/>
        </w:rPr>
        <w:t xml:space="preserve">Dr. Sunil V. </w:t>
      </w:r>
      <w:proofErr w:type="gramStart"/>
      <w:r w:rsidRPr="002A256C">
        <w:rPr>
          <w:rFonts w:asciiTheme="majorHAnsi" w:hAnsiTheme="majorHAnsi" w:cs="Calibri"/>
          <w:bCs/>
          <w:color w:val="0070C0"/>
          <w:sz w:val="20"/>
          <w:szCs w:val="20"/>
        </w:rPr>
        <w:t>Rao,  Dr.</w:t>
      </w:r>
      <w:proofErr w:type="gramEnd"/>
      <w:r w:rsidRPr="002A256C">
        <w:rPr>
          <w:rFonts w:asciiTheme="majorHAnsi" w:hAnsiTheme="majorHAnsi" w:cs="Calibri"/>
          <w:bCs/>
          <w:color w:val="0070C0"/>
          <w:sz w:val="20"/>
          <w:szCs w:val="20"/>
        </w:rPr>
        <w:t xml:space="preserve"> W. Douglas Weaver, and Dr.  John C. Messenger.</w:t>
      </w:r>
    </w:p>
    <w:p w14:paraId="1456F33E" w14:textId="77777777" w:rsidR="004E52BE" w:rsidRPr="002A256C" w:rsidRDefault="004E52BE" w:rsidP="004E52BE">
      <w:pPr>
        <w:autoSpaceDE w:val="0"/>
        <w:autoSpaceDN w:val="0"/>
        <w:adjustRightInd w:val="0"/>
        <w:spacing w:after="0" w:line="240" w:lineRule="auto"/>
        <w:rPr>
          <w:rFonts w:asciiTheme="majorHAnsi" w:hAnsiTheme="majorHAnsi" w:cs="Calibri"/>
          <w:bCs/>
          <w:color w:val="0070C0"/>
          <w:sz w:val="20"/>
          <w:szCs w:val="20"/>
        </w:rPr>
      </w:pPr>
    </w:p>
    <w:p w14:paraId="66BE3CAE" w14:textId="77777777" w:rsidR="004E52BE" w:rsidRPr="002A256C" w:rsidRDefault="004E52BE" w:rsidP="004E52BE">
      <w:pPr>
        <w:autoSpaceDE w:val="0"/>
        <w:autoSpaceDN w:val="0"/>
        <w:adjustRightInd w:val="0"/>
        <w:spacing w:after="0" w:line="240" w:lineRule="auto"/>
        <w:rPr>
          <w:rFonts w:asciiTheme="majorHAnsi" w:eastAsia="MS Gothic" w:hAnsiTheme="majorHAnsi" w:cs="Calibri"/>
          <w:color w:val="0070C0"/>
          <w:sz w:val="20"/>
          <w:szCs w:val="20"/>
        </w:rPr>
      </w:pPr>
      <w:r w:rsidRPr="002A256C">
        <w:rPr>
          <w:rFonts w:asciiTheme="majorHAnsi" w:hAnsiTheme="majorHAnsi" w:cs="Calibri"/>
          <w:bCs/>
          <w:color w:val="0070C0"/>
          <w:sz w:val="20"/>
          <w:szCs w:val="20"/>
        </w:rPr>
        <w:t xml:space="preserve">Lastly the 16 member NCDR Management Board and 31member ACCF Board of Trustees approved these measures for submission to NQF.  </w:t>
      </w:r>
    </w:p>
    <w:p w14:paraId="0CABCFDC" w14:textId="552202C1" w:rsidR="00833325" w:rsidRPr="004E52BE" w:rsidRDefault="00833325" w:rsidP="00DB3627">
      <w:pPr>
        <w:autoSpaceDE w:val="0"/>
        <w:autoSpaceDN w:val="0"/>
        <w:adjustRightInd w:val="0"/>
        <w:spacing w:after="0" w:line="240" w:lineRule="auto"/>
        <w:rPr>
          <w:rFonts w:cstheme="minorHAnsi"/>
          <w:bCs/>
          <w:color w:val="FF0000"/>
        </w:rPr>
      </w:pP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50C665A1" w14:textId="77777777" w:rsidR="004E52BE" w:rsidRPr="00542CAC" w:rsidRDefault="009C7513" w:rsidP="004E52BE">
      <w:pPr>
        <w:autoSpaceDE w:val="0"/>
        <w:autoSpaceDN w:val="0"/>
        <w:adjustRightInd w:val="0"/>
        <w:spacing w:after="0" w:line="240" w:lineRule="auto"/>
        <w:rPr>
          <w:rFonts w:asciiTheme="majorHAnsi" w:hAnsiTheme="majorHAnsi" w:cstheme="minorHAnsi"/>
          <w:bCs/>
          <w:sz w:val="20"/>
          <w:szCs w:val="20"/>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4E52BE" w:rsidRPr="002A256C">
        <w:rPr>
          <w:rFonts w:asciiTheme="majorHAnsi" w:hAnsiTheme="majorHAnsi" w:cstheme="minorHAnsi"/>
          <w:bCs/>
          <w:color w:val="0070C0"/>
          <w:sz w:val="20"/>
          <w:szCs w:val="20"/>
        </w:rPr>
        <w:t xml:space="preserve">No validity testing was necessary, other than establishing the content validity of the model, as mortality is of unquestioned importance and readily assessed. </w:t>
      </w:r>
    </w:p>
    <w:p w14:paraId="0CABCFDE" w14:textId="6F9D7309" w:rsidR="007422FD" w:rsidRPr="00092566" w:rsidRDefault="007422FD" w:rsidP="00092566">
      <w:pPr>
        <w:autoSpaceDE w:val="0"/>
        <w:autoSpaceDN w:val="0"/>
        <w:adjustRightInd w:val="0"/>
        <w:spacing w:after="0" w:line="240" w:lineRule="auto"/>
        <w:rPr>
          <w:rFonts w:cstheme="minorHAnsi"/>
          <w:bCs/>
        </w:rPr>
      </w:pPr>
    </w:p>
    <w:p w14:paraId="09624747" w14:textId="77777777" w:rsidR="004E52BE" w:rsidRPr="00542CAC" w:rsidRDefault="009C7513" w:rsidP="004E52BE">
      <w:pPr>
        <w:autoSpaceDE w:val="0"/>
        <w:autoSpaceDN w:val="0"/>
        <w:adjustRightInd w:val="0"/>
        <w:spacing w:after="0" w:line="240" w:lineRule="auto"/>
        <w:rPr>
          <w:rFonts w:asciiTheme="majorHAnsi" w:hAnsiTheme="majorHAnsi" w:cstheme="minorHAnsi"/>
          <w:bCs/>
          <w:sz w:val="20"/>
          <w:szCs w:val="20"/>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4E52BE" w:rsidRPr="002A256C">
        <w:rPr>
          <w:rFonts w:asciiTheme="majorHAnsi" w:hAnsiTheme="majorHAnsi" w:cstheme="minorHAnsi"/>
          <w:bCs/>
          <w:color w:val="0070C0"/>
          <w:sz w:val="20"/>
          <w:szCs w:val="20"/>
        </w:rPr>
        <w:t xml:space="preserve">We believe that the outcome is of clear importance and the construct of the risk-adjustment model has been thoroughly vetted and published in the peer-reviewed literature. Prior endorsement </w:t>
      </w:r>
      <w:r w:rsidR="004E52BE" w:rsidRPr="004E52BE">
        <w:rPr>
          <w:rFonts w:asciiTheme="majorHAnsi" w:hAnsiTheme="majorHAnsi" w:cstheme="minorHAnsi"/>
          <w:bCs/>
          <w:color w:val="FF0000"/>
          <w:sz w:val="20"/>
          <w:szCs w:val="20"/>
        </w:rPr>
        <w:t xml:space="preserve">by NQF further supports the logic and care we used in developing this performance measure. </w:t>
      </w:r>
    </w:p>
    <w:p w14:paraId="0CABCFDF" w14:textId="1A4B2A0D" w:rsidR="007422FD" w:rsidRPr="00A25024" w:rsidRDefault="007422FD"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18F2CA7" w14:textId="77777777" w:rsidR="004E52BE" w:rsidRPr="00542CAC" w:rsidRDefault="00092566" w:rsidP="004E52BE">
      <w:pPr>
        <w:autoSpaceDE w:val="0"/>
        <w:autoSpaceDN w:val="0"/>
        <w:adjustRightInd w:val="0"/>
        <w:spacing w:after="0" w:line="240" w:lineRule="auto"/>
        <w:rPr>
          <w:rFonts w:asciiTheme="majorHAnsi" w:hAnsiTheme="majorHAnsi" w:cstheme="minorHAnsi"/>
          <w:bCs/>
          <w:sz w:val="20"/>
          <w:szCs w:val="20"/>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r w:rsidR="00833325" w:rsidRPr="002A256C">
        <w:rPr>
          <w:rFonts w:cstheme="minorHAnsi"/>
          <w:bCs/>
          <w:color w:val="0070C0"/>
        </w:rPr>
        <w:t xml:space="preserve"> </w:t>
      </w:r>
      <w:r w:rsidR="004E52BE" w:rsidRPr="002A256C">
        <w:rPr>
          <w:rFonts w:asciiTheme="majorHAnsi" w:hAnsiTheme="majorHAnsi" w:cstheme="minorHAnsi"/>
          <w:bCs/>
          <w:color w:val="0070C0"/>
          <w:sz w:val="20"/>
          <w:szCs w:val="20"/>
        </w:rPr>
        <w:t>The only exclusion is for patients transferred to another acute care facility, in whom their vital status cannot be readily determined.</w:t>
      </w:r>
    </w:p>
    <w:p w14:paraId="0CABCFE4" w14:textId="6EFBE429" w:rsidR="00833325" w:rsidRPr="009D3882" w:rsidRDefault="00833325" w:rsidP="00DB3627">
      <w:pPr>
        <w:autoSpaceDE w:val="0"/>
        <w:autoSpaceDN w:val="0"/>
        <w:adjustRightInd w:val="0"/>
        <w:spacing w:after="0" w:line="240" w:lineRule="auto"/>
        <w:rPr>
          <w:rFonts w:cstheme="minorHAnsi"/>
          <w:bCs/>
          <w:sz w:val="12"/>
        </w:rPr>
      </w:pP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6" w14:textId="39F59CB6"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4E52BE" w:rsidRPr="002A256C">
        <w:rPr>
          <w:rFonts w:asciiTheme="majorHAnsi" w:hAnsiTheme="majorHAnsi" w:cstheme="minorHAnsi"/>
          <w:bCs/>
          <w:color w:val="0070C0"/>
          <w:sz w:val="20"/>
          <w:szCs w:val="20"/>
        </w:rPr>
        <w:t>There were 8,619 (&lt;1%) patients transferred to another acute facility.</w:t>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33AEC35C" w14:textId="77777777" w:rsidR="004E52BE" w:rsidRPr="002A256C" w:rsidRDefault="00092566" w:rsidP="004E52BE">
      <w:pPr>
        <w:autoSpaceDE w:val="0"/>
        <w:autoSpaceDN w:val="0"/>
        <w:adjustRightInd w:val="0"/>
        <w:spacing w:after="0" w:line="240" w:lineRule="auto"/>
        <w:rPr>
          <w:rFonts w:asciiTheme="majorHAnsi" w:hAnsiTheme="majorHAnsi" w:cstheme="minorHAnsi"/>
          <w:bCs/>
          <w:color w:val="0070C0"/>
          <w:sz w:val="20"/>
          <w:szCs w:val="20"/>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4E52BE" w:rsidRPr="002A256C">
        <w:rPr>
          <w:rFonts w:asciiTheme="majorHAnsi" w:hAnsiTheme="majorHAnsi" w:cstheme="minorHAnsi"/>
          <w:bCs/>
          <w:color w:val="0070C0"/>
          <w:sz w:val="20"/>
          <w:szCs w:val="20"/>
        </w:rPr>
        <w:t>We do not believe that the exclusions have any impact on the validity, accuracy or interpretability of the risk-adjusted in-hospital mortality outcome measure.</w:t>
      </w:r>
    </w:p>
    <w:p w14:paraId="0CABCFE8" w14:textId="06255C2C" w:rsidR="007422FD" w:rsidRPr="00A25024" w:rsidRDefault="007422FD" w:rsidP="00DB3627">
      <w:pPr>
        <w:autoSpaceDE w:val="0"/>
        <w:autoSpaceDN w:val="0"/>
        <w:adjustRightInd w:val="0"/>
        <w:spacing w:after="0" w:line="240" w:lineRule="auto"/>
        <w:rPr>
          <w:rFonts w:cstheme="minorHAnsi"/>
          <w:bCs/>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2E3F52"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0C1D4FBD" w:rsidR="00743E46" w:rsidRPr="005232D6" w:rsidRDefault="002E3F52"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4E52BE">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4E52BE">
            <w:rPr>
              <w:rStyle w:val="Style4"/>
              <w:u w:val="none"/>
            </w:rPr>
            <w:t>40</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2E3F52"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2E3F52"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01605846" w:rsidR="00AF2D68" w:rsidRDefault="00AF2D68" w:rsidP="009D3882">
      <w:pPr>
        <w:rPr>
          <w:rFonts w:cs="Calibri"/>
          <w:b/>
          <w:bCs/>
        </w:rPr>
      </w:pPr>
    </w:p>
    <w:p w14:paraId="4534AE1B" w14:textId="77777777" w:rsidR="00646240" w:rsidRPr="00542CAC" w:rsidRDefault="009C7513" w:rsidP="00646240">
      <w:pPr>
        <w:autoSpaceDE w:val="0"/>
        <w:autoSpaceDN w:val="0"/>
        <w:adjustRightInd w:val="0"/>
        <w:spacing w:after="0" w:line="240" w:lineRule="auto"/>
        <w:rPr>
          <w:rFonts w:asciiTheme="majorHAnsi" w:hAnsiTheme="majorHAnsi" w:cstheme="minorHAnsi"/>
          <w:bCs/>
          <w:sz w:val="20"/>
          <w:szCs w:val="20"/>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646240" w:rsidRPr="002A256C">
        <w:rPr>
          <w:rFonts w:asciiTheme="majorHAnsi" w:hAnsiTheme="majorHAnsi" w:cstheme="minorHAnsi"/>
          <w:bCs/>
          <w:color w:val="0070C0"/>
          <w:sz w:val="20"/>
          <w:szCs w:val="20"/>
        </w:rPr>
        <w:t xml:space="preserve">This is not relevant as we are proposing a risk-adjusted peri-procedural mortality outcome measure to help assess the quality and safety of PCI.  </w:t>
      </w:r>
    </w:p>
    <w:p w14:paraId="0CABCFF4" w14:textId="72F05C9F" w:rsidR="009D3882" w:rsidRPr="009D3882" w:rsidRDefault="009D3882" w:rsidP="009D3882">
      <w:pPr>
        <w:rPr>
          <w:rFonts w:cstheme="minorHAnsi"/>
          <w:b/>
          <w:bCs/>
          <w:sz w:val="14"/>
        </w:rPr>
      </w:pPr>
    </w:p>
    <w:p w14:paraId="0F75DE38" w14:textId="61FC6B9D" w:rsidR="00646240" w:rsidRPr="002A256C" w:rsidRDefault="009C7513" w:rsidP="00646240">
      <w:pPr>
        <w:autoSpaceDE w:val="0"/>
        <w:autoSpaceDN w:val="0"/>
        <w:adjustRightInd w:val="0"/>
        <w:spacing w:after="0" w:line="240" w:lineRule="auto"/>
        <w:rPr>
          <w:rFonts w:asciiTheme="majorHAnsi" w:hAnsiTheme="majorHAnsi" w:cstheme="minorHAnsi"/>
          <w:bCs/>
          <w:color w:val="0070C0"/>
          <w:sz w:val="20"/>
          <w:szCs w:val="20"/>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r w:rsidR="00646240" w:rsidRPr="002A256C">
        <w:rPr>
          <w:rFonts w:asciiTheme="majorHAnsi" w:hAnsiTheme="majorHAnsi" w:cstheme="minorHAnsi"/>
          <w:bCs/>
          <w:color w:val="0070C0"/>
          <w:sz w:val="20"/>
          <w:szCs w:val="20"/>
        </w:rPr>
        <w:t xml:space="preserve">As described in </w:t>
      </w:r>
      <w:r w:rsidR="00646240" w:rsidRPr="001F2DD5">
        <w:rPr>
          <w:rFonts w:asciiTheme="majorHAnsi" w:hAnsiTheme="majorHAnsi" w:cstheme="minorHAnsi"/>
          <w:bCs/>
          <w:color w:val="FF0000"/>
          <w:sz w:val="20"/>
          <w:szCs w:val="20"/>
        </w:rPr>
        <w:t>Section 2b.</w:t>
      </w:r>
      <w:r w:rsidR="002A256C" w:rsidRPr="001F2DD5">
        <w:rPr>
          <w:rFonts w:asciiTheme="majorHAnsi" w:hAnsiTheme="majorHAnsi" w:cstheme="minorHAnsi"/>
          <w:bCs/>
          <w:color w:val="FF0000"/>
          <w:sz w:val="20"/>
          <w:szCs w:val="20"/>
        </w:rPr>
        <w:t>1</w:t>
      </w:r>
      <w:r w:rsidR="00646240" w:rsidRPr="001F2DD5">
        <w:rPr>
          <w:rFonts w:asciiTheme="majorHAnsi" w:hAnsiTheme="majorHAnsi" w:cstheme="minorHAnsi"/>
          <w:bCs/>
          <w:color w:val="FF0000"/>
          <w:sz w:val="20"/>
          <w:szCs w:val="20"/>
        </w:rPr>
        <w:t>.</w:t>
      </w:r>
      <w:r w:rsidR="002A256C" w:rsidRPr="001F2DD5">
        <w:rPr>
          <w:rFonts w:asciiTheme="majorHAnsi" w:hAnsiTheme="majorHAnsi" w:cstheme="minorHAnsi"/>
          <w:bCs/>
          <w:color w:val="FF0000"/>
          <w:sz w:val="20"/>
          <w:szCs w:val="20"/>
        </w:rPr>
        <w:t>2</w:t>
      </w:r>
      <w:r w:rsidR="00646240" w:rsidRPr="002A256C">
        <w:rPr>
          <w:rFonts w:asciiTheme="majorHAnsi" w:hAnsiTheme="majorHAnsi" w:cstheme="minorHAnsi"/>
          <w:bCs/>
          <w:color w:val="0070C0"/>
          <w:sz w:val="20"/>
          <w:szCs w:val="20"/>
        </w:rPr>
        <w:t xml:space="preserve">, there was an extensive process to develop the face and contact validity of the measure.  After settling on the outcome definition and candidate variables through serial conference calls with the expert panel, categorical variables were summarized as frequencies and percentages and compared with Pearson chi-squared tests. Continuous variables were summarized as medians (interquartile range) and compared using Wilcoxon rank-sum tests. Ordinal variables were tested using a chi-square test based on the rank of the group mean score. </w:t>
      </w:r>
    </w:p>
    <w:p w14:paraId="37DABD25"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p>
    <w:p w14:paraId="5D971420"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r w:rsidRPr="002A256C">
        <w:rPr>
          <w:rFonts w:asciiTheme="majorHAnsi" w:hAnsiTheme="majorHAnsi" w:cstheme="minorHAnsi"/>
          <w:bCs/>
          <w:color w:val="0070C0"/>
          <w:sz w:val="20"/>
          <w:szCs w:val="20"/>
        </w:rPr>
        <w:t xml:space="preserve">The original model was developed by using a sample of 181,775 NCDR patients undergoing PCI from 1/04-3/06 and then validated in 2 separate samples; an additional 121,183 patients treated in the same </w:t>
      </w:r>
      <w:proofErr w:type="gramStart"/>
      <w:r w:rsidRPr="002A256C">
        <w:rPr>
          <w:rFonts w:asciiTheme="majorHAnsi" w:hAnsiTheme="majorHAnsi" w:cstheme="minorHAnsi"/>
          <w:bCs/>
          <w:color w:val="0070C0"/>
          <w:sz w:val="20"/>
          <w:szCs w:val="20"/>
        </w:rPr>
        <w:t>time period</w:t>
      </w:r>
      <w:proofErr w:type="gramEnd"/>
      <w:r w:rsidRPr="002A256C">
        <w:rPr>
          <w:rFonts w:asciiTheme="majorHAnsi" w:hAnsiTheme="majorHAnsi" w:cstheme="minorHAnsi"/>
          <w:bCs/>
          <w:color w:val="0070C0"/>
          <w:sz w:val="20"/>
          <w:szCs w:val="20"/>
        </w:rPr>
        <w:t xml:space="preserve"> and a prospective cohort of 285,440 patients treated between 3/06-3/07. Baseline patient characteristics and variables from diagnostic catheterization were considered candidate variables. Candidate variables had less than 0.5% missing data except for pre-procedure ejection fraction (29.7%). Missing values for ejection fraction were imputed by stratifying the population based on a history of congestive heart failure, prior MI, pre-procedural cardiogenic shock and the presence of STEMI to determine a median value for each patient with missing data. After the committee reviewed all variables with a statistically significant univariate association with mortality, the most clinically and statistically meaningful values were selected for potential inclusion in a logistic regression model. Backward selection with a ‘stay’ criterion of p&lt;0.05 to develop a model predicting post-PCI mortality was then created. Variables that showed non-linear associations with the outcome were transformed using splines.  All 2-way interactions were examined and significant ones were retained.</w:t>
      </w:r>
    </w:p>
    <w:p w14:paraId="07EBE7BF"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p>
    <w:p w14:paraId="00262EE2"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r w:rsidRPr="002A256C">
        <w:rPr>
          <w:rFonts w:asciiTheme="majorHAnsi" w:hAnsiTheme="majorHAnsi" w:cstheme="minorHAnsi"/>
          <w:bCs/>
          <w:color w:val="0070C0"/>
          <w:sz w:val="20"/>
          <w:szCs w:val="20"/>
        </w:rPr>
        <w:t xml:space="preserve">We also developed a simplified pre-procedural risk model by relying only upon pre-catheterization data that had the strongest association with mortality. This simplified model had similar discrimination and calibration and enables clinicians to estimate patients’ peri-procedural mortality and share this information with patients and use the estimates to define the safest and best care for each individual patient. </w:t>
      </w:r>
    </w:p>
    <w:p w14:paraId="53E132D2"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p>
    <w:p w14:paraId="01678E44"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r w:rsidRPr="002A256C">
        <w:rPr>
          <w:rFonts w:asciiTheme="majorHAnsi" w:hAnsiTheme="majorHAnsi" w:cstheme="minorHAnsi"/>
          <w:bCs/>
          <w:color w:val="0070C0"/>
          <w:sz w:val="20"/>
          <w:szCs w:val="20"/>
        </w:rPr>
        <w:t xml:space="preserve">The C-statistic was used to describe the discrimination of the model and replicated in clinically important subgroups of interest, including patients with and without STEMI, males and females, those aged &gt; and </w:t>
      </w:r>
      <w:r w:rsidRPr="002A256C">
        <w:rPr>
          <w:rFonts w:asciiTheme="majorHAnsi" w:hAnsiTheme="majorHAnsi" w:cstheme="minorHAnsi"/>
          <w:bCs/>
          <w:color w:val="0070C0"/>
          <w:sz w:val="20"/>
          <w:szCs w:val="20"/>
        </w:rPr>
        <w:sym w:font="Symbol" w:char="F0A3"/>
      </w:r>
      <w:r w:rsidRPr="002A256C">
        <w:rPr>
          <w:rFonts w:asciiTheme="majorHAnsi" w:hAnsiTheme="majorHAnsi" w:cstheme="minorHAnsi"/>
          <w:bCs/>
          <w:color w:val="0070C0"/>
          <w:sz w:val="20"/>
          <w:szCs w:val="20"/>
        </w:rPr>
        <w:t>70 years, and patients with and without diabetes. Calibration plots were used to access goodness of fit. A p-value &lt;0.05 was considered statistically significant. All statistical tests were two-sided. All statistical analyses were performed using SAS software (version 9.2, SAS Institute, Cary, NC).</w:t>
      </w:r>
    </w:p>
    <w:p w14:paraId="0CABCFF6" w14:textId="6B194552" w:rsidR="00001D73" w:rsidRPr="002A256C" w:rsidRDefault="00001D73" w:rsidP="00AF2D68">
      <w:pPr>
        <w:rPr>
          <w:rFonts w:cstheme="minorHAnsi"/>
          <w:bCs/>
          <w:color w:val="0070C0"/>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2E3F5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2E3F5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2CFCFE35" w:rsidR="00275563" w:rsidRPr="005232D6" w:rsidRDefault="002E3F5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1"/>
            <w14:checkedState w14:val="2612" w14:font="MS Gothic"/>
            <w14:uncheckedState w14:val="2610" w14:font="MS Gothic"/>
          </w14:checkbox>
        </w:sdtPr>
        <w:sdtEndPr/>
        <w:sdtContent>
          <w:r w:rsidR="00150DB8">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0A5148C0" w:rsidR="00275563" w:rsidRPr="00444684" w:rsidRDefault="00444684" w:rsidP="00001D73">
      <w:pPr>
        <w:autoSpaceDE w:val="0"/>
        <w:autoSpaceDN w:val="0"/>
        <w:adjustRightInd w:val="0"/>
        <w:spacing w:after="0" w:line="240" w:lineRule="auto"/>
        <w:rPr>
          <w:rFonts w:cstheme="minorHAnsi"/>
          <w:bCs/>
        </w:rPr>
      </w:pPr>
      <w:r w:rsidRPr="00444684">
        <w:rPr>
          <w:rFonts w:cstheme="minorHAnsi"/>
          <w:bCs/>
          <w:color w:val="FF0000"/>
        </w:rPr>
        <w:t>Social risk factors were not used in the risk modeling</w:t>
      </w:r>
    </w:p>
    <w:p w14:paraId="6B60A80B" w14:textId="77777777" w:rsidR="00444684" w:rsidRDefault="00444684" w:rsidP="00001D73">
      <w:pPr>
        <w:autoSpaceDE w:val="0"/>
        <w:autoSpaceDN w:val="0"/>
        <w:adjustRightInd w:val="0"/>
        <w:spacing w:after="0" w:line="240" w:lineRule="auto"/>
        <w:rPr>
          <w:rFonts w:cstheme="minorHAnsi"/>
          <w:b/>
          <w:bCs/>
        </w:rPr>
      </w:pPr>
    </w:p>
    <w:p w14:paraId="0CABCFF7" w14:textId="03D2A5E3" w:rsidR="00092566" w:rsidRDefault="009C7513" w:rsidP="00001D73">
      <w:pPr>
        <w:autoSpaceDE w:val="0"/>
        <w:autoSpaceDN w:val="0"/>
        <w:adjustRightInd w:val="0"/>
        <w:spacing w:after="0" w:line="240" w:lineRule="auto"/>
        <w:rPr>
          <w:rFonts w:asciiTheme="majorHAnsi" w:hAnsiTheme="majorHAnsi" w:cstheme="minorHAnsi"/>
          <w:bCs/>
          <w:sz w:val="20"/>
          <w:szCs w:val="20"/>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r w:rsidR="00646240" w:rsidRPr="002A256C">
        <w:rPr>
          <w:rFonts w:asciiTheme="majorHAnsi" w:hAnsiTheme="majorHAnsi" w:cstheme="minorHAnsi"/>
          <w:bCs/>
          <w:color w:val="0070C0"/>
          <w:sz w:val="20"/>
          <w:szCs w:val="20"/>
        </w:rPr>
        <w:t>As described above, bivariate analyses were done to identify candidate variables that differed significantly between those with and without a clinically important mortality event.  Multivariable, logistic regression analyses were then performed to retain those clinically meaningful variables with a statistically significant association with mortality (p&lt;0.05 for each). Table 3 in Section 1.6 demonstrates the difference between those who did and did not die after their procedure, based upon 2012 data.</w:t>
      </w:r>
    </w:p>
    <w:p w14:paraId="4332A27F" w14:textId="77777777" w:rsidR="00646240" w:rsidRDefault="00646240"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5C0D5F6D" w:rsidR="00C1695E" w:rsidRPr="001F2DD5" w:rsidRDefault="00A228E1" w:rsidP="00001D73">
      <w:pPr>
        <w:autoSpaceDE w:val="0"/>
        <w:autoSpaceDN w:val="0"/>
        <w:adjustRightInd w:val="0"/>
        <w:spacing w:after="0" w:line="240" w:lineRule="auto"/>
        <w:rPr>
          <w:rFonts w:cstheme="minorHAnsi"/>
          <w:b/>
          <w:bCs/>
          <w:color w:val="FF0000"/>
        </w:rPr>
      </w:pPr>
      <w:r w:rsidRPr="001F2DD5">
        <w:rPr>
          <w:rFonts w:cstheme="minorHAnsi"/>
          <w:b/>
          <w:bCs/>
          <w:color w:val="FF0000"/>
        </w:rPr>
        <w:t>N/A</w:t>
      </w:r>
    </w:p>
    <w:p w14:paraId="0CABCFFA" w14:textId="552BA85A" w:rsidR="00092566" w:rsidRDefault="009C7513" w:rsidP="00092566">
      <w:pPr>
        <w:autoSpaceDE w:val="0"/>
        <w:autoSpaceDN w:val="0"/>
        <w:adjustRightInd w:val="0"/>
        <w:spacing w:after="0" w:line="240" w:lineRule="auto"/>
        <w:rPr>
          <w:rFonts w:asciiTheme="majorHAnsi" w:hAnsiTheme="majorHAnsi" w:cstheme="minorHAnsi"/>
          <w:bCs/>
          <w:sz w:val="20"/>
          <w:szCs w:val="20"/>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646240" w:rsidRPr="002A256C">
        <w:rPr>
          <w:rFonts w:asciiTheme="majorHAnsi" w:hAnsiTheme="majorHAnsi" w:cstheme="minorHAnsi"/>
          <w:bCs/>
          <w:color w:val="0070C0"/>
          <w:sz w:val="20"/>
          <w:szCs w:val="20"/>
        </w:rPr>
        <w:t xml:space="preserve">The process for developing the model is described in </w:t>
      </w:r>
      <w:r w:rsidR="00646240" w:rsidRPr="001F2DD5">
        <w:rPr>
          <w:rFonts w:asciiTheme="majorHAnsi" w:hAnsiTheme="majorHAnsi" w:cstheme="minorHAnsi"/>
          <w:bCs/>
          <w:color w:val="FF0000"/>
          <w:sz w:val="20"/>
          <w:szCs w:val="20"/>
        </w:rPr>
        <w:t>section 2b</w:t>
      </w:r>
      <w:r w:rsidR="00293407" w:rsidRPr="001F2DD5">
        <w:rPr>
          <w:rFonts w:asciiTheme="majorHAnsi" w:hAnsiTheme="majorHAnsi" w:cstheme="minorHAnsi"/>
          <w:bCs/>
          <w:color w:val="FF0000"/>
          <w:sz w:val="20"/>
          <w:szCs w:val="20"/>
        </w:rPr>
        <w:t>3</w:t>
      </w:r>
      <w:r w:rsidR="00646240" w:rsidRPr="001F2DD5">
        <w:rPr>
          <w:rFonts w:asciiTheme="majorHAnsi" w:hAnsiTheme="majorHAnsi" w:cstheme="minorHAnsi"/>
          <w:bCs/>
          <w:color w:val="FF0000"/>
          <w:sz w:val="20"/>
          <w:szCs w:val="20"/>
        </w:rPr>
        <w:t xml:space="preserve">.3 </w:t>
      </w:r>
      <w:r w:rsidR="00646240" w:rsidRPr="002A256C">
        <w:rPr>
          <w:rFonts w:asciiTheme="majorHAnsi" w:hAnsiTheme="majorHAnsi" w:cstheme="minorHAnsi"/>
          <w:bCs/>
          <w:color w:val="0070C0"/>
          <w:sz w:val="20"/>
          <w:szCs w:val="20"/>
        </w:rPr>
        <w:t>above. Discrimination was assessed with the c-statistic and calibration was assessed with both the Hosmer-</w:t>
      </w:r>
      <w:proofErr w:type="spellStart"/>
      <w:r w:rsidR="00646240" w:rsidRPr="002A256C">
        <w:rPr>
          <w:rFonts w:asciiTheme="majorHAnsi" w:hAnsiTheme="majorHAnsi" w:cstheme="minorHAnsi"/>
          <w:bCs/>
          <w:color w:val="0070C0"/>
          <w:sz w:val="20"/>
          <w:szCs w:val="20"/>
        </w:rPr>
        <w:t>Lemeshow</w:t>
      </w:r>
      <w:proofErr w:type="spellEnd"/>
      <w:r w:rsidR="00646240" w:rsidRPr="002A256C">
        <w:rPr>
          <w:rFonts w:asciiTheme="majorHAnsi" w:hAnsiTheme="majorHAnsi" w:cstheme="minorHAnsi"/>
          <w:bCs/>
          <w:color w:val="0070C0"/>
          <w:sz w:val="20"/>
          <w:szCs w:val="20"/>
        </w:rPr>
        <w:t xml:space="preserve"> test and the slope of the predicted vs. observed risk. Given that the prior, approved submission included the results for the separate derivation and validation cohorts reported in Peterson et al (</w:t>
      </w:r>
      <w:r w:rsidR="00646240" w:rsidRPr="002A256C">
        <w:rPr>
          <w:rFonts w:asciiTheme="majorHAnsi" w:hAnsiTheme="majorHAnsi" w:cstheme="minorHAnsi"/>
          <w:bCs/>
          <w:i/>
          <w:color w:val="0070C0"/>
          <w:sz w:val="20"/>
          <w:szCs w:val="20"/>
        </w:rPr>
        <w:t xml:space="preserve">J Am Coll </w:t>
      </w:r>
      <w:proofErr w:type="spellStart"/>
      <w:r w:rsidR="00646240" w:rsidRPr="002A256C">
        <w:rPr>
          <w:rFonts w:asciiTheme="majorHAnsi" w:hAnsiTheme="majorHAnsi" w:cstheme="minorHAnsi"/>
          <w:bCs/>
          <w:i/>
          <w:color w:val="0070C0"/>
          <w:sz w:val="20"/>
          <w:szCs w:val="20"/>
        </w:rPr>
        <w:t>Cardiol</w:t>
      </w:r>
      <w:proofErr w:type="spellEnd"/>
      <w:r w:rsidR="00646240" w:rsidRPr="002A256C">
        <w:rPr>
          <w:rFonts w:asciiTheme="majorHAnsi" w:hAnsiTheme="majorHAnsi" w:cstheme="minorHAnsi"/>
          <w:bCs/>
          <w:color w:val="0070C0"/>
          <w:sz w:val="20"/>
          <w:szCs w:val="20"/>
        </w:rPr>
        <w:t xml:space="preserve"> 2010; 55: 1923-32), we report only the 2012 data here.</w:t>
      </w:r>
    </w:p>
    <w:p w14:paraId="29E0BCA3" w14:textId="77777777" w:rsidR="00646240" w:rsidRPr="00A25024" w:rsidRDefault="00646240" w:rsidP="00092566">
      <w:pPr>
        <w:autoSpaceDE w:val="0"/>
        <w:autoSpaceDN w:val="0"/>
        <w:adjustRightInd w:val="0"/>
        <w:spacing w:after="0" w:line="240" w:lineRule="auto"/>
        <w:rPr>
          <w:rFonts w:cstheme="minorHAnsi"/>
          <w:bCs/>
        </w:rPr>
      </w:pP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8E38736" w14:textId="77777777" w:rsidR="00646240" w:rsidRPr="002A256C" w:rsidRDefault="00743E46" w:rsidP="00646240">
      <w:pPr>
        <w:autoSpaceDE w:val="0"/>
        <w:autoSpaceDN w:val="0"/>
        <w:adjustRightInd w:val="0"/>
        <w:spacing w:after="0" w:line="240" w:lineRule="auto"/>
        <w:rPr>
          <w:rFonts w:asciiTheme="majorHAnsi" w:hAnsiTheme="majorHAnsi" w:cstheme="minorHAnsi"/>
          <w:bCs/>
          <w:color w:val="0070C0"/>
          <w:sz w:val="20"/>
          <w:szCs w:val="20"/>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646240" w:rsidRPr="002A256C">
        <w:rPr>
          <w:rFonts w:asciiTheme="majorHAnsi" w:hAnsiTheme="majorHAnsi" w:cstheme="minorHAnsi"/>
          <w:bCs/>
          <w:color w:val="0070C0"/>
          <w:sz w:val="20"/>
          <w:szCs w:val="20"/>
        </w:rPr>
        <w:t xml:space="preserve">The c-statistic is 0.93, which means that the probability that predicting the outcome is substantially better than chance. This method is used to compare the goodness of fit of logistic regression models. The range is between 0.5 to 1.0. A value of 0.5 indicates that the model is no better than chance at making a prediction of membership in a group and a value of 1.0 indicates that the model perfectly identifies those within a group and those not. Models are typically considered reasonable when the C-statistic is higher than 0.7. (Hosmer &amp; </w:t>
      </w:r>
      <w:proofErr w:type="spellStart"/>
      <w:r w:rsidR="00646240" w:rsidRPr="002A256C">
        <w:rPr>
          <w:rFonts w:asciiTheme="majorHAnsi" w:hAnsiTheme="majorHAnsi" w:cstheme="minorHAnsi"/>
          <w:bCs/>
          <w:color w:val="0070C0"/>
          <w:sz w:val="20"/>
          <w:szCs w:val="20"/>
        </w:rPr>
        <w:t>Lemeshow</w:t>
      </w:r>
      <w:proofErr w:type="spellEnd"/>
      <w:r w:rsidR="00646240" w:rsidRPr="002A256C">
        <w:rPr>
          <w:rFonts w:asciiTheme="majorHAnsi" w:hAnsiTheme="majorHAnsi" w:cstheme="minorHAnsi"/>
          <w:bCs/>
          <w:color w:val="0070C0"/>
          <w:sz w:val="20"/>
          <w:szCs w:val="20"/>
        </w:rPr>
        <w:t>, 2000).</w:t>
      </w:r>
    </w:p>
    <w:p w14:paraId="1BC6D3C6"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p>
    <w:p w14:paraId="35B72365"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r w:rsidRPr="002A256C">
        <w:rPr>
          <w:rFonts w:asciiTheme="majorHAnsi" w:hAnsiTheme="majorHAnsi" w:cstheme="minorHAnsi"/>
          <w:bCs/>
          <w:color w:val="0070C0"/>
          <w:sz w:val="20"/>
          <w:szCs w:val="20"/>
        </w:rPr>
        <w:t>The c-statistics for the original derivation and validation cohorts, as well as clinically important subgroups are provided under Table 6.</w:t>
      </w:r>
    </w:p>
    <w:p w14:paraId="4DD5A76E"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p>
    <w:p w14:paraId="1884FEEE" w14:textId="2007A35A" w:rsidR="00646240" w:rsidRPr="002A256C" w:rsidRDefault="00646240" w:rsidP="00646240">
      <w:pPr>
        <w:pStyle w:val="Caption"/>
        <w:keepNext/>
        <w:rPr>
          <w:rFonts w:asciiTheme="majorHAnsi" w:hAnsiTheme="majorHAnsi"/>
          <w:color w:val="0070C0"/>
          <w:sz w:val="20"/>
          <w:szCs w:val="20"/>
        </w:rPr>
      </w:pPr>
      <w:r w:rsidRPr="002A256C">
        <w:rPr>
          <w:rFonts w:asciiTheme="majorHAnsi" w:hAnsiTheme="majorHAnsi"/>
          <w:color w:val="0070C0"/>
          <w:sz w:val="20"/>
          <w:szCs w:val="20"/>
        </w:rPr>
        <w:t xml:space="preserve">Table </w:t>
      </w:r>
      <w:r w:rsidRPr="002A256C">
        <w:rPr>
          <w:rFonts w:asciiTheme="majorHAnsi" w:hAnsiTheme="majorHAnsi"/>
          <w:color w:val="0070C0"/>
          <w:sz w:val="20"/>
          <w:szCs w:val="20"/>
        </w:rPr>
        <w:fldChar w:fldCharType="begin"/>
      </w:r>
      <w:r w:rsidRPr="002A256C">
        <w:rPr>
          <w:rFonts w:asciiTheme="majorHAnsi" w:hAnsiTheme="majorHAnsi"/>
          <w:color w:val="0070C0"/>
          <w:sz w:val="20"/>
          <w:szCs w:val="20"/>
        </w:rPr>
        <w:instrText xml:space="preserve"> SEQ Table \* ARABIC </w:instrText>
      </w:r>
      <w:r w:rsidRPr="002A256C">
        <w:rPr>
          <w:rFonts w:asciiTheme="majorHAnsi" w:hAnsiTheme="majorHAnsi"/>
          <w:color w:val="0070C0"/>
          <w:sz w:val="20"/>
          <w:szCs w:val="20"/>
        </w:rPr>
        <w:fldChar w:fldCharType="separate"/>
      </w:r>
      <w:r w:rsidR="003528B4">
        <w:rPr>
          <w:rFonts w:asciiTheme="majorHAnsi" w:hAnsiTheme="majorHAnsi"/>
          <w:noProof/>
          <w:color w:val="0070C0"/>
          <w:sz w:val="20"/>
          <w:szCs w:val="20"/>
        </w:rPr>
        <w:t>6</w:t>
      </w:r>
      <w:r w:rsidRPr="002A256C">
        <w:rPr>
          <w:rFonts w:asciiTheme="majorHAnsi" w:hAnsiTheme="majorHAnsi"/>
          <w:color w:val="0070C0"/>
          <w:sz w:val="20"/>
          <w:szCs w:val="20"/>
        </w:rPr>
        <w:fldChar w:fldCharType="end"/>
      </w:r>
      <w:r w:rsidRPr="002A256C">
        <w:rPr>
          <w:rFonts w:asciiTheme="majorHAnsi" w:hAnsiTheme="majorHAnsi"/>
          <w:color w:val="0070C0"/>
          <w:sz w:val="20"/>
          <w:szCs w:val="20"/>
        </w:rPr>
        <w:t>. C-Statistic Results</w:t>
      </w:r>
    </w:p>
    <w:tbl>
      <w:tblPr>
        <w:tblW w:w="6297" w:type="dxa"/>
        <w:shd w:val="clear" w:color="auto" w:fill="F2F5F9"/>
        <w:tblCellMar>
          <w:left w:w="0" w:type="dxa"/>
          <w:right w:w="0" w:type="dxa"/>
        </w:tblCellMar>
        <w:tblLook w:val="04A0" w:firstRow="1" w:lastRow="0" w:firstColumn="1" w:lastColumn="0" w:noHBand="0" w:noVBand="1"/>
      </w:tblPr>
      <w:tblGrid>
        <w:gridCol w:w="3032"/>
        <w:gridCol w:w="1202"/>
        <w:gridCol w:w="2063"/>
      </w:tblGrid>
      <w:tr w:rsidR="002A256C" w:rsidRPr="002A256C" w14:paraId="3AA768D6" w14:textId="77777777" w:rsidTr="00F00A44">
        <w:trPr>
          <w:tblHeader/>
        </w:trPr>
        <w:tc>
          <w:tcPr>
            <w:tcW w:w="0" w:type="auto"/>
            <w:tcBorders>
              <w:top w:val="single" w:sz="8" w:space="0" w:color="EEEEEE"/>
              <w:left w:val="single" w:sz="8" w:space="0" w:color="EEEEEE"/>
              <w:bottom w:val="single" w:sz="8" w:space="0" w:color="EEEEEE"/>
              <w:right w:val="single" w:sz="8" w:space="0" w:color="EEEEEE"/>
            </w:tcBorders>
            <w:shd w:val="clear" w:color="auto" w:fill="DDDDDD"/>
            <w:tcMar>
              <w:top w:w="75" w:type="dxa"/>
              <w:left w:w="75" w:type="dxa"/>
              <w:bottom w:w="75" w:type="dxa"/>
              <w:right w:w="75" w:type="dxa"/>
            </w:tcMar>
            <w:vAlign w:val="bottom"/>
            <w:hideMark/>
          </w:tcPr>
          <w:p w14:paraId="4134AD61" w14:textId="77777777" w:rsidR="00646240" w:rsidRPr="002A256C" w:rsidRDefault="00646240" w:rsidP="00F00A44">
            <w:pPr>
              <w:rPr>
                <w:rFonts w:asciiTheme="majorHAnsi" w:eastAsia="Times New Roman" w:hAnsiTheme="majorHAnsi" w:cs="Times New Roman"/>
                <w:color w:val="0070C0"/>
                <w:sz w:val="18"/>
                <w:szCs w:val="20"/>
              </w:rPr>
            </w:pPr>
          </w:p>
        </w:tc>
        <w:tc>
          <w:tcPr>
            <w:tcW w:w="0" w:type="auto"/>
            <w:tcBorders>
              <w:top w:val="single" w:sz="8" w:space="0" w:color="EEEEEE"/>
              <w:left w:val="nil"/>
              <w:bottom w:val="single" w:sz="8" w:space="0" w:color="EEEEEE"/>
              <w:right w:val="single" w:sz="8" w:space="0" w:color="EEEEEE"/>
            </w:tcBorders>
            <w:shd w:val="clear" w:color="auto" w:fill="DDDDDD"/>
            <w:tcMar>
              <w:top w:w="75" w:type="dxa"/>
              <w:left w:w="75" w:type="dxa"/>
              <w:bottom w:w="75" w:type="dxa"/>
              <w:right w:w="75" w:type="dxa"/>
            </w:tcMar>
            <w:vAlign w:val="bottom"/>
            <w:hideMark/>
          </w:tcPr>
          <w:p w14:paraId="1CEC2F91" w14:textId="77777777" w:rsidR="00646240" w:rsidRPr="002A256C" w:rsidRDefault="00646240" w:rsidP="00F00A44">
            <w:pPr>
              <w:rPr>
                <w:rFonts w:asciiTheme="majorHAnsi" w:eastAsia="Gulim" w:hAnsiTheme="majorHAnsi" w:cs="Calibri"/>
                <w:b/>
                <w:bCs/>
                <w:color w:val="0070C0"/>
                <w:sz w:val="18"/>
                <w:szCs w:val="20"/>
                <w:lang w:eastAsia="ko-KR"/>
              </w:rPr>
            </w:pPr>
            <w:r w:rsidRPr="002A256C">
              <w:rPr>
                <w:rFonts w:asciiTheme="majorHAnsi" w:hAnsiTheme="majorHAnsi"/>
                <w:b/>
                <w:bCs/>
                <w:color w:val="0070C0"/>
                <w:sz w:val="18"/>
                <w:szCs w:val="20"/>
              </w:rPr>
              <w:t>Sample, n</w:t>
            </w:r>
          </w:p>
        </w:tc>
        <w:tc>
          <w:tcPr>
            <w:tcW w:w="0" w:type="auto"/>
            <w:tcBorders>
              <w:top w:val="single" w:sz="8" w:space="0" w:color="EEEEEE"/>
              <w:left w:val="nil"/>
              <w:bottom w:val="single" w:sz="8" w:space="0" w:color="EEEEEE"/>
              <w:right w:val="single" w:sz="8" w:space="0" w:color="EEEEEE"/>
            </w:tcBorders>
            <w:shd w:val="clear" w:color="auto" w:fill="DDDDDD"/>
            <w:tcMar>
              <w:top w:w="75" w:type="dxa"/>
              <w:left w:w="75" w:type="dxa"/>
              <w:bottom w:w="75" w:type="dxa"/>
              <w:right w:w="75" w:type="dxa"/>
            </w:tcMar>
            <w:vAlign w:val="bottom"/>
            <w:hideMark/>
          </w:tcPr>
          <w:p w14:paraId="2BE99289" w14:textId="77777777" w:rsidR="00646240" w:rsidRPr="002A256C" w:rsidRDefault="00646240" w:rsidP="00F00A44">
            <w:pPr>
              <w:rPr>
                <w:rFonts w:asciiTheme="majorHAnsi" w:eastAsia="Gulim" w:hAnsiTheme="majorHAnsi" w:cs="Calibri"/>
                <w:b/>
                <w:bCs/>
                <w:color w:val="0070C0"/>
                <w:sz w:val="18"/>
                <w:szCs w:val="20"/>
                <w:lang w:eastAsia="ko-KR"/>
              </w:rPr>
            </w:pPr>
            <w:r w:rsidRPr="002A256C">
              <w:rPr>
                <w:rFonts w:asciiTheme="majorHAnsi" w:hAnsiTheme="majorHAnsi"/>
                <w:b/>
                <w:bCs/>
                <w:color w:val="0070C0"/>
                <w:sz w:val="18"/>
                <w:szCs w:val="20"/>
              </w:rPr>
              <w:t>Full Model C-Stats</w:t>
            </w:r>
          </w:p>
        </w:tc>
      </w:tr>
      <w:tr w:rsidR="002A256C" w:rsidRPr="002A256C" w14:paraId="4B8FCC67"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436DB621"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Development</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62F0E867" w14:textId="77777777" w:rsidR="00646240" w:rsidRPr="002A256C" w:rsidRDefault="00646240" w:rsidP="00F00A44">
            <w:pPr>
              <w:jc w:val="right"/>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181,775</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4F109E25"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0.926</w:t>
            </w:r>
          </w:p>
        </w:tc>
      </w:tr>
      <w:tr w:rsidR="002A256C" w:rsidRPr="002A256C" w14:paraId="5BEFDB03"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66A178E3"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1st validation</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5BA784C3" w14:textId="77777777" w:rsidR="00646240" w:rsidRPr="002A256C" w:rsidRDefault="00646240" w:rsidP="00F00A44">
            <w:pPr>
              <w:jc w:val="right"/>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121,183</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449D270C"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0.925</w:t>
            </w:r>
          </w:p>
        </w:tc>
      </w:tr>
      <w:tr w:rsidR="002A256C" w:rsidRPr="002A256C" w14:paraId="1877D3AD"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1BB1F243"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2nd validation</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14A7A499" w14:textId="77777777" w:rsidR="00646240" w:rsidRPr="002A256C" w:rsidRDefault="00646240" w:rsidP="00F00A44">
            <w:pPr>
              <w:jc w:val="right"/>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285,440</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7E623428"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0.924</w:t>
            </w:r>
          </w:p>
        </w:tc>
      </w:tr>
      <w:tr w:rsidR="002A256C" w:rsidRPr="002A256C" w14:paraId="7E3D956B"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4800521D"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Subgroups (in 2nd validation)</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4F5AFA33" w14:textId="77777777" w:rsidR="00646240" w:rsidRPr="002A256C" w:rsidRDefault="00646240" w:rsidP="00F00A44">
            <w:pPr>
              <w:rPr>
                <w:rFonts w:asciiTheme="majorHAnsi" w:eastAsia="Times New Roman" w:hAnsiTheme="majorHAnsi" w:cs="Times New Roman"/>
                <w:color w:val="0070C0"/>
                <w:sz w:val="18"/>
                <w:szCs w:val="20"/>
              </w:rPr>
            </w:pP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703D644B" w14:textId="77777777" w:rsidR="00646240" w:rsidRPr="002A256C" w:rsidRDefault="00646240" w:rsidP="00F00A44">
            <w:pPr>
              <w:rPr>
                <w:rFonts w:asciiTheme="majorHAnsi" w:eastAsia="Times New Roman" w:hAnsiTheme="majorHAnsi" w:cs="Times New Roman"/>
                <w:color w:val="0070C0"/>
                <w:sz w:val="18"/>
                <w:szCs w:val="20"/>
              </w:rPr>
            </w:pPr>
          </w:p>
        </w:tc>
      </w:tr>
      <w:tr w:rsidR="002A256C" w:rsidRPr="002A256C" w14:paraId="73905308"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1B9A1399"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STEMI</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00EE9373" w14:textId="77777777" w:rsidR="00646240" w:rsidRPr="002A256C" w:rsidRDefault="00646240" w:rsidP="00F00A44">
            <w:pPr>
              <w:jc w:val="right"/>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39,889</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5B9B6576"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0.902</w:t>
            </w:r>
          </w:p>
        </w:tc>
      </w:tr>
      <w:tr w:rsidR="002A256C" w:rsidRPr="002A256C" w14:paraId="30AA091B"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02CE462F"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No STEMI</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3E671852" w14:textId="77777777" w:rsidR="00646240" w:rsidRPr="002A256C" w:rsidRDefault="00646240" w:rsidP="00F00A44">
            <w:pPr>
              <w:jc w:val="right"/>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245,551</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141CD1D1"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0.892</w:t>
            </w:r>
          </w:p>
        </w:tc>
      </w:tr>
      <w:tr w:rsidR="002A256C" w:rsidRPr="002A256C" w14:paraId="3C598E98"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062C23E8"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Women</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666A3F9D" w14:textId="77777777" w:rsidR="00646240" w:rsidRPr="002A256C" w:rsidRDefault="00646240" w:rsidP="00F00A44">
            <w:pPr>
              <w:jc w:val="right"/>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95,106</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15175D0E"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0.911</w:t>
            </w:r>
          </w:p>
        </w:tc>
      </w:tr>
      <w:tr w:rsidR="002A256C" w:rsidRPr="002A256C" w14:paraId="02361BF3"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52C03303"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Men</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3271D31B" w14:textId="77777777" w:rsidR="00646240" w:rsidRPr="002A256C" w:rsidRDefault="00646240" w:rsidP="00F00A44">
            <w:pPr>
              <w:jc w:val="right"/>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190,334</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53BC848E"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0.930</w:t>
            </w:r>
          </w:p>
        </w:tc>
      </w:tr>
      <w:tr w:rsidR="002A256C" w:rsidRPr="002A256C" w14:paraId="115930F6"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70DADD04"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 xml:space="preserve">Age &gt;70 </w:t>
            </w:r>
            <w:proofErr w:type="spellStart"/>
            <w:r w:rsidRPr="002A256C">
              <w:rPr>
                <w:rFonts w:asciiTheme="majorHAnsi" w:hAnsiTheme="majorHAnsi"/>
                <w:color w:val="0070C0"/>
                <w:sz w:val="18"/>
                <w:szCs w:val="20"/>
              </w:rPr>
              <w:t>yrs</w:t>
            </w:r>
            <w:proofErr w:type="spellEnd"/>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175DD4F3" w14:textId="77777777" w:rsidR="00646240" w:rsidRPr="002A256C" w:rsidRDefault="00646240" w:rsidP="00F00A44">
            <w:pPr>
              <w:jc w:val="right"/>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92,381</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05BF2774"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0.901</w:t>
            </w:r>
          </w:p>
        </w:tc>
      </w:tr>
      <w:tr w:rsidR="002A256C" w:rsidRPr="002A256C" w14:paraId="7CA1CD91"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25B7FA1A"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 xml:space="preserve">Age ≤70 </w:t>
            </w:r>
            <w:proofErr w:type="spellStart"/>
            <w:r w:rsidRPr="002A256C">
              <w:rPr>
                <w:rFonts w:asciiTheme="majorHAnsi" w:hAnsiTheme="majorHAnsi"/>
                <w:color w:val="0070C0"/>
                <w:sz w:val="18"/>
                <w:szCs w:val="20"/>
              </w:rPr>
              <w:t>yrs</w:t>
            </w:r>
            <w:proofErr w:type="spellEnd"/>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1E027BC8" w14:textId="77777777" w:rsidR="00646240" w:rsidRPr="002A256C" w:rsidRDefault="00646240" w:rsidP="00F00A44">
            <w:pPr>
              <w:jc w:val="right"/>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193,059</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6053744E"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0.927</w:t>
            </w:r>
          </w:p>
        </w:tc>
      </w:tr>
      <w:tr w:rsidR="002A256C" w:rsidRPr="002A256C" w14:paraId="490E85F0"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66582FD4"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Diabetes</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602FD778" w14:textId="77777777" w:rsidR="00646240" w:rsidRPr="002A256C" w:rsidRDefault="00646240" w:rsidP="00F00A44">
            <w:pPr>
              <w:jc w:val="right"/>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92,974</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2669EF50"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0.924</w:t>
            </w:r>
          </w:p>
        </w:tc>
      </w:tr>
      <w:tr w:rsidR="002A256C" w:rsidRPr="002A256C" w14:paraId="1675242C" w14:textId="77777777" w:rsidTr="00F00A44">
        <w:tc>
          <w:tcPr>
            <w:tcW w:w="0" w:type="auto"/>
            <w:tcBorders>
              <w:top w:val="nil"/>
              <w:left w:val="single" w:sz="8" w:space="0" w:color="BBBBBB"/>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4D3512AA"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No diabetes</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0819F2BB" w14:textId="77777777" w:rsidR="00646240" w:rsidRPr="002A256C" w:rsidRDefault="00646240" w:rsidP="00F00A44">
            <w:pPr>
              <w:jc w:val="right"/>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192,466</w:t>
            </w:r>
          </w:p>
        </w:tc>
        <w:tc>
          <w:tcPr>
            <w:tcW w:w="0" w:type="auto"/>
            <w:tcBorders>
              <w:top w:val="nil"/>
              <w:left w:val="nil"/>
              <w:bottom w:val="single" w:sz="8" w:space="0" w:color="BBBBBB"/>
              <w:right w:val="single" w:sz="8" w:space="0" w:color="BBBBBB"/>
            </w:tcBorders>
            <w:shd w:val="clear" w:color="auto" w:fill="F2F5F9"/>
            <w:tcMar>
              <w:top w:w="45" w:type="dxa"/>
              <w:left w:w="45" w:type="dxa"/>
              <w:bottom w:w="45" w:type="dxa"/>
              <w:right w:w="45" w:type="dxa"/>
            </w:tcMar>
            <w:vAlign w:val="bottom"/>
            <w:hideMark/>
          </w:tcPr>
          <w:p w14:paraId="6681A3C8" w14:textId="77777777" w:rsidR="00646240" w:rsidRPr="002A256C" w:rsidRDefault="00646240" w:rsidP="00F00A44">
            <w:pPr>
              <w:rPr>
                <w:rFonts w:asciiTheme="majorHAnsi" w:eastAsia="Gulim" w:hAnsiTheme="majorHAnsi" w:cs="Calibri"/>
                <w:color w:val="0070C0"/>
                <w:sz w:val="18"/>
                <w:szCs w:val="20"/>
                <w:lang w:eastAsia="ko-KR"/>
              </w:rPr>
            </w:pPr>
            <w:r w:rsidRPr="002A256C">
              <w:rPr>
                <w:rFonts w:asciiTheme="majorHAnsi" w:hAnsiTheme="majorHAnsi"/>
                <w:color w:val="0070C0"/>
                <w:sz w:val="18"/>
                <w:szCs w:val="20"/>
              </w:rPr>
              <w:t>0.923</w:t>
            </w:r>
          </w:p>
        </w:tc>
      </w:tr>
    </w:tbl>
    <w:p w14:paraId="26F970C5" w14:textId="77777777" w:rsidR="00646240" w:rsidRPr="002A256C" w:rsidRDefault="00646240" w:rsidP="00646240">
      <w:pPr>
        <w:shd w:val="clear" w:color="auto" w:fill="FFFFFF"/>
        <w:spacing w:line="285" w:lineRule="atLeast"/>
        <w:textAlignment w:val="baseline"/>
        <w:rPr>
          <w:rFonts w:asciiTheme="majorHAnsi" w:eastAsia="Gulim" w:hAnsiTheme="majorHAnsi" w:cs="Calibri"/>
          <w:color w:val="0070C0"/>
          <w:sz w:val="20"/>
          <w:szCs w:val="20"/>
          <w:lang w:eastAsia="ko-KR"/>
        </w:rPr>
      </w:pPr>
      <w:r w:rsidRPr="002A256C">
        <w:rPr>
          <w:rFonts w:asciiTheme="majorHAnsi" w:hAnsiTheme="majorHAnsi"/>
          <w:color w:val="0070C0"/>
          <w:sz w:val="20"/>
          <w:szCs w:val="20"/>
        </w:rPr>
        <w:t>Cath = catheterization; NCDR = National Cardiovascular Data Registry; STEMI = ST-segment elevation myocardial infarction.</w:t>
      </w:r>
    </w:p>
    <w:p w14:paraId="0CABCFFD" w14:textId="79D5D7A7" w:rsidR="00001D73" w:rsidRPr="00001D73" w:rsidRDefault="00001D73" w:rsidP="00092566">
      <w:pPr>
        <w:autoSpaceDE w:val="0"/>
        <w:autoSpaceDN w:val="0"/>
        <w:adjustRightInd w:val="0"/>
        <w:spacing w:after="0" w:line="240" w:lineRule="auto"/>
        <w:rPr>
          <w:rFonts w:cstheme="minorHAnsi"/>
          <w:b/>
          <w:bCs/>
        </w:rPr>
      </w:pPr>
    </w:p>
    <w:p w14:paraId="0CABCFFE" w14:textId="18439AE7" w:rsidR="00001D73" w:rsidRPr="002A256C" w:rsidRDefault="009C7513" w:rsidP="00092566">
      <w:pPr>
        <w:autoSpaceDE w:val="0"/>
        <w:autoSpaceDN w:val="0"/>
        <w:adjustRightInd w:val="0"/>
        <w:spacing w:after="0" w:line="240" w:lineRule="auto"/>
        <w:rPr>
          <w:rFonts w:asciiTheme="majorHAnsi" w:hAnsiTheme="majorHAnsi" w:cstheme="minorHAnsi"/>
          <w:bCs/>
          <w:color w:val="0070C0"/>
          <w:sz w:val="20"/>
          <w:szCs w:val="20"/>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646240" w:rsidRPr="002A256C">
        <w:rPr>
          <w:rFonts w:asciiTheme="majorHAnsi" w:hAnsiTheme="majorHAnsi" w:cstheme="minorHAnsi"/>
          <w:bCs/>
          <w:color w:val="0070C0"/>
          <w:sz w:val="20"/>
          <w:szCs w:val="20"/>
        </w:rPr>
        <w:t>The intercept for the model was -0.00063, which was not statistically significantly different than 0 (p=0.97). The slope of the calibration line was 0.9906, which also was not significantly different than 1.0 (p=0.097).  A graphical representation of observed and predicted mortality rates across deciles of risk is shown under Figure 1.</w:t>
      </w:r>
    </w:p>
    <w:p w14:paraId="749A4F28" w14:textId="77777777" w:rsidR="00646240" w:rsidRDefault="00646240" w:rsidP="00092566">
      <w:pPr>
        <w:autoSpaceDE w:val="0"/>
        <w:autoSpaceDN w:val="0"/>
        <w:adjustRightInd w:val="0"/>
        <w:spacing w:after="0" w:line="240" w:lineRule="auto"/>
        <w:rPr>
          <w:rFonts w:cstheme="minorHAnsi"/>
          <w:b/>
          <w:bCs/>
        </w:rPr>
      </w:pPr>
    </w:p>
    <w:p w14:paraId="57518D27" w14:textId="77777777" w:rsidR="00646240" w:rsidRPr="002A256C" w:rsidRDefault="009C7513" w:rsidP="00646240">
      <w:pPr>
        <w:keepNext/>
        <w:autoSpaceDE w:val="0"/>
        <w:autoSpaceDN w:val="0"/>
        <w:adjustRightInd w:val="0"/>
        <w:spacing w:after="0" w:line="240" w:lineRule="auto"/>
        <w:rPr>
          <w:rFonts w:asciiTheme="majorHAnsi" w:hAnsiTheme="majorHAnsi"/>
          <w:color w:val="0070C0"/>
          <w:sz w:val="20"/>
          <w:szCs w:val="20"/>
        </w:rPr>
      </w:pPr>
      <w:r w:rsidRPr="002A256C">
        <w:rPr>
          <w:rFonts w:cstheme="minorHAnsi"/>
          <w:b/>
          <w:bCs/>
          <w:color w:val="0070C0"/>
        </w:rPr>
        <w:t>2b3</w:t>
      </w:r>
      <w:r w:rsidR="00743E46" w:rsidRPr="002A256C">
        <w:rPr>
          <w:rFonts w:cstheme="minorHAnsi"/>
          <w:b/>
          <w:bCs/>
          <w:color w:val="0070C0"/>
        </w:rPr>
        <w:t>.8</w:t>
      </w:r>
      <w:r w:rsidR="00001D73" w:rsidRPr="002A256C">
        <w:rPr>
          <w:rFonts w:cstheme="minorHAnsi"/>
          <w:b/>
          <w:bCs/>
          <w:color w:val="0070C0"/>
        </w:rPr>
        <w:t xml:space="preserve">. </w:t>
      </w:r>
      <w:r w:rsidR="00743E46" w:rsidRPr="002A256C">
        <w:rPr>
          <w:rFonts w:cstheme="minorHAnsi"/>
          <w:b/>
          <w:bCs/>
          <w:color w:val="0070C0"/>
        </w:rPr>
        <w:t xml:space="preserve">Statistical </w:t>
      </w:r>
      <w:r w:rsidR="00092566" w:rsidRPr="002A256C">
        <w:rPr>
          <w:rFonts w:cstheme="minorHAnsi"/>
          <w:b/>
          <w:bCs/>
          <w:color w:val="0070C0"/>
        </w:rPr>
        <w:t>Risk Model Calibration – Risk decile plots or calibration curves</w:t>
      </w:r>
      <w:r w:rsidR="00092566" w:rsidRPr="002A256C">
        <w:rPr>
          <w:rFonts w:cstheme="minorHAnsi"/>
          <w:bCs/>
          <w:color w:val="0070C0"/>
        </w:rPr>
        <w:t>:</w:t>
      </w:r>
      <w:r w:rsidR="00092566" w:rsidRPr="002A256C">
        <w:rPr>
          <w:rFonts w:cstheme="minorHAnsi"/>
          <w:bCs/>
          <w:color w:val="0070C0"/>
        </w:rPr>
        <w:br/>
      </w:r>
      <w:r w:rsidR="00646240" w:rsidRPr="002A256C">
        <w:rPr>
          <w:rFonts w:asciiTheme="majorHAnsi" w:hAnsiTheme="majorHAnsi"/>
          <w:noProof/>
          <w:color w:val="0070C0"/>
          <w:sz w:val="20"/>
          <w:szCs w:val="20"/>
        </w:rPr>
        <w:drawing>
          <wp:inline distT="0" distB="0" distL="0" distR="0" wp14:anchorId="2E505E4E" wp14:editId="5C3EA648">
            <wp:extent cx="3022600" cy="2362200"/>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2600" cy="2362200"/>
                    </a:xfrm>
                    <a:prstGeom prst="rect">
                      <a:avLst/>
                    </a:prstGeom>
                    <a:noFill/>
                    <a:ln>
                      <a:noFill/>
                    </a:ln>
                  </pic:spPr>
                </pic:pic>
              </a:graphicData>
            </a:graphic>
          </wp:inline>
        </w:drawing>
      </w:r>
    </w:p>
    <w:p w14:paraId="6EA0EA7B" w14:textId="67E98A29" w:rsidR="00646240" w:rsidRPr="002A256C" w:rsidRDefault="00646240" w:rsidP="00646240">
      <w:pPr>
        <w:pStyle w:val="Caption"/>
        <w:rPr>
          <w:rFonts w:asciiTheme="majorHAnsi" w:hAnsiTheme="majorHAnsi" w:cstheme="minorHAnsi"/>
          <w:bCs w:val="0"/>
          <w:color w:val="0070C0"/>
          <w:sz w:val="20"/>
          <w:szCs w:val="20"/>
        </w:rPr>
      </w:pPr>
      <w:r w:rsidRPr="002A256C">
        <w:rPr>
          <w:rFonts w:asciiTheme="majorHAnsi" w:hAnsiTheme="majorHAnsi"/>
          <w:color w:val="0070C0"/>
          <w:sz w:val="20"/>
          <w:szCs w:val="20"/>
        </w:rPr>
        <w:t xml:space="preserve">Figure </w:t>
      </w:r>
      <w:r w:rsidRPr="002A256C">
        <w:rPr>
          <w:rFonts w:asciiTheme="majorHAnsi" w:hAnsiTheme="majorHAnsi"/>
          <w:color w:val="0070C0"/>
          <w:sz w:val="20"/>
          <w:szCs w:val="20"/>
        </w:rPr>
        <w:fldChar w:fldCharType="begin"/>
      </w:r>
      <w:r w:rsidRPr="002A256C">
        <w:rPr>
          <w:rFonts w:asciiTheme="majorHAnsi" w:hAnsiTheme="majorHAnsi"/>
          <w:color w:val="0070C0"/>
          <w:sz w:val="20"/>
          <w:szCs w:val="20"/>
        </w:rPr>
        <w:instrText xml:space="preserve"> SEQ Figure \* ARABIC </w:instrText>
      </w:r>
      <w:r w:rsidRPr="002A256C">
        <w:rPr>
          <w:rFonts w:asciiTheme="majorHAnsi" w:hAnsiTheme="majorHAnsi"/>
          <w:color w:val="0070C0"/>
          <w:sz w:val="20"/>
          <w:szCs w:val="20"/>
        </w:rPr>
        <w:fldChar w:fldCharType="separate"/>
      </w:r>
      <w:r w:rsidR="003528B4">
        <w:rPr>
          <w:rFonts w:asciiTheme="majorHAnsi" w:hAnsiTheme="majorHAnsi"/>
          <w:noProof/>
          <w:color w:val="0070C0"/>
          <w:sz w:val="20"/>
          <w:szCs w:val="20"/>
        </w:rPr>
        <w:t>1</w:t>
      </w:r>
      <w:r w:rsidRPr="002A256C">
        <w:rPr>
          <w:rFonts w:asciiTheme="majorHAnsi" w:hAnsiTheme="majorHAnsi"/>
          <w:color w:val="0070C0"/>
          <w:sz w:val="20"/>
          <w:szCs w:val="20"/>
        </w:rPr>
        <w:fldChar w:fldCharType="end"/>
      </w:r>
      <w:r w:rsidRPr="002A256C">
        <w:rPr>
          <w:rFonts w:asciiTheme="majorHAnsi" w:hAnsiTheme="majorHAnsi"/>
          <w:color w:val="0070C0"/>
          <w:sz w:val="20"/>
          <w:szCs w:val="20"/>
        </w:rPr>
        <w:t>. Calibration Curve Plot</w:t>
      </w:r>
    </w:p>
    <w:p w14:paraId="0CABCFFF" w14:textId="7ECFB7AA" w:rsidR="00743E46" w:rsidRPr="002A256C" w:rsidRDefault="00743E46" w:rsidP="00092566">
      <w:pPr>
        <w:autoSpaceDE w:val="0"/>
        <w:autoSpaceDN w:val="0"/>
        <w:adjustRightInd w:val="0"/>
        <w:spacing w:after="0" w:line="240" w:lineRule="auto"/>
        <w:rPr>
          <w:rFonts w:cstheme="minorHAnsi"/>
          <w:b/>
          <w:color w:val="0070C0"/>
        </w:rPr>
      </w:pP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3" w:name="question2b49"/>
      <w:bookmarkEnd w:id="13"/>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1807ED0B" w14:textId="77777777" w:rsidR="00646240" w:rsidRPr="002A256C" w:rsidRDefault="00646240" w:rsidP="00646240">
      <w:pPr>
        <w:pStyle w:val="ListParagraph"/>
        <w:ind w:left="0"/>
        <w:rPr>
          <w:rFonts w:asciiTheme="majorHAnsi" w:hAnsiTheme="majorHAnsi" w:cstheme="minorHAnsi"/>
          <w:bCs/>
          <w:color w:val="0070C0"/>
          <w:sz w:val="20"/>
          <w:szCs w:val="20"/>
        </w:rPr>
      </w:pPr>
      <w:r w:rsidRPr="002A256C">
        <w:rPr>
          <w:rFonts w:asciiTheme="majorHAnsi" w:hAnsiTheme="majorHAnsi" w:cstheme="minorHAnsi"/>
          <w:bCs/>
          <w:color w:val="0070C0"/>
          <w:sz w:val="20"/>
          <w:szCs w:val="20"/>
        </w:rPr>
        <w:t xml:space="preserve">The risk stratification </w:t>
      </w:r>
      <w:proofErr w:type="gramStart"/>
      <w:r w:rsidRPr="002A256C">
        <w:rPr>
          <w:rFonts w:asciiTheme="majorHAnsi" w:hAnsiTheme="majorHAnsi" w:cstheme="minorHAnsi"/>
          <w:bCs/>
          <w:color w:val="0070C0"/>
          <w:sz w:val="20"/>
          <w:szCs w:val="20"/>
        </w:rPr>
        <w:t>was able to</w:t>
      </w:r>
      <w:proofErr w:type="gramEnd"/>
      <w:r w:rsidRPr="002A256C">
        <w:rPr>
          <w:rFonts w:asciiTheme="majorHAnsi" w:hAnsiTheme="majorHAnsi" w:cstheme="minorHAnsi"/>
          <w:bCs/>
          <w:color w:val="0070C0"/>
          <w:sz w:val="20"/>
          <w:szCs w:val="20"/>
        </w:rPr>
        <w:t xml:space="preserve"> adequately segregate deciles of risk from &lt;1% to &gt;12% at the patient level.  At the hospital level, we observed a broad range of unadjusted risk, which was substantially tightened after adjusting for patient characteristics.  The unadjusted distribution of mortality is shown under Figure 2.</w:t>
      </w:r>
    </w:p>
    <w:p w14:paraId="031D7C84" w14:textId="77777777" w:rsidR="00646240" w:rsidRPr="002A256C" w:rsidRDefault="00646240" w:rsidP="00646240">
      <w:pPr>
        <w:pStyle w:val="ListParagraph"/>
        <w:keepNext/>
        <w:ind w:left="0"/>
        <w:rPr>
          <w:rFonts w:asciiTheme="majorHAnsi" w:hAnsiTheme="majorHAnsi"/>
          <w:color w:val="0070C0"/>
          <w:sz w:val="20"/>
          <w:szCs w:val="20"/>
        </w:rPr>
      </w:pPr>
      <w:r w:rsidRPr="002A256C">
        <w:rPr>
          <w:rFonts w:asciiTheme="majorHAnsi" w:hAnsiTheme="majorHAnsi" w:cstheme="minorHAnsi"/>
          <w:bCs/>
          <w:color w:val="0070C0"/>
          <w:sz w:val="20"/>
          <w:szCs w:val="20"/>
        </w:rPr>
        <w:t xml:space="preserve"> </w:t>
      </w:r>
      <w:r w:rsidRPr="002A256C">
        <w:rPr>
          <w:rFonts w:asciiTheme="majorHAnsi" w:hAnsiTheme="majorHAnsi" w:cstheme="minorHAnsi"/>
          <w:bCs/>
          <w:noProof/>
          <w:color w:val="0070C0"/>
          <w:sz w:val="20"/>
          <w:szCs w:val="20"/>
        </w:rPr>
        <w:drawing>
          <wp:inline distT="0" distB="0" distL="0" distR="0" wp14:anchorId="1D8E274F" wp14:editId="7186CA61">
            <wp:extent cx="4772025" cy="37147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72025" cy="3714750"/>
                    </a:xfrm>
                    <a:prstGeom prst="rect">
                      <a:avLst/>
                    </a:prstGeom>
                    <a:noFill/>
                    <a:ln>
                      <a:noFill/>
                    </a:ln>
                  </pic:spPr>
                </pic:pic>
              </a:graphicData>
            </a:graphic>
          </wp:inline>
        </w:drawing>
      </w:r>
    </w:p>
    <w:p w14:paraId="1D3E8C4D" w14:textId="561AB3F4" w:rsidR="00646240" w:rsidRPr="002A256C" w:rsidRDefault="00646240" w:rsidP="00646240">
      <w:pPr>
        <w:pStyle w:val="Caption"/>
        <w:rPr>
          <w:rFonts w:asciiTheme="majorHAnsi" w:hAnsiTheme="majorHAnsi" w:cstheme="minorHAnsi"/>
          <w:bCs w:val="0"/>
          <w:color w:val="0070C0"/>
          <w:sz w:val="20"/>
          <w:szCs w:val="20"/>
        </w:rPr>
      </w:pPr>
      <w:r w:rsidRPr="002A256C">
        <w:rPr>
          <w:rFonts w:asciiTheme="majorHAnsi" w:hAnsiTheme="majorHAnsi"/>
          <w:color w:val="0070C0"/>
          <w:sz w:val="20"/>
          <w:szCs w:val="20"/>
        </w:rPr>
        <w:t xml:space="preserve">Figure </w:t>
      </w:r>
      <w:r w:rsidRPr="002A256C">
        <w:rPr>
          <w:rFonts w:asciiTheme="majorHAnsi" w:hAnsiTheme="majorHAnsi"/>
          <w:color w:val="0070C0"/>
          <w:sz w:val="20"/>
          <w:szCs w:val="20"/>
        </w:rPr>
        <w:fldChar w:fldCharType="begin"/>
      </w:r>
      <w:r w:rsidRPr="002A256C">
        <w:rPr>
          <w:rFonts w:asciiTheme="majorHAnsi" w:hAnsiTheme="majorHAnsi"/>
          <w:color w:val="0070C0"/>
          <w:sz w:val="20"/>
          <w:szCs w:val="20"/>
        </w:rPr>
        <w:instrText xml:space="preserve"> SEQ Figure \* ARABIC </w:instrText>
      </w:r>
      <w:r w:rsidRPr="002A256C">
        <w:rPr>
          <w:rFonts w:asciiTheme="majorHAnsi" w:hAnsiTheme="majorHAnsi"/>
          <w:color w:val="0070C0"/>
          <w:sz w:val="20"/>
          <w:szCs w:val="20"/>
        </w:rPr>
        <w:fldChar w:fldCharType="separate"/>
      </w:r>
      <w:r w:rsidR="003528B4">
        <w:rPr>
          <w:rFonts w:asciiTheme="majorHAnsi" w:hAnsiTheme="majorHAnsi"/>
          <w:noProof/>
          <w:color w:val="0070C0"/>
          <w:sz w:val="20"/>
          <w:szCs w:val="20"/>
        </w:rPr>
        <w:t>2</w:t>
      </w:r>
      <w:r w:rsidRPr="002A256C">
        <w:rPr>
          <w:rFonts w:asciiTheme="majorHAnsi" w:hAnsiTheme="majorHAnsi"/>
          <w:color w:val="0070C0"/>
          <w:sz w:val="20"/>
          <w:szCs w:val="20"/>
        </w:rPr>
        <w:fldChar w:fldCharType="end"/>
      </w:r>
      <w:r w:rsidRPr="002A256C">
        <w:rPr>
          <w:rFonts w:asciiTheme="majorHAnsi" w:hAnsiTheme="majorHAnsi"/>
          <w:color w:val="0070C0"/>
          <w:sz w:val="20"/>
          <w:szCs w:val="20"/>
        </w:rPr>
        <w:t>. Unadjusted Distribution of Mortality</w:t>
      </w:r>
    </w:p>
    <w:p w14:paraId="0399303C"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r w:rsidRPr="002A256C">
        <w:rPr>
          <w:rFonts w:asciiTheme="majorHAnsi" w:hAnsiTheme="majorHAnsi" w:cstheme="minorHAnsi"/>
          <w:bCs/>
          <w:color w:val="0070C0"/>
          <w:sz w:val="20"/>
          <w:szCs w:val="20"/>
        </w:rPr>
        <w:t xml:space="preserve">The mortality rates adjusted for patient characteristics is shown under Figure 3. </w:t>
      </w:r>
    </w:p>
    <w:p w14:paraId="26DC1224"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p>
    <w:p w14:paraId="63B0A639" w14:textId="77777777" w:rsidR="00646240" w:rsidRPr="002A256C" w:rsidRDefault="00646240" w:rsidP="00646240">
      <w:pPr>
        <w:keepNext/>
        <w:autoSpaceDE w:val="0"/>
        <w:autoSpaceDN w:val="0"/>
        <w:adjustRightInd w:val="0"/>
        <w:spacing w:after="0" w:line="240" w:lineRule="auto"/>
        <w:rPr>
          <w:color w:val="0070C0"/>
        </w:rPr>
      </w:pPr>
      <w:r w:rsidRPr="002A256C">
        <w:rPr>
          <w:rFonts w:asciiTheme="majorHAnsi" w:hAnsiTheme="majorHAnsi"/>
          <w:noProof/>
          <w:color w:val="0070C0"/>
          <w:sz w:val="20"/>
          <w:szCs w:val="20"/>
        </w:rPr>
        <w:drawing>
          <wp:inline distT="0" distB="0" distL="0" distR="0" wp14:anchorId="5B0ECC6B" wp14:editId="61C51556">
            <wp:extent cx="4800600" cy="3761211"/>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04235" cy="3764059"/>
                    </a:xfrm>
                    <a:prstGeom prst="rect">
                      <a:avLst/>
                    </a:prstGeom>
                    <a:noFill/>
                    <a:ln>
                      <a:noFill/>
                    </a:ln>
                  </pic:spPr>
                </pic:pic>
              </a:graphicData>
            </a:graphic>
          </wp:inline>
        </w:drawing>
      </w:r>
    </w:p>
    <w:p w14:paraId="0AE5CCED" w14:textId="19BF1042" w:rsidR="00646240" w:rsidRPr="002A256C" w:rsidRDefault="00646240" w:rsidP="00646240">
      <w:pPr>
        <w:pStyle w:val="Caption"/>
        <w:rPr>
          <w:rFonts w:asciiTheme="majorHAnsi" w:hAnsiTheme="majorHAnsi" w:cstheme="minorHAnsi"/>
          <w:bCs w:val="0"/>
          <w:color w:val="0070C0"/>
          <w:sz w:val="20"/>
          <w:szCs w:val="20"/>
        </w:rPr>
      </w:pPr>
      <w:r w:rsidRPr="002A256C">
        <w:rPr>
          <w:color w:val="0070C0"/>
        </w:rPr>
        <w:t xml:space="preserve">Figure </w:t>
      </w:r>
      <w:r w:rsidRPr="002A256C">
        <w:rPr>
          <w:color w:val="0070C0"/>
        </w:rPr>
        <w:fldChar w:fldCharType="begin"/>
      </w:r>
      <w:r w:rsidRPr="002A256C">
        <w:rPr>
          <w:color w:val="0070C0"/>
        </w:rPr>
        <w:instrText xml:space="preserve"> SEQ Figure \* ARABIC </w:instrText>
      </w:r>
      <w:r w:rsidRPr="002A256C">
        <w:rPr>
          <w:color w:val="0070C0"/>
        </w:rPr>
        <w:fldChar w:fldCharType="separate"/>
      </w:r>
      <w:r w:rsidR="003528B4">
        <w:rPr>
          <w:noProof/>
          <w:color w:val="0070C0"/>
        </w:rPr>
        <w:t>3</w:t>
      </w:r>
      <w:r w:rsidRPr="002A256C">
        <w:rPr>
          <w:color w:val="0070C0"/>
        </w:rPr>
        <w:fldChar w:fldCharType="end"/>
      </w:r>
      <w:r w:rsidRPr="002A256C">
        <w:rPr>
          <w:color w:val="0070C0"/>
        </w:rPr>
        <w:t>. Adjusted Distribution of Mortality</w:t>
      </w:r>
    </w:p>
    <w:p w14:paraId="2CF34903" w14:textId="77777777" w:rsidR="00646240" w:rsidRPr="002A256C" w:rsidRDefault="00646240" w:rsidP="00646240">
      <w:pPr>
        <w:autoSpaceDE w:val="0"/>
        <w:autoSpaceDN w:val="0"/>
        <w:adjustRightInd w:val="0"/>
        <w:spacing w:after="0" w:line="240" w:lineRule="auto"/>
        <w:rPr>
          <w:rFonts w:asciiTheme="majorHAnsi" w:hAnsiTheme="majorHAnsi" w:cstheme="minorHAnsi"/>
          <w:b/>
          <w:bCs/>
          <w:color w:val="0070C0"/>
          <w:sz w:val="20"/>
          <w:szCs w:val="20"/>
        </w:rPr>
      </w:pPr>
    </w:p>
    <w:p w14:paraId="0C44B250"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r w:rsidRPr="002A256C">
        <w:rPr>
          <w:rFonts w:asciiTheme="majorHAnsi" w:hAnsiTheme="majorHAnsi" w:cstheme="minorHAnsi"/>
          <w:bCs/>
          <w:color w:val="0070C0"/>
          <w:sz w:val="20"/>
          <w:szCs w:val="20"/>
        </w:rPr>
        <w:t>After adjusting for patient characteristics, we observed a significantly tighter and more normal distribution of mortality events.</w:t>
      </w:r>
    </w:p>
    <w:p w14:paraId="42795FB5"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p>
    <w:p w14:paraId="455988E2"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r w:rsidRPr="002A256C">
        <w:rPr>
          <w:rFonts w:asciiTheme="majorHAnsi" w:hAnsiTheme="majorHAnsi" w:cstheme="minorHAnsi"/>
          <w:bCs/>
          <w:color w:val="0070C0"/>
          <w:sz w:val="20"/>
          <w:szCs w:val="20"/>
        </w:rPr>
        <w:t xml:space="preserve">The distribution of </w:t>
      </w:r>
      <w:proofErr w:type="gramStart"/>
      <w:r w:rsidRPr="002A256C">
        <w:rPr>
          <w:rFonts w:asciiTheme="majorHAnsi" w:hAnsiTheme="majorHAnsi" w:cstheme="minorHAnsi"/>
          <w:bCs/>
          <w:color w:val="0070C0"/>
          <w:sz w:val="20"/>
          <w:szCs w:val="20"/>
        </w:rPr>
        <w:t>sites’</w:t>
      </w:r>
      <w:proofErr w:type="gramEnd"/>
      <w:r w:rsidRPr="002A256C">
        <w:rPr>
          <w:rFonts w:asciiTheme="majorHAnsi" w:hAnsiTheme="majorHAnsi" w:cstheme="minorHAnsi"/>
          <w:bCs/>
          <w:color w:val="0070C0"/>
          <w:sz w:val="20"/>
          <w:szCs w:val="20"/>
        </w:rPr>
        <w:t xml:space="preserve"> observed/expected ratios are shown under Figure 4.</w:t>
      </w:r>
    </w:p>
    <w:p w14:paraId="16E50FAF" w14:textId="77777777" w:rsidR="00646240" w:rsidRPr="002A256C" w:rsidRDefault="00646240" w:rsidP="00646240">
      <w:pPr>
        <w:autoSpaceDE w:val="0"/>
        <w:autoSpaceDN w:val="0"/>
        <w:adjustRightInd w:val="0"/>
        <w:spacing w:after="0" w:line="240" w:lineRule="auto"/>
        <w:rPr>
          <w:rFonts w:asciiTheme="majorHAnsi" w:hAnsiTheme="majorHAnsi" w:cstheme="minorHAnsi"/>
          <w:bCs/>
          <w:color w:val="0070C0"/>
          <w:sz w:val="20"/>
          <w:szCs w:val="20"/>
        </w:rPr>
      </w:pPr>
    </w:p>
    <w:p w14:paraId="6C976E49" w14:textId="77777777" w:rsidR="00646240" w:rsidRPr="00646240" w:rsidRDefault="00646240" w:rsidP="00646240">
      <w:pPr>
        <w:keepNext/>
        <w:autoSpaceDE w:val="0"/>
        <w:autoSpaceDN w:val="0"/>
        <w:adjustRightInd w:val="0"/>
        <w:spacing w:after="0" w:line="240" w:lineRule="auto"/>
        <w:rPr>
          <w:rFonts w:asciiTheme="majorHAnsi" w:hAnsiTheme="majorHAnsi"/>
          <w:color w:val="FF0000"/>
          <w:sz w:val="20"/>
          <w:szCs w:val="20"/>
        </w:rPr>
      </w:pPr>
      <w:r w:rsidRPr="00646240">
        <w:rPr>
          <w:rFonts w:asciiTheme="majorHAnsi" w:hAnsiTheme="majorHAnsi"/>
          <w:noProof/>
          <w:color w:val="FF0000"/>
          <w:sz w:val="20"/>
          <w:szCs w:val="20"/>
        </w:rPr>
        <w:drawing>
          <wp:inline distT="0" distB="0" distL="0" distR="0" wp14:anchorId="60D076BB" wp14:editId="3867D2C1">
            <wp:extent cx="4732655" cy="37001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32655" cy="3700145"/>
                    </a:xfrm>
                    <a:prstGeom prst="rect">
                      <a:avLst/>
                    </a:prstGeom>
                    <a:noFill/>
                    <a:ln>
                      <a:noFill/>
                    </a:ln>
                  </pic:spPr>
                </pic:pic>
              </a:graphicData>
            </a:graphic>
          </wp:inline>
        </w:drawing>
      </w:r>
    </w:p>
    <w:p w14:paraId="086ECBD4" w14:textId="34068084" w:rsidR="00646240" w:rsidRPr="002A256C" w:rsidRDefault="00646240" w:rsidP="00646240">
      <w:pPr>
        <w:pStyle w:val="Caption"/>
        <w:rPr>
          <w:rFonts w:asciiTheme="majorHAnsi" w:hAnsiTheme="majorHAnsi" w:cstheme="minorHAnsi"/>
          <w:bCs w:val="0"/>
          <w:color w:val="0070C0"/>
          <w:sz w:val="20"/>
          <w:szCs w:val="20"/>
        </w:rPr>
      </w:pPr>
      <w:r w:rsidRPr="002A256C">
        <w:rPr>
          <w:rFonts w:asciiTheme="majorHAnsi" w:hAnsiTheme="majorHAnsi"/>
          <w:color w:val="0070C0"/>
          <w:sz w:val="20"/>
          <w:szCs w:val="20"/>
        </w:rPr>
        <w:t xml:space="preserve">Figure </w:t>
      </w:r>
      <w:r w:rsidRPr="002A256C">
        <w:rPr>
          <w:rFonts w:asciiTheme="majorHAnsi" w:hAnsiTheme="majorHAnsi"/>
          <w:color w:val="0070C0"/>
          <w:sz w:val="20"/>
          <w:szCs w:val="20"/>
        </w:rPr>
        <w:fldChar w:fldCharType="begin"/>
      </w:r>
      <w:r w:rsidRPr="002A256C">
        <w:rPr>
          <w:rFonts w:asciiTheme="majorHAnsi" w:hAnsiTheme="majorHAnsi"/>
          <w:color w:val="0070C0"/>
          <w:sz w:val="20"/>
          <w:szCs w:val="20"/>
        </w:rPr>
        <w:instrText xml:space="preserve"> SEQ Figure \* ARABIC </w:instrText>
      </w:r>
      <w:r w:rsidRPr="002A256C">
        <w:rPr>
          <w:rFonts w:asciiTheme="majorHAnsi" w:hAnsiTheme="majorHAnsi"/>
          <w:color w:val="0070C0"/>
          <w:sz w:val="20"/>
          <w:szCs w:val="20"/>
        </w:rPr>
        <w:fldChar w:fldCharType="separate"/>
      </w:r>
      <w:r w:rsidR="003528B4">
        <w:rPr>
          <w:rFonts w:asciiTheme="majorHAnsi" w:hAnsiTheme="majorHAnsi"/>
          <w:noProof/>
          <w:color w:val="0070C0"/>
          <w:sz w:val="20"/>
          <w:szCs w:val="20"/>
        </w:rPr>
        <w:t>4</w:t>
      </w:r>
      <w:r w:rsidRPr="002A256C">
        <w:rPr>
          <w:rFonts w:asciiTheme="majorHAnsi" w:hAnsiTheme="majorHAnsi"/>
          <w:color w:val="0070C0"/>
          <w:sz w:val="20"/>
          <w:szCs w:val="20"/>
        </w:rPr>
        <w:fldChar w:fldCharType="end"/>
      </w:r>
      <w:r w:rsidRPr="002A256C">
        <w:rPr>
          <w:rFonts w:asciiTheme="majorHAnsi" w:hAnsiTheme="majorHAnsi"/>
          <w:color w:val="0070C0"/>
          <w:sz w:val="20"/>
          <w:szCs w:val="20"/>
        </w:rPr>
        <w:t>. Site’s Observed and Expected Ratio</w:t>
      </w:r>
    </w:p>
    <w:p w14:paraId="0CABD001" w14:textId="77777777" w:rsidR="00092566" w:rsidRPr="00646240" w:rsidRDefault="00092566" w:rsidP="00646240">
      <w:pPr>
        <w:rPr>
          <w:rFonts w:cstheme="minorHAnsi"/>
          <w:bCs/>
        </w:rPr>
      </w:pPr>
    </w:p>
    <w:p w14:paraId="0E9EEA70" w14:textId="77777777" w:rsidR="00646240" w:rsidRPr="00542CAC" w:rsidRDefault="009C7513" w:rsidP="00646240">
      <w:pPr>
        <w:autoSpaceDE w:val="0"/>
        <w:autoSpaceDN w:val="0"/>
        <w:adjustRightInd w:val="0"/>
        <w:spacing w:after="0" w:line="240" w:lineRule="auto"/>
        <w:rPr>
          <w:rFonts w:asciiTheme="majorHAnsi" w:hAnsiTheme="majorHAnsi" w:cstheme="minorHAnsi"/>
          <w:bCs/>
          <w:sz w:val="20"/>
          <w:szCs w:val="20"/>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r w:rsidR="00646240" w:rsidRPr="00B14384">
        <w:rPr>
          <w:rFonts w:asciiTheme="majorHAnsi" w:hAnsiTheme="majorHAnsi" w:cstheme="minorHAnsi"/>
          <w:bCs/>
          <w:color w:val="0070C0"/>
          <w:sz w:val="20"/>
          <w:szCs w:val="20"/>
        </w:rPr>
        <w:t xml:space="preserve">We believe that </w:t>
      </w:r>
      <w:proofErr w:type="gramStart"/>
      <w:r w:rsidR="00646240" w:rsidRPr="00B14384">
        <w:rPr>
          <w:rFonts w:asciiTheme="majorHAnsi" w:hAnsiTheme="majorHAnsi" w:cstheme="minorHAnsi"/>
          <w:bCs/>
          <w:color w:val="0070C0"/>
          <w:sz w:val="20"/>
          <w:szCs w:val="20"/>
        </w:rPr>
        <w:t>the our</w:t>
      </w:r>
      <w:proofErr w:type="gramEnd"/>
      <w:r w:rsidR="00646240" w:rsidRPr="00B14384">
        <w:rPr>
          <w:rFonts w:asciiTheme="majorHAnsi" w:hAnsiTheme="majorHAnsi" w:cstheme="minorHAnsi"/>
          <w:bCs/>
          <w:color w:val="0070C0"/>
          <w:sz w:val="20"/>
          <w:szCs w:val="20"/>
        </w:rPr>
        <w:t xml:space="preserve"> mortality model performs exceedingly well in adjusting for patient characteristics present prior to the conduct of PCI and is able to discriminate well across a wide variety of important clinical subsets of patients. Moreover, there is substantial hospital variation before and after risk-adjusting patient characteristics. The distribution of hospitals’ O/E ratios show that there are some sites with excellent performance and others with mortality rates that are more than 2-fold greater than expected. These </w:t>
      </w:r>
      <w:proofErr w:type="gramStart"/>
      <w:r w:rsidR="00646240" w:rsidRPr="00B14384">
        <w:rPr>
          <w:rFonts w:asciiTheme="majorHAnsi" w:hAnsiTheme="majorHAnsi" w:cstheme="minorHAnsi"/>
          <w:bCs/>
          <w:color w:val="0070C0"/>
          <w:sz w:val="20"/>
          <w:szCs w:val="20"/>
        </w:rPr>
        <w:t>would be</w:t>
      </w:r>
      <w:proofErr w:type="gramEnd"/>
      <w:r w:rsidR="00646240" w:rsidRPr="00B14384">
        <w:rPr>
          <w:rFonts w:asciiTheme="majorHAnsi" w:hAnsiTheme="majorHAnsi" w:cstheme="minorHAnsi"/>
          <w:bCs/>
          <w:color w:val="0070C0"/>
          <w:sz w:val="20"/>
          <w:szCs w:val="20"/>
        </w:rPr>
        <w:t xml:space="preserve"> sites where substantial opportunities to improve patient safety likely exist. </w:t>
      </w:r>
    </w:p>
    <w:p w14:paraId="0CABD002" w14:textId="35305BFC" w:rsidR="00092566" w:rsidRPr="00A25024" w:rsidRDefault="00092566" w:rsidP="00092566">
      <w:pPr>
        <w:autoSpaceDE w:val="0"/>
        <w:autoSpaceDN w:val="0"/>
        <w:adjustRightInd w:val="0"/>
        <w:spacing w:after="0" w:line="240" w:lineRule="auto"/>
        <w:rPr>
          <w:rFonts w:cstheme="minorHAnsi"/>
          <w:bCs/>
        </w:rPr>
      </w:pP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16283E4C" w14:textId="77777777" w:rsidR="00646240" w:rsidRPr="00542CAC" w:rsidRDefault="00646240" w:rsidP="00646240">
      <w:pPr>
        <w:autoSpaceDE w:val="0"/>
        <w:autoSpaceDN w:val="0"/>
        <w:adjustRightInd w:val="0"/>
        <w:spacing w:after="0" w:line="240" w:lineRule="auto"/>
        <w:rPr>
          <w:rFonts w:asciiTheme="majorHAnsi" w:hAnsiTheme="majorHAnsi" w:cstheme="minorHAnsi"/>
          <w:bCs/>
          <w:sz w:val="20"/>
          <w:szCs w:val="20"/>
        </w:rPr>
      </w:pPr>
    </w:p>
    <w:p w14:paraId="20EAA6D4" w14:textId="77777777" w:rsidR="00646240" w:rsidRPr="00B14384" w:rsidRDefault="00646240" w:rsidP="00646240">
      <w:pPr>
        <w:autoSpaceDE w:val="0"/>
        <w:autoSpaceDN w:val="0"/>
        <w:adjustRightInd w:val="0"/>
        <w:spacing w:after="0" w:line="240" w:lineRule="auto"/>
        <w:rPr>
          <w:rFonts w:asciiTheme="majorHAnsi" w:hAnsiTheme="majorHAnsi" w:cstheme="minorHAnsi"/>
          <w:bCs/>
          <w:color w:val="0070C0"/>
          <w:sz w:val="20"/>
          <w:szCs w:val="20"/>
        </w:rPr>
      </w:pPr>
      <w:r w:rsidRPr="00B14384">
        <w:rPr>
          <w:rFonts w:asciiTheme="majorHAnsi" w:hAnsiTheme="majorHAnsi" w:cstheme="minorHAnsi"/>
          <w:bCs/>
          <w:color w:val="0070C0"/>
          <w:sz w:val="20"/>
          <w:szCs w:val="20"/>
        </w:rPr>
        <w:t xml:space="preserve">Since these data provide further strong evidence of the validity and value of the previously-endorsed measure using 2012 data, we did not do any additional testing. </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sidRPr="00F7493D">
        <w:rPr>
          <w:rFonts w:cstheme="minorHAnsi"/>
          <w:b/>
          <w:bCs/>
          <w:highlight w:val="yellow"/>
        </w:rPr>
        <w:t>2b4</w:t>
      </w:r>
      <w:r w:rsidR="00D61410" w:rsidRPr="00F7493D">
        <w:rPr>
          <w:rFonts w:cstheme="minorHAnsi"/>
          <w:b/>
          <w:bCs/>
          <w:highlight w:val="yellow"/>
        </w:rPr>
        <w:t>. IDENTIFICATION OF STATISTICALLY SIGNIFICANT &amp; MEANINGFUL DIFFERENCES IN PERFORMANCE</w:t>
      </w:r>
    </w:p>
    <w:p w14:paraId="0F926609" w14:textId="77777777" w:rsidR="00CE4864" w:rsidRPr="00542CAC" w:rsidRDefault="009C7513" w:rsidP="00CE4864">
      <w:pPr>
        <w:autoSpaceDE w:val="0"/>
        <w:autoSpaceDN w:val="0"/>
        <w:adjustRightInd w:val="0"/>
        <w:spacing w:after="0" w:line="240" w:lineRule="auto"/>
        <w:rPr>
          <w:rFonts w:asciiTheme="majorHAnsi" w:hAnsiTheme="majorHAnsi" w:cstheme="minorHAnsi"/>
          <w:bCs/>
          <w:sz w:val="20"/>
          <w:szCs w:val="20"/>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r w:rsidR="00D61410" w:rsidRPr="00B14384">
        <w:rPr>
          <w:rFonts w:cstheme="minorHAnsi"/>
          <w:bCs/>
          <w:color w:val="0070C0"/>
        </w:rPr>
        <w:t xml:space="preserve"> </w:t>
      </w:r>
      <w:r w:rsidR="00CE4864" w:rsidRPr="00B14384">
        <w:rPr>
          <w:rFonts w:asciiTheme="majorHAnsi" w:hAnsiTheme="majorHAnsi" w:cstheme="minorHAnsi"/>
          <w:bCs/>
          <w:color w:val="0070C0"/>
          <w:sz w:val="20"/>
          <w:szCs w:val="20"/>
        </w:rPr>
        <w:t xml:space="preserve">As noted in the figures above, we found significant variability in mortality across hospitals, even after adjusting for pre-procedural patient characteristics. Those in the upper quartile of performance had an observed/expected ratio that was 31% greater than predicted, with some sites having a greater than 5-fold excess mortality over that predicted. </w:t>
      </w:r>
    </w:p>
    <w:p w14:paraId="0CABD008" w14:textId="2D3565CB" w:rsidR="00D61410" w:rsidRPr="00A25024" w:rsidRDefault="00D61410" w:rsidP="00D61410">
      <w:pPr>
        <w:autoSpaceDE w:val="0"/>
        <w:autoSpaceDN w:val="0"/>
        <w:adjustRightInd w:val="0"/>
        <w:spacing w:after="0" w:line="240" w:lineRule="auto"/>
        <w:rPr>
          <w:rFonts w:cstheme="minorHAnsi"/>
          <w:bCs/>
        </w:rPr>
      </w:pP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29075F57" w14:textId="77777777" w:rsidR="00982839" w:rsidRPr="00542CAC" w:rsidRDefault="009C7513" w:rsidP="00982839">
      <w:pPr>
        <w:autoSpaceDE w:val="0"/>
        <w:autoSpaceDN w:val="0"/>
        <w:adjustRightInd w:val="0"/>
        <w:spacing w:after="0" w:line="240" w:lineRule="auto"/>
        <w:rPr>
          <w:rFonts w:asciiTheme="majorHAnsi" w:hAnsiTheme="majorHAnsi" w:cstheme="minorHAnsi"/>
          <w:bCs/>
          <w:sz w:val="20"/>
          <w:szCs w:val="20"/>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982839" w:rsidRPr="00B14384">
        <w:rPr>
          <w:rFonts w:asciiTheme="majorHAnsi" w:hAnsiTheme="majorHAnsi" w:cstheme="minorHAnsi"/>
          <w:bCs/>
          <w:color w:val="0070C0"/>
          <w:sz w:val="20"/>
          <w:szCs w:val="20"/>
        </w:rPr>
        <w:t xml:space="preserve">A meaningful difference is one that indicates the potential for improvement in comparison to others. There are no absolute levels of mortality that are significant as compared with others. The average, adjusted mortality rate was 1.6% and the upper quartile ranges from 2.1 to 14%. Given an average PCI volume of 410 cases/hospital, this suggests between 2 and 50 extra deaths might be avoided per year among hospitals in the upper quartile as compared with the average hospital. Clinically, this is </w:t>
      </w:r>
      <w:proofErr w:type="gramStart"/>
      <w:r w:rsidR="00982839" w:rsidRPr="00B14384">
        <w:rPr>
          <w:rFonts w:asciiTheme="majorHAnsi" w:hAnsiTheme="majorHAnsi" w:cstheme="minorHAnsi"/>
          <w:bCs/>
          <w:color w:val="0070C0"/>
          <w:sz w:val="20"/>
          <w:szCs w:val="20"/>
        </w:rPr>
        <w:t>a large number of</w:t>
      </w:r>
      <w:proofErr w:type="gramEnd"/>
      <w:r w:rsidR="00982839" w:rsidRPr="00B14384">
        <w:rPr>
          <w:rFonts w:asciiTheme="majorHAnsi" w:hAnsiTheme="majorHAnsi" w:cstheme="minorHAnsi"/>
          <w:bCs/>
          <w:color w:val="0070C0"/>
          <w:sz w:val="20"/>
          <w:szCs w:val="20"/>
        </w:rPr>
        <w:t xml:space="preserve"> events, and the few significant outliers would have a very strong incentive to improve the safety of their PCI procedures. </w:t>
      </w:r>
    </w:p>
    <w:p w14:paraId="0CABD00A" w14:textId="1BA155DB" w:rsidR="00D61410" w:rsidRDefault="00D61410" w:rsidP="00D61410">
      <w:pPr>
        <w:autoSpaceDE w:val="0"/>
        <w:autoSpaceDN w:val="0"/>
        <w:adjustRightInd w:val="0"/>
        <w:spacing w:after="0" w:line="240" w:lineRule="auto"/>
        <w:rPr>
          <w:rFonts w:cstheme="minorHAnsi"/>
          <w:bCs/>
        </w:rPr>
      </w:pP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7FF2D848" w14:textId="77777777" w:rsidR="00982839" w:rsidRPr="00542CAC" w:rsidRDefault="009C7513" w:rsidP="00982839">
      <w:pPr>
        <w:autoSpaceDE w:val="0"/>
        <w:autoSpaceDN w:val="0"/>
        <w:adjustRightInd w:val="0"/>
        <w:spacing w:after="0" w:line="240" w:lineRule="auto"/>
        <w:rPr>
          <w:rFonts w:asciiTheme="majorHAnsi" w:hAnsiTheme="majorHAnsi" w:cstheme="minorHAnsi"/>
          <w:bCs/>
          <w:sz w:val="20"/>
          <w:szCs w:val="20"/>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r w:rsidR="00982839" w:rsidRPr="00B14384">
        <w:rPr>
          <w:rFonts w:asciiTheme="majorHAnsi" w:hAnsiTheme="majorHAnsi" w:cstheme="minorHAnsi"/>
          <w:bCs/>
          <w:color w:val="0070C0"/>
          <w:sz w:val="20"/>
          <w:szCs w:val="20"/>
        </w:rPr>
        <w:t>We believe that the use of this model to identify outliers and the ability to pre-procedurally risk stratify patients and tailor therapy to risk holds great promise for improving the quality and safety of PCI.</w:t>
      </w:r>
    </w:p>
    <w:p w14:paraId="0CABD00C" w14:textId="18591064" w:rsidR="00D61410" w:rsidRPr="00A25024" w:rsidRDefault="00D61410" w:rsidP="00D61410">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F7493D">
        <w:rPr>
          <w:rFonts w:cstheme="minorHAnsi"/>
          <w:b/>
          <w:bCs/>
          <w:highlight w:val="yellow"/>
        </w:rPr>
        <w:t>2</w:t>
      </w:r>
      <w:r w:rsidR="00EA5F47" w:rsidRPr="00F7493D">
        <w:rPr>
          <w:rFonts w:cstheme="minorHAnsi"/>
          <w:b/>
          <w:bCs/>
          <w:highlight w:val="yellow"/>
        </w:rPr>
        <w:t>b</w:t>
      </w:r>
      <w:r w:rsidR="009C7513" w:rsidRPr="00F7493D">
        <w:rPr>
          <w:rFonts w:cstheme="minorHAnsi"/>
          <w:b/>
          <w:bCs/>
          <w:highlight w:val="yellow"/>
        </w:rPr>
        <w:t>5</w:t>
      </w:r>
      <w:r w:rsidRPr="00F7493D">
        <w:rPr>
          <w:rFonts w:cstheme="minorHAnsi"/>
          <w:b/>
          <w:bCs/>
          <w:highlight w:val="yellow"/>
        </w:rPr>
        <w:t xml:space="preserve">. COMPARABILITY OF PERFORMANCE SCORES </w:t>
      </w:r>
      <w:r w:rsidR="004C498F" w:rsidRPr="00F7493D">
        <w:rPr>
          <w:rFonts w:cstheme="minorHAnsi"/>
          <w:b/>
          <w:bCs/>
          <w:highlight w:val="yellow"/>
        </w:rPr>
        <w:t>WHEN</w:t>
      </w:r>
      <w:r w:rsidR="002B2116" w:rsidRPr="00F7493D">
        <w:rPr>
          <w:rFonts w:cstheme="minorHAnsi"/>
          <w:b/>
          <w:bCs/>
          <w:highlight w:val="yellow"/>
        </w:rPr>
        <w:t xml:space="preserve"> MORE THAN ONE SET OF SPECIFICATIONS</w:t>
      </w:r>
      <w:r w:rsidR="002B2116" w:rsidRPr="00A25024">
        <w:rPr>
          <w:rFonts w:cstheme="minorHAnsi"/>
          <w:b/>
          <w:bCs/>
        </w:rPr>
        <w:t xml:space="preserve">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30CCEAF8" w14:textId="77777777" w:rsidR="00982839" w:rsidRPr="00B14384" w:rsidRDefault="00982839" w:rsidP="00982839">
      <w:pPr>
        <w:pStyle w:val="ListParagraph"/>
        <w:autoSpaceDE w:val="0"/>
        <w:autoSpaceDN w:val="0"/>
        <w:adjustRightInd w:val="0"/>
        <w:spacing w:after="0" w:line="240" w:lineRule="auto"/>
        <w:ind w:left="0"/>
        <w:rPr>
          <w:rFonts w:asciiTheme="majorHAnsi" w:hAnsiTheme="majorHAnsi" w:cstheme="minorHAnsi"/>
          <w:bCs/>
          <w:color w:val="0070C0"/>
          <w:sz w:val="20"/>
          <w:szCs w:val="20"/>
        </w:rPr>
      </w:pPr>
      <w:r w:rsidRPr="00B14384">
        <w:rPr>
          <w:rFonts w:asciiTheme="majorHAnsi" w:hAnsiTheme="majorHAnsi" w:cstheme="minorHAnsi"/>
          <w:bCs/>
          <w:color w:val="0070C0"/>
          <w:sz w:val="20"/>
          <w:szCs w:val="20"/>
        </w:rPr>
        <w:t>N/A</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927DCFF" w14:textId="77777777" w:rsidR="00982839" w:rsidRPr="00982839" w:rsidRDefault="009C7513" w:rsidP="00982839">
      <w:pPr>
        <w:pStyle w:val="ListParagraph"/>
        <w:autoSpaceDE w:val="0"/>
        <w:autoSpaceDN w:val="0"/>
        <w:adjustRightInd w:val="0"/>
        <w:spacing w:after="0" w:line="240" w:lineRule="auto"/>
        <w:ind w:left="0"/>
        <w:rPr>
          <w:rFonts w:asciiTheme="majorHAnsi" w:hAnsiTheme="majorHAnsi" w:cstheme="minorHAnsi"/>
          <w:bCs/>
          <w:color w:val="FF0000"/>
          <w:sz w:val="20"/>
          <w:szCs w:val="20"/>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982839" w:rsidRPr="00B14384">
        <w:rPr>
          <w:rFonts w:asciiTheme="majorHAnsi" w:hAnsiTheme="majorHAnsi" w:cstheme="minorHAnsi"/>
          <w:bCs/>
          <w:color w:val="0070C0"/>
          <w:sz w:val="20"/>
          <w:szCs w:val="20"/>
        </w:rPr>
        <w:t>N/A</w:t>
      </w:r>
    </w:p>
    <w:p w14:paraId="184EDFB3" w14:textId="6D344429" w:rsidR="00982839" w:rsidRPr="00542CAC" w:rsidRDefault="00982839" w:rsidP="00982839">
      <w:pPr>
        <w:pStyle w:val="ListParagraph"/>
        <w:autoSpaceDE w:val="0"/>
        <w:autoSpaceDN w:val="0"/>
        <w:adjustRightInd w:val="0"/>
        <w:spacing w:after="0" w:line="240" w:lineRule="auto"/>
        <w:ind w:left="0"/>
        <w:rPr>
          <w:rFonts w:asciiTheme="majorHAnsi" w:hAnsiTheme="majorHAnsi" w:cstheme="minorHAnsi"/>
          <w:bCs/>
          <w:sz w:val="20"/>
          <w:szCs w:val="20"/>
        </w:rPr>
      </w:pPr>
    </w:p>
    <w:p w14:paraId="0CABD015" w14:textId="377012FB" w:rsidR="00A35F8F" w:rsidRDefault="00A35F8F" w:rsidP="00E1508F">
      <w:pPr>
        <w:autoSpaceDE w:val="0"/>
        <w:autoSpaceDN w:val="0"/>
        <w:adjustRightInd w:val="0"/>
        <w:spacing w:after="0" w:line="240" w:lineRule="auto"/>
        <w:rPr>
          <w:rFonts w:cstheme="minorHAnsi"/>
          <w:bCs/>
        </w:rPr>
      </w:pP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787924E3" w14:textId="77777777" w:rsidR="00982839" w:rsidRPr="00982839" w:rsidRDefault="009C7513" w:rsidP="00982839">
      <w:pPr>
        <w:pStyle w:val="ListParagraph"/>
        <w:autoSpaceDE w:val="0"/>
        <w:autoSpaceDN w:val="0"/>
        <w:adjustRightInd w:val="0"/>
        <w:spacing w:after="0" w:line="240" w:lineRule="auto"/>
        <w:ind w:left="0"/>
        <w:rPr>
          <w:rFonts w:asciiTheme="majorHAnsi" w:hAnsiTheme="majorHAnsi" w:cstheme="minorHAnsi"/>
          <w:bCs/>
          <w:color w:val="FF0000"/>
          <w:sz w:val="20"/>
          <w:szCs w:val="20"/>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982839" w:rsidRPr="00B14384">
        <w:rPr>
          <w:rFonts w:asciiTheme="majorHAnsi" w:hAnsiTheme="majorHAnsi" w:cstheme="minorHAnsi"/>
          <w:bCs/>
          <w:color w:val="0070C0"/>
          <w:sz w:val="20"/>
          <w:szCs w:val="20"/>
        </w:rPr>
        <w:t>N/A</w:t>
      </w:r>
    </w:p>
    <w:p w14:paraId="0CABD017" w14:textId="645B05DE" w:rsidR="0079180E" w:rsidRDefault="0079180E"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bookmarkStart w:id="15" w:name="IDX"/>
      <w:bookmarkEnd w:id="15"/>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2C74838B" w:rsidR="008F7E67" w:rsidRPr="00A25024"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C0983" w14:textId="77777777" w:rsidR="004A445D" w:rsidRDefault="004A445D" w:rsidP="005C73CA">
      <w:pPr>
        <w:spacing w:after="0" w:line="240" w:lineRule="auto"/>
      </w:pPr>
      <w:r>
        <w:separator/>
      </w:r>
    </w:p>
  </w:endnote>
  <w:endnote w:type="continuationSeparator" w:id="0">
    <w:p w14:paraId="45535B57" w14:textId="77777777" w:rsidR="004A445D" w:rsidRDefault="004A445D"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dvOT46dcae81">
    <w:panose1 w:val="00000000000000000000"/>
    <w:charset w:val="00"/>
    <w:family w:val="swiss"/>
    <w:notTrueType/>
    <w:pitch w:val="default"/>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5E3B8C18" w:rsidR="004A445D" w:rsidRDefault="004A445D">
    <w:pPr>
      <w:pStyle w:val="Footer"/>
    </w:pPr>
    <w:r>
      <w:t>Version 7.1 9/6/2017</w:t>
    </w:r>
    <w:r>
      <w:ptab w:relativeTo="margin" w:alignment="right" w:leader="none"/>
    </w:r>
    <w:r>
      <w:fldChar w:fldCharType="begin"/>
    </w:r>
    <w:r>
      <w:instrText xml:space="preserve"> PAGE   \* MERGEFORMAT </w:instrText>
    </w:r>
    <w:r>
      <w:fldChar w:fldCharType="separate"/>
    </w:r>
    <w:r w:rsidR="002E3F52">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4223E" w14:textId="77777777" w:rsidR="004A445D" w:rsidRDefault="004A445D" w:rsidP="005C73CA">
      <w:pPr>
        <w:spacing w:after="0" w:line="240" w:lineRule="auto"/>
      </w:pPr>
      <w:r>
        <w:separator/>
      </w:r>
    </w:p>
  </w:footnote>
  <w:footnote w:type="continuationSeparator" w:id="0">
    <w:p w14:paraId="4298B336" w14:textId="77777777" w:rsidR="004A445D" w:rsidRDefault="004A445D"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4A445D" w:rsidRPr="00105D8B" w:rsidRDefault="004A445D"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DD2414"/>
    <w:multiLevelType w:val="hybridMultilevel"/>
    <w:tmpl w:val="92FEBF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2"/>
  </w:num>
  <w:num w:numId="3">
    <w:abstractNumId w:val="3"/>
  </w:num>
  <w:num w:numId="4">
    <w:abstractNumId w:val="7"/>
  </w:num>
  <w:num w:numId="5">
    <w:abstractNumId w:val="2"/>
  </w:num>
  <w:num w:numId="6">
    <w:abstractNumId w:val="1"/>
  </w:num>
  <w:num w:numId="7">
    <w:abstractNumId w:val="4"/>
  </w:num>
  <w:num w:numId="8">
    <w:abstractNumId w:val="22"/>
  </w:num>
  <w:num w:numId="9">
    <w:abstractNumId w:val="11"/>
  </w:num>
  <w:num w:numId="10">
    <w:abstractNumId w:val="27"/>
  </w:num>
  <w:num w:numId="11">
    <w:abstractNumId w:val="13"/>
  </w:num>
  <w:num w:numId="12">
    <w:abstractNumId w:val="25"/>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9"/>
  </w:num>
  <w:num w:numId="17">
    <w:abstractNumId w:val="26"/>
  </w:num>
  <w:num w:numId="18">
    <w:abstractNumId w:val="24"/>
  </w:num>
  <w:num w:numId="19">
    <w:abstractNumId w:val="23"/>
  </w:num>
  <w:num w:numId="20">
    <w:abstractNumId w:val="17"/>
  </w:num>
  <w:num w:numId="21">
    <w:abstractNumId w:val="21"/>
  </w:num>
  <w:num w:numId="22">
    <w:abstractNumId w:val="16"/>
  </w:num>
  <w:num w:numId="23">
    <w:abstractNumId w:val="8"/>
  </w:num>
  <w:num w:numId="24">
    <w:abstractNumId w:val="15"/>
  </w:num>
  <w:num w:numId="25">
    <w:abstractNumId w:val="14"/>
  </w:num>
  <w:num w:numId="26">
    <w:abstractNumId w:val="28"/>
  </w:num>
  <w:num w:numId="27">
    <w:abstractNumId w:val="0"/>
  </w:num>
  <w:num w:numId="28">
    <w:abstractNumId w:val="10"/>
  </w:num>
  <w:num w:numId="29">
    <w:abstractNumId w:val="18"/>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02C1"/>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50DB8"/>
    <w:rsid w:val="001628B4"/>
    <w:rsid w:val="0017696D"/>
    <w:rsid w:val="001848FC"/>
    <w:rsid w:val="00193F21"/>
    <w:rsid w:val="001969C5"/>
    <w:rsid w:val="001A6CDD"/>
    <w:rsid w:val="001C12EE"/>
    <w:rsid w:val="001C7B02"/>
    <w:rsid w:val="001E4DD4"/>
    <w:rsid w:val="001E69DC"/>
    <w:rsid w:val="001F1498"/>
    <w:rsid w:val="001F169D"/>
    <w:rsid w:val="001F1DA1"/>
    <w:rsid w:val="001F2DD5"/>
    <w:rsid w:val="001F6F93"/>
    <w:rsid w:val="001F7A20"/>
    <w:rsid w:val="0021054A"/>
    <w:rsid w:val="0021195A"/>
    <w:rsid w:val="00213383"/>
    <w:rsid w:val="00220250"/>
    <w:rsid w:val="00222444"/>
    <w:rsid w:val="0022691B"/>
    <w:rsid w:val="00232163"/>
    <w:rsid w:val="002376F8"/>
    <w:rsid w:val="002408E4"/>
    <w:rsid w:val="00241591"/>
    <w:rsid w:val="00250B4F"/>
    <w:rsid w:val="0025417F"/>
    <w:rsid w:val="0025762F"/>
    <w:rsid w:val="00275563"/>
    <w:rsid w:val="0028114D"/>
    <w:rsid w:val="00287649"/>
    <w:rsid w:val="00287E84"/>
    <w:rsid w:val="0029286C"/>
    <w:rsid w:val="0029300E"/>
    <w:rsid w:val="00293407"/>
    <w:rsid w:val="002A256C"/>
    <w:rsid w:val="002B0C3A"/>
    <w:rsid w:val="002B2116"/>
    <w:rsid w:val="002B2D9B"/>
    <w:rsid w:val="002B5016"/>
    <w:rsid w:val="002B742C"/>
    <w:rsid w:val="002B7F4D"/>
    <w:rsid w:val="002C285C"/>
    <w:rsid w:val="002C7BE4"/>
    <w:rsid w:val="002D417D"/>
    <w:rsid w:val="002D5E5D"/>
    <w:rsid w:val="002E3F52"/>
    <w:rsid w:val="002E78A0"/>
    <w:rsid w:val="002F2687"/>
    <w:rsid w:val="002F48E1"/>
    <w:rsid w:val="002F4F3B"/>
    <w:rsid w:val="00304C86"/>
    <w:rsid w:val="003059EB"/>
    <w:rsid w:val="003116AC"/>
    <w:rsid w:val="00315567"/>
    <w:rsid w:val="00330144"/>
    <w:rsid w:val="00334329"/>
    <w:rsid w:val="00345CBA"/>
    <w:rsid w:val="00346245"/>
    <w:rsid w:val="003528B4"/>
    <w:rsid w:val="00356267"/>
    <w:rsid w:val="00356BAD"/>
    <w:rsid w:val="003605B4"/>
    <w:rsid w:val="003627AC"/>
    <w:rsid w:val="00366914"/>
    <w:rsid w:val="00372FE3"/>
    <w:rsid w:val="003755CB"/>
    <w:rsid w:val="00383F85"/>
    <w:rsid w:val="00387BA1"/>
    <w:rsid w:val="003A306C"/>
    <w:rsid w:val="003A7DE7"/>
    <w:rsid w:val="003B1006"/>
    <w:rsid w:val="003C34B2"/>
    <w:rsid w:val="003C5F11"/>
    <w:rsid w:val="003C66AD"/>
    <w:rsid w:val="003D294B"/>
    <w:rsid w:val="003D6401"/>
    <w:rsid w:val="003E1863"/>
    <w:rsid w:val="003F710B"/>
    <w:rsid w:val="0041606D"/>
    <w:rsid w:val="00416962"/>
    <w:rsid w:val="004206A8"/>
    <w:rsid w:val="004348CC"/>
    <w:rsid w:val="00444684"/>
    <w:rsid w:val="00450C58"/>
    <w:rsid w:val="004658FF"/>
    <w:rsid w:val="00474ED7"/>
    <w:rsid w:val="004756E1"/>
    <w:rsid w:val="0048008A"/>
    <w:rsid w:val="00483E94"/>
    <w:rsid w:val="00484120"/>
    <w:rsid w:val="004853A0"/>
    <w:rsid w:val="00496B5F"/>
    <w:rsid w:val="004A2E10"/>
    <w:rsid w:val="004A445D"/>
    <w:rsid w:val="004B17FF"/>
    <w:rsid w:val="004B1BA0"/>
    <w:rsid w:val="004B6CEE"/>
    <w:rsid w:val="004C2443"/>
    <w:rsid w:val="004C498F"/>
    <w:rsid w:val="004C5D29"/>
    <w:rsid w:val="004C681A"/>
    <w:rsid w:val="004D4D8A"/>
    <w:rsid w:val="004E52BE"/>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7D12"/>
    <w:rsid w:val="00576062"/>
    <w:rsid w:val="0059559F"/>
    <w:rsid w:val="005A49FF"/>
    <w:rsid w:val="005A5F15"/>
    <w:rsid w:val="005A6797"/>
    <w:rsid w:val="005A7634"/>
    <w:rsid w:val="005B6F04"/>
    <w:rsid w:val="005C0447"/>
    <w:rsid w:val="005C739F"/>
    <w:rsid w:val="005C73CA"/>
    <w:rsid w:val="005D4768"/>
    <w:rsid w:val="005D6C6F"/>
    <w:rsid w:val="005E2CAB"/>
    <w:rsid w:val="005E429E"/>
    <w:rsid w:val="00601ED4"/>
    <w:rsid w:val="006030BC"/>
    <w:rsid w:val="00612866"/>
    <w:rsid w:val="00616EB5"/>
    <w:rsid w:val="006269D4"/>
    <w:rsid w:val="006327D8"/>
    <w:rsid w:val="0064070A"/>
    <w:rsid w:val="00643A01"/>
    <w:rsid w:val="00646240"/>
    <w:rsid w:val="00651D44"/>
    <w:rsid w:val="006574D2"/>
    <w:rsid w:val="00663563"/>
    <w:rsid w:val="006676D4"/>
    <w:rsid w:val="00675535"/>
    <w:rsid w:val="00681359"/>
    <w:rsid w:val="0069157C"/>
    <w:rsid w:val="00696262"/>
    <w:rsid w:val="006C3A4F"/>
    <w:rsid w:val="006C4845"/>
    <w:rsid w:val="006D6BC1"/>
    <w:rsid w:val="006E2BFC"/>
    <w:rsid w:val="006E5C57"/>
    <w:rsid w:val="006F22A5"/>
    <w:rsid w:val="00702C73"/>
    <w:rsid w:val="00713394"/>
    <w:rsid w:val="00723F23"/>
    <w:rsid w:val="00724677"/>
    <w:rsid w:val="00725AC2"/>
    <w:rsid w:val="00732880"/>
    <w:rsid w:val="007416B9"/>
    <w:rsid w:val="007422FD"/>
    <w:rsid w:val="00743E46"/>
    <w:rsid w:val="00747C45"/>
    <w:rsid w:val="007504EA"/>
    <w:rsid w:val="00755F53"/>
    <w:rsid w:val="00756FDB"/>
    <w:rsid w:val="007629B6"/>
    <w:rsid w:val="007665BF"/>
    <w:rsid w:val="00771B2A"/>
    <w:rsid w:val="007757CE"/>
    <w:rsid w:val="00775800"/>
    <w:rsid w:val="0079180E"/>
    <w:rsid w:val="007950CC"/>
    <w:rsid w:val="0079538B"/>
    <w:rsid w:val="007961B8"/>
    <w:rsid w:val="00797624"/>
    <w:rsid w:val="007A4828"/>
    <w:rsid w:val="007B093D"/>
    <w:rsid w:val="007B09CD"/>
    <w:rsid w:val="007B2069"/>
    <w:rsid w:val="007C04A1"/>
    <w:rsid w:val="007C21FA"/>
    <w:rsid w:val="007D13B1"/>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75846"/>
    <w:rsid w:val="00884486"/>
    <w:rsid w:val="008871A9"/>
    <w:rsid w:val="008916BA"/>
    <w:rsid w:val="00892176"/>
    <w:rsid w:val="00896A22"/>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82839"/>
    <w:rsid w:val="00994BE0"/>
    <w:rsid w:val="009A25B1"/>
    <w:rsid w:val="009A4608"/>
    <w:rsid w:val="009A6A57"/>
    <w:rsid w:val="009A70BF"/>
    <w:rsid w:val="009B1A15"/>
    <w:rsid w:val="009C0852"/>
    <w:rsid w:val="009C13CA"/>
    <w:rsid w:val="009C32C6"/>
    <w:rsid w:val="009C665F"/>
    <w:rsid w:val="009C7513"/>
    <w:rsid w:val="009D3882"/>
    <w:rsid w:val="009D7E38"/>
    <w:rsid w:val="009E095B"/>
    <w:rsid w:val="009E1846"/>
    <w:rsid w:val="009E78FF"/>
    <w:rsid w:val="00A01494"/>
    <w:rsid w:val="00A228E1"/>
    <w:rsid w:val="00A22FA9"/>
    <w:rsid w:val="00A25024"/>
    <w:rsid w:val="00A35F8F"/>
    <w:rsid w:val="00A41377"/>
    <w:rsid w:val="00A4263D"/>
    <w:rsid w:val="00A509B8"/>
    <w:rsid w:val="00A52AB9"/>
    <w:rsid w:val="00A6210B"/>
    <w:rsid w:val="00A64EBF"/>
    <w:rsid w:val="00A71200"/>
    <w:rsid w:val="00A7323A"/>
    <w:rsid w:val="00A82511"/>
    <w:rsid w:val="00A831B4"/>
    <w:rsid w:val="00A97798"/>
    <w:rsid w:val="00AA5213"/>
    <w:rsid w:val="00AA65A6"/>
    <w:rsid w:val="00AB3C7A"/>
    <w:rsid w:val="00AC1D8E"/>
    <w:rsid w:val="00AC48FA"/>
    <w:rsid w:val="00AD0240"/>
    <w:rsid w:val="00AD2581"/>
    <w:rsid w:val="00AD4137"/>
    <w:rsid w:val="00AE55E1"/>
    <w:rsid w:val="00AF2D68"/>
    <w:rsid w:val="00B037BA"/>
    <w:rsid w:val="00B14384"/>
    <w:rsid w:val="00B20139"/>
    <w:rsid w:val="00B218DA"/>
    <w:rsid w:val="00B342FA"/>
    <w:rsid w:val="00B53E8B"/>
    <w:rsid w:val="00B67813"/>
    <w:rsid w:val="00B752D6"/>
    <w:rsid w:val="00B774D2"/>
    <w:rsid w:val="00B8015A"/>
    <w:rsid w:val="00B82A57"/>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54233"/>
    <w:rsid w:val="00C60A25"/>
    <w:rsid w:val="00C6474D"/>
    <w:rsid w:val="00C765C5"/>
    <w:rsid w:val="00C775CE"/>
    <w:rsid w:val="00C82479"/>
    <w:rsid w:val="00C867F0"/>
    <w:rsid w:val="00CA06D8"/>
    <w:rsid w:val="00CA345A"/>
    <w:rsid w:val="00CB49FF"/>
    <w:rsid w:val="00CC02CF"/>
    <w:rsid w:val="00CC086A"/>
    <w:rsid w:val="00CC7694"/>
    <w:rsid w:val="00CD0E24"/>
    <w:rsid w:val="00CD0F66"/>
    <w:rsid w:val="00CD364B"/>
    <w:rsid w:val="00CE23B8"/>
    <w:rsid w:val="00CE284E"/>
    <w:rsid w:val="00CE4864"/>
    <w:rsid w:val="00CE50D7"/>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95E70"/>
    <w:rsid w:val="00D968D8"/>
    <w:rsid w:val="00DA563D"/>
    <w:rsid w:val="00DA7277"/>
    <w:rsid w:val="00DB3627"/>
    <w:rsid w:val="00DB4724"/>
    <w:rsid w:val="00DB6944"/>
    <w:rsid w:val="00DC4746"/>
    <w:rsid w:val="00DE7149"/>
    <w:rsid w:val="00E0314C"/>
    <w:rsid w:val="00E134BE"/>
    <w:rsid w:val="00E1508F"/>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B455E"/>
    <w:rsid w:val="00EC79DE"/>
    <w:rsid w:val="00ED3E7F"/>
    <w:rsid w:val="00ED4ACE"/>
    <w:rsid w:val="00EE4D35"/>
    <w:rsid w:val="00EF2DA7"/>
    <w:rsid w:val="00F00A44"/>
    <w:rsid w:val="00F139B7"/>
    <w:rsid w:val="00F1412B"/>
    <w:rsid w:val="00F15BFA"/>
    <w:rsid w:val="00F34FAB"/>
    <w:rsid w:val="00F40B67"/>
    <w:rsid w:val="00F435AA"/>
    <w:rsid w:val="00F46AED"/>
    <w:rsid w:val="00F504C4"/>
    <w:rsid w:val="00F55847"/>
    <w:rsid w:val="00F5738A"/>
    <w:rsid w:val="00F612D4"/>
    <w:rsid w:val="00F7389E"/>
    <w:rsid w:val="00F7493D"/>
    <w:rsid w:val="00F77F1D"/>
    <w:rsid w:val="00F87CCB"/>
    <w:rsid w:val="00FA48C7"/>
    <w:rsid w:val="00FB51FB"/>
    <w:rsid w:val="00FB73C1"/>
    <w:rsid w:val="00FC0C55"/>
    <w:rsid w:val="00FE600C"/>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styleId="Caption">
    <w:name w:val="caption"/>
    <w:basedOn w:val="Normal"/>
    <w:next w:val="Normal"/>
    <w:uiPriority w:val="35"/>
    <w:unhideWhenUsed/>
    <w:qFormat/>
    <w:rsid w:val="00F55847"/>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945578398">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82EC160A180A4B628ACE21A1475E401D"/>
        <w:category>
          <w:name w:val="General"/>
          <w:gallery w:val="placeholder"/>
        </w:category>
        <w:types>
          <w:type w:val="bbPlcHdr"/>
        </w:types>
        <w:behaviors>
          <w:behavior w:val="content"/>
        </w:behaviors>
        <w:guid w:val="{E0BC27F3-08DF-48FF-AB97-B33672D76C86}"/>
      </w:docPartPr>
      <w:docPartBody>
        <w:p w:rsidR="006B4F65" w:rsidRDefault="006B4F65" w:rsidP="006B4F65">
          <w:pPr>
            <w:pStyle w:val="82EC160A180A4B628ACE21A1475E401D"/>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dvOT46dcae81">
    <w:panose1 w:val="00000000000000000000"/>
    <w:charset w:val="00"/>
    <w:family w:val="swiss"/>
    <w:notTrueType/>
    <w:pitch w:val="default"/>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Yu Mincho">
    <w:altName w:val="游明朝"/>
    <w:panose1 w:val="00000000000000000000"/>
    <w:charset w:val="80"/>
    <w:family w:val="roman"/>
    <w:notTrueType/>
    <w:pitch w:val="default"/>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B39C0"/>
    <w:rsid w:val="00127222"/>
    <w:rsid w:val="001444E6"/>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6B4F65"/>
    <w:rsid w:val="00730B33"/>
    <w:rsid w:val="00772B2A"/>
    <w:rsid w:val="007C672A"/>
    <w:rsid w:val="007D3001"/>
    <w:rsid w:val="007D4368"/>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D1676E"/>
    <w:rsid w:val="00DC0246"/>
    <w:rsid w:val="00E32B00"/>
    <w:rsid w:val="00E6518A"/>
    <w:rsid w:val="00EE43D7"/>
    <w:rsid w:val="00F21E52"/>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4F65"/>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CEB0B41F7B7146B5B8A1F0C23F072D2D">
    <w:name w:val="CEB0B41F7B7146B5B8A1F0C23F072D2D"/>
    <w:rsid w:val="006B4F65"/>
    <w:pPr>
      <w:spacing w:after="160" w:line="259" w:lineRule="auto"/>
    </w:pPr>
  </w:style>
  <w:style w:type="paragraph" w:customStyle="1" w:styleId="82EC160A180A4B628ACE21A1475E401D">
    <w:name w:val="82EC160A180A4B628ACE21A1475E401D"/>
    <w:rsid w:val="006B4F6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836b82f1-340d-495e-85b5-201c5296619a"/>
    <ds:schemaRef ds:uri="http://purl.org/dc/elements/1.1/"/>
    <ds:schemaRef ds:uri="http://purl.org/dc/dcmitype/"/>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321D0B48-99C7-483D-A2DE-7B9F8F0CA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7949</Words>
  <Characters>45313</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53156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Esteban Perla</cp:lastModifiedBy>
  <cp:revision>5</cp:revision>
  <cp:lastPrinted>2017-11-07T18:01:00Z</cp:lastPrinted>
  <dcterms:created xsi:type="dcterms:W3CDTF">2017-11-02T21:40:00Z</dcterms:created>
  <dcterms:modified xsi:type="dcterms:W3CDTF">2017-11-22T17:11:00Z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