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6E18364"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B41D5">
            <w:rPr>
              <w:rStyle w:val="Style1"/>
            </w:rPr>
            <w:t>0643</w:t>
          </w:r>
        </w:sdtContent>
      </w:sdt>
    </w:p>
    <w:p w14:paraId="0CABCF56" w14:textId="5393399B"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color w:val="auto"/>
              </w:rPr>
              <w:id w:val="414441932"/>
              <w:placeholder>
                <w:docPart w:val="8C68E1B30C45484E9237B7D3D6839FD8"/>
              </w:placeholder>
            </w:sdtPr>
            <w:sdtEndPr>
              <w:rPr>
                <w:rStyle w:val="DefaultParagraphFont"/>
                <w:noProof/>
              </w:rPr>
            </w:sdtEndPr>
            <w:sdtContent>
              <w:r w:rsidR="004B41D5" w:rsidRPr="00C94B70">
                <w:rPr>
                  <w:rStyle w:val="Style1"/>
                  <w:rFonts w:cstheme="minorHAnsi"/>
                  <w:color w:val="auto"/>
                </w:rPr>
                <w:t>Cardiac Rehabilitation Patient Referral from an Outpatient Setting</w:t>
              </w:r>
            </w:sdtContent>
          </w:sdt>
        </w:sdtContent>
      </w:sdt>
    </w:p>
    <w:p w14:paraId="0CABCF57" w14:textId="1D8F86D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7-11-08T00:00:00Z">
            <w:dateFormat w:val="M/d/yyyy"/>
            <w:lid w:val="en-US"/>
            <w:storeMappedDataAs w:val="dateTime"/>
            <w:calendar w:val="gregorian"/>
          </w:date>
        </w:sdtPr>
        <w:sdtEndPr>
          <w:rPr>
            <w:rStyle w:val="DefaultParagraphFont"/>
            <w:noProof/>
            <w:color w:val="auto"/>
            <w:u w:val="none"/>
          </w:rPr>
        </w:sdtEndPr>
        <w:sdtContent>
          <w:r w:rsidR="004B41D5">
            <w:rPr>
              <w:rStyle w:val="Style2"/>
              <w:rFonts w:cstheme="minorHAnsi"/>
            </w:rPr>
            <w:t>11/8/2017</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42155A"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42155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42155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42155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7D341810" w:rsidR="000B7D57" w:rsidRPr="00C775CE" w:rsidRDefault="0042155A"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42155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42155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65FD9EE3" w:rsidR="00A01494" w:rsidRPr="00A01494" w:rsidRDefault="0042155A"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5A541DE4" w:rsidR="00A01494" w:rsidRPr="00A01494" w:rsidRDefault="0042155A"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42155A"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42155A"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7A298883" w:rsidR="00A01494" w:rsidRPr="000F1B7A" w:rsidRDefault="0042155A"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1F96FBAA" w:rsidR="00A01494" w:rsidRPr="000F1B7A" w:rsidRDefault="0042155A"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28B11E45" w:rsidR="00A01494" w:rsidRPr="000F1B7A" w:rsidRDefault="0042155A"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2EE63FAA" w:rsidR="00A01494" w:rsidRPr="000F1B7A" w:rsidRDefault="0042155A"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42155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42155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42155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42155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4A809E8" w14:textId="77777777" w:rsidR="004B41D5" w:rsidRDefault="004B41D5" w:rsidP="00DB3627">
      <w:pPr>
        <w:autoSpaceDE w:val="0"/>
        <w:autoSpaceDN w:val="0"/>
        <w:adjustRightInd w:val="0"/>
        <w:spacing w:after="0" w:line="240" w:lineRule="auto"/>
        <w:rPr>
          <w:rFonts w:cstheme="minorHAnsi"/>
          <w:bCs/>
        </w:rPr>
      </w:pPr>
    </w:p>
    <w:p w14:paraId="7D90E9B6" w14:textId="29BF73DE" w:rsidR="004B41D5" w:rsidRPr="004B41D5" w:rsidRDefault="004B41D5" w:rsidP="00DB3627">
      <w:pPr>
        <w:autoSpaceDE w:val="0"/>
        <w:autoSpaceDN w:val="0"/>
        <w:adjustRightInd w:val="0"/>
        <w:spacing w:after="0" w:line="240" w:lineRule="auto"/>
        <w:rPr>
          <w:rFonts w:cstheme="minorHAnsi"/>
        </w:rPr>
      </w:pPr>
      <w:r w:rsidRPr="00C94B70">
        <w:rPr>
          <w:rFonts w:cstheme="minorHAnsi"/>
        </w:rPr>
        <w:t>The following datasets were used:  AACVPR/ACCF/AHA Cardiac Rehabilitation Referral and Reliability (CR3) Project and the ACCF/AHA PINNACLE Registry</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58DAECA6"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4B41D5">
            <w:rPr>
              <w:rStyle w:val="Style1"/>
            </w:rPr>
            <w:t>2009-2012</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09CCF7C1" w:rsidR="000414E8" w:rsidRPr="00A01494" w:rsidRDefault="0042155A"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6AA64354" w:rsidR="000414E8" w:rsidRPr="00A01494" w:rsidRDefault="0042155A"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5449797" w:rsidR="000414E8" w:rsidRPr="00A01494" w:rsidRDefault="0042155A"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39299879" w:rsidR="000414E8" w:rsidRPr="00A01494" w:rsidRDefault="0042155A"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21A64CE7" w:rsidR="000414E8" w:rsidRPr="00A01494" w:rsidRDefault="0042155A"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C66D81B" w:rsidR="000414E8" w:rsidRPr="00A01494" w:rsidRDefault="0042155A"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42155A"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42155A"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42155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42155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7DA053D" w14:textId="77777777" w:rsidR="004B41D5" w:rsidRDefault="004B41D5" w:rsidP="00DB3627">
      <w:pPr>
        <w:autoSpaceDE w:val="0"/>
        <w:autoSpaceDN w:val="0"/>
        <w:adjustRightInd w:val="0"/>
        <w:spacing w:after="0" w:line="240" w:lineRule="auto"/>
        <w:rPr>
          <w:rFonts w:cstheme="minorHAnsi"/>
          <w:bCs/>
        </w:rPr>
      </w:pPr>
    </w:p>
    <w:p w14:paraId="649D5DE0" w14:textId="77777777" w:rsidR="004B41D5" w:rsidRPr="00C94B70" w:rsidRDefault="004B41D5" w:rsidP="004B41D5">
      <w:pPr>
        <w:rPr>
          <w:rFonts w:ascii="Arial Narrow" w:hAnsi="Arial Narrow" w:cs="Arial"/>
          <w:b/>
        </w:rPr>
      </w:pPr>
      <w:r w:rsidRPr="00C94B70">
        <w:rPr>
          <w:rFonts w:ascii="Arial Narrow" w:hAnsi="Arial Narrow" w:cs="Arial"/>
          <w:b/>
        </w:rPr>
        <w:t xml:space="preserve">AACVPR/ACCF/AHA CR3 Project: </w:t>
      </w:r>
    </w:p>
    <w:p w14:paraId="04273C29" w14:textId="77777777" w:rsidR="004B41D5" w:rsidRPr="00C94B70" w:rsidRDefault="004B41D5" w:rsidP="004B41D5">
      <w:pPr>
        <w:rPr>
          <w:rFonts w:ascii="Arial Narrow" w:hAnsi="Arial Narrow" w:cs="Arial"/>
        </w:rPr>
      </w:pPr>
      <w:r w:rsidRPr="00C94B70">
        <w:rPr>
          <w:rFonts w:ascii="Arial Narrow" w:hAnsi="Arial Narrow" w:cs="Arial"/>
        </w:rPr>
        <w:t xml:space="preserve">U.S. practices identified from the ACCF, AHA, and AACVPR databases were invited to participate in the Cardiac Rehabilitation Referral and Reliability (CR3) Project.  We sought a variety of outpatient practices, based on varied geographical locations, community sizes, and hospital types/sizes.  Outpatient practices that met participation criteria </w:t>
      </w:r>
      <w:r w:rsidRPr="00C94B70">
        <w:rPr>
          <w:rFonts w:ascii="Arial Narrow" w:hAnsi="Arial Narrow" w:cs="Arial"/>
        </w:rPr>
        <w:lastRenderedPageBreak/>
        <w:t>were included in the project.  Participation criteria included a willingness and ability to:  (1) provide a study coordinator and 2 chart abstractors, (2) complete the project within the specified timeline, and (3) obtain local IRB approval to carry out the project in their outpatient practice.  Once each hospital completed and submitted their required data, they were sent a small token of appreciation from AACVPR, ACCF, and AHA.  A total of 45 outpatient practices expressed an interest in participating in the project, including hospitals from outside the U.S. (Puerto Rico, Romania, and Turkey).  6 outpatient centers</w:t>
      </w:r>
      <w:r w:rsidRPr="00C94B70">
        <w:rPr>
          <w:rFonts w:ascii="Cambria" w:hAnsi="Cambria"/>
          <w:iCs/>
        </w:rPr>
        <w:t xml:space="preserve"> (all in the United states and distributed around the country)</w:t>
      </w:r>
      <w:r w:rsidRPr="00C94B70">
        <w:rPr>
          <w:rFonts w:ascii="Arial Narrow" w:hAnsi="Arial Narrow" w:cs="Arial"/>
        </w:rPr>
        <w:t xml:space="preserve"> met all participation criteria and were selected to participate in the project. The sites used a mixture of paper medical records and EHR systems.</w:t>
      </w:r>
    </w:p>
    <w:p w14:paraId="4FE2E023" w14:textId="77777777" w:rsidR="004B41D5" w:rsidRPr="00C94B70" w:rsidRDefault="004B41D5" w:rsidP="004B41D5">
      <w:pPr>
        <w:rPr>
          <w:rFonts w:ascii="Arial Narrow" w:hAnsi="Arial Narrow" w:cs="Arial"/>
          <w:b/>
        </w:rPr>
      </w:pPr>
      <w:r w:rsidRPr="00C94B70">
        <w:rPr>
          <w:rFonts w:ascii="Arial Narrow" w:hAnsi="Arial Narrow" w:cs="Arial"/>
          <w:b/>
        </w:rPr>
        <w:t xml:space="preserve">ACCF PINNACLE </w:t>
      </w:r>
      <w:proofErr w:type="gramStart"/>
      <w:r w:rsidRPr="00C94B70">
        <w:rPr>
          <w:rFonts w:ascii="Arial Narrow" w:hAnsi="Arial Narrow" w:cs="Arial"/>
          <w:b/>
        </w:rPr>
        <w:t>Registry :</w:t>
      </w:r>
      <w:proofErr w:type="gramEnd"/>
    </w:p>
    <w:p w14:paraId="6207CD80" w14:textId="76F7E614" w:rsidR="004B41D5" w:rsidRPr="004B41D5" w:rsidRDefault="004B41D5" w:rsidP="004B41D5">
      <w:pPr>
        <w:rPr>
          <w:rFonts w:ascii="Arial Narrow" w:hAnsi="Arial Narrow" w:cs="Arial"/>
        </w:rPr>
      </w:pPr>
      <w:r w:rsidRPr="00C94B70">
        <w:rPr>
          <w:rFonts w:ascii="Arial Narrow" w:hAnsi="Arial Narrow" w:cs="Arial"/>
        </w:rPr>
        <w:t xml:space="preserve">Data were analyzed from the ACCF outpatient registry, PINNACLE.  The sample populations, for calendar year 2011 and calendar year 2012, include 252,331 patients from 994 practice in 2011 and 298,206 patients from 1022 practices in 2012.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0BE5F101" w14:textId="77777777" w:rsidR="004B41D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E4631A5" w14:textId="77777777" w:rsidR="004B41D5" w:rsidRDefault="004B41D5" w:rsidP="00DB3627">
      <w:pPr>
        <w:autoSpaceDE w:val="0"/>
        <w:autoSpaceDN w:val="0"/>
        <w:adjustRightInd w:val="0"/>
        <w:spacing w:after="0" w:line="240" w:lineRule="auto"/>
        <w:rPr>
          <w:rFonts w:cstheme="minorHAnsi"/>
          <w:bCs/>
        </w:rPr>
      </w:pPr>
    </w:p>
    <w:p w14:paraId="08CBA45B" w14:textId="77777777" w:rsidR="004B41D5" w:rsidRPr="00C94B70" w:rsidRDefault="004B41D5" w:rsidP="004B41D5">
      <w:pPr>
        <w:rPr>
          <w:rFonts w:ascii="Cambria" w:hAnsi="Cambria"/>
          <w:b/>
          <w:iCs/>
        </w:rPr>
      </w:pPr>
      <w:r w:rsidRPr="00C94B70">
        <w:rPr>
          <w:rFonts w:ascii="Cambria" w:hAnsi="Cambria"/>
          <w:b/>
          <w:iCs/>
        </w:rPr>
        <w:t>AACVPR/ACCF/AHA CR3 Project:</w:t>
      </w:r>
    </w:p>
    <w:p w14:paraId="076CDD6D" w14:textId="77777777" w:rsidR="004B41D5" w:rsidRPr="00C94B70" w:rsidRDefault="004B41D5" w:rsidP="004B41D5">
      <w:pPr>
        <w:spacing w:after="0" w:line="240" w:lineRule="auto"/>
        <w:rPr>
          <w:rFonts w:ascii="Cambria" w:hAnsi="Cambria"/>
          <w:iCs/>
        </w:rPr>
      </w:pPr>
      <w:r w:rsidRPr="00C94B70">
        <w:rPr>
          <w:rFonts w:ascii="Cambria" w:hAnsi="Cambria"/>
          <w:iCs/>
        </w:rPr>
        <w:t>Descriptive statistics are noted below:</w:t>
      </w:r>
    </w:p>
    <w:p w14:paraId="76775212" w14:textId="77777777" w:rsidR="004B41D5" w:rsidRPr="00C94B70" w:rsidRDefault="004B41D5" w:rsidP="004B41D5">
      <w:pPr>
        <w:spacing w:after="0" w:line="240" w:lineRule="auto"/>
        <w:rPr>
          <w:rFonts w:ascii="Cambria" w:hAnsi="Cambria"/>
          <w:b/>
          <w:iCs/>
        </w:rPr>
      </w:pPr>
    </w:p>
    <w:p w14:paraId="5A947493" w14:textId="77777777" w:rsidR="004B41D5" w:rsidRPr="00C94B70" w:rsidRDefault="004B41D5" w:rsidP="004B41D5">
      <w:pPr>
        <w:spacing w:after="0" w:line="240" w:lineRule="auto"/>
        <w:rPr>
          <w:rFonts w:ascii="Cambria" w:hAnsi="Cambria"/>
          <w:iCs/>
        </w:rPr>
      </w:pPr>
      <w:r w:rsidRPr="00C94B70">
        <w:rPr>
          <w:rFonts w:ascii="Cambria" w:hAnsi="Cambria"/>
          <w:b/>
          <w:iCs/>
        </w:rPr>
        <w:t xml:space="preserve">Sex:   </w:t>
      </w:r>
      <w:r w:rsidRPr="00C94B70">
        <w:rPr>
          <w:rFonts w:ascii="Cambria" w:hAnsi="Cambria"/>
          <w:iCs/>
        </w:rPr>
        <w:t>Male:    65% (n=</w:t>
      </w:r>
      <w:r w:rsidRPr="00C94B70">
        <w:rPr>
          <w:rFonts w:ascii="Cambria" w:hAnsi="Cambria" w:cs="Times"/>
        </w:rPr>
        <w:t xml:space="preserve">152 / 234), </w:t>
      </w:r>
      <w:r w:rsidRPr="00C94B70">
        <w:rPr>
          <w:rFonts w:ascii="Cambria" w:hAnsi="Cambria"/>
          <w:iCs/>
        </w:rPr>
        <w:t>Female:  35% (n=82/234)</w:t>
      </w:r>
    </w:p>
    <w:p w14:paraId="0C4904CC" w14:textId="77777777" w:rsidR="004B41D5" w:rsidRPr="00C94B70" w:rsidRDefault="004B41D5" w:rsidP="004B41D5">
      <w:pPr>
        <w:spacing w:after="0" w:line="240" w:lineRule="auto"/>
        <w:rPr>
          <w:rFonts w:ascii="Cambria" w:hAnsi="Cambria"/>
          <w:iCs/>
        </w:rPr>
      </w:pPr>
      <w:r w:rsidRPr="00C94B70">
        <w:rPr>
          <w:rFonts w:ascii="Cambria" w:hAnsi="Cambria"/>
          <w:b/>
          <w:iCs/>
        </w:rPr>
        <w:t xml:space="preserve">Age:   </w:t>
      </w:r>
      <w:r w:rsidRPr="00C94B70">
        <w:rPr>
          <w:rFonts w:ascii="Cambria" w:hAnsi="Cambria"/>
          <w:iCs/>
        </w:rPr>
        <w:t>18-39:  3% (n=7/229), 40-64:  40% (n=</w:t>
      </w:r>
      <w:r w:rsidRPr="00C94B70">
        <w:rPr>
          <w:rFonts w:ascii="Cambria" w:hAnsi="Cambria" w:cs="Times"/>
        </w:rPr>
        <w:t xml:space="preserve">91 / </w:t>
      </w:r>
      <w:proofErr w:type="gramStart"/>
      <w:r w:rsidRPr="00C94B70">
        <w:rPr>
          <w:rFonts w:ascii="Cambria" w:hAnsi="Cambria" w:cs="Times"/>
        </w:rPr>
        <w:t>229 )</w:t>
      </w:r>
      <w:proofErr w:type="gramEnd"/>
      <w:r w:rsidRPr="00C94B70">
        <w:rPr>
          <w:rFonts w:ascii="Cambria" w:hAnsi="Cambria" w:cs="Times"/>
        </w:rPr>
        <w:t xml:space="preserve">, </w:t>
      </w:r>
      <w:r w:rsidRPr="00C94B70">
        <w:rPr>
          <w:rFonts w:ascii="Cambria" w:hAnsi="Cambria"/>
          <w:iCs/>
        </w:rPr>
        <w:t>65-79:  45% (n=</w:t>
      </w:r>
      <w:r w:rsidRPr="00C94B70">
        <w:rPr>
          <w:rFonts w:ascii="Cambria" w:hAnsi="Cambria" w:cs="Times"/>
        </w:rPr>
        <w:t xml:space="preserve">103 / 229) , </w:t>
      </w:r>
      <w:r w:rsidRPr="00C94B70">
        <w:rPr>
          <w:rFonts w:ascii="Cambria" w:hAnsi="Cambria"/>
          <w:iCs/>
        </w:rPr>
        <w:t>80+:  12% (n=</w:t>
      </w:r>
      <w:r w:rsidRPr="00C94B70">
        <w:rPr>
          <w:rFonts w:ascii="Cambria" w:hAnsi="Cambria" w:cs="Times"/>
        </w:rPr>
        <w:t>28 / 229 )</w:t>
      </w:r>
    </w:p>
    <w:p w14:paraId="6849ADF8" w14:textId="77777777" w:rsidR="004B41D5" w:rsidRPr="00C94B70" w:rsidRDefault="004B41D5" w:rsidP="004B41D5">
      <w:pPr>
        <w:spacing w:after="0" w:line="240" w:lineRule="auto"/>
        <w:rPr>
          <w:rFonts w:ascii="Cambria" w:hAnsi="Cambria"/>
          <w:iCs/>
        </w:rPr>
      </w:pPr>
      <w:r w:rsidRPr="00C94B70">
        <w:rPr>
          <w:rFonts w:ascii="Cambria" w:hAnsi="Cambria"/>
          <w:b/>
          <w:iCs/>
        </w:rPr>
        <w:t xml:space="preserve">Race:  </w:t>
      </w:r>
      <w:r w:rsidRPr="00C94B70">
        <w:rPr>
          <w:rFonts w:ascii="Cambria" w:hAnsi="Cambria"/>
          <w:iCs/>
        </w:rPr>
        <w:t>White:  84% (n=</w:t>
      </w:r>
      <w:r w:rsidRPr="00C94B70">
        <w:rPr>
          <w:rFonts w:ascii="Cambria" w:hAnsi="Cambria" w:cs="Times"/>
        </w:rPr>
        <w:t xml:space="preserve">196 / 234), </w:t>
      </w:r>
      <w:r w:rsidRPr="00C94B70">
        <w:rPr>
          <w:rFonts w:ascii="Cambria" w:hAnsi="Cambria"/>
          <w:iCs/>
        </w:rPr>
        <w:t>Black:  8% (n=</w:t>
      </w:r>
      <w:r w:rsidRPr="00C94B70">
        <w:rPr>
          <w:rFonts w:ascii="Cambria" w:hAnsi="Cambria" w:cs="Times"/>
        </w:rPr>
        <w:t xml:space="preserve">19 / 234), </w:t>
      </w:r>
      <w:r w:rsidRPr="00C94B70">
        <w:rPr>
          <w:rFonts w:ascii="Cambria" w:hAnsi="Cambria"/>
          <w:iCs/>
        </w:rPr>
        <w:t>Asian: 0</w:t>
      </w:r>
      <w:proofErr w:type="gramStart"/>
      <w:r w:rsidRPr="00C94B70">
        <w:rPr>
          <w:rFonts w:ascii="Cambria" w:hAnsi="Cambria"/>
          <w:iCs/>
        </w:rPr>
        <w:t>%  (</w:t>
      </w:r>
      <w:proofErr w:type="gramEnd"/>
      <w:r w:rsidRPr="00C94B70">
        <w:rPr>
          <w:rFonts w:ascii="Cambria" w:hAnsi="Cambria"/>
          <w:iCs/>
        </w:rPr>
        <w:t>n=</w:t>
      </w:r>
      <w:r w:rsidRPr="00C94B70">
        <w:rPr>
          <w:rFonts w:ascii="Cambria" w:hAnsi="Cambria" w:cs="Times"/>
        </w:rPr>
        <w:t xml:space="preserve">1 / 234), </w:t>
      </w:r>
      <w:r w:rsidRPr="00C94B70">
        <w:rPr>
          <w:rFonts w:ascii="Cambria" w:hAnsi="Cambria"/>
          <w:iCs/>
        </w:rPr>
        <w:t>American Indian:  1% (n=</w:t>
      </w:r>
      <w:r w:rsidRPr="00C94B70">
        <w:rPr>
          <w:rFonts w:ascii="Cambria" w:hAnsi="Cambria" w:cs="Times"/>
        </w:rPr>
        <w:t xml:space="preserve">3 / 234), </w:t>
      </w:r>
      <w:r w:rsidRPr="00C94B70">
        <w:rPr>
          <w:rFonts w:ascii="Cambria" w:hAnsi="Cambria"/>
          <w:iCs/>
        </w:rPr>
        <w:t>Native Hawaiian/Pacific Islander:  0% (n=</w:t>
      </w:r>
      <w:r w:rsidRPr="00C94B70">
        <w:rPr>
          <w:rFonts w:ascii="Cambria" w:hAnsi="Cambria" w:cs="Times"/>
        </w:rPr>
        <w:t xml:space="preserve">1 / 234), </w:t>
      </w:r>
      <w:r w:rsidRPr="00C94B70">
        <w:rPr>
          <w:rFonts w:ascii="Cambria" w:hAnsi="Cambria"/>
          <w:iCs/>
        </w:rPr>
        <w:t>Other:  6% (n=</w:t>
      </w:r>
      <w:r w:rsidRPr="00C94B70">
        <w:rPr>
          <w:rFonts w:ascii="Cambria" w:hAnsi="Cambria" w:cs="Times"/>
        </w:rPr>
        <w:t xml:space="preserve">14 / 234) </w:t>
      </w:r>
    </w:p>
    <w:p w14:paraId="6DA3F535" w14:textId="77777777" w:rsidR="004B41D5" w:rsidRPr="00C94B70" w:rsidRDefault="004B41D5" w:rsidP="004B41D5">
      <w:pPr>
        <w:spacing w:after="0" w:line="240" w:lineRule="auto"/>
        <w:rPr>
          <w:rFonts w:ascii="Cambria" w:hAnsi="Cambria"/>
          <w:iCs/>
        </w:rPr>
      </w:pPr>
      <w:r w:rsidRPr="00C94B70">
        <w:rPr>
          <w:rFonts w:ascii="Cambria" w:hAnsi="Cambria"/>
          <w:b/>
          <w:iCs/>
        </w:rPr>
        <w:t>Hispanic Ethnicity:</w:t>
      </w:r>
      <w:r w:rsidRPr="00C94B70">
        <w:rPr>
          <w:rFonts w:ascii="Cambria" w:hAnsi="Cambria"/>
          <w:iCs/>
        </w:rPr>
        <w:t xml:space="preserve">  0% (n=</w:t>
      </w:r>
      <w:r w:rsidRPr="00C94B70">
        <w:rPr>
          <w:rFonts w:ascii="Cambria" w:hAnsi="Cambria" w:cs="Times"/>
        </w:rPr>
        <w:t>1 / 234)</w:t>
      </w:r>
      <w:r w:rsidRPr="00C94B70" w:rsidDel="00205F6C">
        <w:rPr>
          <w:rFonts w:ascii="Cambria" w:hAnsi="Cambria" w:cs="Times"/>
        </w:rPr>
        <w:t xml:space="preserve"> </w:t>
      </w:r>
    </w:p>
    <w:p w14:paraId="4602E498" w14:textId="77777777" w:rsidR="004B41D5" w:rsidRPr="00C94B70" w:rsidRDefault="004B41D5" w:rsidP="004B41D5">
      <w:pPr>
        <w:autoSpaceDE w:val="0"/>
        <w:autoSpaceDN w:val="0"/>
        <w:adjustRightInd w:val="0"/>
        <w:spacing w:after="0" w:line="240" w:lineRule="auto"/>
        <w:rPr>
          <w:rFonts w:cstheme="minorHAnsi"/>
          <w:bCs/>
        </w:rPr>
      </w:pPr>
    </w:p>
    <w:p w14:paraId="78087C19" w14:textId="77777777" w:rsidR="004B41D5" w:rsidRPr="00C94B70" w:rsidRDefault="004B41D5" w:rsidP="004B41D5">
      <w:pPr>
        <w:autoSpaceDE w:val="0"/>
        <w:autoSpaceDN w:val="0"/>
        <w:adjustRightInd w:val="0"/>
        <w:spacing w:after="0" w:line="240" w:lineRule="auto"/>
        <w:rPr>
          <w:rFonts w:cstheme="minorHAnsi"/>
          <w:b/>
          <w:bCs/>
        </w:rPr>
      </w:pPr>
      <w:r w:rsidRPr="00C94B70">
        <w:rPr>
          <w:rFonts w:cstheme="minorHAnsi"/>
          <w:b/>
          <w:bCs/>
        </w:rPr>
        <w:t>PINNACLE Registry, 2012:</w:t>
      </w:r>
    </w:p>
    <w:p w14:paraId="788DC5F6" w14:textId="77777777" w:rsidR="004B41D5" w:rsidRPr="00C94B70" w:rsidRDefault="004B41D5" w:rsidP="004B41D5">
      <w:pPr>
        <w:autoSpaceDE w:val="0"/>
        <w:autoSpaceDN w:val="0"/>
        <w:adjustRightInd w:val="0"/>
        <w:spacing w:after="0" w:line="240" w:lineRule="auto"/>
        <w:rPr>
          <w:rFonts w:cstheme="minorHAnsi"/>
          <w:b/>
          <w:bCs/>
        </w:rPr>
      </w:pPr>
    </w:p>
    <w:tbl>
      <w:tblPr>
        <w:tblW w:w="0" w:type="auto"/>
        <w:jc w:val="center"/>
        <w:tblLayout w:type="fixed"/>
        <w:tblCellMar>
          <w:left w:w="0" w:type="dxa"/>
          <w:right w:w="0" w:type="dxa"/>
        </w:tblCellMar>
        <w:tblLook w:val="04A0" w:firstRow="1" w:lastRow="0" w:firstColumn="1" w:lastColumn="0" w:noHBand="0" w:noVBand="1"/>
      </w:tblPr>
      <w:tblGrid>
        <w:gridCol w:w="1610"/>
        <w:gridCol w:w="1620"/>
      </w:tblGrid>
      <w:tr w:rsidR="004B41D5" w:rsidRPr="00C94B70" w14:paraId="06C6DD94" w14:textId="77777777" w:rsidTr="00FE5110">
        <w:trPr>
          <w:cantSplit/>
          <w:tblHeader/>
          <w:jc w:val="center"/>
        </w:trPr>
        <w:tc>
          <w:tcPr>
            <w:tcW w:w="1610" w:type="dxa"/>
            <w:vMerge w:val="restart"/>
            <w:tcBorders>
              <w:top w:val="single" w:sz="6" w:space="0" w:color="000000"/>
              <w:left w:val="single" w:sz="6" w:space="0" w:color="000000"/>
              <w:bottom w:val="single" w:sz="2" w:space="0" w:color="000000"/>
              <w:right w:val="nil"/>
            </w:tcBorders>
            <w:shd w:val="clear" w:color="auto" w:fill="BBBBBB"/>
            <w:tcMar>
              <w:top w:w="0" w:type="dxa"/>
              <w:left w:w="60" w:type="dxa"/>
              <w:bottom w:w="0" w:type="dxa"/>
              <w:right w:w="60" w:type="dxa"/>
            </w:tcMar>
            <w:vAlign w:val="bottom"/>
            <w:hideMark/>
          </w:tcPr>
          <w:p w14:paraId="71F06A5F" w14:textId="77777777" w:rsidR="004B41D5" w:rsidRPr="00C94B70" w:rsidRDefault="004B41D5" w:rsidP="00FE5110">
            <w:pPr>
              <w:keepNext/>
              <w:autoSpaceDE w:val="0"/>
              <w:autoSpaceDN w:val="0"/>
              <w:adjustRightInd w:val="0"/>
              <w:spacing w:before="60" w:after="60"/>
              <w:rPr>
                <w:rFonts w:ascii="Times New Roman" w:hAnsi="Times New Roman" w:cs="Times New Roman"/>
                <w:b/>
                <w:bCs/>
                <w:sz w:val="20"/>
                <w:szCs w:val="20"/>
              </w:rPr>
            </w:pPr>
            <w:r w:rsidRPr="00C94B70">
              <w:rPr>
                <w:b/>
                <w:bCs/>
                <w:sz w:val="20"/>
                <w:szCs w:val="20"/>
              </w:rPr>
              <w:t> </w:t>
            </w:r>
          </w:p>
        </w:tc>
        <w:tc>
          <w:tcPr>
            <w:tcW w:w="1620" w:type="dxa"/>
            <w:tcBorders>
              <w:top w:val="single" w:sz="6" w:space="0" w:color="000000"/>
              <w:left w:val="single" w:sz="2" w:space="0" w:color="000000"/>
              <w:bottom w:val="single" w:sz="2" w:space="0" w:color="000000"/>
              <w:right w:val="single" w:sz="6" w:space="0" w:color="000000"/>
            </w:tcBorders>
            <w:shd w:val="clear" w:color="auto" w:fill="BBBBBB"/>
            <w:tcMar>
              <w:top w:w="0" w:type="dxa"/>
              <w:left w:w="60" w:type="dxa"/>
              <w:bottom w:w="0" w:type="dxa"/>
              <w:right w:w="60" w:type="dxa"/>
            </w:tcMar>
            <w:vAlign w:val="bottom"/>
            <w:hideMark/>
          </w:tcPr>
          <w:p w14:paraId="2F2DB008" w14:textId="77777777" w:rsidR="004B41D5" w:rsidRPr="00C94B70" w:rsidRDefault="004B41D5" w:rsidP="00FE5110">
            <w:pPr>
              <w:keepNext/>
              <w:autoSpaceDE w:val="0"/>
              <w:autoSpaceDN w:val="0"/>
              <w:adjustRightInd w:val="0"/>
              <w:spacing w:before="60" w:after="60"/>
              <w:jc w:val="center"/>
              <w:rPr>
                <w:rFonts w:ascii="Times New Roman" w:hAnsi="Times New Roman" w:cs="Times New Roman"/>
                <w:b/>
                <w:bCs/>
                <w:sz w:val="20"/>
                <w:szCs w:val="20"/>
              </w:rPr>
            </w:pPr>
            <w:r w:rsidRPr="00C94B70">
              <w:rPr>
                <w:b/>
                <w:bCs/>
                <w:sz w:val="20"/>
                <w:szCs w:val="20"/>
              </w:rPr>
              <w:t>Total</w:t>
            </w:r>
          </w:p>
        </w:tc>
      </w:tr>
      <w:tr w:rsidR="004B41D5" w:rsidRPr="00C94B70" w14:paraId="56F00EFB" w14:textId="77777777" w:rsidTr="00FE5110">
        <w:trPr>
          <w:cantSplit/>
          <w:tblHeader/>
          <w:jc w:val="center"/>
        </w:trPr>
        <w:tc>
          <w:tcPr>
            <w:tcW w:w="1610" w:type="dxa"/>
            <w:vMerge/>
            <w:tcBorders>
              <w:top w:val="single" w:sz="6" w:space="0" w:color="000000"/>
              <w:left w:val="single" w:sz="6" w:space="0" w:color="000000"/>
              <w:bottom w:val="single" w:sz="2" w:space="0" w:color="000000"/>
              <w:right w:val="nil"/>
            </w:tcBorders>
            <w:vAlign w:val="center"/>
            <w:hideMark/>
          </w:tcPr>
          <w:p w14:paraId="162F32DC" w14:textId="77777777" w:rsidR="004B41D5" w:rsidRPr="00C94B70" w:rsidRDefault="004B41D5" w:rsidP="00FE5110">
            <w:pPr>
              <w:rPr>
                <w:rFonts w:ascii="Times New Roman" w:hAnsi="Times New Roman" w:cs="Times New Roman"/>
                <w:b/>
                <w:bCs/>
                <w:sz w:val="20"/>
                <w:szCs w:val="20"/>
              </w:rPr>
            </w:pPr>
          </w:p>
        </w:tc>
        <w:tc>
          <w:tcPr>
            <w:tcW w:w="1620" w:type="dxa"/>
            <w:tcBorders>
              <w:top w:val="nil"/>
              <w:left w:val="single" w:sz="2" w:space="0" w:color="000000"/>
              <w:bottom w:val="single" w:sz="2" w:space="0" w:color="000000"/>
              <w:right w:val="single" w:sz="6" w:space="0" w:color="000000"/>
            </w:tcBorders>
            <w:shd w:val="clear" w:color="auto" w:fill="BBBBBB"/>
            <w:tcMar>
              <w:top w:w="0" w:type="dxa"/>
              <w:left w:w="60" w:type="dxa"/>
              <w:bottom w:w="0" w:type="dxa"/>
              <w:right w:w="60" w:type="dxa"/>
            </w:tcMar>
            <w:vAlign w:val="bottom"/>
            <w:hideMark/>
          </w:tcPr>
          <w:p w14:paraId="2BBEEF53" w14:textId="77777777" w:rsidR="004B41D5" w:rsidRPr="00C94B70" w:rsidRDefault="004B41D5" w:rsidP="00FE5110">
            <w:pPr>
              <w:keepNext/>
              <w:autoSpaceDE w:val="0"/>
              <w:autoSpaceDN w:val="0"/>
              <w:adjustRightInd w:val="0"/>
              <w:spacing w:before="60" w:after="60"/>
              <w:jc w:val="center"/>
              <w:rPr>
                <w:rFonts w:ascii="Times New Roman" w:hAnsi="Times New Roman" w:cs="Times New Roman"/>
                <w:b/>
                <w:bCs/>
                <w:sz w:val="20"/>
                <w:szCs w:val="20"/>
              </w:rPr>
            </w:pPr>
            <w:r w:rsidRPr="00C94B70">
              <w:rPr>
                <w:b/>
                <w:bCs/>
                <w:sz w:val="20"/>
                <w:szCs w:val="20"/>
              </w:rPr>
              <w:t>n = 252331</w:t>
            </w:r>
          </w:p>
        </w:tc>
      </w:tr>
      <w:tr w:rsidR="004B41D5" w:rsidRPr="00C94B70" w14:paraId="041FA6A6"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527B8621" w14:textId="77777777" w:rsidR="004B41D5" w:rsidRPr="00C94B70" w:rsidRDefault="004B41D5" w:rsidP="00FE5110">
            <w:pPr>
              <w:keepNext/>
              <w:autoSpaceDE w:val="0"/>
              <w:autoSpaceDN w:val="0"/>
              <w:adjustRightInd w:val="0"/>
              <w:spacing w:before="60" w:after="60"/>
              <w:rPr>
                <w:rFonts w:ascii="Times New Roman" w:hAnsi="Times New Roman" w:cs="Times New Roman"/>
                <w:sz w:val="20"/>
                <w:szCs w:val="20"/>
              </w:rPr>
            </w:pPr>
            <w:r w:rsidRPr="00C94B70">
              <w:rPr>
                <w:sz w:val="20"/>
                <w:szCs w:val="20"/>
              </w:rPr>
              <w:lastRenderedPageBreak/>
              <w:t>Race</w:t>
            </w:r>
            <w:r w:rsidRPr="00C94B70">
              <w:rPr>
                <w:sz w:val="20"/>
                <w:szCs w:val="20"/>
              </w:rPr>
              <w:br/>
              <w:t>  (1) White</w:t>
            </w:r>
            <w:r w:rsidRPr="00C94B70">
              <w:rPr>
                <w:sz w:val="20"/>
                <w:szCs w:val="20"/>
              </w:rPr>
              <w:br/>
              <w:t>  (2) Black</w:t>
            </w:r>
            <w:r w:rsidRPr="00C94B70">
              <w:rPr>
                <w:sz w:val="20"/>
                <w:szCs w:val="20"/>
              </w:rPr>
              <w:br/>
              <w:t>  (3) Other</w:t>
            </w:r>
            <w:r w:rsidRPr="00C94B70">
              <w:rPr>
                <w:sz w:val="20"/>
                <w:szCs w:val="20"/>
              </w:rPr>
              <w:br/>
              <w:t>  Missing (.)</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67D57CBF"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 </w:t>
            </w:r>
            <w:r w:rsidRPr="00C94B70">
              <w:rPr>
                <w:sz w:val="20"/>
                <w:szCs w:val="20"/>
              </w:rPr>
              <w:br/>
              <w:t>117261 (  89.9% )</w:t>
            </w:r>
            <w:r w:rsidRPr="00C94B70">
              <w:rPr>
                <w:sz w:val="20"/>
                <w:szCs w:val="20"/>
              </w:rPr>
              <w:br/>
              <w:t>8758 (   6.7% )</w:t>
            </w:r>
            <w:r w:rsidRPr="00C94B70">
              <w:rPr>
                <w:sz w:val="20"/>
                <w:szCs w:val="20"/>
              </w:rPr>
              <w:br/>
              <w:t>4415 (   3.4% )</w:t>
            </w:r>
            <w:r w:rsidRPr="00C94B70">
              <w:rPr>
                <w:sz w:val="20"/>
                <w:szCs w:val="20"/>
              </w:rPr>
              <w:br/>
              <w:t>121897</w:t>
            </w:r>
          </w:p>
        </w:tc>
      </w:tr>
      <w:tr w:rsidR="004B41D5" w:rsidRPr="00C94B70" w14:paraId="50A1E02B"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4D48DA10" w14:textId="77777777" w:rsidR="004B41D5" w:rsidRPr="00C94B70" w:rsidRDefault="004B41D5" w:rsidP="00FE5110">
            <w:pPr>
              <w:keepNext/>
              <w:autoSpaceDE w:val="0"/>
              <w:autoSpaceDN w:val="0"/>
              <w:adjustRightInd w:val="0"/>
              <w:spacing w:before="60" w:after="60"/>
              <w:rPr>
                <w:rFonts w:ascii="Times New Roman" w:hAnsi="Times New Roman" w:cs="Times New Roman"/>
                <w:sz w:val="20"/>
                <w:szCs w:val="20"/>
              </w:rPr>
            </w:pPr>
            <w:r w:rsidRPr="00C94B70">
              <w:rPr>
                <w:sz w:val="20"/>
                <w:szCs w:val="20"/>
              </w:rPr>
              <w:t>Insurance</w:t>
            </w:r>
            <w:r w:rsidRPr="00C94B70">
              <w:rPr>
                <w:sz w:val="20"/>
                <w:szCs w:val="20"/>
              </w:rPr>
              <w:br/>
              <w:t>  (0) No insurance</w:t>
            </w:r>
            <w:r w:rsidRPr="00C94B70">
              <w:rPr>
                <w:sz w:val="20"/>
                <w:szCs w:val="20"/>
              </w:rPr>
              <w:br/>
              <w:t>  (1) Private</w:t>
            </w:r>
            <w:r w:rsidRPr="00C94B70">
              <w:rPr>
                <w:sz w:val="20"/>
                <w:szCs w:val="20"/>
              </w:rPr>
              <w:br/>
              <w:t>  (2) Medicare</w:t>
            </w:r>
            <w:r w:rsidRPr="00C94B70">
              <w:rPr>
                <w:sz w:val="20"/>
                <w:szCs w:val="20"/>
              </w:rPr>
              <w:br/>
              <w:t>  (3) Medicaid</w:t>
            </w:r>
            <w:r w:rsidRPr="00C94B70">
              <w:rPr>
                <w:sz w:val="20"/>
                <w:szCs w:val="20"/>
              </w:rPr>
              <w:br/>
              <w:t>  (4) Other</w:t>
            </w:r>
            <w:r w:rsidRPr="00C94B70">
              <w:rPr>
                <w:sz w:val="20"/>
                <w:szCs w:val="20"/>
              </w:rPr>
              <w:br/>
              <w:t>  Missing (.)</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7EE274A5"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 </w:t>
            </w:r>
            <w:r w:rsidRPr="00C94B70">
              <w:rPr>
                <w:sz w:val="20"/>
                <w:szCs w:val="20"/>
              </w:rPr>
              <w:br/>
              <w:t>14914 (   7.0% )</w:t>
            </w:r>
            <w:r w:rsidRPr="00C94B70">
              <w:rPr>
                <w:sz w:val="20"/>
                <w:szCs w:val="20"/>
              </w:rPr>
              <w:br/>
              <w:t>129907 (  61.1% )</w:t>
            </w:r>
            <w:r w:rsidRPr="00C94B70">
              <w:rPr>
                <w:sz w:val="20"/>
                <w:szCs w:val="20"/>
              </w:rPr>
              <w:br/>
              <w:t>61289 (  28.8% )</w:t>
            </w:r>
            <w:r w:rsidRPr="00C94B70">
              <w:rPr>
                <w:sz w:val="20"/>
                <w:szCs w:val="20"/>
              </w:rPr>
              <w:br/>
              <w:t>3956 (   1.9% )</w:t>
            </w:r>
            <w:r w:rsidRPr="00C94B70">
              <w:rPr>
                <w:sz w:val="20"/>
                <w:szCs w:val="20"/>
              </w:rPr>
              <w:br/>
              <w:t>2629 (   1.2% )</w:t>
            </w:r>
            <w:r w:rsidRPr="00C94B70">
              <w:rPr>
                <w:sz w:val="20"/>
                <w:szCs w:val="20"/>
              </w:rPr>
              <w:br/>
              <w:t>39636</w:t>
            </w:r>
          </w:p>
        </w:tc>
      </w:tr>
      <w:tr w:rsidR="004B41D5" w:rsidRPr="00C94B70" w14:paraId="0C6EEFCD"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6D219F9E"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Age</w:t>
            </w:r>
            <w:r w:rsidRPr="00C94B70">
              <w:rPr>
                <w:sz w:val="20"/>
                <w:szCs w:val="20"/>
              </w:rPr>
              <w:br/>
              <w:t>  18 to &lt;60</w:t>
            </w:r>
            <w:r w:rsidRPr="00C94B70">
              <w:rPr>
                <w:sz w:val="20"/>
                <w:szCs w:val="20"/>
              </w:rPr>
              <w:br/>
              <w:t>  60 to &lt;70</w:t>
            </w:r>
            <w:r w:rsidRPr="00C94B70">
              <w:rPr>
                <w:sz w:val="20"/>
                <w:szCs w:val="20"/>
              </w:rPr>
              <w:br/>
              <w:t>  70 to &lt;80</w:t>
            </w:r>
            <w:r w:rsidRPr="00C94B70">
              <w:rPr>
                <w:sz w:val="20"/>
                <w:szCs w:val="20"/>
              </w:rPr>
              <w:br/>
              <w:t>  80 to 112</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3DF573F9"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 </w:t>
            </w:r>
            <w:r w:rsidRPr="00C94B70">
              <w:rPr>
                <w:sz w:val="20"/>
                <w:szCs w:val="20"/>
              </w:rPr>
              <w:br/>
              <w:t>71020 (  28.1% )</w:t>
            </w:r>
            <w:r w:rsidRPr="00C94B70">
              <w:rPr>
                <w:sz w:val="20"/>
                <w:szCs w:val="20"/>
              </w:rPr>
              <w:br/>
              <w:t>67696 (  26.8% )</w:t>
            </w:r>
            <w:r w:rsidRPr="00C94B70">
              <w:rPr>
                <w:sz w:val="20"/>
                <w:szCs w:val="20"/>
              </w:rPr>
              <w:br/>
              <w:t>65497 (  26.0% )</w:t>
            </w:r>
            <w:r w:rsidRPr="00C94B70">
              <w:rPr>
                <w:sz w:val="20"/>
                <w:szCs w:val="20"/>
              </w:rPr>
              <w:br/>
              <w:t>48118 (  19.1% )</w:t>
            </w:r>
          </w:p>
        </w:tc>
      </w:tr>
      <w:tr w:rsidR="004B41D5" w:rsidRPr="00C94B70" w14:paraId="70890E07"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16F244DF"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Sex</w:t>
            </w:r>
            <w:r w:rsidRPr="00C94B70">
              <w:rPr>
                <w:sz w:val="20"/>
                <w:szCs w:val="20"/>
              </w:rPr>
              <w:br/>
              <w:t>  (1) Male</w:t>
            </w:r>
            <w:r w:rsidRPr="00C94B70">
              <w:rPr>
                <w:sz w:val="20"/>
                <w:szCs w:val="20"/>
              </w:rPr>
              <w:br/>
              <w:t>  (2) Female</w:t>
            </w:r>
            <w:r w:rsidRPr="00C94B70">
              <w:rPr>
                <w:sz w:val="20"/>
                <w:szCs w:val="20"/>
              </w:rPr>
              <w:br/>
              <w:t>  Missing (.)</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6748D7BB"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 </w:t>
            </w:r>
            <w:r w:rsidRPr="00C94B70">
              <w:rPr>
                <w:sz w:val="20"/>
                <w:szCs w:val="20"/>
              </w:rPr>
              <w:br/>
              <w:t>149415 (  59.2% )</w:t>
            </w:r>
            <w:r w:rsidRPr="00C94B70">
              <w:rPr>
                <w:sz w:val="20"/>
                <w:szCs w:val="20"/>
              </w:rPr>
              <w:br/>
              <w:t>102812 (  40.8% )</w:t>
            </w:r>
            <w:r w:rsidRPr="00C94B70">
              <w:rPr>
                <w:sz w:val="20"/>
                <w:szCs w:val="20"/>
              </w:rPr>
              <w:br/>
              <w:t>104</w:t>
            </w:r>
          </w:p>
        </w:tc>
      </w:tr>
      <w:tr w:rsidR="004B41D5" w:rsidRPr="00C94B70" w14:paraId="55963573"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54EC0E5D"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BMI</w:t>
            </w:r>
            <w:r w:rsidRPr="00C94B70">
              <w:rPr>
                <w:sz w:val="20"/>
                <w:szCs w:val="20"/>
              </w:rPr>
              <w:br/>
              <w:t>  Missing</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7EEFEE4E"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29.7 ± 6.4</w:t>
            </w:r>
            <w:r w:rsidRPr="00C94B70">
              <w:rPr>
                <w:sz w:val="20"/>
                <w:szCs w:val="20"/>
              </w:rPr>
              <w:br/>
              <w:t>91870</w:t>
            </w:r>
          </w:p>
        </w:tc>
      </w:tr>
      <w:tr w:rsidR="004B41D5" w:rsidRPr="00C94B70" w14:paraId="1C4824A6"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7E8D5411"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Diabetes</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0EDF0178"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66294 (  26.3% )</w:t>
            </w:r>
          </w:p>
        </w:tc>
      </w:tr>
      <w:tr w:rsidR="004B41D5" w:rsidRPr="00C94B70" w14:paraId="31A04A76"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16B2B5CB"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CAD</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60F4FD24"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247440 (  98.1% )</w:t>
            </w:r>
          </w:p>
        </w:tc>
      </w:tr>
      <w:tr w:rsidR="004B41D5" w:rsidRPr="00C94B70" w14:paraId="489B08AA"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6D55586C"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Hypertension</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7E2E12FA"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209013 (  82.8% )</w:t>
            </w:r>
          </w:p>
        </w:tc>
      </w:tr>
      <w:tr w:rsidR="004B41D5" w:rsidRPr="00C94B70" w14:paraId="38A14F4A"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7EA847BB"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proofErr w:type="spellStart"/>
            <w:r w:rsidRPr="00C94B70">
              <w:rPr>
                <w:sz w:val="20"/>
                <w:szCs w:val="20"/>
              </w:rPr>
              <w:t>AFib</w:t>
            </w:r>
            <w:proofErr w:type="spellEnd"/>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18D4D94E"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59525 (  23.6% )</w:t>
            </w:r>
          </w:p>
        </w:tc>
      </w:tr>
      <w:tr w:rsidR="004B41D5" w:rsidRPr="00C94B70" w14:paraId="5693D47E"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1F6BAE70"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HF</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010FCF64"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76388 (  30.3% )</w:t>
            </w:r>
          </w:p>
        </w:tc>
      </w:tr>
      <w:tr w:rsidR="004B41D5" w:rsidRPr="00C94B70" w14:paraId="33D38F1C"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004BC337"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PAD</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758CC0F6"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89780 (  35.6% )</w:t>
            </w:r>
          </w:p>
        </w:tc>
      </w:tr>
      <w:tr w:rsidR="004B41D5" w:rsidRPr="00C94B70" w14:paraId="1C065354" w14:textId="77777777" w:rsidTr="00FE5110">
        <w:trPr>
          <w:cantSplit/>
          <w:jc w:val="center"/>
        </w:trPr>
        <w:tc>
          <w:tcPr>
            <w:tcW w:w="1610"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5626030E" w14:textId="77777777" w:rsidR="004B41D5" w:rsidRPr="00C94B70" w:rsidRDefault="004B41D5" w:rsidP="00FE5110">
            <w:pPr>
              <w:keepNext/>
              <w:autoSpaceDE w:val="0"/>
              <w:autoSpaceDN w:val="0"/>
              <w:adjustRightInd w:val="0"/>
              <w:spacing w:before="60" w:after="60"/>
              <w:rPr>
                <w:rFonts w:ascii="Times New Roman" w:hAnsi="Times New Roman" w:cs="Times New Roman"/>
                <w:sz w:val="20"/>
                <w:szCs w:val="20"/>
              </w:rPr>
            </w:pPr>
            <w:r w:rsidRPr="00C94B70">
              <w:rPr>
                <w:sz w:val="20"/>
                <w:szCs w:val="20"/>
              </w:rPr>
              <w:t>Prior Stroke/TIA</w:t>
            </w:r>
          </w:p>
        </w:tc>
        <w:tc>
          <w:tcPr>
            <w:tcW w:w="1620"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0B5020C8"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79532 (  31.5% )</w:t>
            </w:r>
          </w:p>
        </w:tc>
      </w:tr>
      <w:tr w:rsidR="004B41D5" w:rsidRPr="00C94B70" w14:paraId="626B5BBA" w14:textId="77777777" w:rsidTr="00FE5110">
        <w:trPr>
          <w:cantSplit/>
          <w:jc w:val="center"/>
        </w:trPr>
        <w:tc>
          <w:tcPr>
            <w:tcW w:w="1610" w:type="dxa"/>
            <w:tcBorders>
              <w:top w:val="nil"/>
              <w:left w:val="single" w:sz="6" w:space="0" w:color="000000"/>
              <w:bottom w:val="single" w:sz="6" w:space="0" w:color="000000"/>
              <w:right w:val="nil"/>
            </w:tcBorders>
            <w:shd w:val="clear" w:color="auto" w:fill="FFFFFF"/>
            <w:tcMar>
              <w:top w:w="0" w:type="dxa"/>
              <w:left w:w="60" w:type="dxa"/>
              <w:bottom w:w="0" w:type="dxa"/>
              <w:right w:w="60" w:type="dxa"/>
            </w:tcMar>
            <w:hideMark/>
          </w:tcPr>
          <w:p w14:paraId="39B7799C"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MI history</w:t>
            </w:r>
          </w:p>
        </w:tc>
        <w:tc>
          <w:tcPr>
            <w:tcW w:w="1620" w:type="dxa"/>
            <w:tcBorders>
              <w:top w:val="nil"/>
              <w:left w:val="single" w:sz="2"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4EC12312"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125549 (  49.8% )</w:t>
            </w:r>
          </w:p>
        </w:tc>
      </w:tr>
    </w:tbl>
    <w:p w14:paraId="0CABCFC9" w14:textId="0F5B57DB"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77777777" w:rsidR="00E37E1B" w:rsidRDefault="00E37E1B" w:rsidP="00E37E1B">
      <w:pPr>
        <w:autoSpaceDE w:val="0"/>
        <w:autoSpaceDN w:val="0"/>
        <w:adjustRightInd w:val="0"/>
        <w:spacing w:after="0" w:line="240" w:lineRule="auto"/>
        <w:rPr>
          <w:rFonts w:cstheme="minorHAnsi"/>
          <w:bCs/>
        </w:rPr>
      </w:pPr>
    </w:p>
    <w:p w14:paraId="0E3A7B94" w14:textId="77777777" w:rsidR="004B41D5" w:rsidRPr="00C94B70" w:rsidRDefault="004B41D5" w:rsidP="004B41D5">
      <w:pPr>
        <w:autoSpaceDE w:val="0"/>
        <w:autoSpaceDN w:val="0"/>
        <w:adjustRightInd w:val="0"/>
        <w:spacing w:after="0" w:line="240" w:lineRule="auto"/>
        <w:rPr>
          <w:rFonts w:cstheme="minorHAnsi"/>
          <w:bCs/>
        </w:rPr>
      </w:pPr>
      <w:r w:rsidRPr="00C94B70">
        <w:rPr>
          <w:rFonts w:cstheme="minorHAnsi"/>
          <w:bCs/>
        </w:rPr>
        <w:lastRenderedPageBreak/>
        <w:t>The datasets described above was used for all aspects of testing.</w:t>
      </w:r>
    </w:p>
    <w:p w14:paraId="768E7F7F" w14:textId="77777777" w:rsidR="004B41D5" w:rsidRDefault="004B41D5"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F7493D">
        <w:rPr>
          <w:rFonts w:cstheme="minorHAnsi"/>
          <w:b/>
          <w:bCs/>
          <w:highlight w:val="yellow"/>
        </w:rPr>
        <w:t>1.8</w:t>
      </w:r>
      <w:r w:rsidRPr="00F7493D">
        <w:rPr>
          <w:rFonts w:cstheme="minorHAnsi"/>
          <w:bCs/>
          <w:highlight w:val="yellow"/>
        </w:rPr>
        <w:t xml:space="preserve"> </w:t>
      </w:r>
      <w:r w:rsidRPr="00F7493D">
        <w:rPr>
          <w:rFonts w:cstheme="minorHAnsi"/>
          <w:b/>
          <w:bCs/>
          <w:highlight w:val="yellow"/>
        </w:rPr>
        <w:t xml:space="preserve">What were the </w:t>
      </w:r>
      <w:r w:rsidR="009C7513" w:rsidRPr="00F7493D">
        <w:rPr>
          <w:rFonts w:cstheme="minorHAnsi"/>
          <w:b/>
          <w:bCs/>
          <w:highlight w:val="yellow"/>
        </w:rPr>
        <w:t>social risk factors</w:t>
      </w:r>
      <w:r w:rsidRPr="00F7493D">
        <w:rPr>
          <w:rFonts w:cstheme="minorHAnsi"/>
          <w:b/>
          <w:bCs/>
          <w:highlight w:val="yellow"/>
        </w:rPr>
        <w:t xml:space="preserve"> that were available and analyzed</w:t>
      </w:r>
      <w:r w:rsidRPr="00F7493D">
        <w:rPr>
          <w:rFonts w:cstheme="minorHAnsi"/>
          <w:bCs/>
          <w:highlight w:val="yellow"/>
        </w:rPr>
        <w:t>?</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F7493D">
        <w:rPr>
          <w:rFonts w:cstheme="minorHAnsi"/>
          <w:b/>
          <w:noProof/>
          <w:highlight w:val="yellow"/>
        </w:rPr>
        <w:t>2</w:t>
      </w:r>
      <w:r w:rsidR="00EA5F47" w:rsidRPr="00F7493D">
        <w:rPr>
          <w:rFonts w:cstheme="minorHAnsi"/>
          <w:b/>
          <w:noProof/>
          <w:highlight w:val="yellow"/>
        </w:rPr>
        <w:t>a</w:t>
      </w:r>
      <w:r w:rsidRPr="00F7493D">
        <w:rPr>
          <w:rFonts w:cstheme="minorHAnsi"/>
          <w:b/>
          <w:noProof/>
          <w:highlight w:val="yellow"/>
        </w:rPr>
        <w:t xml:space="preserve">2. </w:t>
      </w:r>
      <w:r w:rsidRPr="00F7493D">
        <w:rPr>
          <w:rFonts w:cstheme="minorHAnsi"/>
          <w:b/>
          <w:bCs/>
          <w:highlight w:val="yellow"/>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BBECAA5"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702F355" w14:textId="77777777" w:rsidR="004B41D5" w:rsidRDefault="004B41D5" w:rsidP="008C54A9">
      <w:pPr>
        <w:autoSpaceDE w:val="0"/>
        <w:autoSpaceDN w:val="0"/>
        <w:adjustRightInd w:val="0"/>
        <w:spacing w:after="0" w:line="240" w:lineRule="auto"/>
        <w:rPr>
          <w:rFonts w:cstheme="minorHAnsi"/>
          <w:bCs/>
        </w:rPr>
      </w:pPr>
    </w:p>
    <w:p w14:paraId="6B485C08" w14:textId="77777777" w:rsidR="004B41D5" w:rsidRPr="00C94B70" w:rsidRDefault="004B41D5" w:rsidP="004B41D5">
      <w:pPr>
        <w:rPr>
          <w:rFonts w:cstheme="minorHAnsi"/>
          <w:b/>
          <w:iCs/>
        </w:rPr>
      </w:pPr>
      <w:r w:rsidRPr="00C94B70">
        <w:rPr>
          <w:rFonts w:cstheme="minorHAnsi"/>
          <w:b/>
          <w:iCs/>
        </w:rPr>
        <w:t>AACVPR/ACCF/AHA CR3 Project:</w:t>
      </w:r>
    </w:p>
    <w:p w14:paraId="51FF9A63" w14:textId="77777777" w:rsidR="004B41D5" w:rsidRPr="00C94B70" w:rsidRDefault="004B41D5" w:rsidP="004B41D5">
      <w:pPr>
        <w:rPr>
          <w:rFonts w:cstheme="minorHAnsi"/>
        </w:rPr>
      </w:pPr>
      <w:r w:rsidRPr="00C94B70">
        <w:rPr>
          <w:rFonts w:cstheme="minorHAnsi"/>
        </w:rPr>
        <w:t xml:space="preserve">The aim of this project was to assess the reliability and feasibility of abstracting the Cardiac Rehabilitation Referral Performance Measure from an </w:t>
      </w:r>
      <w:r>
        <w:rPr>
          <w:rFonts w:cstheme="minorHAnsi"/>
        </w:rPr>
        <w:t>outpatient</w:t>
      </w:r>
      <w:r w:rsidRPr="00C94B70">
        <w:rPr>
          <w:rFonts w:cstheme="minorHAnsi"/>
        </w:rPr>
        <w:t xml:space="preserve"> setting. The sites identified to participate in the project were asked to identify one study coordinator and two chart abstractors. 35 patients were identified by the study coordinator at each site from a consecutive sample of patients admitted to their hospital having a qualifying diagnosis for CR, and discharged alive, starting in August 1, 2009.  The two abstractors at each site reviewed the same 35 patient records from their hospital twice (once at baseline, and again one week later).</w:t>
      </w:r>
    </w:p>
    <w:p w14:paraId="55D2AEFE" w14:textId="77777777" w:rsidR="004B41D5" w:rsidRPr="00C94B70" w:rsidRDefault="004B41D5" w:rsidP="004B41D5">
      <w:pPr>
        <w:rPr>
          <w:rFonts w:cstheme="minorHAnsi"/>
          <w:bCs/>
        </w:rPr>
      </w:pPr>
      <w:r w:rsidRPr="00C94B70">
        <w:rPr>
          <w:rFonts w:cstheme="minorHAnsi"/>
          <w:bCs/>
        </w:rPr>
        <w:t>Site coordinators were instructed to include in the 35 patient records, 30 patients who had qualifying diagnoses for CR/SP referral (to capture sensitivity testing) and 5 patients who did not have a qualifying diagnosis for CR/SP referral (to capture specificity testing). The qualifying events are indicated in the measure numerator statement. The non-qualifying events for the purpose of this abstraction project needed to have one or more of the following diagnoses:  heart failure, atrial fibrillation, or syncope.</w:t>
      </w:r>
    </w:p>
    <w:p w14:paraId="0E9016C0" w14:textId="77777777" w:rsidR="004B41D5" w:rsidRPr="00C94B70" w:rsidRDefault="004B41D5" w:rsidP="004B41D5">
      <w:pPr>
        <w:rPr>
          <w:rFonts w:cstheme="minorHAnsi"/>
          <w:iCs/>
        </w:rPr>
      </w:pPr>
      <w:r w:rsidRPr="00C94B70">
        <w:rPr>
          <w:rFonts w:cstheme="minorHAnsi"/>
          <w:iCs/>
        </w:rPr>
        <w:t xml:space="preserve">The CR3 Project Workgroup worked with the study coordinators to address reliability, feasibility, and usability properties for the cardiac rehabilitation performance measures. Specifically the workgroup created chart abstraction forms, site coordinator instructions, abstractor instructions, sample IRB protocol, frequently asked questions, and tracking forms to keep track of the intra-rater (1 abstractor reviewing the same patient record two times) and inter-rater process (2 abstractors reviewing the same patient record). The workgroup had a kickoff call with each center’s study coordinator to acquaint him/her with the abstraction project. The workgroup communicated weekly with site coordinators to address any questions or comments the sites may have had. </w:t>
      </w:r>
    </w:p>
    <w:p w14:paraId="48C57A5F" w14:textId="77777777" w:rsidR="004B41D5" w:rsidRPr="00C94B70" w:rsidRDefault="004B41D5" w:rsidP="004B41D5">
      <w:pPr>
        <w:rPr>
          <w:rFonts w:cstheme="minorHAnsi"/>
          <w:bCs/>
        </w:rPr>
      </w:pPr>
      <w:r w:rsidRPr="00C94B70">
        <w:rPr>
          <w:rFonts w:cstheme="minorHAnsi"/>
          <w:bCs/>
        </w:rPr>
        <w:lastRenderedPageBreak/>
        <w:t xml:space="preserve">Abstractors reviewed each patient record and completed the CR3 Project form (see supplement).  </w:t>
      </w:r>
    </w:p>
    <w:p w14:paraId="5AF4784F" w14:textId="77777777" w:rsidR="004B41D5" w:rsidRPr="00C94B70" w:rsidRDefault="004B41D5" w:rsidP="004B41D5">
      <w:pPr>
        <w:rPr>
          <w:rFonts w:cstheme="minorHAnsi"/>
        </w:rPr>
      </w:pPr>
      <w:r w:rsidRPr="00C94B70">
        <w:rPr>
          <w:rFonts w:cstheme="minorHAnsi"/>
        </w:rPr>
        <w:t>Definitions used:</w:t>
      </w:r>
    </w:p>
    <w:p w14:paraId="6FB85AD1" w14:textId="77777777" w:rsidR="004B41D5" w:rsidRPr="00C94B70" w:rsidRDefault="004B41D5" w:rsidP="004B41D5">
      <w:pPr>
        <w:rPr>
          <w:rFonts w:cstheme="minorHAnsi"/>
        </w:rPr>
      </w:pPr>
      <w:r w:rsidRPr="00C94B70">
        <w:rPr>
          <w:rFonts w:cstheme="minorHAnsi"/>
        </w:rPr>
        <w:t>Eligible patient: a patient that had a qualifying event/diagnosis during the hospital period under review</w:t>
      </w:r>
    </w:p>
    <w:p w14:paraId="0E810841" w14:textId="77777777" w:rsidR="004B41D5" w:rsidRPr="00C94B70" w:rsidRDefault="004B41D5" w:rsidP="004B41D5">
      <w:pPr>
        <w:rPr>
          <w:rFonts w:cstheme="minorHAnsi"/>
        </w:rPr>
      </w:pPr>
      <w:r w:rsidRPr="00C94B70">
        <w:rPr>
          <w:rFonts w:cstheme="minorHAnsi"/>
        </w:rPr>
        <w:t>Non-eligible patient:  a patient that did not have a qualifying event/diagnosis during the hospital period under review</w:t>
      </w:r>
    </w:p>
    <w:p w14:paraId="0726508D" w14:textId="77777777" w:rsidR="004B41D5" w:rsidRPr="00C94B70" w:rsidRDefault="004B41D5" w:rsidP="004B41D5">
      <w:pPr>
        <w:rPr>
          <w:rFonts w:cstheme="minorHAnsi"/>
        </w:rPr>
      </w:pPr>
      <w:r w:rsidRPr="00C94B70">
        <w:rPr>
          <w:rFonts w:cstheme="minorHAnsi"/>
        </w:rPr>
        <w:t xml:space="preserve">CR/SP </w:t>
      </w:r>
      <w:proofErr w:type="gramStart"/>
      <w:r w:rsidRPr="00C94B70">
        <w:rPr>
          <w:rFonts w:cstheme="minorHAnsi"/>
        </w:rPr>
        <w:t>referral :</w:t>
      </w:r>
      <w:proofErr w:type="gramEnd"/>
      <w:r w:rsidRPr="00C94B70">
        <w:rPr>
          <w:rFonts w:cstheme="minorHAnsi"/>
        </w:rPr>
        <w:t xml:space="preserve">  documentation in the patient record for the index hospitalization that the patient was being referred to an outpatient cardiac rehabilitation/secondary prevention program</w:t>
      </w:r>
    </w:p>
    <w:p w14:paraId="63ECE7C5" w14:textId="77777777" w:rsidR="004B41D5" w:rsidRPr="00C94B70" w:rsidRDefault="004B41D5" w:rsidP="004B41D5">
      <w:pPr>
        <w:rPr>
          <w:rFonts w:cstheme="minorHAnsi"/>
        </w:rPr>
      </w:pPr>
      <w:r w:rsidRPr="00C94B70">
        <w:rPr>
          <w:rFonts w:cstheme="minorHAnsi"/>
        </w:rPr>
        <w:t xml:space="preserve">Exception to </w:t>
      </w:r>
      <w:proofErr w:type="gramStart"/>
      <w:r w:rsidRPr="00C94B70">
        <w:rPr>
          <w:rFonts w:cstheme="minorHAnsi"/>
        </w:rPr>
        <w:t>referral :</w:t>
      </w:r>
      <w:proofErr w:type="gramEnd"/>
      <w:r w:rsidRPr="00C94B70">
        <w:rPr>
          <w:rFonts w:cstheme="minorHAnsi"/>
        </w:rPr>
        <w:t xml:space="preserve"> documentation in the patient record for the index hospitalization that a patient who was eligible for CR/SP referral had a patient, medical, or healthcare system exception that prohibited their participation in CR/SP</w:t>
      </w:r>
    </w:p>
    <w:p w14:paraId="12845366" w14:textId="77777777" w:rsidR="004B41D5" w:rsidRPr="00C94B70" w:rsidRDefault="004B41D5" w:rsidP="004B41D5">
      <w:pPr>
        <w:rPr>
          <w:rFonts w:cstheme="minorHAnsi"/>
        </w:rPr>
      </w:pPr>
      <w:r w:rsidRPr="00C94B70">
        <w:rPr>
          <w:rFonts w:cstheme="minorHAnsi"/>
        </w:rPr>
        <w:t>Analyses were performed as follows:</w:t>
      </w:r>
    </w:p>
    <w:p w14:paraId="798039EE" w14:textId="77777777" w:rsidR="004B41D5" w:rsidRPr="00C94B70" w:rsidRDefault="004B41D5" w:rsidP="004B41D5">
      <w:pPr>
        <w:numPr>
          <w:ilvl w:val="0"/>
          <w:numId w:val="30"/>
        </w:numPr>
        <w:spacing w:after="0" w:line="240" w:lineRule="auto"/>
        <w:rPr>
          <w:rFonts w:cstheme="minorHAnsi"/>
        </w:rPr>
      </w:pPr>
      <w:r w:rsidRPr="00C94B70">
        <w:rPr>
          <w:rFonts w:cstheme="minorHAnsi"/>
        </w:rPr>
        <w:t>Intra-rater and inter-rater agreement between patient record reviews</w:t>
      </w:r>
    </w:p>
    <w:p w14:paraId="473B6369" w14:textId="77777777" w:rsidR="004B41D5" w:rsidRPr="00C94B70" w:rsidRDefault="004B41D5" w:rsidP="004B41D5">
      <w:pPr>
        <w:ind w:left="1440"/>
        <w:rPr>
          <w:rFonts w:cstheme="minorHAnsi"/>
        </w:rPr>
      </w:pPr>
      <w:r w:rsidRPr="00C94B70">
        <w:rPr>
          <w:rFonts w:cstheme="minorHAnsi"/>
        </w:rPr>
        <w:t>Eligibility:  Was the patient eligible for CR/SP referral?</w:t>
      </w:r>
    </w:p>
    <w:p w14:paraId="4C61880A" w14:textId="77777777" w:rsidR="004B41D5" w:rsidRPr="00C94B70" w:rsidRDefault="004B41D5" w:rsidP="004B41D5">
      <w:pPr>
        <w:ind w:left="1440"/>
        <w:rPr>
          <w:rFonts w:cstheme="minorHAnsi"/>
        </w:rPr>
      </w:pPr>
      <w:r w:rsidRPr="00C94B70">
        <w:rPr>
          <w:rFonts w:cstheme="minorHAnsi"/>
        </w:rPr>
        <w:t>CR/SP Referral:  Was each eligible patient referred to CR/SP?</w:t>
      </w:r>
    </w:p>
    <w:p w14:paraId="54ACB9C1" w14:textId="77777777" w:rsidR="004B41D5" w:rsidRPr="00C94B70" w:rsidRDefault="004B41D5" w:rsidP="004B41D5">
      <w:pPr>
        <w:ind w:left="1440"/>
        <w:rPr>
          <w:rFonts w:cstheme="minorHAnsi"/>
        </w:rPr>
      </w:pPr>
      <w:r w:rsidRPr="00C94B70">
        <w:rPr>
          <w:rFonts w:cstheme="minorHAnsi"/>
        </w:rPr>
        <w:t>Exceptions:  For patients not referred to CR/SP, was/were any exception(s) to CR/SP documented?</w:t>
      </w:r>
    </w:p>
    <w:p w14:paraId="015EFDF4" w14:textId="77777777" w:rsidR="004B41D5" w:rsidRPr="00C94B70" w:rsidRDefault="004B41D5" w:rsidP="004B41D5">
      <w:pPr>
        <w:numPr>
          <w:ilvl w:val="0"/>
          <w:numId w:val="30"/>
        </w:numPr>
        <w:spacing w:after="0" w:line="240" w:lineRule="auto"/>
        <w:rPr>
          <w:rFonts w:cstheme="minorHAnsi"/>
        </w:rPr>
      </w:pPr>
      <w:r w:rsidRPr="00C94B70">
        <w:rPr>
          <w:rFonts w:cstheme="minorHAnsi"/>
        </w:rPr>
        <w:t>Percent agreement</w:t>
      </w:r>
    </w:p>
    <w:p w14:paraId="34412F24" w14:textId="77777777" w:rsidR="004B41D5" w:rsidRPr="00C94B70" w:rsidRDefault="004B41D5" w:rsidP="004B41D5">
      <w:pPr>
        <w:ind w:left="1440"/>
        <w:rPr>
          <w:rFonts w:cstheme="minorHAnsi"/>
        </w:rPr>
      </w:pPr>
      <w:r w:rsidRPr="00C94B70">
        <w:rPr>
          <w:rFonts w:cstheme="minorHAnsi"/>
        </w:rPr>
        <w:t>In what percentage of patient record abstractions did the abstractors agree (for both intra-rater and inter-rater agreement)?</w:t>
      </w:r>
    </w:p>
    <w:p w14:paraId="43BA4614" w14:textId="77777777" w:rsidR="004B41D5" w:rsidRPr="00C94B70" w:rsidRDefault="004B41D5" w:rsidP="004B41D5">
      <w:pPr>
        <w:numPr>
          <w:ilvl w:val="0"/>
          <w:numId w:val="30"/>
        </w:numPr>
        <w:spacing w:after="0" w:line="240" w:lineRule="auto"/>
        <w:rPr>
          <w:rFonts w:cstheme="minorHAnsi"/>
        </w:rPr>
      </w:pPr>
      <w:r w:rsidRPr="00C94B70">
        <w:rPr>
          <w:rFonts w:cstheme="minorHAnsi"/>
        </w:rPr>
        <w:t>Kappa statistic</w:t>
      </w:r>
    </w:p>
    <w:p w14:paraId="5C1F55FA" w14:textId="77777777" w:rsidR="004B41D5" w:rsidRPr="00C94B70" w:rsidRDefault="004B41D5" w:rsidP="004B41D5">
      <w:pPr>
        <w:ind w:left="92"/>
        <w:rPr>
          <w:rFonts w:cstheme="minorHAnsi"/>
        </w:rPr>
      </w:pPr>
      <w:r w:rsidRPr="00C94B70">
        <w:rPr>
          <w:rFonts w:cstheme="minorHAnsi"/>
        </w:rPr>
        <w:t>Site specific:  Calculated for the 2 abstractors at each site, to compare intra- and inter-abstractor reliability, with regards to his/her assessment of:  (1) eligibility for CR/SP referral</w:t>
      </w:r>
      <w:proofErr w:type="gramStart"/>
      <w:r w:rsidRPr="00C94B70">
        <w:rPr>
          <w:rFonts w:cstheme="minorHAnsi"/>
        </w:rPr>
        <w:t>,  (</w:t>
      </w:r>
      <w:proofErr w:type="gramEnd"/>
      <w:r w:rsidRPr="00C94B70">
        <w:rPr>
          <w:rFonts w:cstheme="minorHAnsi"/>
        </w:rPr>
        <w:t>2) referral to CR/SP, and (3) exceptions to CR/SP referral</w:t>
      </w:r>
    </w:p>
    <w:p w14:paraId="39323ED9" w14:textId="77777777" w:rsidR="004B41D5" w:rsidRPr="00C94B70" w:rsidRDefault="004B41D5" w:rsidP="004B41D5">
      <w:pPr>
        <w:ind w:left="92"/>
        <w:rPr>
          <w:rFonts w:cstheme="minorHAnsi"/>
        </w:rPr>
      </w:pPr>
      <w:r w:rsidRPr="00C94B70">
        <w:rPr>
          <w:rFonts w:cstheme="minorHAnsi"/>
        </w:rPr>
        <w:t>Pooled estimate:  data from all sites were combined to calculate a pooled kappa statistic for intra- and inter-observer reliability for assessing CR/SP eligibility, referral, and exceptions.</w:t>
      </w:r>
    </w:p>
    <w:p w14:paraId="57A1DB4E" w14:textId="77777777" w:rsidR="004B41D5" w:rsidRPr="00C94B70" w:rsidRDefault="004B41D5" w:rsidP="004B41D5">
      <w:pPr>
        <w:ind w:left="92"/>
        <w:rPr>
          <w:rFonts w:cstheme="minorHAnsi"/>
        </w:rPr>
      </w:pPr>
      <w:r w:rsidRPr="00C94B70">
        <w:rPr>
          <w:rFonts w:cstheme="minorHAnsi"/>
        </w:rPr>
        <w:t>By convention, a kappa &gt; .70 is considered acceptable inter-rater reliability</w:t>
      </w:r>
      <w:proofErr w:type="gramStart"/>
      <w:r w:rsidRPr="00C94B70">
        <w:rPr>
          <w:rFonts w:cstheme="minorHAnsi"/>
        </w:rPr>
        <w:t>.(</w:t>
      </w:r>
      <w:proofErr w:type="gramEnd"/>
      <w:r w:rsidRPr="00C94B70">
        <w:rPr>
          <w:rFonts w:cstheme="minorHAnsi"/>
        </w:rPr>
        <w:t>1) We used the scale below for our analysis.</w:t>
      </w:r>
    </w:p>
    <w:p w14:paraId="77671C52" w14:textId="77777777" w:rsidR="004B41D5" w:rsidRPr="00C94B70" w:rsidRDefault="004B41D5" w:rsidP="004B41D5">
      <w:pPr>
        <w:spacing w:after="0" w:line="240" w:lineRule="auto"/>
        <w:ind w:left="92"/>
        <w:rPr>
          <w:rFonts w:cstheme="minorHAnsi"/>
        </w:rPr>
      </w:pPr>
      <w:r w:rsidRPr="00C94B70">
        <w:rPr>
          <w:rFonts w:cstheme="minorHAnsi"/>
        </w:rPr>
        <w:t>0:  No better than chance</w:t>
      </w:r>
    </w:p>
    <w:p w14:paraId="49B65F96" w14:textId="77777777" w:rsidR="004B41D5" w:rsidRPr="00C94B70" w:rsidRDefault="004B41D5" w:rsidP="004B41D5">
      <w:pPr>
        <w:spacing w:after="0" w:line="240" w:lineRule="auto"/>
        <w:ind w:left="92"/>
        <w:rPr>
          <w:rFonts w:cstheme="minorHAnsi"/>
        </w:rPr>
      </w:pPr>
      <w:r w:rsidRPr="00C94B70">
        <w:rPr>
          <w:rFonts w:cstheme="minorHAnsi"/>
        </w:rPr>
        <w:t xml:space="preserve">0.01-0.20:   Slight </w:t>
      </w:r>
    </w:p>
    <w:p w14:paraId="747DE99C" w14:textId="77777777" w:rsidR="004B41D5" w:rsidRPr="00C94B70" w:rsidRDefault="004B41D5" w:rsidP="004B41D5">
      <w:pPr>
        <w:spacing w:after="0" w:line="240" w:lineRule="auto"/>
        <w:ind w:left="92"/>
        <w:rPr>
          <w:rFonts w:cstheme="minorHAnsi"/>
        </w:rPr>
      </w:pPr>
      <w:r w:rsidRPr="00C94B70">
        <w:rPr>
          <w:rFonts w:cstheme="minorHAnsi"/>
        </w:rPr>
        <w:t>0.21-0.40:  Fair</w:t>
      </w:r>
    </w:p>
    <w:p w14:paraId="1D7809FF" w14:textId="77777777" w:rsidR="004B41D5" w:rsidRPr="00C94B70" w:rsidRDefault="004B41D5" w:rsidP="004B41D5">
      <w:pPr>
        <w:spacing w:after="0" w:line="240" w:lineRule="auto"/>
        <w:ind w:left="92"/>
        <w:rPr>
          <w:rFonts w:cstheme="minorHAnsi"/>
        </w:rPr>
      </w:pPr>
      <w:r w:rsidRPr="00C94B70">
        <w:rPr>
          <w:rFonts w:cstheme="minorHAnsi"/>
        </w:rPr>
        <w:t>0.41-0.60:   Moderate</w:t>
      </w:r>
    </w:p>
    <w:p w14:paraId="21244CF0" w14:textId="77777777" w:rsidR="004B41D5" w:rsidRPr="00C94B70" w:rsidRDefault="004B41D5" w:rsidP="004B41D5">
      <w:pPr>
        <w:spacing w:after="0" w:line="240" w:lineRule="auto"/>
        <w:ind w:left="92"/>
        <w:rPr>
          <w:rFonts w:cstheme="minorHAnsi"/>
          <w:iCs/>
        </w:rPr>
      </w:pPr>
      <w:r w:rsidRPr="00C94B70">
        <w:rPr>
          <w:rFonts w:cstheme="minorHAnsi"/>
        </w:rPr>
        <w:t>0.61-0.80:  Substantial</w:t>
      </w:r>
    </w:p>
    <w:p w14:paraId="08A849BD" w14:textId="77777777" w:rsidR="004B41D5" w:rsidRPr="00C94B70" w:rsidRDefault="004B41D5" w:rsidP="004B41D5">
      <w:pPr>
        <w:spacing w:after="0" w:line="240" w:lineRule="auto"/>
        <w:ind w:left="92"/>
        <w:rPr>
          <w:rFonts w:cstheme="minorHAnsi"/>
          <w:iCs/>
        </w:rPr>
      </w:pPr>
      <w:r w:rsidRPr="00C94B70">
        <w:rPr>
          <w:rFonts w:cstheme="minorHAnsi"/>
        </w:rPr>
        <w:t>0.81-1.0:  Almost perfect</w:t>
      </w:r>
    </w:p>
    <w:p w14:paraId="3B219421" w14:textId="77777777" w:rsidR="004B41D5" w:rsidRPr="00C94B70" w:rsidRDefault="004B41D5" w:rsidP="004B41D5">
      <w:pPr>
        <w:ind w:left="92"/>
        <w:rPr>
          <w:rFonts w:cstheme="minorHAnsi"/>
        </w:rPr>
      </w:pPr>
      <w:r w:rsidRPr="00C94B70">
        <w:rPr>
          <w:rFonts w:cstheme="minorHAnsi"/>
        </w:rPr>
        <w:lastRenderedPageBreak/>
        <w:t xml:space="preserve">(Reference:  Landis J, Koch G, The measurement of observer agreement for categorical data, </w:t>
      </w:r>
      <w:r w:rsidRPr="00C94B70">
        <w:rPr>
          <w:rFonts w:cstheme="minorHAnsi"/>
          <w:i/>
          <w:iCs/>
        </w:rPr>
        <w:t>Biometrics</w:t>
      </w:r>
      <w:r w:rsidRPr="00C94B70">
        <w:rPr>
          <w:rFonts w:cstheme="minorHAnsi"/>
        </w:rPr>
        <w:t>, 1977</w:t>
      </w:r>
      <w:proofErr w:type="gramStart"/>
      <w:r w:rsidRPr="00C94B70">
        <w:rPr>
          <w:rFonts w:cstheme="minorHAnsi"/>
        </w:rPr>
        <w:t>;33:159</w:t>
      </w:r>
      <w:proofErr w:type="gramEnd"/>
      <w:r w:rsidRPr="00C94B70">
        <w:rPr>
          <w:rFonts w:cstheme="minorHAnsi"/>
        </w:rPr>
        <w:t xml:space="preserve">-174.) </w:t>
      </w:r>
    </w:p>
    <w:p w14:paraId="123C7FDF" w14:textId="77777777" w:rsidR="004B41D5" w:rsidRPr="00C94B70" w:rsidRDefault="004B41D5" w:rsidP="004B41D5">
      <w:pPr>
        <w:ind w:left="92"/>
        <w:rPr>
          <w:rFonts w:cstheme="minorHAnsi"/>
          <w:iCs/>
        </w:rPr>
      </w:pPr>
      <w:r w:rsidRPr="00C94B70">
        <w:rPr>
          <w:rFonts w:cstheme="minorHAnsi"/>
          <w:iCs/>
        </w:rPr>
        <w:t>It is important to consider both the “percent agreement” and the kappa statistic when assessing the reliability of abstracting this performance measure from patient records, especially for the assessment of “eligibility” and “exceptions”.  Each method of reliability assessment gives a slightly different view of reliability in this case.</w:t>
      </w:r>
    </w:p>
    <w:p w14:paraId="3602453C" w14:textId="77777777" w:rsidR="004B41D5" w:rsidRPr="00C94B70" w:rsidRDefault="004B41D5" w:rsidP="004B41D5">
      <w:pPr>
        <w:ind w:left="92"/>
        <w:rPr>
          <w:rFonts w:cstheme="minorHAnsi"/>
          <w:iCs/>
        </w:rPr>
      </w:pPr>
      <w:r w:rsidRPr="00C94B70">
        <w:rPr>
          <w:rFonts w:cstheme="minorHAnsi"/>
          <w:iCs/>
        </w:rPr>
        <w:t xml:space="preserve">“Percent agreement” is a helpful assessment of reliability of the measure, but given that over 80% of the patients in the study sample were eligible for cardiac rehabilitation, and more than 90% of the patients were free from exceptions to cardiac rehabilitation participation, the percent agreement for the abstractors may have been somewhat inflated, since by chance alone abstractors may have chosen the “right” eligibility or exception status.  (To help minimize this, we blinded the abstractors to the actual number/percentage of patients who were eligible for cardiac rehabilitation in their sample.  In addition, abstractors were unaware of the range of exceptions that would be expected in their sample.) </w:t>
      </w:r>
    </w:p>
    <w:p w14:paraId="1026E39E" w14:textId="77777777" w:rsidR="004B41D5" w:rsidRPr="00C94B70" w:rsidRDefault="004B41D5" w:rsidP="004B41D5">
      <w:pPr>
        <w:ind w:left="92"/>
        <w:rPr>
          <w:rFonts w:cstheme="minorHAnsi"/>
          <w:iCs/>
        </w:rPr>
      </w:pPr>
      <w:r w:rsidRPr="00C94B70">
        <w:rPr>
          <w:rFonts w:cstheme="minorHAnsi"/>
          <w:iCs/>
        </w:rPr>
        <w:t xml:space="preserve">The kappa statistic performs best when there is nearly equal chance of study outcomes (for example, equal chance of being eligible or not eligible for cardiac rehabilitation).  When there is a high likelihood of one of the two outcomes, as in our study (high likelihood of eligibility), the results of the kappa analyses can sometimes be less accurate and actually underestimate the true reliability the measure due to a phenomenon that is referred to as a “kappa score paradox” in which there is high percent agreement, yet a low kappa score.  (Reference:  Lantz CA, </w:t>
      </w:r>
      <w:proofErr w:type="spellStart"/>
      <w:r w:rsidRPr="00C94B70">
        <w:rPr>
          <w:rFonts w:cstheme="minorHAnsi"/>
          <w:iCs/>
        </w:rPr>
        <w:t>Nebenzahl</w:t>
      </w:r>
      <w:proofErr w:type="spellEnd"/>
      <w:r w:rsidRPr="00C94B70">
        <w:rPr>
          <w:rFonts w:cstheme="minorHAnsi"/>
          <w:iCs/>
        </w:rPr>
        <w:t xml:space="preserve"> E.  Behavior and interpretation of the kappa statistic:  resolution of the two paradoxes</w:t>
      </w:r>
      <w:r w:rsidRPr="00C94B70">
        <w:rPr>
          <w:rFonts w:cstheme="minorHAnsi"/>
          <w:i/>
          <w:iCs/>
        </w:rPr>
        <w:t xml:space="preserve">.  </w:t>
      </w:r>
      <w:hyperlink r:id="rId14" w:anchor="#" w:tooltip="Journal of clinical epidemiology." w:history="1">
        <w:proofErr w:type="gramStart"/>
        <w:r w:rsidRPr="00C94B70">
          <w:rPr>
            <w:rStyle w:val="Hyperlink"/>
            <w:rFonts w:cstheme="minorHAnsi"/>
            <w:i/>
            <w:color w:val="auto"/>
          </w:rPr>
          <w:t xml:space="preserve">J </w:t>
        </w:r>
        <w:proofErr w:type="spellStart"/>
        <w:r w:rsidRPr="00C94B70">
          <w:rPr>
            <w:rStyle w:val="Hyperlink"/>
            <w:rFonts w:cstheme="minorHAnsi"/>
            <w:i/>
            <w:color w:val="auto"/>
          </w:rPr>
          <w:t>Clin</w:t>
        </w:r>
        <w:proofErr w:type="spellEnd"/>
        <w:r w:rsidRPr="00C94B70">
          <w:rPr>
            <w:rStyle w:val="Hyperlink"/>
            <w:rFonts w:cstheme="minorHAnsi"/>
            <w:i/>
            <w:color w:val="auto"/>
          </w:rPr>
          <w:t xml:space="preserve"> </w:t>
        </w:r>
        <w:proofErr w:type="spellStart"/>
        <w:r w:rsidRPr="00C94B70">
          <w:rPr>
            <w:rStyle w:val="Hyperlink"/>
            <w:rFonts w:cstheme="minorHAnsi"/>
            <w:i/>
            <w:color w:val="auto"/>
          </w:rPr>
          <w:t>Epidemiol</w:t>
        </w:r>
        <w:proofErr w:type="spellEnd"/>
        <w:r w:rsidRPr="00C94B70">
          <w:rPr>
            <w:rStyle w:val="Hyperlink"/>
            <w:rFonts w:cstheme="minorHAnsi"/>
            <w:i/>
            <w:color w:val="auto"/>
          </w:rPr>
          <w:t>.</w:t>
        </w:r>
        <w:proofErr w:type="gramEnd"/>
      </w:hyperlink>
      <w:r w:rsidRPr="00C94B70">
        <w:rPr>
          <w:rFonts w:cstheme="minorHAnsi"/>
        </w:rPr>
        <w:t xml:space="preserve"> 1996 Apr</w:t>
      </w:r>
      <w:proofErr w:type="gramStart"/>
      <w:r w:rsidRPr="00C94B70">
        <w:rPr>
          <w:rFonts w:cstheme="minorHAnsi"/>
        </w:rPr>
        <w:t>;49</w:t>
      </w:r>
      <w:proofErr w:type="gramEnd"/>
      <w:r w:rsidRPr="00C94B70">
        <w:rPr>
          <w:rFonts w:cstheme="minorHAnsi"/>
        </w:rPr>
        <w:t>(4):431-4.)</w:t>
      </w:r>
      <w:r w:rsidRPr="00C94B70">
        <w:rPr>
          <w:rFonts w:cstheme="minorHAnsi"/>
          <w:iCs/>
        </w:rPr>
        <w:t xml:space="preserve">  Indeed, we observed in our site specific analyses that in some centers with very high percent agreement within and between abstractors, the kappa statistics were very low or even zero in some rare cases.  With this in mind, the kappa statistic may underestimate the true reliability of the CR measure.</w:t>
      </w:r>
    </w:p>
    <w:p w14:paraId="3EF6EF8D" w14:textId="77777777" w:rsidR="004B41D5" w:rsidRPr="00C94B70" w:rsidRDefault="004B41D5" w:rsidP="004B41D5">
      <w:pPr>
        <w:ind w:left="92"/>
        <w:rPr>
          <w:rFonts w:cstheme="minorHAnsi"/>
          <w:iCs/>
        </w:rPr>
      </w:pPr>
      <w:r w:rsidRPr="00C94B70">
        <w:rPr>
          <w:rFonts w:cstheme="minorHAnsi"/>
          <w:iCs/>
        </w:rPr>
        <w:t>Using both the “percent agreement” and the kappa statistic together provides a robust view of the reliability of the CR performance measure.  One (“percent agreement”) may slightly overestimate reliability and the other (kappa statistic) may slightly underestimate reliability.  The true reliability of the measure most likely lies between the results from the two methods of assessment.  Since the “percent agreement” method suggests “almost perfect” reliability and the kappa statistic suggests “substantial” to “almost perfect” reliability, the overall reliability of the CR performance measure appears to be between “substantial” and “almost perfect”</w:t>
      </w:r>
      <w:r w:rsidRPr="00C94B70" w:rsidDel="009056F8">
        <w:rPr>
          <w:rFonts w:cstheme="minorHAnsi"/>
          <w:iCs/>
        </w:rPr>
        <w:t xml:space="preserve"> </w:t>
      </w:r>
    </w:p>
    <w:p w14:paraId="2250D52F" w14:textId="77777777" w:rsidR="004B41D5" w:rsidRPr="00C94B70" w:rsidRDefault="004B41D5" w:rsidP="004B41D5">
      <w:pPr>
        <w:rPr>
          <w:rFonts w:cstheme="minorHAnsi"/>
          <w:b/>
          <w:bCs/>
        </w:rPr>
      </w:pPr>
      <w:r w:rsidRPr="00C94B70">
        <w:rPr>
          <w:rFonts w:cstheme="minorHAnsi"/>
          <w:b/>
          <w:bCs/>
        </w:rPr>
        <w:t>PINNACLE Registry:</w:t>
      </w:r>
    </w:p>
    <w:p w14:paraId="120F2134" w14:textId="77777777" w:rsidR="004B41D5" w:rsidRPr="00C94B70" w:rsidRDefault="004B41D5" w:rsidP="004B41D5">
      <w:pPr>
        <w:rPr>
          <w:rFonts w:cstheme="minorHAnsi"/>
        </w:rPr>
      </w:pPr>
      <w:r w:rsidRPr="00C94B70">
        <w:rPr>
          <w:rFonts w:cstheme="minorHAnsi"/>
        </w:rPr>
        <w:t xml:space="preserve">Data were used to assess reliability and other performance characteristics for centers participating in the PINNACLE Registry from January 1 2011 until December 31, 2012.   </w:t>
      </w:r>
    </w:p>
    <w:p w14:paraId="6979730C" w14:textId="77777777" w:rsidR="004B41D5" w:rsidRPr="00C94B70" w:rsidRDefault="004B41D5" w:rsidP="004B41D5">
      <w:pPr>
        <w:autoSpaceDE w:val="0"/>
        <w:autoSpaceDN w:val="0"/>
        <w:adjustRightInd w:val="0"/>
        <w:rPr>
          <w:rFonts w:cstheme="minorHAnsi"/>
        </w:rPr>
      </w:pPr>
      <w:r w:rsidRPr="00C94B70">
        <w:rPr>
          <w:rFonts w:cstheme="minorHAnsi"/>
        </w:rPr>
        <w:t>Reliability of the computed measure score was measured as the ratio of signal to noise. The signal in this case is the proportion of the variability in measured performance that can be explained by real differences in physician performance. Reliability at the level of the specific physician is given by:</w:t>
      </w:r>
    </w:p>
    <w:p w14:paraId="733F852C" w14:textId="77777777" w:rsidR="004B41D5" w:rsidRPr="00C94B70" w:rsidRDefault="004B41D5" w:rsidP="004B41D5">
      <w:pPr>
        <w:autoSpaceDE w:val="0"/>
        <w:autoSpaceDN w:val="0"/>
        <w:adjustRightInd w:val="0"/>
        <w:rPr>
          <w:rFonts w:cstheme="minorHAnsi"/>
        </w:rPr>
      </w:pPr>
      <w:r w:rsidRPr="00C94B70">
        <w:rPr>
          <w:rFonts w:cstheme="minorHAnsi"/>
        </w:rPr>
        <w:lastRenderedPageBreak/>
        <w:t>Reliability = Variance (physician-to-physician) / [Variance (physician-to-</w:t>
      </w:r>
      <w:proofErr w:type="gramStart"/>
      <w:r w:rsidRPr="00C94B70">
        <w:rPr>
          <w:rFonts w:cstheme="minorHAnsi"/>
        </w:rPr>
        <w:t>physician )</w:t>
      </w:r>
      <w:proofErr w:type="gramEnd"/>
      <w:r w:rsidRPr="00C94B70">
        <w:rPr>
          <w:rFonts w:cstheme="minorHAnsi"/>
        </w:rPr>
        <w:t xml:space="preserve"> + Variance (physician-specific-error]</w:t>
      </w:r>
    </w:p>
    <w:p w14:paraId="66E4E5D0" w14:textId="77777777" w:rsidR="004B41D5" w:rsidRPr="00C94B70" w:rsidRDefault="004B41D5" w:rsidP="004B41D5">
      <w:pPr>
        <w:autoSpaceDE w:val="0"/>
        <w:autoSpaceDN w:val="0"/>
        <w:adjustRightInd w:val="0"/>
        <w:rPr>
          <w:rFonts w:cstheme="minorHAnsi"/>
        </w:rPr>
      </w:pPr>
      <w:r w:rsidRPr="00C94B70">
        <w:rPr>
          <w:rFonts w:cstheme="minorHAnsi"/>
        </w:rPr>
        <w:t>Reliability is the ratio of the physician-to-physician variance divided by the sum of the physician-to-physician variance plus the error variance specific to a physician. A reliability of zero implies that all the variability in a measure is attributable to measurement error. A reliability of one implies that all the variability is attributable to real differences in physician performance.</w:t>
      </w:r>
    </w:p>
    <w:p w14:paraId="76514DED" w14:textId="77777777" w:rsidR="004B41D5" w:rsidRPr="00C94B70" w:rsidRDefault="004B41D5" w:rsidP="004B41D5">
      <w:pPr>
        <w:autoSpaceDE w:val="0"/>
        <w:autoSpaceDN w:val="0"/>
        <w:adjustRightInd w:val="0"/>
        <w:rPr>
          <w:rFonts w:cstheme="minorHAnsi"/>
        </w:rPr>
      </w:pPr>
      <w:r w:rsidRPr="00C94B70">
        <w:rPr>
          <w:rFonts w:cstheme="minorHAnsi"/>
        </w:rPr>
        <w:t>Reliability testing was performed by using a beta-binomial model. The beta-binomial model assumes the physician performance score is a binomial random variable conditional on the physician’s true value that comes from the beta distribution. The beta distribution is usually defined by two parameters, alpha and beta. Alpha and beta can be thought of as intermediate calculations to get to the needed variance estimates.</w:t>
      </w:r>
    </w:p>
    <w:p w14:paraId="2827767C" w14:textId="77777777" w:rsidR="004B41D5" w:rsidRPr="00C94B70" w:rsidRDefault="004B41D5" w:rsidP="004B41D5">
      <w:pPr>
        <w:autoSpaceDE w:val="0"/>
        <w:autoSpaceDN w:val="0"/>
        <w:adjustRightInd w:val="0"/>
        <w:rPr>
          <w:rFonts w:cstheme="minorHAnsi"/>
        </w:rPr>
      </w:pPr>
      <w:r w:rsidRPr="00C94B70">
        <w:rPr>
          <w:rFonts w:cstheme="minorHAnsi"/>
        </w:rPr>
        <w:t>Reliability is estimated five different points: at the minimum number of quality reporting events for the measure; at the mean number of quality reporting events per physician; and at the 25th, 50th and 75th percentiles of the number of quality reporting events.</w:t>
      </w:r>
    </w:p>
    <w:p w14:paraId="3D641962" w14:textId="77777777" w:rsidR="004B41D5" w:rsidRPr="00A25024" w:rsidRDefault="004B41D5" w:rsidP="008C54A9">
      <w:pPr>
        <w:autoSpaceDE w:val="0"/>
        <w:autoSpaceDN w:val="0"/>
        <w:adjustRightInd w:val="0"/>
        <w:spacing w:after="0" w:line="240" w:lineRule="auto"/>
        <w:rPr>
          <w:rFonts w:cstheme="minorHAnsi"/>
          <w:bCs/>
        </w:rPr>
      </w:pP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2ADD83B0" w14:textId="77777777" w:rsidR="004B41D5"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34C34AAC" w14:textId="77777777" w:rsidR="004B41D5" w:rsidRDefault="004B41D5" w:rsidP="008C54A9">
      <w:pPr>
        <w:autoSpaceDE w:val="0"/>
        <w:autoSpaceDN w:val="0"/>
        <w:adjustRightInd w:val="0"/>
        <w:spacing w:after="0" w:line="240" w:lineRule="auto"/>
        <w:rPr>
          <w:rFonts w:cstheme="minorHAnsi"/>
          <w:bCs/>
        </w:rPr>
      </w:pPr>
    </w:p>
    <w:p w14:paraId="4A4BA5CF" w14:textId="77777777" w:rsidR="004B41D5" w:rsidRPr="00C94B70" w:rsidRDefault="004B41D5" w:rsidP="004B41D5">
      <w:pPr>
        <w:spacing w:after="0" w:line="240" w:lineRule="auto"/>
        <w:rPr>
          <w:rFonts w:cstheme="minorHAnsi"/>
          <w:b/>
          <w:iCs/>
        </w:rPr>
      </w:pPr>
      <w:r w:rsidRPr="00C94B70">
        <w:rPr>
          <w:rFonts w:cstheme="minorHAnsi"/>
          <w:b/>
          <w:iCs/>
        </w:rPr>
        <w:t>AACVPR/ACCF/AHA CR3 Project (pooled data results):</w:t>
      </w:r>
    </w:p>
    <w:p w14:paraId="5324C878" w14:textId="77777777" w:rsidR="004B41D5" w:rsidRPr="00C94B70" w:rsidRDefault="004B41D5" w:rsidP="004B41D5">
      <w:pPr>
        <w:spacing w:after="0" w:line="240" w:lineRule="auto"/>
        <w:rPr>
          <w:rFonts w:cstheme="minorHAnsi"/>
          <w:b/>
          <w:bCs/>
        </w:rPr>
      </w:pPr>
    </w:p>
    <w:p w14:paraId="452B8E5E" w14:textId="77777777" w:rsidR="004B41D5" w:rsidRPr="00C94B70" w:rsidRDefault="004B41D5" w:rsidP="004B41D5">
      <w:pPr>
        <w:tabs>
          <w:tab w:val="left" w:pos="4602"/>
        </w:tabs>
        <w:spacing w:after="0" w:line="240" w:lineRule="auto"/>
        <w:rPr>
          <w:rFonts w:cstheme="minorHAnsi"/>
        </w:rPr>
      </w:pPr>
      <w:r w:rsidRPr="00C94B70">
        <w:rPr>
          <w:rFonts w:cstheme="minorHAnsi"/>
        </w:rPr>
        <w:t xml:space="preserve">The abstractor and coordinator experiences in chart abstraction prior to participating in the CR3 project varied greatly. The summary data is below. </w:t>
      </w:r>
    </w:p>
    <w:p w14:paraId="33017FC5" w14:textId="77777777" w:rsidR="004B41D5" w:rsidRPr="00C94B70" w:rsidRDefault="004B41D5" w:rsidP="004B41D5">
      <w:pPr>
        <w:spacing w:after="0" w:line="240" w:lineRule="auto"/>
        <w:rPr>
          <w:rFonts w:cstheme="minorHAnsi"/>
        </w:rPr>
      </w:pPr>
    </w:p>
    <w:p w14:paraId="5B8F7751" w14:textId="77777777" w:rsidR="004B41D5" w:rsidRPr="00C94B70" w:rsidRDefault="004B41D5" w:rsidP="004B41D5">
      <w:pPr>
        <w:spacing w:after="0" w:line="240" w:lineRule="auto"/>
        <w:rPr>
          <w:rFonts w:cstheme="minorHAnsi"/>
        </w:rPr>
      </w:pPr>
      <w:r w:rsidRPr="00C94B70">
        <w:rPr>
          <w:rFonts w:cstheme="minorHAnsi"/>
        </w:rPr>
        <w:t xml:space="preserve">Less than 1 </w:t>
      </w:r>
      <w:proofErr w:type="gramStart"/>
      <w:r w:rsidRPr="00C94B70">
        <w:rPr>
          <w:rFonts w:cstheme="minorHAnsi"/>
        </w:rPr>
        <w:t>month  39</w:t>
      </w:r>
      <w:proofErr w:type="gramEnd"/>
      <w:r w:rsidRPr="00C94B70">
        <w:rPr>
          <w:rFonts w:cstheme="minorHAnsi"/>
        </w:rPr>
        <w:t>% (n= 11)</w:t>
      </w:r>
    </w:p>
    <w:p w14:paraId="29E13498" w14:textId="77777777" w:rsidR="004B41D5" w:rsidRPr="00C94B70" w:rsidRDefault="004B41D5" w:rsidP="004B41D5">
      <w:pPr>
        <w:spacing w:after="0" w:line="240" w:lineRule="auto"/>
        <w:rPr>
          <w:rFonts w:cstheme="minorHAnsi"/>
        </w:rPr>
      </w:pPr>
      <w:r w:rsidRPr="00C94B70">
        <w:rPr>
          <w:rFonts w:cstheme="minorHAnsi"/>
        </w:rPr>
        <w:t>1-6 months    11% (n=3)</w:t>
      </w:r>
    </w:p>
    <w:p w14:paraId="3FAB80B6" w14:textId="77777777" w:rsidR="004B41D5" w:rsidRPr="00C94B70" w:rsidRDefault="004B41D5" w:rsidP="004B41D5">
      <w:pPr>
        <w:spacing w:after="0" w:line="240" w:lineRule="auto"/>
        <w:rPr>
          <w:rFonts w:cstheme="minorHAnsi"/>
        </w:rPr>
      </w:pPr>
      <w:r w:rsidRPr="00C94B70">
        <w:rPr>
          <w:rFonts w:cstheme="minorHAnsi"/>
        </w:rPr>
        <w:t>6-12 months   7% (n=2)</w:t>
      </w:r>
    </w:p>
    <w:p w14:paraId="3175A9A0" w14:textId="77777777" w:rsidR="004B41D5" w:rsidRPr="00C94B70" w:rsidRDefault="004B41D5" w:rsidP="004B41D5">
      <w:pPr>
        <w:spacing w:after="0" w:line="240" w:lineRule="auto"/>
        <w:rPr>
          <w:rFonts w:cstheme="minorHAnsi"/>
        </w:rPr>
      </w:pPr>
      <w:r w:rsidRPr="00C94B70">
        <w:rPr>
          <w:rFonts w:cstheme="minorHAnsi"/>
        </w:rPr>
        <w:t xml:space="preserve">1-2 </w:t>
      </w:r>
      <w:proofErr w:type="spellStart"/>
      <w:r w:rsidRPr="00C94B70">
        <w:rPr>
          <w:rFonts w:cstheme="minorHAnsi"/>
        </w:rPr>
        <w:t>yrs</w:t>
      </w:r>
      <w:proofErr w:type="spellEnd"/>
      <w:r w:rsidRPr="00C94B70">
        <w:rPr>
          <w:rFonts w:cstheme="minorHAnsi"/>
        </w:rPr>
        <w:t xml:space="preserve">   4% (n=1)</w:t>
      </w:r>
    </w:p>
    <w:p w14:paraId="09F91AFF" w14:textId="77777777" w:rsidR="004B41D5" w:rsidRPr="00C94B70" w:rsidRDefault="004B41D5" w:rsidP="004B41D5">
      <w:pPr>
        <w:spacing w:after="0" w:line="240" w:lineRule="auto"/>
        <w:rPr>
          <w:rFonts w:cstheme="minorHAnsi"/>
        </w:rPr>
      </w:pPr>
      <w:r w:rsidRPr="00C94B70">
        <w:rPr>
          <w:rFonts w:cstheme="minorHAnsi"/>
        </w:rPr>
        <w:t xml:space="preserve">2-3 </w:t>
      </w:r>
      <w:proofErr w:type="spellStart"/>
      <w:r w:rsidRPr="00C94B70">
        <w:rPr>
          <w:rFonts w:cstheme="minorHAnsi"/>
        </w:rPr>
        <w:t>yrs</w:t>
      </w:r>
      <w:proofErr w:type="spellEnd"/>
      <w:r w:rsidRPr="00C94B70">
        <w:rPr>
          <w:rFonts w:cstheme="minorHAnsi"/>
        </w:rPr>
        <w:t xml:space="preserve"> 4% (n=1)</w:t>
      </w:r>
    </w:p>
    <w:p w14:paraId="348D6122" w14:textId="77777777" w:rsidR="004B41D5" w:rsidRPr="00C94B70" w:rsidRDefault="004B41D5" w:rsidP="004B41D5">
      <w:pPr>
        <w:spacing w:after="0" w:line="240" w:lineRule="auto"/>
        <w:rPr>
          <w:rFonts w:cstheme="minorHAnsi"/>
        </w:rPr>
      </w:pPr>
      <w:r w:rsidRPr="00C94B70">
        <w:rPr>
          <w:rFonts w:cstheme="minorHAnsi"/>
        </w:rPr>
        <w:t xml:space="preserve">3-4 </w:t>
      </w:r>
      <w:proofErr w:type="spellStart"/>
      <w:r w:rsidRPr="00C94B70">
        <w:rPr>
          <w:rFonts w:cstheme="minorHAnsi"/>
        </w:rPr>
        <w:t>yrs</w:t>
      </w:r>
      <w:proofErr w:type="spellEnd"/>
      <w:r w:rsidRPr="00C94B70">
        <w:rPr>
          <w:rFonts w:cstheme="minorHAnsi"/>
        </w:rPr>
        <w:t xml:space="preserve"> 11% (n=3)</w:t>
      </w:r>
    </w:p>
    <w:p w14:paraId="2ED42D8B" w14:textId="77777777" w:rsidR="004B41D5" w:rsidRPr="00C94B70" w:rsidRDefault="004B41D5" w:rsidP="004B41D5">
      <w:pPr>
        <w:spacing w:after="0" w:line="240" w:lineRule="auto"/>
        <w:rPr>
          <w:rFonts w:cstheme="minorHAnsi"/>
        </w:rPr>
      </w:pPr>
      <w:r w:rsidRPr="00C94B70">
        <w:rPr>
          <w:rFonts w:cstheme="minorHAnsi"/>
        </w:rPr>
        <w:t xml:space="preserve">4-5 </w:t>
      </w:r>
      <w:proofErr w:type="spellStart"/>
      <w:r w:rsidRPr="00C94B70">
        <w:rPr>
          <w:rFonts w:cstheme="minorHAnsi"/>
        </w:rPr>
        <w:t>yrs</w:t>
      </w:r>
      <w:proofErr w:type="spellEnd"/>
      <w:r w:rsidRPr="00C94B70">
        <w:rPr>
          <w:rFonts w:cstheme="minorHAnsi"/>
        </w:rPr>
        <w:t>___None</w:t>
      </w:r>
    </w:p>
    <w:p w14:paraId="1CE3FF52" w14:textId="77777777" w:rsidR="004B41D5" w:rsidRPr="00C94B70" w:rsidRDefault="004B41D5" w:rsidP="004B41D5">
      <w:pPr>
        <w:spacing w:after="0" w:line="240" w:lineRule="auto"/>
        <w:rPr>
          <w:rFonts w:cstheme="minorHAnsi"/>
        </w:rPr>
      </w:pPr>
      <w:r w:rsidRPr="00C94B70">
        <w:rPr>
          <w:rFonts w:cstheme="minorHAnsi"/>
        </w:rPr>
        <w:t>More than 5 years 25% (n=7)</w:t>
      </w:r>
    </w:p>
    <w:p w14:paraId="71C6ADC0" w14:textId="77777777" w:rsidR="004B41D5" w:rsidRPr="00C94B70" w:rsidRDefault="004B41D5" w:rsidP="004B41D5">
      <w:pPr>
        <w:spacing w:after="0" w:line="240" w:lineRule="auto"/>
        <w:rPr>
          <w:rFonts w:cstheme="minorHAnsi"/>
          <w:iCs/>
        </w:rPr>
      </w:pPr>
    </w:p>
    <w:p w14:paraId="6E048B18" w14:textId="77777777" w:rsidR="004B41D5" w:rsidRPr="00C94B70" w:rsidRDefault="004B41D5" w:rsidP="004B41D5">
      <w:pPr>
        <w:spacing w:after="0" w:line="240" w:lineRule="auto"/>
        <w:rPr>
          <w:rFonts w:cstheme="minorHAnsi"/>
          <w:iCs/>
        </w:rPr>
      </w:pPr>
      <w:r w:rsidRPr="00C94B70">
        <w:rPr>
          <w:rFonts w:cstheme="minorHAnsi"/>
          <w:iCs/>
        </w:rPr>
        <w:t>ARE PATIENTS ELIGIBLE FOR CARDIAC REHABILITATION?</w:t>
      </w:r>
    </w:p>
    <w:p w14:paraId="3F590A96" w14:textId="77777777" w:rsidR="004B41D5" w:rsidRPr="00C94B70" w:rsidRDefault="004B41D5" w:rsidP="004B41D5">
      <w:pPr>
        <w:spacing w:after="0" w:line="240" w:lineRule="auto"/>
        <w:rPr>
          <w:rFonts w:cstheme="minorHAnsi"/>
          <w:iCs/>
        </w:rPr>
      </w:pPr>
      <w:r w:rsidRPr="00C94B70">
        <w:rPr>
          <w:rFonts w:cstheme="minorHAnsi"/>
          <w:iCs/>
        </w:rPr>
        <w:t xml:space="preserve">Percentage deemed eligible for cardiac rehabilitation:  </w:t>
      </w:r>
      <w:r w:rsidRPr="00C94B70">
        <w:rPr>
          <w:rFonts w:cstheme="minorHAnsi"/>
        </w:rPr>
        <w:t>199 / 234 (85%) (</w:t>
      </w:r>
      <w:proofErr w:type="gramStart"/>
      <w:r w:rsidRPr="00C94B70">
        <w:rPr>
          <w:rFonts w:cstheme="minorHAnsi"/>
        </w:rPr>
        <w:t>mean</w:t>
      </w:r>
      <w:proofErr w:type="gramEnd"/>
      <w:r w:rsidRPr="00C94B70">
        <w:rPr>
          <w:rFonts w:cstheme="minorHAnsi"/>
        </w:rPr>
        <w:t xml:space="preserve"> of all observations)</w:t>
      </w:r>
    </w:p>
    <w:p w14:paraId="55F7E180" w14:textId="77777777" w:rsidR="004B41D5" w:rsidRPr="00C94B70" w:rsidRDefault="004B41D5" w:rsidP="004B41D5">
      <w:pPr>
        <w:spacing w:after="0" w:line="240" w:lineRule="auto"/>
        <w:rPr>
          <w:rFonts w:cstheme="minorHAnsi"/>
          <w:iCs/>
        </w:rPr>
      </w:pPr>
      <w:r w:rsidRPr="00C94B70">
        <w:rPr>
          <w:rFonts w:cstheme="minorHAnsi"/>
          <w:iCs/>
        </w:rPr>
        <w:t>(Actual percentage of patients who were eligible for cardiac rehabilitation:  200/234 (86%))</w:t>
      </w:r>
    </w:p>
    <w:p w14:paraId="2192D081" w14:textId="77777777" w:rsidR="004B41D5" w:rsidRPr="00C94B70" w:rsidRDefault="004B41D5" w:rsidP="004B41D5">
      <w:pPr>
        <w:spacing w:after="0" w:line="240" w:lineRule="auto"/>
        <w:rPr>
          <w:rFonts w:cstheme="minorHAnsi"/>
          <w:iCs/>
        </w:rPr>
      </w:pPr>
    </w:p>
    <w:p w14:paraId="1855B903" w14:textId="77777777" w:rsidR="004B41D5" w:rsidRPr="00C94B70" w:rsidRDefault="004B41D5" w:rsidP="004B41D5">
      <w:pPr>
        <w:spacing w:after="0" w:line="240" w:lineRule="auto"/>
        <w:rPr>
          <w:rFonts w:cstheme="minorHAnsi"/>
          <w:iCs/>
        </w:rPr>
      </w:pPr>
      <w:r w:rsidRPr="00C94B70">
        <w:rPr>
          <w:rFonts w:cstheme="minorHAnsi"/>
          <w:iCs/>
        </w:rPr>
        <w:t>Intra-rater reliability (agreement within the same abstractor):</w:t>
      </w:r>
    </w:p>
    <w:p w14:paraId="2BA75AE5" w14:textId="77777777" w:rsidR="004B41D5" w:rsidRPr="00C94B70" w:rsidRDefault="004B41D5" w:rsidP="004B41D5">
      <w:pPr>
        <w:spacing w:after="0" w:line="240" w:lineRule="auto"/>
        <w:rPr>
          <w:rFonts w:cstheme="minorHAnsi"/>
          <w:iCs/>
        </w:rPr>
      </w:pPr>
      <w:r w:rsidRPr="00C94B70">
        <w:rPr>
          <w:rFonts w:cstheme="minorHAnsi"/>
          <w:iCs/>
        </w:rPr>
        <w:t xml:space="preserve">% Agreement:  </w:t>
      </w:r>
      <w:r w:rsidRPr="00C94B70">
        <w:rPr>
          <w:rFonts w:cstheme="minorHAnsi"/>
        </w:rPr>
        <w:t>232 / 232 (100%)</w:t>
      </w:r>
    </w:p>
    <w:p w14:paraId="4E56BC83" w14:textId="77777777" w:rsidR="004B41D5" w:rsidRPr="00C94B70" w:rsidRDefault="004B41D5" w:rsidP="004B41D5">
      <w:pPr>
        <w:spacing w:after="0" w:line="240" w:lineRule="auto"/>
        <w:rPr>
          <w:rFonts w:cstheme="minorHAnsi"/>
          <w:iCs/>
        </w:rPr>
      </w:pPr>
      <w:r w:rsidRPr="00C94B70">
        <w:rPr>
          <w:rFonts w:cstheme="minorHAnsi"/>
          <w:iCs/>
        </w:rPr>
        <w:t>Kappa:  1.00 (-)</w:t>
      </w:r>
    </w:p>
    <w:p w14:paraId="708AC5B4" w14:textId="77777777" w:rsidR="004B41D5" w:rsidRPr="00C94B70" w:rsidRDefault="004B41D5" w:rsidP="004B41D5">
      <w:pPr>
        <w:spacing w:after="0" w:line="240" w:lineRule="auto"/>
        <w:rPr>
          <w:rFonts w:cstheme="minorHAnsi"/>
          <w:iCs/>
        </w:rPr>
      </w:pPr>
    </w:p>
    <w:p w14:paraId="16CF7B9C" w14:textId="77777777" w:rsidR="004B41D5" w:rsidRPr="00C94B70" w:rsidRDefault="004B41D5" w:rsidP="004B41D5">
      <w:pPr>
        <w:spacing w:after="0" w:line="240" w:lineRule="auto"/>
        <w:rPr>
          <w:rFonts w:cstheme="minorHAnsi"/>
          <w:iCs/>
        </w:rPr>
      </w:pPr>
      <w:r w:rsidRPr="00C94B70">
        <w:rPr>
          <w:rFonts w:cstheme="minorHAnsi"/>
          <w:iCs/>
        </w:rPr>
        <w:t>Inter-rater reliability (agreement between abstractors):</w:t>
      </w:r>
    </w:p>
    <w:p w14:paraId="30C5D4D5" w14:textId="77777777" w:rsidR="004B41D5" w:rsidRPr="00C94B70" w:rsidRDefault="004B41D5" w:rsidP="004B41D5">
      <w:pPr>
        <w:spacing w:after="0" w:line="240" w:lineRule="auto"/>
        <w:rPr>
          <w:rFonts w:cstheme="minorHAnsi"/>
          <w:iCs/>
        </w:rPr>
      </w:pPr>
      <w:r w:rsidRPr="00C94B70">
        <w:rPr>
          <w:rFonts w:cstheme="minorHAnsi"/>
          <w:iCs/>
        </w:rPr>
        <w:lastRenderedPageBreak/>
        <w:t>% Agreement:</w:t>
      </w:r>
      <w:r w:rsidRPr="00C94B70">
        <w:rPr>
          <w:rFonts w:cstheme="minorHAnsi"/>
        </w:rPr>
        <w:t xml:space="preserve">   218 / 231 (94%)</w:t>
      </w:r>
    </w:p>
    <w:p w14:paraId="3082BBF5" w14:textId="77777777" w:rsidR="004B41D5" w:rsidRPr="00C94B70" w:rsidRDefault="004B41D5" w:rsidP="004B41D5">
      <w:pPr>
        <w:spacing w:after="0" w:line="240" w:lineRule="auto"/>
        <w:rPr>
          <w:rFonts w:cstheme="minorHAnsi"/>
          <w:iCs/>
        </w:rPr>
      </w:pPr>
      <w:r w:rsidRPr="00C94B70">
        <w:rPr>
          <w:rFonts w:cstheme="minorHAnsi"/>
          <w:iCs/>
        </w:rPr>
        <w:t xml:space="preserve">Kappa:  </w:t>
      </w:r>
      <w:r w:rsidRPr="00C94B70">
        <w:rPr>
          <w:rFonts w:cstheme="minorHAnsi"/>
        </w:rPr>
        <w:t>0.77 (0.65, 0.89)</w:t>
      </w:r>
    </w:p>
    <w:p w14:paraId="227171E9" w14:textId="77777777" w:rsidR="004B41D5" w:rsidRPr="00C94B70" w:rsidRDefault="004B41D5" w:rsidP="004B41D5">
      <w:pPr>
        <w:spacing w:after="0" w:line="240" w:lineRule="auto"/>
        <w:rPr>
          <w:rFonts w:cstheme="minorHAnsi"/>
          <w:iCs/>
        </w:rPr>
      </w:pPr>
    </w:p>
    <w:p w14:paraId="752BAB31" w14:textId="77777777" w:rsidR="004B41D5" w:rsidRPr="00C94B70" w:rsidRDefault="004B41D5" w:rsidP="004B41D5">
      <w:pPr>
        <w:spacing w:after="0" w:line="240" w:lineRule="auto"/>
        <w:rPr>
          <w:rFonts w:cstheme="minorHAnsi"/>
          <w:iCs/>
        </w:rPr>
      </w:pPr>
      <w:r w:rsidRPr="00C94B70">
        <w:rPr>
          <w:rFonts w:cstheme="minorHAnsi"/>
          <w:iCs/>
        </w:rPr>
        <w:t>HAVE PATIENTS BEEN REFERRED TO CARDIAC REHABILITATION?</w:t>
      </w:r>
    </w:p>
    <w:p w14:paraId="275375CE" w14:textId="77777777" w:rsidR="004B41D5" w:rsidRPr="00C94B70" w:rsidRDefault="004B41D5" w:rsidP="004B41D5">
      <w:pPr>
        <w:spacing w:after="0" w:line="240" w:lineRule="auto"/>
        <w:rPr>
          <w:rFonts w:cstheme="minorHAnsi"/>
          <w:iCs/>
        </w:rPr>
      </w:pPr>
      <w:r w:rsidRPr="00C94B70">
        <w:rPr>
          <w:rFonts w:cstheme="minorHAnsi"/>
          <w:iCs/>
        </w:rPr>
        <w:t xml:space="preserve">Percentage referred to cardiac rehabilitation:  </w:t>
      </w:r>
      <w:r w:rsidRPr="00C94B70">
        <w:rPr>
          <w:rFonts w:cstheme="minorHAnsi"/>
        </w:rPr>
        <w:t>111 /185 (60%) (</w:t>
      </w:r>
      <w:proofErr w:type="gramStart"/>
      <w:r w:rsidRPr="00C94B70">
        <w:rPr>
          <w:rFonts w:cstheme="minorHAnsi"/>
        </w:rPr>
        <w:t>mean</w:t>
      </w:r>
      <w:proofErr w:type="gramEnd"/>
      <w:r w:rsidRPr="00C94B70">
        <w:rPr>
          <w:rFonts w:cstheme="minorHAnsi"/>
        </w:rPr>
        <w:t xml:space="preserve"> of all observations)</w:t>
      </w:r>
    </w:p>
    <w:p w14:paraId="47DB352E" w14:textId="77777777" w:rsidR="004B41D5" w:rsidRPr="00C94B70" w:rsidRDefault="004B41D5" w:rsidP="004B41D5">
      <w:pPr>
        <w:spacing w:after="0" w:line="240" w:lineRule="auto"/>
        <w:rPr>
          <w:rFonts w:cstheme="minorHAnsi"/>
          <w:iCs/>
        </w:rPr>
      </w:pPr>
    </w:p>
    <w:p w14:paraId="3F93FB48" w14:textId="77777777" w:rsidR="004B41D5" w:rsidRPr="00C94B70" w:rsidRDefault="004B41D5" w:rsidP="004B41D5">
      <w:pPr>
        <w:spacing w:after="0" w:line="240" w:lineRule="auto"/>
        <w:rPr>
          <w:rFonts w:cstheme="minorHAnsi"/>
          <w:iCs/>
        </w:rPr>
      </w:pPr>
      <w:r w:rsidRPr="00C94B70">
        <w:rPr>
          <w:rFonts w:cstheme="minorHAnsi"/>
          <w:iCs/>
        </w:rPr>
        <w:t>Intra-rater reliability:</w:t>
      </w:r>
    </w:p>
    <w:p w14:paraId="2B1BBD45" w14:textId="77777777" w:rsidR="004B41D5" w:rsidRPr="00C94B70" w:rsidRDefault="004B41D5" w:rsidP="004B41D5">
      <w:pPr>
        <w:spacing w:after="0" w:line="240" w:lineRule="auto"/>
        <w:rPr>
          <w:rFonts w:cstheme="minorHAnsi"/>
          <w:iCs/>
        </w:rPr>
      </w:pPr>
      <w:r w:rsidRPr="00C94B70">
        <w:rPr>
          <w:rFonts w:cstheme="minorHAnsi"/>
          <w:iCs/>
        </w:rPr>
        <w:t xml:space="preserve">% Agreement:  </w:t>
      </w:r>
      <w:r w:rsidRPr="00C94B70">
        <w:rPr>
          <w:rFonts w:cstheme="minorHAnsi"/>
        </w:rPr>
        <w:t>172 / 176 (98%)</w:t>
      </w:r>
    </w:p>
    <w:p w14:paraId="6238B7D0" w14:textId="77777777" w:rsidR="004B41D5" w:rsidRPr="00C94B70" w:rsidRDefault="004B41D5" w:rsidP="004B41D5">
      <w:pPr>
        <w:spacing w:after="0" w:line="240" w:lineRule="auto"/>
        <w:rPr>
          <w:rFonts w:cstheme="minorHAnsi"/>
          <w:iCs/>
        </w:rPr>
      </w:pPr>
      <w:r w:rsidRPr="00C94B70">
        <w:rPr>
          <w:rFonts w:cstheme="minorHAnsi"/>
          <w:iCs/>
        </w:rPr>
        <w:t xml:space="preserve">Kappa:  </w:t>
      </w:r>
      <w:r w:rsidRPr="00C94B70">
        <w:rPr>
          <w:rFonts w:cstheme="minorHAnsi"/>
        </w:rPr>
        <w:t>0.95 (0.90, 0.99)</w:t>
      </w:r>
    </w:p>
    <w:p w14:paraId="34F085CC" w14:textId="77777777" w:rsidR="004B41D5" w:rsidRPr="00C94B70" w:rsidRDefault="004B41D5" w:rsidP="004B41D5">
      <w:pPr>
        <w:spacing w:after="0" w:line="240" w:lineRule="auto"/>
        <w:rPr>
          <w:rFonts w:cstheme="minorHAnsi"/>
          <w:iCs/>
        </w:rPr>
      </w:pPr>
    </w:p>
    <w:p w14:paraId="0A49B7C8" w14:textId="77777777" w:rsidR="004B41D5" w:rsidRPr="00C94B70" w:rsidRDefault="004B41D5" w:rsidP="004B41D5">
      <w:pPr>
        <w:spacing w:after="0" w:line="240" w:lineRule="auto"/>
        <w:rPr>
          <w:rFonts w:cstheme="minorHAnsi"/>
          <w:iCs/>
        </w:rPr>
      </w:pPr>
      <w:r w:rsidRPr="00C94B70">
        <w:rPr>
          <w:rFonts w:cstheme="minorHAnsi"/>
          <w:iCs/>
        </w:rPr>
        <w:t>Inter-rater reliability:</w:t>
      </w:r>
    </w:p>
    <w:p w14:paraId="491C30DF" w14:textId="77777777" w:rsidR="004B41D5" w:rsidRPr="00C94B70" w:rsidRDefault="004B41D5" w:rsidP="004B41D5">
      <w:pPr>
        <w:spacing w:after="0" w:line="240" w:lineRule="auto"/>
        <w:rPr>
          <w:rFonts w:cstheme="minorHAnsi"/>
          <w:iCs/>
        </w:rPr>
      </w:pPr>
      <w:r w:rsidRPr="00C94B70">
        <w:rPr>
          <w:rFonts w:cstheme="minorHAnsi"/>
          <w:iCs/>
        </w:rPr>
        <w:t>% Agreement:</w:t>
      </w:r>
      <w:r w:rsidRPr="00C94B70">
        <w:rPr>
          <w:rFonts w:cstheme="minorHAnsi"/>
        </w:rPr>
        <w:t xml:space="preserve">   148 / 172 (86%)</w:t>
      </w:r>
    </w:p>
    <w:p w14:paraId="598BC436" w14:textId="77777777" w:rsidR="004B41D5" w:rsidRPr="00C94B70" w:rsidRDefault="004B41D5" w:rsidP="004B41D5">
      <w:pPr>
        <w:spacing w:after="0" w:line="240" w:lineRule="auto"/>
        <w:rPr>
          <w:rFonts w:cstheme="minorHAnsi"/>
          <w:iCs/>
        </w:rPr>
      </w:pPr>
      <w:r w:rsidRPr="00C94B70">
        <w:rPr>
          <w:rFonts w:cstheme="minorHAnsi"/>
          <w:iCs/>
        </w:rPr>
        <w:t xml:space="preserve">Kappa:  </w:t>
      </w:r>
      <w:r w:rsidRPr="00C94B70">
        <w:rPr>
          <w:rFonts w:cstheme="minorHAnsi"/>
        </w:rPr>
        <w:t>0.70 (0.59, 0.81)</w:t>
      </w:r>
    </w:p>
    <w:p w14:paraId="61F3265B" w14:textId="77777777" w:rsidR="004B41D5" w:rsidRPr="00C94B70" w:rsidRDefault="004B41D5" w:rsidP="004B41D5">
      <w:pPr>
        <w:spacing w:after="0" w:line="240" w:lineRule="auto"/>
        <w:rPr>
          <w:rFonts w:cstheme="minorHAnsi"/>
          <w:iCs/>
        </w:rPr>
      </w:pPr>
    </w:p>
    <w:p w14:paraId="481349A0" w14:textId="77777777" w:rsidR="004B41D5" w:rsidRPr="00C94B70" w:rsidRDefault="004B41D5" w:rsidP="004B41D5">
      <w:pPr>
        <w:spacing w:after="0" w:line="240" w:lineRule="auto"/>
        <w:rPr>
          <w:rFonts w:cstheme="minorHAnsi"/>
          <w:iCs/>
        </w:rPr>
      </w:pPr>
      <w:r w:rsidRPr="00C94B70">
        <w:rPr>
          <w:rFonts w:cstheme="minorHAnsi"/>
          <w:iCs/>
        </w:rPr>
        <w:t>ARE THERE EXCEPTIONS NOTED FOR ELIGIBLE PATIENTS NOT REFERRED TO CARDIAC REHABILITATION?</w:t>
      </w:r>
    </w:p>
    <w:p w14:paraId="26FC4D6D" w14:textId="77777777" w:rsidR="004B41D5" w:rsidRPr="00C94B70" w:rsidRDefault="004B41D5" w:rsidP="004B41D5">
      <w:pPr>
        <w:spacing w:after="0" w:line="240" w:lineRule="auto"/>
        <w:rPr>
          <w:rFonts w:cstheme="minorHAnsi"/>
          <w:iCs/>
        </w:rPr>
      </w:pPr>
      <w:r w:rsidRPr="00C94B70">
        <w:rPr>
          <w:rFonts w:cstheme="minorHAnsi"/>
          <w:iCs/>
        </w:rPr>
        <w:t xml:space="preserve">Percentage with documented exceptions to cardiac rehabilitation:  </w:t>
      </w:r>
      <w:r w:rsidRPr="00C94B70">
        <w:rPr>
          <w:rFonts w:cstheme="minorHAnsi"/>
        </w:rPr>
        <w:t>17 /201 (9%) (</w:t>
      </w:r>
      <w:proofErr w:type="gramStart"/>
      <w:r w:rsidRPr="00C94B70">
        <w:rPr>
          <w:rFonts w:cstheme="minorHAnsi"/>
        </w:rPr>
        <w:t>mean</w:t>
      </w:r>
      <w:proofErr w:type="gramEnd"/>
      <w:r w:rsidRPr="00C94B70">
        <w:rPr>
          <w:rFonts w:cstheme="minorHAnsi"/>
        </w:rPr>
        <w:t xml:space="preserve"> of all observations)</w:t>
      </w:r>
    </w:p>
    <w:p w14:paraId="38332152" w14:textId="77777777" w:rsidR="004B41D5" w:rsidRPr="00C94B70" w:rsidRDefault="004B41D5" w:rsidP="004B41D5">
      <w:pPr>
        <w:spacing w:after="0" w:line="240" w:lineRule="auto"/>
        <w:rPr>
          <w:rFonts w:cstheme="minorHAnsi"/>
          <w:iCs/>
        </w:rPr>
      </w:pPr>
    </w:p>
    <w:p w14:paraId="1C920EA6" w14:textId="77777777" w:rsidR="004B41D5" w:rsidRPr="00C94B70" w:rsidRDefault="004B41D5" w:rsidP="004B41D5">
      <w:pPr>
        <w:spacing w:after="0" w:line="240" w:lineRule="auto"/>
        <w:rPr>
          <w:rFonts w:cstheme="minorHAnsi"/>
          <w:iCs/>
        </w:rPr>
      </w:pPr>
      <w:r w:rsidRPr="00C94B70">
        <w:rPr>
          <w:rFonts w:cstheme="minorHAnsi"/>
          <w:iCs/>
        </w:rPr>
        <w:t>Intra-rater reliability:</w:t>
      </w:r>
    </w:p>
    <w:p w14:paraId="2A48B133" w14:textId="77777777" w:rsidR="004B41D5" w:rsidRPr="00C94B70" w:rsidRDefault="004B41D5" w:rsidP="004B41D5">
      <w:pPr>
        <w:spacing w:after="0" w:line="240" w:lineRule="auto"/>
        <w:rPr>
          <w:rFonts w:cstheme="minorHAnsi"/>
          <w:iCs/>
        </w:rPr>
      </w:pPr>
      <w:r w:rsidRPr="00C94B70">
        <w:rPr>
          <w:rFonts w:cstheme="minorHAnsi"/>
          <w:iCs/>
        </w:rPr>
        <w:t xml:space="preserve">% Agreement:  </w:t>
      </w:r>
      <w:r w:rsidRPr="00C94B70">
        <w:rPr>
          <w:rFonts w:cstheme="minorHAnsi"/>
        </w:rPr>
        <w:t>189 / 196 (96%)</w:t>
      </w:r>
    </w:p>
    <w:p w14:paraId="41C2C286" w14:textId="77777777" w:rsidR="004B41D5" w:rsidRPr="00C94B70" w:rsidRDefault="004B41D5" w:rsidP="004B41D5">
      <w:pPr>
        <w:spacing w:after="0" w:line="240" w:lineRule="auto"/>
        <w:rPr>
          <w:rFonts w:cstheme="minorHAnsi"/>
          <w:iCs/>
        </w:rPr>
      </w:pPr>
      <w:r w:rsidRPr="00C94B70">
        <w:rPr>
          <w:rFonts w:cstheme="minorHAnsi"/>
          <w:iCs/>
        </w:rPr>
        <w:t xml:space="preserve">Kappa:  </w:t>
      </w:r>
      <w:r w:rsidRPr="00C94B70">
        <w:rPr>
          <w:rFonts w:cstheme="minorHAnsi"/>
        </w:rPr>
        <w:t>0.76 (0.60, 0.93)</w:t>
      </w:r>
    </w:p>
    <w:p w14:paraId="67AD7614" w14:textId="77777777" w:rsidR="004B41D5" w:rsidRPr="00C94B70" w:rsidRDefault="004B41D5" w:rsidP="004B41D5">
      <w:pPr>
        <w:spacing w:after="0" w:line="240" w:lineRule="auto"/>
        <w:rPr>
          <w:rFonts w:cstheme="minorHAnsi"/>
          <w:iCs/>
        </w:rPr>
      </w:pPr>
    </w:p>
    <w:p w14:paraId="0497D096" w14:textId="77777777" w:rsidR="004B41D5" w:rsidRPr="00C94B70" w:rsidRDefault="004B41D5" w:rsidP="004B41D5">
      <w:pPr>
        <w:spacing w:after="0" w:line="240" w:lineRule="auto"/>
        <w:rPr>
          <w:rFonts w:cstheme="minorHAnsi"/>
          <w:iCs/>
        </w:rPr>
      </w:pPr>
      <w:r w:rsidRPr="00C94B70">
        <w:rPr>
          <w:rFonts w:cstheme="minorHAnsi"/>
          <w:iCs/>
        </w:rPr>
        <w:t>Inter-rater reliability:</w:t>
      </w:r>
    </w:p>
    <w:p w14:paraId="4F29AC82" w14:textId="77777777" w:rsidR="004B41D5" w:rsidRPr="00C94B70" w:rsidRDefault="004B41D5" w:rsidP="004B41D5">
      <w:pPr>
        <w:spacing w:after="0" w:line="240" w:lineRule="auto"/>
        <w:rPr>
          <w:rFonts w:cstheme="minorHAnsi"/>
          <w:iCs/>
        </w:rPr>
      </w:pPr>
      <w:r w:rsidRPr="00C94B70">
        <w:rPr>
          <w:rFonts w:cstheme="minorHAnsi"/>
          <w:iCs/>
        </w:rPr>
        <w:t>% Agreement:</w:t>
      </w:r>
      <w:r w:rsidRPr="00C94B70">
        <w:rPr>
          <w:rFonts w:cstheme="minorHAnsi"/>
        </w:rPr>
        <w:t xml:space="preserve">   185 / 191 (97%)</w:t>
      </w:r>
    </w:p>
    <w:p w14:paraId="0CCBE2E7" w14:textId="77777777" w:rsidR="004B41D5" w:rsidRPr="00C94B70" w:rsidRDefault="004B41D5" w:rsidP="004B41D5">
      <w:pPr>
        <w:spacing w:after="0" w:line="240" w:lineRule="auto"/>
        <w:rPr>
          <w:rFonts w:cstheme="minorHAnsi"/>
          <w:iCs/>
        </w:rPr>
      </w:pPr>
      <w:r w:rsidRPr="00C94B70">
        <w:rPr>
          <w:rFonts w:cstheme="minorHAnsi"/>
          <w:iCs/>
        </w:rPr>
        <w:t xml:space="preserve">Kappa:  </w:t>
      </w:r>
      <w:r w:rsidRPr="00C94B70">
        <w:rPr>
          <w:rFonts w:cstheme="minorHAnsi"/>
        </w:rPr>
        <w:t>0.79 (0.63, 0.95)</w:t>
      </w:r>
    </w:p>
    <w:p w14:paraId="04CC6C12" w14:textId="77777777" w:rsidR="004B41D5" w:rsidRPr="00C94B70" w:rsidRDefault="004B41D5" w:rsidP="004B41D5">
      <w:pPr>
        <w:spacing w:after="0" w:line="240" w:lineRule="auto"/>
        <w:rPr>
          <w:rFonts w:cstheme="minorHAnsi"/>
          <w:iCs/>
        </w:rPr>
      </w:pPr>
    </w:p>
    <w:p w14:paraId="315AB233" w14:textId="77777777" w:rsidR="004B41D5" w:rsidRPr="00C94B70" w:rsidRDefault="004B41D5" w:rsidP="004B41D5">
      <w:pPr>
        <w:spacing w:after="0" w:line="240" w:lineRule="auto"/>
        <w:rPr>
          <w:rFonts w:cstheme="minorHAnsi"/>
          <w:b/>
        </w:rPr>
      </w:pPr>
    </w:p>
    <w:p w14:paraId="7F732930" w14:textId="77777777" w:rsidR="004B41D5" w:rsidRPr="00C94B70" w:rsidRDefault="004B41D5" w:rsidP="004B41D5">
      <w:pPr>
        <w:spacing w:after="0" w:line="240" w:lineRule="auto"/>
        <w:rPr>
          <w:rFonts w:cstheme="minorHAnsi"/>
          <w:b/>
          <w:iCs/>
        </w:rPr>
      </w:pPr>
      <w:r w:rsidRPr="00C94B70">
        <w:rPr>
          <w:rFonts w:cstheme="minorHAnsi"/>
          <w:b/>
          <w:iCs/>
        </w:rPr>
        <w:t>PINNACLE, 2012:</w:t>
      </w:r>
    </w:p>
    <w:p w14:paraId="00000E67" w14:textId="77777777" w:rsidR="004B41D5" w:rsidRPr="00C94B70" w:rsidRDefault="004B41D5" w:rsidP="004B41D5">
      <w:pPr>
        <w:spacing w:after="0" w:line="240" w:lineRule="auto"/>
        <w:rPr>
          <w:rFonts w:cstheme="minorHAnsi"/>
          <w:b/>
          <w:iCs/>
        </w:rPr>
      </w:pPr>
    </w:p>
    <w:tbl>
      <w:tblPr>
        <w:tblW w:w="0" w:type="auto"/>
        <w:tblInd w:w="676" w:type="dxa"/>
        <w:tblLayout w:type="fixed"/>
        <w:tblCellMar>
          <w:left w:w="0" w:type="dxa"/>
          <w:right w:w="0" w:type="dxa"/>
        </w:tblCellMar>
        <w:tblLook w:val="04A0" w:firstRow="1" w:lastRow="0" w:firstColumn="1" w:lastColumn="0" w:noHBand="0" w:noVBand="1"/>
      </w:tblPr>
      <w:tblGrid>
        <w:gridCol w:w="1806"/>
        <w:gridCol w:w="1166"/>
        <w:gridCol w:w="1598"/>
      </w:tblGrid>
      <w:tr w:rsidR="004B41D5" w:rsidRPr="00C94B70" w14:paraId="5C437468" w14:textId="77777777" w:rsidTr="00FE5110">
        <w:trPr>
          <w:cantSplit/>
          <w:tblHeader/>
        </w:trPr>
        <w:tc>
          <w:tcPr>
            <w:tcW w:w="1806" w:type="dxa"/>
            <w:tcBorders>
              <w:top w:val="single" w:sz="6" w:space="0" w:color="000000"/>
              <w:left w:val="single" w:sz="6" w:space="0" w:color="000000"/>
              <w:bottom w:val="single" w:sz="2" w:space="0" w:color="000000"/>
              <w:right w:val="nil"/>
            </w:tcBorders>
            <w:shd w:val="clear" w:color="auto" w:fill="BBBBBB"/>
            <w:tcMar>
              <w:top w:w="0" w:type="dxa"/>
              <w:left w:w="60" w:type="dxa"/>
              <w:bottom w:w="0" w:type="dxa"/>
              <w:right w:w="60" w:type="dxa"/>
            </w:tcMar>
            <w:vAlign w:val="bottom"/>
            <w:hideMark/>
          </w:tcPr>
          <w:p w14:paraId="1D35318E" w14:textId="77777777" w:rsidR="004B41D5" w:rsidRPr="00C94B70" w:rsidRDefault="004B41D5" w:rsidP="00FE5110">
            <w:pPr>
              <w:keepNext/>
              <w:autoSpaceDE w:val="0"/>
              <w:autoSpaceDN w:val="0"/>
              <w:adjustRightInd w:val="0"/>
              <w:spacing w:before="60" w:after="60"/>
              <w:rPr>
                <w:rFonts w:ascii="Times New Roman" w:hAnsi="Times New Roman" w:cs="Times New Roman"/>
                <w:b/>
                <w:bCs/>
                <w:sz w:val="20"/>
                <w:szCs w:val="20"/>
              </w:rPr>
            </w:pPr>
            <w:r w:rsidRPr="00C94B70">
              <w:rPr>
                <w:rFonts w:cstheme="minorHAnsi"/>
                <w:bCs/>
              </w:rPr>
              <w:br/>
            </w:r>
            <w:r w:rsidRPr="00C94B70">
              <w:rPr>
                <w:b/>
                <w:bCs/>
                <w:sz w:val="20"/>
                <w:szCs w:val="20"/>
              </w:rPr>
              <w:t>Description</w:t>
            </w:r>
          </w:p>
        </w:tc>
        <w:tc>
          <w:tcPr>
            <w:tcW w:w="1166"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1CBAC78B"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Number of Patients</w:t>
            </w:r>
          </w:p>
        </w:tc>
        <w:tc>
          <w:tcPr>
            <w:tcW w:w="1598" w:type="dxa"/>
            <w:tcBorders>
              <w:top w:val="single" w:sz="6" w:space="0" w:color="000000"/>
              <w:left w:val="single" w:sz="2" w:space="0" w:color="000000"/>
              <w:bottom w:val="single" w:sz="2" w:space="0" w:color="000000"/>
              <w:right w:val="single" w:sz="6" w:space="0" w:color="000000"/>
            </w:tcBorders>
            <w:shd w:val="clear" w:color="auto" w:fill="BBBBBB"/>
            <w:tcMar>
              <w:top w:w="0" w:type="dxa"/>
              <w:left w:w="60" w:type="dxa"/>
              <w:bottom w:w="0" w:type="dxa"/>
              <w:right w:w="60" w:type="dxa"/>
            </w:tcMar>
            <w:vAlign w:val="bottom"/>
            <w:hideMark/>
          </w:tcPr>
          <w:p w14:paraId="4485CE2D"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Signal-to-Noise Ratio</w:t>
            </w:r>
          </w:p>
        </w:tc>
      </w:tr>
      <w:tr w:rsidR="004B41D5" w:rsidRPr="00C94B70" w14:paraId="18DC6797" w14:textId="77777777" w:rsidTr="00FE5110">
        <w:trPr>
          <w:cantSplit/>
        </w:trPr>
        <w:tc>
          <w:tcPr>
            <w:tcW w:w="1806"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22D58E61"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Minimum</w:t>
            </w:r>
          </w:p>
        </w:tc>
        <w:tc>
          <w:tcPr>
            <w:tcW w:w="1166"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75C3D57C"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10</w:t>
            </w:r>
          </w:p>
        </w:tc>
        <w:tc>
          <w:tcPr>
            <w:tcW w:w="1598"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74E1E35D"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0.990</w:t>
            </w:r>
          </w:p>
        </w:tc>
      </w:tr>
      <w:tr w:rsidR="004B41D5" w:rsidRPr="00C94B70" w14:paraId="68273967" w14:textId="77777777" w:rsidTr="00FE5110">
        <w:trPr>
          <w:cantSplit/>
        </w:trPr>
        <w:tc>
          <w:tcPr>
            <w:tcW w:w="1806"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5A7EC89F"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25th percentile</w:t>
            </w:r>
          </w:p>
        </w:tc>
        <w:tc>
          <w:tcPr>
            <w:tcW w:w="1166"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4CE36184"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87</w:t>
            </w:r>
          </w:p>
        </w:tc>
        <w:tc>
          <w:tcPr>
            <w:tcW w:w="1598"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4A20D20E"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0.995</w:t>
            </w:r>
          </w:p>
        </w:tc>
      </w:tr>
      <w:tr w:rsidR="004B41D5" w:rsidRPr="00C94B70" w14:paraId="0678DCEC" w14:textId="77777777" w:rsidTr="00FE5110">
        <w:trPr>
          <w:cantSplit/>
        </w:trPr>
        <w:tc>
          <w:tcPr>
            <w:tcW w:w="1806"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43D207D9"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50th percentile</w:t>
            </w:r>
          </w:p>
        </w:tc>
        <w:tc>
          <w:tcPr>
            <w:tcW w:w="1166"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6B83EB18"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173</w:t>
            </w:r>
          </w:p>
        </w:tc>
        <w:tc>
          <w:tcPr>
            <w:tcW w:w="1598"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3EDEDAB3"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0.998</w:t>
            </w:r>
          </w:p>
        </w:tc>
      </w:tr>
      <w:tr w:rsidR="004B41D5" w:rsidRPr="00C94B70" w14:paraId="7917B458" w14:textId="77777777" w:rsidTr="00FE5110">
        <w:trPr>
          <w:cantSplit/>
        </w:trPr>
        <w:tc>
          <w:tcPr>
            <w:tcW w:w="1806"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65BFFFAE" w14:textId="77777777" w:rsidR="004B41D5" w:rsidRPr="00C94B70" w:rsidRDefault="004B41D5" w:rsidP="00FE5110">
            <w:pPr>
              <w:keepNext/>
              <w:autoSpaceDE w:val="0"/>
              <w:autoSpaceDN w:val="0"/>
              <w:adjustRightInd w:val="0"/>
              <w:spacing w:before="60" w:after="60"/>
              <w:rPr>
                <w:rFonts w:ascii="Times New Roman" w:hAnsi="Times New Roman" w:cs="Times New Roman"/>
                <w:sz w:val="20"/>
                <w:szCs w:val="20"/>
              </w:rPr>
            </w:pPr>
            <w:r w:rsidRPr="00C94B70">
              <w:rPr>
                <w:sz w:val="20"/>
                <w:szCs w:val="20"/>
              </w:rPr>
              <w:t>75th percentile</w:t>
            </w:r>
          </w:p>
        </w:tc>
        <w:tc>
          <w:tcPr>
            <w:tcW w:w="1166"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11C0AE06"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379</w:t>
            </w:r>
          </w:p>
        </w:tc>
        <w:tc>
          <w:tcPr>
            <w:tcW w:w="1598"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27E0E0AA" w14:textId="77777777" w:rsidR="004B41D5" w:rsidRPr="00C94B70" w:rsidRDefault="004B41D5"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0.998</w:t>
            </w:r>
          </w:p>
        </w:tc>
      </w:tr>
      <w:tr w:rsidR="004B41D5" w:rsidRPr="00C94B70" w14:paraId="5FD8E74C" w14:textId="77777777" w:rsidTr="00FE5110">
        <w:trPr>
          <w:cantSplit/>
        </w:trPr>
        <w:tc>
          <w:tcPr>
            <w:tcW w:w="1806" w:type="dxa"/>
            <w:tcBorders>
              <w:top w:val="nil"/>
              <w:left w:val="single" w:sz="6" w:space="0" w:color="000000"/>
              <w:bottom w:val="single" w:sz="6" w:space="0" w:color="000000"/>
              <w:right w:val="nil"/>
            </w:tcBorders>
            <w:shd w:val="clear" w:color="auto" w:fill="FFFFFF"/>
            <w:tcMar>
              <w:top w:w="0" w:type="dxa"/>
              <w:left w:w="60" w:type="dxa"/>
              <w:bottom w:w="0" w:type="dxa"/>
              <w:right w:w="60" w:type="dxa"/>
            </w:tcMar>
            <w:hideMark/>
          </w:tcPr>
          <w:p w14:paraId="1D6E84F7" w14:textId="77777777" w:rsidR="004B41D5" w:rsidRPr="00C94B70" w:rsidRDefault="004B41D5" w:rsidP="00FE5110">
            <w:pPr>
              <w:autoSpaceDE w:val="0"/>
              <w:autoSpaceDN w:val="0"/>
              <w:adjustRightInd w:val="0"/>
              <w:spacing w:before="60" w:after="60"/>
              <w:rPr>
                <w:rFonts w:ascii="Times New Roman" w:hAnsi="Times New Roman" w:cs="Times New Roman"/>
                <w:sz w:val="20"/>
                <w:szCs w:val="20"/>
              </w:rPr>
            </w:pPr>
            <w:r w:rsidRPr="00C94B70">
              <w:rPr>
                <w:sz w:val="20"/>
                <w:szCs w:val="20"/>
              </w:rPr>
              <w:t>Average</w:t>
            </w:r>
          </w:p>
        </w:tc>
        <w:tc>
          <w:tcPr>
            <w:tcW w:w="1166" w:type="dxa"/>
            <w:tcBorders>
              <w:top w:val="nil"/>
              <w:left w:val="single" w:sz="2" w:space="0" w:color="000000"/>
              <w:bottom w:val="single" w:sz="6" w:space="0" w:color="000000"/>
              <w:right w:val="nil"/>
            </w:tcBorders>
            <w:shd w:val="clear" w:color="auto" w:fill="FFFFFF"/>
            <w:tcMar>
              <w:top w:w="0" w:type="dxa"/>
              <w:left w:w="60" w:type="dxa"/>
              <w:bottom w:w="0" w:type="dxa"/>
              <w:right w:w="60" w:type="dxa"/>
            </w:tcMar>
            <w:hideMark/>
          </w:tcPr>
          <w:p w14:paraId="33EFA7E9"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292</w:t>
            </w:r>
          </w:p>
        </w:tc>
        <w:tc>
          <w:tcPr>
            <w:tcW w:w="1598" w:type="dxa"/>
            <w:tcBorders>
              <w:top w:val="nil"/>
              <w:left w:val="single" w:sz="2"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0C09679F" w14:textId="77777777" w:rsidR="004B41D5" w:rsidRPr="00C94B70" w:rsidRDefault="004B41D5"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0.998</w:t>
            </w:r>
          </w:p>
        </w:tc>
      </w:tr>
    </w:tbl>
    <w:p w14:paraId="1F2E32B7" w14:textId="77777777" w:rsidR="004B41D5" w:rsidRPr="00C94B70" w:rsidRDefault="004B41D5" w:rsidP="004B41D5">
      <w:pPr>
        <w:autoSpaceDE w:val="0"/>
        <w:autoSpaceDN w:val="0"/>
        <w:adjustRightInd w:val="0"/>
        <w:spacing w:after="0" w:line="240" w:lineRule="auto"/>
        <w:rPr>
          <w:rFonts w:cstheme="minorHAnsi"/>
          <w:bCs/>
        </w:rPr>
      </w:pPr>
    </w:p>
    <w:p w14:paraId="4A5C63BB" w14:textId="77777777" w:rsidR="004B41D5" w:rsidRPr="00C94B70" w:rsidRDefault="004B41D5" w:rsidP="004B41D5">
      <w:pPr>
        <w:autoSpaceDE w:val="0"/>
        <w:autoSpaceDN w:val="0"/>
        <w:adjustRightInd w:val="0"/>
        <w:spacing w:after="0" w:line="240" w:lineRule="auto"/>
        <w:rPr>
          <w:rFonts w:cstheme="minorHAnsi"/>
          <w:bCs/>
        </w:rPr>
      </w:pPr>
      <w:r w:rsidRPr="00C94B70">
        <w:rPr>
          <w:rFonts w:cstheme="minorHAnsi"/>
          <w:b/>
          <w:bCs/>
        </w:rPr>
        <w:t xml:space="preserve">2a2.4 </w:t>
      </w:r>
      <w:proofErr w:type="gramStart"/>
      <w:r w:rsidRPr="00C94B70">
        <w:rPr>
          <w:rFonts w:cstheme="minorHAnsi"/>
          <w:b/>
          <w:bCs/>
        </w:rPr>
        <w:t>What</w:t>
      </w:r>
      <w:proofErr w:type="gramEnd"/>
      <w:r w:rsidRPr="00C94B70">
        <w:rPr>
          <w:rFonts w:cstheme="minorHAnsi"/>
          <w:b/>
          <w:bCs/>
        </w:rPr>
        <w:t xml:space="preserve"> is your interpretation of the results in terms of demonstrating reliability</w:t>
      </w:r>
      <w:r w:rsidRPr="00C94B70">
        <w:rPr>
          <w:rFonts w:cstheme="minorHAnsi"/>
          <w:bCs/>
        </w:rPr>
        <w:t>? (i</w:t>
      </w:r>
      <w:r w:rsidRPr="00C94B70">
        <w:rPr>
          <w:rFonts w:cstheme="minorHAnsi"/>
          <w:bCs/>
          <w:i/>
        </w:rPr>
        <w:t>.e., what do the results mean and what are the norms for the test conducted?</w:t>
      </w:r>
      <w:r w:rsidRPr="00C94B70">
        <w:rPr>
          <w:rFonts w:cstheme="minorHAnsi"/>
          <w:bCs/>
        </w:rPr>
        <w:t>)</w:t>
      </w:r>
      <w:r w:rsidRPr="00C94B70">
        <w:rPr>
          <w:rFonts w:cstheme="minorHAnsi"/>
          <w:bCs/>
        </w:rPr>
        <w:br/>
      </w:r>
    </w:p>
    <w:p w14:paraId="10AFA9A8" w14:textId="27B9F0E4" w:rsidR="004B41D5" w:rsidRDefault="004B41D5" w:rsidP="00DB3627">
      <w:pPr>
        <w:autoSpaceDE w:val="0"/>
        <w:autoSpaceDN w:val="0"/>
        <w:adjustRightInd w:val="0"/>
        <w:spacing w:after="0" w:line="240" w:lineRule="auto"/>
        <w:rPr>
          <w:rFonts w:cstheme="minorHAnsi"/>
          <w:bCs/>
        </w:rPr>
      </w:pPr>
      <w:r w:rsidRPr="00C94B70">
        <w:rPr>
          <w:rFonts w:cstheme="minorHAnsi"/>
          <w:bCs/>
        </w:rPr>
        <w:t>The CR3 project demonstrates high to very high reliability of the measure.  The PINNACLE data analysis demonstrates excellent reliability when evaluated at the minimum level of quality reporting events and higher reliability at the median number of events (</w:t>
      </w:r>
      <w:proofErr w:type="gramStart"/>
      <w:r w:rsidRPr="00C94B70">
        <w:rPr>
          <w:rFonts w:cstheme="minorHAnsi"/>
          <w:bCs/>
        </w:rPr>
        <w:t>50</w:t>
      </w:r>
      <w:r w:rsidRPr="00C94B70">
        <w:rPr>
          <w:rFonts w:cstheme="minorHAnsi"/>
          <w:bCs/>
          <w:vertAlign w:val="superscript"/>
        </w:rPr>
        <w:t>th</w:t>
      </w:r>
      <w:r w:rsidRPr="00C94B70">
        <w:rPr>
          <w:rFonts w:cstheme="minorHAnsi"/>
          <w:bCs/>
        </w:rPr>
        <w:t>%</w:t>
      </w:r>
      <w:proofErr w:type="gramEnd"/>
      <w:r w:rsidRPr="00C94B70">
        <w:rPr>
          <w:rFonts w:cstheme="minorHAnsi"/>
          <w:bCs/>
        </w:rPr>
        <w:t>), and at average and greater number of quality events.</w:t>
      </w:r>
    </w:p>
    <w:p w14:paraId="0CABCFD4" w14:textId="433CDB23"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lastRenderedPageBreak/>
        <w:br/>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F7493D">
        <w:rPr>
          <w:rFonts w:cstheme="minorHAnsi"/>
          <w:b/>
          <w:noProof/>
          <w:highlight w:val="yellow"/>
        </w:rPr>
        <w:t>2</w:t>
      </w:r>
      <w:r w:rsidR="00EA5F47" w:rsidRPr="00F7493D">
        <w:rPr>
          <w:rFonts w:cstheme="minorHAnsi"/>
          <w:b/>
          <w:noProof/>
          <w:highlight w:val="yellow"/>
        </w:rPr>
        <w:t>b</w:t>
      </w:r>
      <w:r w:rsidR="009C7513" w:rsidRPr="00F7493D">
        <w:rPr>
          <w:rFonts w:cstheme="minorHAnsi"/>
          <w:b/>
          <w:noProof/>
          <w:highlight w:val="yellow"/>
        </w:rPr>
        <w:t>1</w:t>
      </w:r>
      <w:r w:rsidRPr="00F7493D">
        <w:rPr>
          <w:rFonts w:cstheme="minorHAnsi"/>
          <w:b/>
          <w:noProof/>
          <w:highlight w:val="yellow"/>
        </w:rPr>
        <w:t xml:space="preserve">. </w:t>
      </w:r>
      <w:r w:rsidRPr="00F7493D">
        <w:rPr>
          <w:rFonts w:cstheme="minorHAnsi"/>
          <w:b/>
          <w:bCs/>
          <w:highlight w:val="yellow"/>
        </w:rPr>
        <w:t>VALIDITY TESTING</w:t>
      </w:r>
      <w:r w:rsidRPr="00A25024">
        <w:rPr>
          <w:rFonts w:cstheme="minorHAnsi"/>
          <w:b/>
          <w:bCs/>
        </w:rPr>
        <w:t xml:space="preserve">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CDAF779" w:rsidR="00696262" w:rsidRPr="00A25024" w:rsidRDefault="0042155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9F167DB" w:rsidR="000574AB" w:rsidRPr="00A25024" w:rsidRDefault="0042155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AA52B4">
        <w:rPr>
          <w:rFonts w:eastAsia="MS Mincho" w:cstheme="minorHAnsi"/>
          <w:b/>
          <w:bCs/>
        </w:rPr>
        <w:t xml:space="preserve">- </w:t>
      </w:r>
      <w:r w:rsidR="00AA52B4" w:rsidRPr="00FE5110">
        <w:rPr>
          <w:rFonts w:eastAsia="MS Mincho" w:cstheme="minorHAnsi"/>
          <w:b/>
          <w:bCs/>
        </w:rPr>
        <w:t xml:space="preserve"> </w:t>
      </w:r>
      <w:r w:rsidR="00FE5110" w:rsidRPr="00FE5110">
        <w:rPr>
          <w:rFonts w:eastAsia="MS Mincho" w:cstheme="minorHAnsi"/>
          <w:b/>
          <w:bCs/>
          <w:color w:val="FF0000"/>
        </w:rPr>
        <w:t>W</w:t>
      </w:r>
      <w:r w:rsidR="00AA52B4" w:rsidRPr="00FE5110">
        <w:rPr>
          <w:rFonts w:eastAsia="MS Mincho" w:cstheme="minorHAnsi"/>
          <w:b/>
          <w:bCs/>
          <w:color w:val="FF0000"/>
        </w:rPr>
        <w:t xml:space="preserve">ill aim to </w:t>
      </w:r>
      <w:r w:rsidR="00AA52B4" w:rsidRPr="00FE5110">
        <w:rPr>
          <w:b/>
          <w:color w:val="FF0000"/>
        </w:rPr>
        <w:t>obtain additional empirical validity testing data for future measures as time allows</w:t>
      </w:r>
      <w:bookmarkStart w:id="11" w:name="_GoBack"/>
      <w:bookmarkEnd w:id="11"/>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2202C1" w:rsidR="00833325"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654D576" w14:textId="77777777" w:rsidR="004B41D5" w:rsidRPr="004B41D5" w:rsidRDefault="004B41D5" w:rsidP="004B41D5">
      <w:pPr>
        <w:spacing w:after="0" w:line="240" w:lineRule="auto"/>
        <w:rPr>
          <w:rFonts w:eastAsiaTheme="minorHAnsi" w:cstheme="minorHAnsi"/>
          <w:b/>
        </w:rPr>
      </w:pPr>
      <w:r w:rsidRPr="004B41D5">
        <w:rPr>
          <w:rFonts w:eastAsiaTheme="minorHAnsi" w:cstheme="minorHAnsi"/>
          <w:b/>
        </w:rPr>
        <w:t>Face and Content Validity</w:t>
      </w:r>
    </w:p>
    <w:p w14:paraId="1F8DE7D6" w14:textId="77777777" w:rsidR="004B41D5" w:rsidRPr="004B41D5" w:rsidRDefault="004B41D5" w:rsidP="004B41D5">
      <w:pPr>
        <w:spacing w:after="0" w:line="240" w:lineRule="auto"/>
        <w:rPr>
          <w:rFonts w:eastAsiaTheme="minorHAnsi" w:cstheme="minorHAnsi"/>
          <w:b/>
        </w:rPr>
      </w:pPr>
    </w:p>
    <w:p w14:paraId="2203B9A9" w14:textId="77777777" w:rsidR="004B41D5" w:rsidRPr="004B41D5" w:rsidRDefault="004B41D5" w:rsidP="004B41D5">
      <w:pPr>
        <w:spacing w:after="0" w:line="240" w:lineRule="auto"/>
        <w:rPr>
          <w:rFonts w:eastAsiaTheme="minorHAnsi" w:cstheme="minorHAnsi"/>
        </w:rPr>
      </w:pPr>
      <w:r w:rsidRPr="004B41D5">
        <w:rPr>
          <w:rFonts w:eastAsiaTheme="minorHAnsi" w:cstheme="minorHAnsi"/>
          <w:b/>
        </w:rPr>
        <w:t xml:space="preserve">Validity Survey of Experts:  </w:t>
      </w:r>
      <w:r w:rsidRPr="004B41D5">
        <w:rPr>
          <w:rFonts w:eastAsiaTheme="minorHAnsi" w:cstheme="minorHAnsi"/>
        </w:rPr>
        <w:t>Validity of the measure score was systematically assessed as follows:  After the measure was fully specified, members of 3 existing committees, one at the ACC, one at AHA and one joint ACC/AHA, with expertise in general cardiology, cardiac rehabilitation, quality improvement, outcomes research, and performance measurement, who were not involved in development of the measure, were asked to review the measure specifications and rate their agreement with the following statement:</w:t>
      </w:r>
    </w:p>
    <w:p w14:paraId="03F655B9" w14:textId="77777777" w:rsidR="004B41D5" w:rsidRPr="004B41D5" w:rsidRDefault="004B41D5" w:rsidP="004B41D5">
      <w:pPr>
        <w:spacing w:after="0" w:line="240" w:lineRule="auto"/>
        <w:rPr>
          <w:rFonts w:eastAsiaTheme="minorHAnsi" w:cstheme="minorHAnsi"/>
          <w:i/>
          <w:iCs/>
        </w:rPr>
      </w:pPr>
    </w:p>
    <w:p w14:paraId="1C435F12" w14:textId="77777777" w:rsidR="004B41D5" w:rsidRPr="004B41D5" w:rsidRDefault="004B41D5" w:rsidP="004B41D5">
      <w:pPr>
        <w:spacing w:after="0" w:line="240" w:lineRule="auto"/>
        <w:rPr>
          <w:rFonts w:eastAsiaTheme="minorHAnsi" w:cstheme="minorHAnsi"/>
        </w:rPr>
      </w:pPr>
      <w:r w:rsidRPr="004B41D5">
        <w:rPr>
          <w:rFonts w:eastAsiaTheme="minorHAnsi" w:cstheme="minorHAnsi"/>
          <w:i/>
          <w:iCs/>
        </w:rPr>
        <w:t xml:space="preserve">“The scores obtained from the measure as specified will provide an accurate reflection of quality and can be used to distinguish good and poor quality.” </w:t>
      </w:r>
      <w:r w:rsidRPr="004B41D5">
        <w:rPr>
          <w:rFonts w:eastAsiaTheme="minorHAnsi" w:cstheme="minorHAnsi"/>
        </w:rPr>
        <w:t> The respondents recorded their rating on a scale of 1-5, where 1= Strongly Disagree; 3=Neither Agree nor Disagree; 5= Strongly Agree</w:t>
      </w:r>
    </w:p>
    <w:p w14:paraId="5FA2E63E" w14:textId="77777777" w:rsidR="004B41D5" w:rsidRPr="004B41D5" w:rsidRDefault="004B41D5" w:rsidP="004B41D5">
      <w:pPr>
        <w:spacing w:after="0" w:line="240" w:lineRule="auto"/>
        <w:rPr>
          <w:rFonts w:eastAsiaTheme="minorHAnsi" w:cstheme="minorHAnsi"/>
        </w:rPr>
      </w:pPr>
    </w:p>
    <w:p w14:paraId="0767B4EA" w14:textId="77777777" w:rsidR="004B41D5" w:rsidRPr="004B41D5" w:rsidRDefault="004B41D5" w:rsidP="004B41D5">
      <w:pPr>
        <w:spacing w:after="0" w:line="240" w:lineRule="auto"/>
        <w:rPr>
          <w:rFonts w:eastAsiaTheme="minorHAnsi" w:cstheme="minorHAnsi"/>
        </w:rPr>
      </w:pPr>
      <w:r w:rsidRPr="004B41D5">
        <w:rPr>
          <w:rFonts w:eastAsiaTheme="minorHAnsi" w:cstheme="minorHAnsi"/>
        </w:rPr>
        <w:t>Face and content validity of the measure score was systematically assessed according to responses received from survey respondents.</w:t>
      </w:r>
    </w:p>
    <w:p w14:paraId="30942710" w14:textId="77777777" w:rsidR="004B41D5" w:rsidRPr="004B41D5" w:rsidRDefault="004B41D5" w:rsidP="004B41D5">
      <w:pPr>
        <w:spacing w:after="0" w:line="240" w:lineRule="auto"/>
        <w:rPr>
          <w:rFonts w:eastAsiaTheme="minorHAnsi" w:cstheme="minorHAnsi"/>
          <w:b/>
        </w:rPr>
      </w:pPr>
    </w:p>
    <w:p w14:paraId="3EAB512D" w14:textId="77777777" w:rsidR="004B41D5" w:rsidRPr="004B41D5" w:rsidRDefault="004B41D5" w:rsidP="004B41D5">
      <w:pPr>
        <w:rPr>
          <w:rFonts w:cstheme="minorHAnsi"/>
        </w:rPr>
      </w:pPr>
      <w:r w:rsidRPr="004B41D5">
        <w:rPr>
          <w:rFonts w:cstheme="minorHAnsi"/>
          <w:b/>
        </w:rPr>
        <w:t xml:space="preserve">AACVPR/ACCF/AHA performance measures set:  </w:t>
      </w:r>
      <w:r w:rsidRPr="004B41D5">
        <w:rPr>
          <w:rFonts w:cstheme="minorHAnsi"/>
        </w:rPr>
        <w:t xml:space="preserve">To determine the content/context validity of the measures, a process using a Delphi peer review was utilized. An explicit and standardized process for ACCF/AHA performance measure development was followed, including the following steps: 1. Formation of the Development Committee, 2. Identification of Potential Factors, for Inclusion, 3. Scoring of the Factors/Expert Opinion, 4. Public Comment Period/Peer Review, 5. Further Refinement, 6. Final approval by organizations, 7. Peer Review Publication/Endorsement.  Reviewers were asked to provide comments on the document on the basis of the rating form and guide shown on page 1432 at Http://content.onlinejacc.org/cgi/reprint/j.jacc.2007.04.033v1.pdf </w:t>
      </w:r>
    </w:p>
    <w:p w14:paraId="4D56064F" w14:textId="77777777" w:rsidR="004B41D5" w:rsidRPr="004B41D5" w:rsidRDefault="004B41D5" w:rsidP="004B41D5">
      <w:pPr>
        <w:rPr>
          <w:rFonts w:cstheme="minorHAnsi"/>
        </w:rPr>
      </w:pPr>
      <w:r w:rsidRPr="004B41D5">
        <w:rPr>
          <w:rFonts w:cstheme="minorHAnsi"/>
        </w:rPr>
        <w:t xml:space="preserve">Content/context validity of the measures was also established by virtue of the specialized expertise of the Performance Measures Work Group members including the structured discussions that the work </w:t>
      </w:r>
      <w:r w:rsidRPr="004B41D5">
        <w:rPr>
          <w:rFonts w:cstheme="minorHAnsi"/>
        </w:rPr>
        <w:lastRenderedPageBreak/>
        <w:t>group conducted, as well as the rigorous peer review and public comment period that were carried out. For this particular topic those individuals who were involved in identifying and drafting the performance measures were leaders and experts in the field of cardiac rehabilitation as chosen by AACVPR, ACCF, and AHA.</w:t>
      </w:r>
    </w:p>
    <w:p w14:paraId="783CF22B" w14:textId="77777777" w:rsidR="004B41D5" w:rsidRPr="004B41D5" w:rsidRDefault="004B41D5" w:rsidP="004B41D5">
      <w:pPr>
        <w:rPr>
          <w:rFonts w:cstheme="minorHAnsi"/>
        </w:rPr>
      </w:pPr>
      <w:r w:rsidRPr="004B41D5">
        <w:rPr>
          <w:rFonts w:cstheme="minorHAnsi"/>
        </w:rPr>
        <w:t xml:space="preserve">Furthermore, additional face and content validity was demonstrated from the update of the measure in 2010. During the NQF Care Coordination project, the Steering Committee asked AACVPR, ACCF, and AHA to remove patient refusal as an exception. Since that time, all 3 organizations have published an updated document (NQF measures 0642 and 0643) that explicitly notes that patient refusal should not be an allowable exception. In addition, the cardiac rehabilitation referral measures were revised to facilitate the implementation of these two measures by including administrative codes to identify denominator-eligible populations. All changes were approved by the American Association of Cardiovascular and Pulmonary Rehabilitation Board of Directors, the American College of Cardiology Foundation Board of Trustees, and by the American Heart Association Science Advisory and Coordinating Committee. The performance measure set was also reviewed via AHA and ACC processes as well as by the AACVPR Document Oversight Committee.  </w:t>
      </w:r>
    </w:p>
    <w:p w14:paraId="552343EC" w14:textId="77777777" w:rsidR="004B41D5" w:rsidRPr="004B41D5" w:rsidRDefault="004B41D5" w:rsidP="004B41D5">
      <w:pPr>
        <w:rPr>
          <w:rFonts w:cstheme="minorHAnsi"/>
          <w:b/>
          <w:iCs/>
        </w:rPr>
      </w:pPr>
      <w:r w:rsidRPr="004B41D5">
        <w:rPr>
          <w:rFonts w:cstheme="minorHAnsi"/>
          <w:b/>
          <w:iCs/>
        </w:rPr>
        <w:t xml:space="preserve">AACVPR/ACCF/AHA CR3 Project:  </w:t>
      </w:r>
      <w:r w:rsidRPr="004B41D5">
        <w:rPr>
          <w:rFonts w:cstheme="minorHAnsi"/>
          <w:iCs/>
        </w:rPr>
        <w:t>Through the NQF endorsement process, the cardiac rehabilitation referral performance measures (“Set A” measures) received time-endorsed status in 2010, thus supporting the content validity of these measures.</w:t>
      </w:r>
    </w:p>
    <w:p w14:paraId="44F18894" w14:textId="77777777" w:rsidR="004B41D5" w:rsidRPr="004B41D5" w:rsidRDefault="004B41D5" w:rsidP="004B41D5">
      <w:pPr>
        <w:rPr>
          <w:rFonts w:cstheme="minorHAnsi"/>
          <w:iCs/>
        </w:rPr>
      </w:pPr>
      <w:r w:rsidRPr="004B41D5">
        <w:rPr>
          <w:rFonts w:cstheme="minorHAnsi"/>
          <w:b/>
          <w:iCs/>
        </w:rPr>
        <w:t>PINNACLE Registry</w:t>
      </w:r>
      <w:r w:rsidRPr="004B41D5">
        <w:rPr>
          <w:rFonts w:cstheme="minorHAnsi"/>
          <w:b/>
          <w:bCs/>
        </w:rPr>
        <w:t xml:space="preserve">:  </w:t>
      </w:r>
      <w:r w:rsidRPr="004B41D5">
        <w:rPr>
          <w:rFonts w:cstheme="minorHAnsi"/>
          <w:iCs/>
        </w:rPr>
        <w:t>ACCF and AHA registries always attempt to include ACCF/AHA Task Force on Performance Measures in their various modules. The measures have content/context validity based on the approach articulated under the AACVPR/ACCF/AHA performance measure set.</w:t>
      </w:r>
    </w:p>
    <w:p w14:paraId="0111796D" w14:textId="77777777" w:rsidR="004B41D5" w:rsidRPr="004B41D5" w:rsidRDefault="004B41D5" w:rsidP="004B41D5">
      <w:pPr>
        <w:rPr>
          <w:rFonts w:cstheme="minorHAnsi"/>
          <w:b/>
          <w:iCs/>
        </w:rPr>
      </w:pPr>
      <w:r w:rsidRPr="004B41D5">
        <w:rPr>
          <w:rFonts w:cstheme="minorHAnsi"/>
          <w:b/>
          <w:iCs/>
        </w:rPr>
        <w:t>Predictive Validity</w:t>
      </w:r>
    </w:p>
    <w:p w14:paraId="166BEE0B" w14:textId="77777777" w:rsidR="004B41D5" w:rsidRPr="004B41D5" w:rsidRDefault="004B41D5" w:rsidP="004B41D5">
      <w:pPr>
        <w:rPr>
          <w:rFonts w:cstheme="minorHAnsi"/>
          <w:iCs/>
        </w:rPr>
      </w:pPr>
      <w:r w:rsidRPr="004B41D5">
        <w:rPr>
          <w:rFonts w:cstheme="minorHAnsi"/>
          <w:iCs/>
        </w:rPr>
        <w:t xml:space="preserve"> Published data have shown that as the cardiac rehabilitation referral measure is met (i.e., the patient is referred to cardiac rehabilitation), the proximate desired outcome (cardiac rehabilitation participation) increases, as does the longer term desired outcome (reduction in morbidity and mortality rates).  For more details, see the supplemental materials.</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F464A43" w14:textId="77777777" w:rsidR="004B41D5" w:rsidRPr="004B41D5" w:rsidRDefault="009C7513" w:rsidP="004B41D5">
      <w:pPr>
        <w:pStyle w:val="NoSpacing"/>
        <w:rPr>
          <w:rFonts w:eastAsiaTheme="minorHAnsi" w:cstheme="minorHAnsi"/>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4B41D5" w:rsidRPr="004B41D5">
        <w:rPr>
          <w:rFonts w:eastAsiaTheme="minorHAnsi" w:cstheme="minorHAnsi"/>
        </w:rPr>
        <w:t xml:space="preserve">There were 27 individuals who completed the survey.  Further information on the survey respondents is available if needed.  Results of the survey were as follows:  </w:t>
      </w:r>
    </w:p>
    <w:p w14:paraId="169B92A2" w14:textId="77777777" w:rsidR="004B41D5" w:rsidRPr="004B41D5" w:rsidRDefault="004B41D5" w:rsidP="004B41D5">
      <w:pPr>
        <w:spacing w:after="0" w:line="240" w:lineRule="auto"/>
        <w:rPr>
          <w:rFonts w:eastAsiaTheme="minorHAnsi" w:cstheme="minorHAnsi"/>
        </w:rPr>
      </w:pPr>
    </w:p>
    <w:p w14:paraId="6954FD5B" w14:textId="77777777" w:rsidR="004B41D5" w:rsidRPr="004B41D5" w:rsidRDefault="004B41D5" w:rsidP="004B41D5">
      <w:pPr>
        <w:spacing w:after="0" w:line="240" w:lineRule="auto"/>
        <w:rPr>
          <w:rFonts w:eastAsiaTheme="minorHAnsi" w:cstheme="minorHAnsi"/>
        </w:rPr>
      </w:pPr>
      <w:r w:rsidRPr="004B41D5">
        <w:rPr>
          <w:rFonts w:eastAsiaTheme="minorHAnsi" w:cstheme="minorHAnsi"/>
        </w:rPr>
        <w:t xml:space="preserve">-Average score:  4.83  </w:t>
      </w:r>
    </w:p>
    <w:p w14:paraId="7C888836" w14:textId="77777777" w:rsidR="004B41D5" w:rsidRPr="004B41D5" w:rsidRDefault="004B41D5" w:rsidP="004B41D5">
      <w:pPr>
        <w:spacing w:after="0" w:line="240" w:lineRule="auto"/>
        <w:rPr>
          <w:rFonts w:eastAsiaTheme="minorHAnsi" w:cstheme="minorHAnsi"/>
        </w:rPr>
      </w:pPr>
    </w:p>
    <w:p w14:paraId="1CDE7EFF" w14:textId="77777777" w:rsidR="004B41D5" w:rsidRPr="004B41D5" w:rsidRDefault="004B41D5" w:rsidP="004B41D5">
      <w:pPr>
        <w:rPr>
          <w:rFonts w:cstheme="minorHAnsi"/>
        </w:rPr>
      </w:pPr>
      <w:r w:rsidRPr="004B41D5">
        <w:rPr>
          <w:rFonts w:eastAsia="Times New Roman" w:cstheme="minorHAnsi"/>
          <w:b/>
          <w:bCs/>
        </w:rPr>
        <w:t>-</w:t>
      </w:r>
      <w:r w:rsidRPr="004B41D5">
        <w:rPr>
          <w:rFonts w:eastAsia="Times New Roman" w:cstheme="minorHAnsi"/>
          <w:bCs/>
        </w:rPr>
        <w:t>93% of respondents either agree or strongly agree that the outpatient measure can accurately distinguish good and poor quality.</w:t>
      </w:r>
    </w:p>
    <w:p w14:paraId="1EBACE63" w14:textId="77777777" w:rsidR="004B41D5" w:rsidRPr="004B41D5" w:rsidRDefault="004B41D5" w:rsidP="004B41D5">
      <w:pPr>
        <w:spacing w:after="0" w:line="240" w:lineRule="auto"/>
        <w:rPr>
          <w:rFonts w:cstheme="minorHAnsi"/>
          <w:b/>
        </w:rPr>
      </w:pPr>
      <w:r w:rsidRPr="004B41D5">
        <w:rPr>
          <w:rFonts w:cstheme="minorHAnsi"/>
          <w:b/>
        </w:rPr>
        <w:t>AACVPR/ACCF/AHA performance measures set:</w:t>
      </w:r>
    </w:p>
    <w:p w14:paraId="7F8C65F5" w14:textId="77777777" w:rsidR="004B41D5" w:rsidRPr="004B41D5" w:rsidRDefault="004B41D5" w:rsidP="004B41D5">
      <w:pPr>
        <w:spacing w:after="0" w:line="240" w:lineRule="auto"/>
        <w:rPr>
          <w:rFonts w:cstheme="minorHAnsi"/>
          <w:lang w:val="en"/>
        </w:rPr>
      </w:pPr>
      <w:r w:rsidRPr="004B41D5">
        <w:rPr>
          <w:rFonts w:cstheme="minorHAnsi"/>
        </w:rPr>
        <w:t xml:space="preserve">In May 2007 the final peer reviewed publication of the performance measures document was approved by the American Association of Cardiovascular and Pulmonary Rehabilitation Board of Directors, the </w:t>
      </w:r>
      <w:r w:rsidRPr="004B41D5">
        <w:rPr>
          <w:rFonts w:cstheme="minorHAnsi"/>
        </w:rPr>
        <w:lastRenderedPageBreak/>
        <w:t xml:space="preserve">American College of Cardiology Foundation Board of Trustees and by the American Heart Association Science Advisory and Coordinating Committee. </w:t>
      </w:r>
      <w:r w:rsidRPr="004B41D5">
        <w:rPr>
          <w:rFonts w:cstheme="minorHAnsi"/>
          <w:lang w:val="en"/>
        </w:rPr>
        <w:t xml:space="preserve">Additionally, the publication was endorsed by </w:t>
      </w:r>
      <w:r w:rsidRPr="004B41D5">
        <w:rPr>
          <w:rFonts w:cstheme="minorHAnsi"/>
        </w:rPr>
        <w:t xml:space="preserve">the American College of Chest Physicians, American College of Sports Medicine, American Physical Therapy Association, Canadian Association of Cardiac Rehabilitation, European Association for Cardiovascular Prevention and Rehabilitation, Inter-American Heart Foundation, National Association of Clinical Nurse Specialists, Preventive Cardiovascular Nurses Association, and the Society of Thoracic Surgeons.  </w:t>
      </w:r>
      <w:r w:rsidRPr="004B41D5">
        <w:rPr>
          <w:rFonts w:cstheme="minorHAnsi"/>
          <w:lang w:val="en"/>
        </w:rPr>
        <w:t xml:space="preserve">The final document was published </w:t>
      </w:r>
      <w:r w:rsidRPr="004B41D5">
        <w:rPr>
          <w:rFonts w:cstheme="minorHAnsi"/>
          <w:i/>
          <w:iCs/>
          <w:lang w:val="en"/>
        </w:rPr>
        <w:t xml:space="preserve">the </w:t>
      </w:r>
      <w:r w:rsidRPr="004B41D5">
        <w:rPr>
          <w:rFonts w:cstheme="minorHAnsi"/>
          <w:i/>
          <w:iCs/>
        </w:rPr>
        <w:t>Journal of the American College of Cardiology</w:t>
      </w:r>
      <w:r w:rsidRPr="004B41D5">
        <w:rPr>
          <w:rFonts w:cstheme="minorHAnsi"/>
          <w:lang w:val="en"/>
        </w:rPr>
        <w:t xml:space="preserve">  (the official journal of the American College of Cardiology), </w:t>
      </w:r>
      <w:r w:rsidRPr="004B41D5">
        <w:rPr>
          <w:rFonts w:cstheme="minorHAnsi"/>
          <w:i/>
          <w:iCs/>
          <w:lang w:val="en"/>
        </w:rPr>
        <w:t xml:space="preserve">the </w:t>
      </w:r>
      <w:r w:rsidRPr="004B41D5">
        <w:rPr>
          <w:rFonts w:cstheme="minorHAnsi"/>
          <w:i/>
          <w:iCs/>
        </w:rPr>
        <w:t>Journal of Cardiopulmonary Rehabilitation and</w:t>
      </w:r>
      <w:r w:rsidRPr="004B41D5">
        <w:rPr>
          <w:rFonts w:cstheme="minorHAnsi"/>
        </w:rPr>
        <w:t xml:space="preserve"> </w:t>
      </w:r>
      <w:r w:rsidRPr="004B41D5">
        <w:rPr>
          <w:rFonts w:cstheme="minorHAnsi"/>
          <w:i/>
          <w:iCs/>
        </w:rPr>
        <w:t>Prevention</w:t>
      </w:r>
      <w:r w:rsidRPr="004B41D5">
        <w:rPr>
          <w:rFonts w:cstheme="minorHAnsi"/>
        </w:rPr>
        <w:t xml:space="preserve"> (the official journal of the American Association of Cardiovascular and Pulmonary Rehabilitation) and </w:t>
      </w:r>
      <w:r w:rsidRPr="004B41D5">
        <w:rPr>
          <w:rFonts w:cstheme="minorHAnsi"/>
          <w:i/>
          <w:iCs/>
        </w:rPr>
        <w:t>Circulation</w:t>
      </w:r>
      <w:r w:rsidRPr="004B41D5">
        <w:rPr>
          <w:rFonts w:cstheme="minorHAnsi"/>
        </w:rPr>
        <w:t xml:space="preserve"> (the official journal of the  American Heart Association) in </w:t>
      </w:r>
      <w:r w:rsidRPr="004B41D5">
        <w:rPr>
          <w:rFonts w:cstheme="minorHAnsi"/>
          <w:lang w:val="en"/>
        </w:rPr>
        <w:t xml:space="preserve">September 2007. The document can be found at </w:t>
      </w:r>
      <w:hyperlink r:id="rId15" w:history="1">
        <w:r w:rsidRPr="004B41D5">
          <w:rPr>
            <w:rFonts w:cstheme="minorHAnsi"/>
            <w:u w:val="single"/>
            <w:lang w:val="en"/>
          </w:rPr>
          <w:t>http://content.onlinejacc.org/cgi/reprint/j.jacc.2007.04.033v1.pdf</w:t>
        </w:r>
      </w:hyperlink>
      <w:r w:rsidRPr="004B41D5">
        <w:rPr>
          <w:rFonts w:cstheme="minorHAnsi"/>
          <w:lang w:val="en"/>
        </w:rPr>
        <w:t>.</w:t>
      </w:r>
    </w:p>
    <w:p w14:paraId="48305879" w14:textId="77777777" w:rsidR="004B41D5" w:rsidRPr="004B41D5" w:rsidRDefault="004B41D5" w:rsidP="004B41D5">
      <w:pPr>
        <w:spacing w:after="0" w:line="240" w:lineRule="auto"/>
        <w:rPr>
          <w:rFonts w:cstheme="minorHAnsi"/>
          <w:b/>
          <w:iCs/>
        </w:rPr>
      </w:pPr>
    </w:p>
    <w:p w14:paraId="01BEE62A" w14:textId="77777777" w:rsidR="004B41D5" w:rsidRPr="004B41D5" w:rsidRDefault="004B41D5" w:rsidP="004B41D5">
      <w:pPr>
        <w:spacing w:after="0" w:line="240" w:lineRule="auto"/>
        <w:rPr>
          <w:rFonts w:cstheme="minorHAnsi"/>
          <w:b/>
          <w:iCs/>
        </w:rPr>
      </w:pPr>
      <w:r w:rsidRPr="004B41D5">
        <w:rPr>
          <w:rFonts w:cstheme="minorHAnsi"/>
          <w:b/>
          <w:iCs/>
        </w:rPr>
        <w:t>AACVPR/ACCF/</w:t>
      </w:r>
      <w:proofErr w:type="gramStart"/>
      <w:r w:rsidRPr="004B41D5">
        <w:rPr>
          <w:rFonts w:cstheme="minorHAnsi"/>
          <w:b/>
          <w:iCs/>
        </w:rPr>
        <w:t>AHA  CR3Project</w:t>
      </w:r>
      <w:proofErr w:type="gramEnd"/>
      <w:r w:rsidRPr="004B41D5">
        <w:rPr>
          <w:rFonts w:cstheme="minorHAnsi"/>
          <w:b/>
          <w:iCs/>
        </w:rPr>
        <w:t>:</w:t>
      </w:r>
    </w:p>
    <w:p w14:paraId="13908252" w14:textId="77777777" w:rsidR="004B41D5" w:rsidRPr="004B41D5" w:rsidRDefault="004B41D5" w:rsidP="004B41D5">
      <w:pPr>
        <w:widowControl w:val="0"/>
        <w:spacing w:after="0" w:line="240" w:lineRule="auto"/>
        <w:ind w:right="764"/>
        <w:rPr>
          <w:rFonts w:eastAsia="Calibri" w:cstheme="minorHAnsi"/>
        </w:rPr>
      </w:pPr>
      <w:r w:rsidRPr="004B41D5">
        <w:rPr>
          <w:rFonts w:eastAsia="Calibri" w:cstheme="minorHAnsi"/>
        </w:rPr>
        <w:t xml:space="preserve">The cardiac rehabilitation referral measures (NQF measures 0642 and 0643) were revised in 2010 to clarify numerator and denominator exclusion criteria and to facilitate the implementation of these two measures by including administrative codes to identify denominator-eligible populations.  </w:t>
      </w:r>
    </w:p>
    <w:p w14:paraId="29E44BF3" w14:textId="77777777" w:rsidR="004B41D5" w:rsidRPr="004B41D5" w:rsidRDefault="004B41D5" w:rsidP="004B41D5">
      <w:pPr>
        <w:spacing w:after="0" w:line="240" w:lineRule="auto"/>
        <w:rPr>
          <w:rFonts w:cstheme="minorHAnsi"/>
          <w:b/>
          <w:iCs/>
        </w:rPr>
      </w:pPr>
    </w:p>
    <w:p w14:paraId="364270AF" w14:textId="77777777" w:rsidR="004B41D5" w:rsidRPr="004B41D5" w:rsidRDefault="004B41D5" w:rsidP="004B41D5">
      <w:pPr>
        <w:spacing w:after="0" w:line="240" w:lineRule="auto"/>
        <w:rPr>
          <w:rFonts w:cstheme="minorHAnsi"/>
          <w:b/>
          <w:bCs/>
        </w:rPr>
      </w:pPr>
      <w:r w:rsidRPr="004B41D5">
        <w:rPr>
          <w:rFonts w:cstheme="minorHAnsi"/>
          <w:b/>
          <w:iCs/>
        </w:rPr>
        <w:t>PINNACLE Registry</w:t>
      </w:r>
      <w:r w:rsidRPr="004B41D5">
        <w:rPr>
          <w:rFonts w:cstheme="minorHAnsi"/>
          <w:b/>
          <w:bCs/>
        </w:rPr>
        <w:t>:</w:t>
      </w:r>
    </w:p>
    <w:p w14:paraId="2DE9C763" w14:textId="77777777" w:rsidR="004B41D5" w:rsidRPr="004B41D5" w:rsidRDefault="004B41D5" w:rsidP="004B41D5">
      <w:pPr>
        <w:spacing w:after="0" w:line="240" w:lineRule="auto"/>
        <w:rPr>
          <w:rFonts w:cstheme="minorHAnsi"/>
          <w:iCs/>
        </w:rPr>
      </w:pPr>
      <w:r w:rsidRPr="004B41D5">
        <w:rPr>
          <w:rFonts w:cstheme="minorHAnsi"/>
          <w:iCs/>
        </w:rPr>
        <w:t>A review of the measure based on the attributes, of reliability, ease of implementation, appropriate numerator, denominator, and exception specifications was performed. Given that it fulfilled these attributes, the measure was included in the registry. Data from this registry can be seen throughout the submission form and supplemental materials.</w:t>
      </w:r>
    </w:p>
    <w:p w14:paraId="7C92E452" w14:textId="77777777" w:rsidR="004B41D5" w:rsidRPr="004B41D5" w:rsidRDefault="004B41D5" w:rsidP="004B41D5">
      <w:pPr>
        <w:autoSpaceDE w:val="0"/>
        <w:autoSpaceDN w:val="0"/>
        <w:adjustRightInd w:val="0"/>
        <w:spacing w:after="0" w:line="240" w:lineRule="auto"/>
        <w:rPr>
          <w:rFonts w:cstheme="minorHAnsi"/>
          <w:bCs/>
        </w:rPr>
      </w:pPr>
    </w:p>
    <w:p w14:paraId="0CABCFDE" w14:textId="6F9D7309" w:rsidR="007422FD" w:rsidRPr="00092566" w:rsidRDefault="007422FD" w:rsidP="00092566">
      <w:pPr>
        <w:autoSpaceDE w:val="0"/>
        <w:autoSpaceDN w:val="0"/>
        <w:adjustRightInd w:val="0"/>
        <w:spacing w:after="0" w:line="240" w:lineRule="auto"/>
        <w:rPr>
          <w:rFonts w:cstheme="minorHAnsi"/>
          <w:bCs/>
        </w:rPr>
      </w:pPr>
    </w:p>
    <w:p w14:paraId="0CABCFDF" w14:textId="1A4B2A0D" w:rsidR="007422FD"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7AA9B806" w14:textId="5D3F31F1" w:rsidR="004B41D5" w:rsidRPr="00C94B70" w:rsidRDefault="004B41D5" w:rsidP="004B41D5">
      <w:pPr>
        <w:autoSpaceDE w:val="0"/>
        <w:autoSpaceDN w:val="0"/>
        <w:adjustRightInd w:val="0"/>
        <w:spacing w:after="0" w:line="240" w:lineRule="auto"/>
        <w:rPr>
          <w:rFonts w:cstheme="minorHAnsi"/>
          <w:bCs/>
        </w:rPr>
      </w:pPr>
      <w:r w:rsidRPr="00C94B70">
        <w:rPr>
          <w:rFonts w:cstheme="minorHAnsi"/>
          <w:bCs/>
        </w:rPr>
        <w:t>As noted above, our interpretation is that face and content validity has been established for this measure.</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122A8ECB" w14:textId="77777777" w:rsidR="004B41D5" w:rsidRPr="00C94B70" w:rsidRDefault="004B41D5" w:rsidP="004B41D5">
      <w:pPr>
        <w:spacing w:after="0" w:line="240" w:lineRule="auto"/>
        <w:rPr>
          <w:rFonts w:cstheme="minorHAnsi"/>
          <w:iCs/>
        </w:rPr>
      </w:pPr>
      <w:r w:rsidRPr="00C94B70">
        <w:rPr>
          <w:rFonts w:cstheme="minorHAnsi"/>
          <w:b/>
          <w:iCs/>
        </w:rPr>
        <w:t>AACVPR/ACCF/</w:t>
      </w:r>
      <w:proofErr w:type="gramStart"/>
      <w:r w:rsidRPr="00C94B70">
        <w:rPr>
          <w:rFonts w:cstheme="minorHAnsi"/>
          <w:b/>
          <w:iCs/>
        </w:rPr>
        <w:t>AHA  CR3Project</w:t>
      </w:r>
      <w:proofErr w:type="gramEnd"/>
      <w:r w:rsidRPr="00C94B70">
        <w:rPr>
          <w:rFonts w:cstheme="minorHAnsi"/>
          <w:b/>
          <w:iCs/>
        </w:rPr>
        <w:t>:</w:t>
      </w:r>
      <w:r w:rsidRPr="00C94B70">
        <w:rPr>
          <w:rFonts w:cstheme="minorHAnsi"/>
          <w:iCs/>
        </w:rPr>
        <w:t xml:space="preserve">  Reliability of abstracting measure exclusions was tested in the CR3 project (see reliability testing section above).  Exclusions or exceptions include patient, medical, and system-based conditions that would preclude the reasonable participation of a patient in a cardiac rehabilitation program (death, residing in an extended care nursing facility, lack of a cardiac rehabilitation program close to where the patient lives, etc.).</w:t>
      </w:r>
    </w:p>
    <w:p w14:paraId="05B4AD6F" w14:textId="77777777" w:rsidR="004B41D5" w:rsidRPr="00C94B70" w:rsidRDefault="004B41D5" w:rsidP="004B41D5">
      <w:pPr>
        <w:spacing w:after="0" w:line="240" w:lineRule="auto"/>
        <w:rPr>
          <w:rFonts w:cstheme="minorHAnsi"/>
          <w:b/>
          <w:iCs/>
        </w:rPr>
      </w:pPr>
    </w:p>
    <w:p w14:paraId="7F6E2AD3" w14:textId="77777777" w:rsidR="004B41D5" w:rsidRPr="00C94B70" w:rsidRDefault="004B41D5" w:rsidP="004B41D5">
      <w:pPr>
        <w:spacing w:after="0" w:line="240" w:lineRule="auto"/>
        <w:rPr>
          <w:rFonts w:cstheme="minorHAnsi"/>
        </w:rPr>
      </w:pPr>
      <w:r w:rsidRPr="00C94B70">
        <w:rPr>
          <w:rFonts w:cstheme="minorHAnsi"/>
          <w:b/>
          <w:iCs/>
        </w:rPr>
        <w:t>PINNACLE</w:t>
      </w:r>
      <w:r w:rsidRPr="00C94B70">
        <w:rPr>
          <w:rFonts w:cstheme="minorHAnsi"/>
          <w:b/>
        </w:rPr>
        <w:t xml:space="preserve"> Registry:  </w:t>
      </w:r>
      <w:r w:rsidRPr="00C94B70">
        <w:rPr>
          <w:rFonts w:cstheme="minorHAnsi"/>
        </w:rPr>
        <w:t>Exclusion rates and reasons were assessed from the PINNACLE Registry.</w:t>
      </w:r>
    </w:p>
    <w:p w14:paraId="7F9B2BF4" w14:textId="77777777" w:rsidR="004B41D5" w:rsidRPr="009D3882" w:rsidRDefault="004B41D5" w:rsidP="00DB3627">
      <w:pPr>
        <w:autoSpaceDE w:val="0"/>
        <w:autoSpaceDN w:val="0"/>
        <w:adjustRightInd w:val="0"/>
        <w:spacing w:after="0" w:line="240" w:lineRule="auto"/>
        <w:rPr>
          <w:rFonts w:cstheme="minorHAnsi"/>
          <w:bCs/>
          <w:sz w:val="12"/>
        </w:rPr>
      </w:pP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406DE700" w14:textId="77777777" w:rsidR="004B41D5" w:rsidRDefault="00092566" w:rsidP="00092566">
      <w:pPr>
        <w:autoSpaceDE w:val="0"/>
        <w:autoSpaceDN w:val="0"/>
        <w:adjustRightInd w:val="0"/>
        <w:spacing w:after="0" w:line="240" w:lineRule="auto"/>
        <w:rPr>
          <w:rFonts w:cstheme="minorHAnsi"/>
          <w:bCs/>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681192BA" w14:textId="77777777" w:rsidR="004B41D5" w:rsidRDefault="004B41D5" w:rsidP="00092566">
      <w:pPr>
        <w:autoSpaceDE w:val="0"/>
        <w:autoSpaceDN w:val="0"/>
        <w:adjustRightInd w:val="0"/>
        <w:spacing w:after="0" w:line="240" w:lineRule="auto"/>
        <w:rPr>
          <w:rFonts w:cstheme="minorHAnsi"/>
          <w:bCs/>
        </w:rPr>
      </w:pPr>
    </w:p>
    <w:p w14:paraId="577AB4B7" w14:textId="77777777" w:rsidR="004B41D5" w:rsidRPr="00C94B70" w:rsidRDefault="004B41D5" w:rsidP="004B41D5">
      <w:pPr>
        <w:autoSpaceDE w:val="0"/>
        <w:autoSpaceDN w:val="0"/>
        <w:adjustRightInd w:val="0"/>
        <w:spacing w:after="0" w:line="240" w:lineRule="auto"/>
        <w:rPr>
          <w:rFonts w:cstheme="minorHAnsi"/>
          <w:bCs/>
        </w:rPr>
      </w:pPr>
      <w:r w:rsidRPr="00C94B70">
        <w:rPr>
          <w:rFonts w:cstheme="minorHAnsi"/>
          <w:bCs/>
        </w:rPr>
        <w:t>The reliability of abstracting exclusions was high to very high, as shown in the reliability section of this document.</w:t>
      </w:r>
    </w:p>
    <w:p w14:paraId="1973A8E6" w14:textId="77777777" w:rsidR="004B41D5" w:rsidRPr="00C94B70" w:rsidRDefault="004B41D5" w:rsidP="004B41D5">
      <w:pPr>
        <w:autoSpaceDE w:val="0"/>
        <w:autoSpaceDN w:val="0"/>
        <w:adjustRightInd w:val="0"/>
        <w:spacing w:after="0" w:line="240" w:lineRule="auto"/>
        <w:rPr>
          <w:rFonts w:cstheme="minorHAnsi"/>
          <w:bCs/>
        </w:rPr>
      </w:pPr>
    </w:p>
    <w:p w14:paraId="05233FEC" w14:textId="77777777" w:rsidR="004B41D5" w:rsidRPr="00C94B70" w:rsidRDefault="004B41D5" w:rsidP="004B41D5">
      <w:pPr>
        <w:autoSpaceDE w:val="0"/>
        <w:autoSpaceDN w:val="0"/>
        <w:adjustRightInd w:val="0"/>
        <w:spacing w:after="0" w:line="240" w:lineRule="auto"/>
      </w:pPr>
      <w:r w:rsidRPr="00C94B70">
        <w:rPr>
          <w:rFonts w:cstheme="minorHAnsi"/>
          <w:bCs/>
        </w:rPr>
        <w:t xml:space="preserve">In the PINNACLE Registry, </w:t>
      </w:r>
      <w:r w:rsidRPr="00C94B70">
        <w:t>95% (n=944) of the providers did not report exclusions/exceptions.  Among those providers who did report exclusions/exceptions, the mean rate was 29%.  Among the patients with exclusions/exceptions, 7.4% were for medical reasons, 63.6 for patient reasons, and 29% for system reasons.</w:t>
      </w:r>
    </w:p>
    <w:p w14:paraId="0CABCFE6" w14:textId="5343B8B3" w:rsidR="007422FD" w:rsidRDefault="00833325" w:rsidP="00092566">
      <w:pPr>
        <w:autoSpaceDE w:val="0"/>
        <w:autoSpaceDN w:val="0"/>
        <w:adjustRightInd w:val="0"/>
        <w:spacing w:after="0" w:line="240" w:lineRule="auto"/>
        <w:rPr>
          <w:rFonts w:cstheme="minorHAnsi"/>
          <w:bCs/>
        </w:rPr>
      </w:pPr>
      <w:r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5D1B03D6" w14:textId="77777777" w:rsidR="004B41D5" w:rsidRDefault="00092566" w:rsidP="004B41D5">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5AD29E98" w14:textId="706F01AE" w:rsidR="004B41D5" w:rsidRPr="00C94B70" w:rsidRDefault="007422FD" w:rsidP="004B41D5">
      <w:pPr>
        <w:autoSpaceDE w:val="0"/>
        <w:autoSpaceDN w:val="0"/>
        <w:adjustRightInd w:val="0"/>
        <w:spacing w:after="0" w:line="240" w:lineRule="auto"/>
        <w:rPr>
          <w:rFonts w:cstheme="minorHAnsi"/>
          <w:bCs/>
        </w:rPr>
      </w:pPr>
      <w:r w:rsidRPr="00A25024">
        <w:rPr>
          <w:rFonts w:cstheme="minorHAnsi"/>
          <w:bCs/>
        </w:rPr>
        <w:br/>
      </w:r>
      <w:r w:rsidR="004B41D5" w:rsidRPr="00C94B70">
        <w:rPr>
          <w:rFonts w:cstheme="minorHAnsi"/>
          <w:bCs/>
        </w:rPr>
        <w:t>Documentation and assessment of exclusions are very important for this measure, to help reduce the possibility of bias in reporting (i.e., excluding patients who are actually eligible for cardiac rehabilitation referral, in order to improve performance scores).  Based on the results of our CR3 project, the time and effort to assess exclusions does not appear to add significant burden (see supplemental materials section for more details on time required to complete abstraction of data for this measure).</w:t>
      </w:r>
    </w:p>
    <w:p w14:paraId="0CABCFE8" w14:textId="06255C2C" w:rsidR="007422FD" w:rsidRPr="00A25024" w:rsidRDefault="007422FD"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3CC39E2D" w:rsidR="00033038" w:rsidRPr="005232D6" w:rsidRDefault="0042155A"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4B41D5">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42155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42155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42155A"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3C939E2" w14:textId="77777777" w:rsidR="004B41D5" w:rsidRDefault="009C7513" w:rsidP="009D3882">
      <w:pPr>
        <w:rPr>
          <w:rFonts w:cs="Calibr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CABCFF4" w14:textId="07F5AF3E" w:rsidR="009D3882" w:rsidRPr="009D3882" w:rsidRDefault="004B41D5" w:rsidP="009D3882">
      <w:pPr>
        <w:rPr>
          <w:rFonts w:cstheme="minorHAnsi"/>
          <w:b/>
          <w:bCs/>
          <w:sz w:val="14"/>
        </w:rPr>
      </w:pPr>
      <w:r w:rsidRPr="00C94B70">
        <w:t>Referral to cardiac rehabilitation is appropriate and evidence-based for all patients who have had a qualifying event/diagnosis/procedure.  Referral or non-referral is not based on a patient’s level of risk, but rather cardiac rehabilitation is appropriate and evidence-based for all eligible patients no matter what their risk level</w:t>
      </w:r>
    </w:p>
    <w:p w14:paraId="0CABCFF6" w14:textId="6B194552" w:rsidR="00001D73" w:rsidRPr="00AF2D68" w:rsidRDefault="009C7513" w:rsidP="00AF2D68">
      <w:pPr>
        <w:rPr>
          <w:rFonts w:cstheme="minorHAnsi"/>
          <w:bCs/>
          <w:sz w:val="4"/>
        </w:rPr>
      </w:pPr>
      <w:r>
        <w:rPr>
          <w:rFonts w:cstheme="minorHAnsi"/>
          <w:b/>
          <w:bCs/>
        </w:rPr>
        <w:lastRenderedPageBreak/>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42155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42155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42155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sidRPr="00F7493D">
        <w:rPr>
          <w:rFonts w:cstheme="minorHAnsi"/>
          <w:b/>
          <w:bCs/>
          <w:highlight w:val="yellow"/>
        </w:rPr>
        <w:t>2b4</w:t>
      </w:r>
      <w:r w:rsidR="00D61410" w:rsidRPr="00F7493D">
        <w:rPr>
          <w:rFonts w:cstheme="minorHAnsi"/>
          <w:b/>
          <w:bCs/>
          <w:highlight w:val="yellow"/>
        </w:rPr>
        <w:t>. IDENTIFICATION OF STATISTICALLY SIGNIFICANT &amp; MEANINGFUL DIFFERENCES IN PERFORMANCE</w:t>
      </w:r>
    </w:p>
    <w:p w14:paraId="0CABD008" w14:textId="2D3565CB"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1BA155D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18591064"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F7493D">
        <w:rPr>
          <w:rFonts w:cstheme="minorHAnsi"/>
          <w:b/>
          <w:bCs/>
          <w:highlight w:val="yellow"/>
        </w:rPr>
        <w:t>2</w:t>
      </w:r>
      <w:r w:rsidR="00EA5F47" w:rsidRPr="00F7493D">
        <w:rPr>
          <w:rFonts w:cstheme="minorHAnsi"/>
          <w:b/>
          <w:bCs/>
          <w:highlight w:val="yellow"/>
        </w:rPr>
        <w:t>b</w:t>
      </w:r>
      <w:r w:rsidR="009C7513" w:rsidRPr="00F7493D">
        <w:rPr>
          <w:rFonts w:cstheme="minorHAnsi"/>
          <w:b/>
          <w:bCs/>
          <w:highlight w:val="yellow"/>
        </w:rPr>
        <w:t>5</w:t>
      </w:r>
      <w:r w:rsidRPr="00F7493D">
        <w:rPr>
          <w:rFonts w:cstheme="minorHAnsi"/>
          <w:b/>
          <w:bCs/>
          <w:highlight w:val="yellow"/>
        </w:rPr>
        <w:t xml:space="preserve">. COMPARABILITY OF PERFORMANCE SCORES </w:t>
      </w:r>
      <w:r w:rsidR="004C498F" w:rsidRPr="00F7493D">
        <w:rPr>
          <w:rFonts w:cstheme="minorHAnsi"/>
          <w:b/>
          <w:bCs/>
          <w:highlight w:val="yellow"/>
        </w:rPr>
        <w:t>WHEN</w:t>
      </w:r>
      <w:r w:rsidR="002B2116" w:rsidRPr="00F7493D">
        <w:rPr>
          <w:rFonts w:cstheme="minorHAnsi"/>
          <w:b/>
          <w:bCs/>
          <w:highlight w:val="yellow"/>
        </w:rPr>
        <w:t xml:space="preserve"> MORE THAN ONE SET OF SPECIFICATIONS</w:t>
      </w:r>
      <w:r w:rsidR="002B2116" w:rsidRPr="00A25024">
        <w:rPr>
          <w:rFonts w:cstheme="minorHAnsi"/>
          <w:b/>
          <w:bCs/>
        </w:rPr>
        <w:t xml:space="preserve">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2160C9B8" w14:textId="77777777" w:rsidR="001C501F" w:rsidRPr="00C94B70" w:rsidRDefault="001C501F" w:rsidP="001C501F">
      <w:pPr>
        <w:autoSpaceDE w:val="0"/>
        <w:autoSpaceDN w:val="0"/>
        <w:adjustRightInd w:val="0"/>
        <w:spacing w:after="0" w:line="240" w:lineRule="auto"/>
        <w:rPr>
          <w:rFonts w:cstheme="minorHAnsi"/>
          <w:bCs/>
        </w:rPr>
      </w:pPr>
      <w:r w:rsidRPr="00C94B70">
        <w:rPr>
          <w:rFonts w:cstheme="minorHAnsi"/>
          <w:bCs/>
        </w:rPr>
        <w:t>Performance rates were assessed by chart abstraction in the CR3 project.  Reliability of that assessment was also performed, as noted in the reliability section above.</w:t>
      </w:r>
    </w:p>
    <w:p w14:paraId="19276745" w14:textId="77777777" w:rsidR="001C501F" w:rsidRPr="00C94B70" w:rsidRDefault="001C501F" w:rsidP="001C501F">
      <w:pPr>
        <w:autoSpaceDE w:val="0"/>
        <w:autoSpaceDN w:val="0"/>
        <w:adjustRightInd w:val="0"/>
        <w:spacing w:after="0" w:line="240" w:lineRule="auto"/>
        <w:rPr>
          <w:rFonts w:cstheme="minorHAnsi"/>
          <w:bCs/>
        </w:rPr>
      </w:pPr>
    </w:p>
    <w:p w14:paraId="17B18A3A" w14:textId="77777777" w:rsidR="001C501F" w:rsidRPr="00C94B70" w:rsidRDefault="001C501F" w:rsidP="001C501F">
      <w:pPr>
        <w:autoSpaceDE w:val="0"/>
        <w:autoSpaceDN w:val="0"/>
        <w:adjustRightInd w:val="0"/>
        <w:spacing w:after="0" w:line="240" w:lineRule="auto"/>
        <w:rPr>
          <w:rFonts w:cstheme="minorHAnsi"/>
          <w:bCs/>
        </w:rPr>
      </w:pPr>
      <w:r w:rsidRPr="00C94B70">
        <w:rPr>
          <w:rFonts w:cstheme="minorHAnsi"/>
          <w:bCs/>
        </w:rPr>
        <w:t xml:space="preserve">In the PINNACLE Registry, performance rates were assessed by decile, to allow for assessment of differences between “low” and “high” performing centers.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3A4D085" w14:textId="77777777" w:rsidR="001C501F" w:rsidRPr="00C94B70" w:rsidRDefault="001C501F" w:rsidP="001C501F">
      <w:pPr>
        <w:autoSpaceDE w:val="0"/>
        <w:autoSpaceDN w:val="0"/>
        <w:adjustRightInd w:val="0"/>
        <w:spacing w:after="0" w:line="240" w:lineRule="auto"/>
        <w:rPr>
          <w:rFonts w:cstheme="minorHAnsi"/>
          <w:bCs/>
        </w:rPr>
      </w:pPr>
      <w:r w:rsidRPr="00C94B70">
        <w:rPr>
          <w:rFonts w:cstheme="minorHAnsi"/>
          <w:bCs/>
        </w:rPr>
        <w:t>See reliability section for results of CR3 Project.</w:t>
      </w:r>
    </w:p>
    <w:p w14:paraId="44E067F7" w14:textId="77777777" w:rsidR="001C501F" w:rsidRPr="00C94B70" w:rsidRDefault="001C501F" w:rsidP="001C501F">
      <w:pPr>
        <w:autoSpaceDE w:val="0"/>
        <w:autoSpaceDN w:val="0"/>
        <w:adjustRightInd w:val="0"/>
        <w:spacing w:after="0" w:line="240" w:lineRule="auto"/>
        <w:rPr>
          <w:rFonts w:cstheme="minorHAnsi"/>
          <w:bCs/>
        </w:rPr>
      </w:pPr>
    </w:p>
    <w:p w14:paraId="70014CEA" w14:textId="77777777" w:rsidR="001C501F" w:rsidRPr="00C94B70" w:rsidRDefault="001C501F" w:rsidP="001C501F">
      <w:pPr>
        <w:autoSpaceDE w:val="0"/>
        <w:autoSpaceDN w:val="0"/>
        <w:adjustRightInd w:val="0"/>
        <w:spacing w:after="0" w:line="240" w:lineRule="auto"/>
        <w:rPr>
          <w:rFonts w:cstheme="minorHAnsi"/>
          <w:bCs/>
        </w:rPr>
      </w:pPr>
      <w:r w:rsidRPr="00C94B70">
        <w:rPr>
          <w:rFonts w:cstheme="minorHAnsi"/>
          <w:bCs/>
        </w:rPr>
        <w:lastRenderedPageBreak/>
        <w:t>The PINNACLE Registry results are shown below:</w:t>
      </w:r>
    </w:p>
    <w:p w14:paraId="7CF09335" w14:textId="77777777" w:rsidR="001C501F" w:rsidRPr="00C94B70" w:rsidRDefault="001C501F" w:rsidP="001C501F">
      <w:pPr>
        <w:autoSpaceDE w:val="0"/>
        <w:autoSpaceDN w:val="0"/>
        <w:adjustRightInd w:val="0"/>
        <w:spacing w:after="0" w:line="240" w:lineRule="auto"/>
        <w:rPr>
          <w:rFonts w:cstheme="minorHAnsi"/>
          <w:bCs/>
        </w:rPr>
      </w:pPr>
    </w:p>
    <w:tbl>
      <w:tblPr>
        <w:tblW w:w="0" w:type="auto"/>
        <w:jc w:val="center"/>
        <w:tblInd w:w="-1121" w:type="dxa"/>
        <w:tblLayout w:type="fixed"/>
        <w:tblCellMar>
          <w:left w:w="0" w:type="dxa"/>
          <w:right w:w="0" w:type="dxa"/>
        </w:tblCellMar>
        <w:tblLook w:val="04A0" w:firstRow="1" w:lastRow="0" w:firstColumn="1" w:lastColumn="0" w:noHBand="0" w:noVBand="1"/>
      </w:tblPr>
      <w:tblGrid>
        <w:gridCol w:w="1654"/>
        <w:gridCol w:w="1086"/>
        <w:gridCol w:w="1086"/>
        <w:gridCol w:w="935"/>
        <w:gridCol w:w="674"/>
        <w:gridCol w:w="935"/>
        <w:gridCol w:w="1125"/>
        <w:gridCol w:w="935"/>
        <w:gridCol w:w="894"/>
      </w:tblGrid>
      <w:tr w:rsidR="001C501F" w:rsidRPr="00C94B70" w14:paraId="7797D8A6" w14:textId="77777777" w:rsidTr="00FE5110">
        <w:trPr>
          <w:cantSplit/>
          <w:tblHeader/>
          <w:jc w:val="center"/>
        </w:trPr>
        <w:tc>
          <w:tcPr>
            <w:tcW w:w="1654"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344C4F2B"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rFonts w:ascii="Times New Roman" w:hAnsi="Times New Roman" w:cs="Times New Roman"/>
                <w:b/>
                <w:bCs/>
                <w:sz w:val="20"/>
                <w:szCs w:val="20"/>
              </w:rPr>
              <w:t># of providers</w:t>
            </w:r>
          </w:p>
        </w:tc>
        <w:tc>
          <w:tcPr>
            <w:tcW w:w="1086" w:type="dxa"/>
            <w:tcBorders>
              <w:top w:val="single" w:sz="6" w:space="0" w:color="000000"/>
              <w:left w:val="single" w:sz="2" w:space="0" w:color="000000"/>
              <w:bottom w:val="single" w:sz="2" w:space="0" w:color="000000"/>
              <w:right w:val="single" w:sz="2" w:space="0" w:color="000000"/>
            </w:tcBorders>
            <w:shd w:val="clear" w:color="auto" w:fill="BBBBBB"/>
          </w:tcPr>
          <w:p w14:paraId="6E85E249" w14:textId="77777777" w:rsidR="001C501F" w:rsidRPr="00C94B70" w:rsidRDefault="001C501F" w:rsidP="00FE5110">
            <w:pPr>
              <w:keepNext/>
              <w:autoSpaceDE w:val="0"/>
              <w:autoSpaceDN w:val="0"/>
              <w:adjustRightInd w:val="0"/>
              <w:spacing w:before="60" w:after="60"/>
              <w:jc w:val="right"/>
              <w:rPr>
                <w:b/>
                <w:bCs/>
                <w:sz w:val="20"/>
                <w:szCs w:val="20"/>
              </w:rPr>
            </w:pPr>
            <w:r w:rsidRPr="00C94B70">
              <w:rPr>
                <w:b/>
                <w:bCs/>
                <w:sz w:val="20"/>
                <w:szCs w:val="20"/>
              </w:rPr>
              <w:t># of patients</w:t>
            </w:r>
          </w:p>
        </w:tc>
        <w:tc>
          <w:tcPr>
            <w:tcW w:w="1086"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2146F72B"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Minimum</w:t>
            </w:r>
          </w:p>
        </w:tc>
        <w:tc>
          <w:tcPr>
            <w:tcW w:w="935"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3A84EEA2"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Lower Quartile</w:t>
            </w:r>
          </w:p>
        </w:tc>
        <w:tc>
          <w:tcPr>
            <w:tcW w:w="674"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18C397AB"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Mean</w:t>
            </w:r>
          </w:p>
        </w:tc>
        <w:tc>
          <w:tcPr>
            <w:tcW w:w="935"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229E344B"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Upper Quartile</w:t>
            </w:r>
          </w:p>
        </w:tc>
        <w:tc>
          <w:tcPr>
            <w:tcW w:w="1125"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2A48EB6D"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Maximum</w:t>
            </w:r>
          </w:p>
        </w:tc>
        <w:tc>
          <w:tcPr>
            <w:tcW w:w="935" w:type="dxa"/>
            <w:tcBorders>
              <w:top w:val="single" w:sz="6" w:space="0" w:color="000000"/>
              <w:left w:val="single" w:sz="2" w:space="0" w:color="000000"/>
              <w:bottom w:val="single" w:sz="2" w:space="0" w:color="000000"/>
              <w:right w:val="nil"/>
            </w:tcBorders>
            <w:shd w:val="clear" w:color="auto" w:fill="BBBBBB"/>
            <w:tcMar>
              <w:top w:w="0" w:type="dxa"/>
              <w:left w:w="60" w:type="dxa"/>
              <w:bottom w:w="0" w:type="dxa"/>
              <w:right w:w="60" w:type="dxa"/>
            </w:tcMar>
            <w:vAlign w:val="bottom"/>
            <w:hideMark/>
          </w:tcPr>
          <w:p w14:paraId="4A7C87B1"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Quartile Range</w:t>
            </w:r>
          </w:p>
        </w:tc>
        <w:tc>
          <w:tcPr>
            <w:tcW w:w="894" w:type="dxa"/>
            <w:tcBorders>
              <w:top w:val="single" w:sz="6" w:space="0" w:color="000000"/>
              <w:left w:val="single" w:sz="2" w:space="0" w:color="000000"/>
              <w:bottom w:val="single" w:sz="2" w:space="0" w:color="000000"/>
              <w:right w:val="single" w:sz="6" w:space="0" w:color="000000"/>
            </w:tcBorders>
            <w:shd w:val="clear" w:color="auto" w:fill="BBBBBB"/>
            <w:tcMar>
              <w:top w:w="0" w:type="dxa"/>
              <w:left w:w="60" w:type="dxa"/>
              <w:bottom w:w="0" w:type="dxa"/>
              <w:right w:w="60" w:type="dxa"/>
            </w:tcMar>
            <w:vAlign w:val="bottom"/>
            <w:hideMark/>
          </w:tcPr>
          <w:p w14:paraId="266E7C00"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proofErr w:type="spellStart"/>
            <w:r w:rsidRPr="00C94B70">
              <w:rPr>
                <w:b/>
                <w:bCs/>
                <w:sz w:val="20"/>
                <w:szCs w:val="20"/>
              </w:rPr>
              <w:t>Std</w:t>
            </w:r>
            <w:proofErr w:type="spellEnd"/>
            <w:r w:rsidRPr="00C94B70">
              <w:rPr>
                <w:b/>
                <w:bCs/>
                <w:sz w:val="20"/>
                <w:szCs w:val="20"/>
              </w:rPr>
              <w:t xml:space="preserve"> Dev</w:t>
            </w:r>
          </w:p>
        </w:tc>
      </w:tr>
      <w:tr w:rsidR="001C501F" w:rsidRPr="00C94B70" w14:paraId="4E7673F0" w14:textId="77777777" w:rsidTr="00FE5110">
        <w:trPr>
          <w:cantSplit/>
          <w:jc w:val="center"/>
        </w:trPr>
        <w:tc>
          <w:tcPr>
            <w:tcW w:w="1654"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175F518B"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1022</w:t>
            </w:r>
          </w:p>
        </w:tc>
        <w:tc>
          <w:tcPr>
            <w:tcW w:w="1086" w:type="dxa"/>
            <w:tcBorders>
              <w:top w:val="nil"/>
              <w:left w:val="single" w:sz="2" w:space="0" w:color="000000"/>
              <w:bottom w:val="single" w:sz="2" w:space="0" w:color="000000"/>
              <w:right w:val="single" w:sz="2" w:space="0" w:color="000000"/>
            </w:tcBorders>
            <w:shd w:val="clear" w:color="auto" w:fill="FFFFFF"/>
          </w:tcPr>
          <w:p w14:paraId="3EC7F0ED" w14:textId="77777777" w:rsidR="001C501F" w:rsidRPr="00C94B70" w:rsidRDefault="001C501F" w:rsidP="00FE5110">
            <w:pPr>
              <w:autoSpaceDE w:val="0"/>
              <w:autoSpaceDN w:val="0"/>
              <w:adjustRightInd w:val="0"/>
              <w:spacing w:before="60" w:after="60"/>
              <w:jc w:val="right"/>
              <w:rPr>
                <w:sz w:val="20"/>
                <w:szCs w:val="20"/>
              </w:rPr>
            </w:pPr>
            <w:r w:rsidRPr="00C94B70">
              <w:rPr>
                <w:sz w:val="20"/>
                <w:szCs w:val="20"/>
              </w:rPr>
              <w:t>298206</w:t>
            </w:r>
          </w:p>
        </w:tc>
        <w:tc>
          <w:tcPr>
            <w:tcW w:w="1086"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17728D1E"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0.00%</w:t>
            </w:r>
          </w:p>
        </w:tc>
        <w:tc>
          <w:tcPr>
            <w:tcW w:w="935"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209C6349"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0.84%</w:t>
            </w:r>
          </w:p>
        </w:tc>
        <w:tc>
          <w:tcPr>
            <w:tcW w:w="674"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2A99A184"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9.18%</w:t>
            </w:r>
          </w:p>
        </w:tc>
        <w:tc>
          <w:tcPr>
            <w:tcW w:w="935"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62D60F0E"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13.0%</w:t>
            </w:r>
          </w:p>
        </w:tc>
        <w:tc>
          <w:tcPr>
            <w:tcW w:w="1125"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490C7E93"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100%</w:t>
            </w:r>
          </w:p>
        </w:tc>
        <w:tc>
          <w:tcPr>
            <w:tcW w:w="935" w:type="dxa"/>
            <w:tcBorders>
              <w:top w:val="nil"/>
              <w:left w:val="single" w:sz="2" w:space="0" w:color="000000"/>
              <w:bottom w:val="single" w:sz="2" w:space="0" w:color="000000"/>
              <w:right w:val="nil"/>
            </w:tcBorders>
            <w:shd w:val="clear" w:color="auto" w:fill="FFFFFF"/>
            <w:tcMar>
              <w:top w:w="0" w:type="dxa"/>
              <w:left w:w="60" w:type="dxa"/>
              <w:bottom w:w="0" w:type="dxa"/>
              <w:right w:w="60" w:type="dxa"/>
            </w:tcMar>
            <w:hideMark/>
          </w:tcPr>
          <w:p w14:paraId="7F60BC38"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12.1%</w:t>
            </w:r>
          </w:p>
        </w:tc>
        <w:tc>
          <w:tcPr>
            <w:tcW w:w="894"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3D21A2FC"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12.3%</w:t>
            </w:r>
          </w:p>
        </w:tc>
      </w:tr>
    </w:tbl>
    <w:p w14:paraId="314AA896" w14:textId="77777777" w:rsidR="001C501F" w:rsidRPr="00C94B70" w:rsidRDefault="001C501F" w:rsidP="001C501F">
      <w:pPr>
        <w:autoSpaceDE w:val="0"/>
        <w:autoSpaceDN w:val="0"/>
        <w:adjustRightInd w:val="0"/>
        <w:spacing w:after="0" w:line="240" w:lineRule="auto"/>
        <w:rPr>
          <w:rFonts w:cstheme="minorHAnsi"/>
          <w:bCs/>
        </w:rPr>
      </w:pPr>
    </w:p>
    <w:tbl>
      <w:tblPr>
        <w:tblW w:w="0" w:type="auto"/>
        <w:jc w:val="center"/>
        <w:tblLayout w:type="fixed"/>
        <w:tblCellMar>
          <w:left w:w="0" w:type="dxa"/>
          <w:right w:w="0" w:type="dxa"/>
        </w:tblCellMar>
        <w:tblLook w:val="04A0" w:firstRow="1" w:lastRow="0" w:firstColumn="1" w:lastColumn="0" w:noHBand="0" w:noVBand="1"/>
      </w:tblPr>
      <w:tblGrid>
        <w:gridCol w:w="1879"/>
        <w:gridCol w:w="689"/>
      </w:tblGrid>
      <w:tr w:rsidR="001C501F" w:rsidRPr="00C94B70" w14:paraId="0E0DE88D" w14:textId="77777777" w:rsidTr="00FE5110">
        <w:trPr>
          <w:cantSplit/>
          <w:tblHeader/>
          <w:jc w:val="center"/>
        </w:trPr>
        <w:tc>
          <w:tcPr>
            <w:tcW w:w="1879" w:type="dxa"/>
            <w:tcBorders>
              <w:top w:val="single" w:sz="6" w:space="0" w:color="000000"/>
              <w:left w:val="single" w:sz="6" w:space="0" w:color="000000"/>
              <w:bottom w:val="single" w:sz="2" w:space="0" w:color="000000"/>
              <w:right w:val="nil"/>
            </w:tcBorders>
            <w:shd w:val="clear" w:color="auto" w:fill="BBBBBB"/>
            <w:tcMar>
              <w:top w:w="0" w:type="dxa"/>
              <w:left w:w="60" w:type="dxa"/>
              <w:bottom w:w="0" w:type="dxa"/>
              <w:right w:w="60" w:type="dxa"/>
            </w:tcMar>
            <w:vAlign w:val="bottom"/>
            <w:hideMark/>
          </w:tcPr>
          <w:p w14:paraId="183259A3"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p>
        </w:tc>
        <w:tc>
          <w:tcPr>
            <w:tcW w:w="689" w:type="dxa"/>
            <w:tcBorders>
              <w:top w:val="single" w:sz="6" w:space="0" w:color="000000"/>
              <w:left w:val="single" w:sz="2" w:space="0" w:color="000000"/>
              <w:bottom w:val="single" w:sz="2" w:space="0" w:color="000000"/>
              <w:right w:val="single" w:sz="6" w:space="0" w:color="000000"/>
            </w:tcBorders>
            <w:shd w:val="clear" w:color="auto" w:fill="BBBBBB"/>
            <w:tcMar>
              <w:top w:w="0" w:type="dxa"/>
              <w:left w:w="60" w:type="dxa"/>
              <w:bottom w:w="0" w:type="dxa"/>
              <w:right w:w="60" w:type="dxa"/>
            </w:tcMar>
            <w:vAlign w:val="bottom"/>
            <w:hideMark/>
          </w:tcPr>
          <w:p w14:paraId="5EA57F34"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b/>
                <w:bCs/>
                <w:sz w:val="20"/>
                <w:szCs w:val="20"/>
              </w:rPr>
            </w:pPr>
            <w:r w:rsidRPr="00C94B70">
              <w:rPr>
                <w:b/>
                <w:bCs/>
                <w:sz w:val="20"/>
                <w:szCs w:val="20"/>
              </w:rPr>
              <w:t>Mean</w:t>
            </w:r>
          </w:p>
        </w:tc>
      </w:tr>
      <w:tr w:rsidR="001C501F" w:rsidRPr="00C94B70" w14:paraId="682E7310"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469F29F6"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Decile 2</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631999CF"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0.0%</w:t>
            </w:r>
          </w:p>
        </w:tc>
      </w:tr>
      <w:tr w:rsidR="001C501F" w:rsidRPr="00C94B70" w14:paraId="1B1B3D29"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590116FC"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3</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19DBAA26"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0.9%</w:t>
            </w:r>
          </w:p>
        </w:tc>
      </w:tr>
      <w:tr w:rsidR="001C501F" w:rsidRPr="00C94B70" w14:paraId="17C8BB4B"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7F062110"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4</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292F547B"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2.4%</w:t>
            </w:r>
          </w:p>
        </w:tc>
      </w:tr>
      <w:tr w:rsidR="001C501F" w:rsidRPr="00C94B70" w14:paraId="10C3DB96"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0AC5E01A"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5</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6432ED3B"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4.1%</w:t>
            </w:r>
          </w:p>
        </w:tc>
      </w:tr>
      <w:tr w:rsidR="001C501F" w:rsidRPr="00C94B70" w14:paraId="19953DCF"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44CBB33A"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6</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55A79894"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6.2%</w:t>
            </w:r>
          </w:p>
        </w:tc>
      </w:tr>
      <w:tr w:rsidR="001C501F" w:rsidRPr="00C94B70" w14:paraId="51620CC3"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0D70F216"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7</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4103FF33"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8.9%</w:t>
            </w:r>
          </w:p>
        </w:tc>
      </w:tr>
      <w:tr w:rsidR="001C501F" w:rsidRPr="00C94B70" w14:paraId="74A92AAC"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39906863"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8</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740165BE"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13.0%</w:t>
            </w:r>
          </w:p>
        </w:tc>
      </w:tr>
      <w:tr w:rsidR="001C501F" w:rsidRPr="00C94B70" w14:paraId="4E5989B6" w14:textId="77777777" w:rsidTr="00FE5110">
        <w:trPr>
          <w:cantSplit/>
          <w:jc w:val="center"/>
        </w:trPr>
        <w:tc>
          <w:tcPr>
            <w:tcW w:w="1879" w:type="dxa"/>
            <w:tcBorders>
              <w:top w:val="nil"/>
              <w:left w:val="single" w:sz="6" w:space="0" w:color="000000"/>
              <w:bottom w:val="single" w:sz="2" w:space="0" w:color="000000"/>
              <w:right w:val="nil"/>
            </w:tcBorders>
            <w:shd w:val="clear" w:color="auto" w:fill="FFFFFF"/>
            <w:tcMar>
              <w:top w:w="0" w:type="dxa"/>
              <w:left w:w="60" w:type="dxa"/>
              <w:bottom w:w="0" w:type="dxa"/>
              <w:right w:w="60" w:type="dxa"/>
            </w:tcMar>
            <w:hideMark/>
          </w:tcPr>
          <w:p w14:paraId="18D7040B"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Decile 9</w:t>
            </w:r>
          </w:p>
        </w:tc>
        <w:tc>
          <w:tcPr>
            <w:tcW w:w="689" w:type="dxa"/>
            <w:tcBorders>
              <w:top w:val="nil"/>
              <w:left w:val="single" w:sz="2" w:space="0" w:color="000000"/>
              <w:bottom w:val="single" w:sz="2" w:space="0" w:color="000000"/>
              <w:right w:val="single" w:sz="6" w:space="0" w:color="000000"/>
            </w:tcBorders>
            <w:shd w:val="clear" w:color="auto" w:fill="FFFFFF"/>
            <w:tcMar>
              <w:top w:w="0" w:type="dxa"/>
              <w:left w:w="60" w:type="dxa"/>
              <w:bottom w:w="0" w:type="dxa"/>
              <w:right w:w="60" w:type="dxa"/>
            </w:tcMar>
            <w:hideMark/>
          </w:tcPr>
          <w:p w14:paraId="0BC2E1B5" w14:textId="77777777" w:rsidR="001C501F" w:rsidRPr="00C94B70" w:rsidRDefault="001C501F" w:rsidP="00FE5110">
            <w:pPr>
              <w:keepNext/>
              <w:autoSpaceDE w:val="0"/>
              <w:autoSpaceDN w:val="0"/>
              <w:adjustRightInd w:val="0"/>
              <w:spacing w:before="60" w:after="60"/>
              <w:jc w:val="right"/>
              <w:rPr>
                <w:rFonts w:ascii="Times New Roman" w:hAnsi="Times New Roman" w:cs="Times New Roman"/>
                <w:sz w:val="20"/>
                <w:szCs w:val="20"/>
              </w:rPr>
            </w:pPr>
            <w:r w:rsidRPr="00C94B70">
              <w:rPr>
                <w:sz w:val="20"/>
                <w:szCs w:val="20"/>
              </w:rPr>
              <w:t>19.0%</w:t>
            </w:r>
          </w:p>
        </w:tc>
      </w:tr>
      <w:tr w:rsidR="001C501F" w:rsidRPr="00C94B70" w14:paraId="5C4CE31C" w14:textId="77777777" w:rsidTr="00FE5110">
        <w:trPr>
          <w:cantSplit/>
          <w:jc w:val="center"/>
        </w:trPr>
        <w:tc>
          <w:tcPr>
            <w:tcW w:w="1879" w:type="dxa"/>
            <w:tcBorders>
              <w:top w:val="nil"/>
              <w:left w:val="single" w:sz="6" w:space="0" w:color="000000"/>
              <w:bottom w:val="single" w:sz="6" w:space="0" w:color="000000"/>
              <w:right w:val="nil"/>
            </w:tcBorders>
            <w:shd w:val="clear" w:color="auto" w:fill="FFFFFF"/>
            <w:tcMar>
              <w:top w:w="0" w:type="dxa"/>
              <w:left w:w="60" w:type="dxa"/>
              <w:bottom w:w="0" w:type="dxa"/>
              <w:right w:w="60" w:type="dxa"/>
            </w:tcMar>
            <w:hideMark/>
          </w:tcPr>
          <w:p w14:paraId="5C04E45B"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Decile 10</w:t>
            </w:r>
          </w:p>
        </w:tc>
        <w:tc>
          <w:tcPr>
            <w:tcW w:w="689" w:type="dxa"/>
            <w:tcBorders>
              <w:top w:val="nil"/>
              <w:left w:val="single" w:sz="2"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42B95DB6" w14:textId="77777777" w:rsidR="001C501F" w:rsidRPr="00C94B70" w:rsidRDefault="001C501F" w:rsidP="00FE5110">
            <w:pPr>
              <w:autoSpaceDE w:val="0"/>
              <w:autoSpaceDN w:val="0"/>
              <w:adjustRightInd w:val="0"/>
              <w:spacing w:before="60" w:after="60"/>
              <w:jc w:val="right"/>
              <w:rPr>
                <w:rFonts w:ascii="Times New Roman" w:hAnsi="Times New Roman" w:cs="Times New Roman"/>
                <w:sz w:val="20"/>
                <w:szCs w:val="20"/>
              </w:rPr>
            </w:pPr>
            <w:r w:rsidRPr="00C94B70">
              <w:rPr>
                <w:sz w:val="20"/>
                <w:szCs w:val="20"/>
              </w:rPr>
              <w:t>36.9%</w:t>
            </w:r>
          </w:p>
        </w:tc>
      </w:tr>
    </w:tbl>
    <w:p w14:paraId="0CB19AC4" w14:textId="77777777" w:rsidR="001C501F" w:rsidRPr="00C94B70" w:rsidRDefault="001C501F" w:rsidP="001C501F">
      <w:pPr>
        <w:autoSpaceDE w:val="0"/>
        <w:autoSpaceDN w:val="0"/>
        <w:adjustRightInd w:val="0"/>
        <w:spacing w:after="0" w:line="240" w:lineRule="auto"/>
        <w:rPr>
          <w:rFonts w:cstheme="minorHAnsi"/>
          <w:bCs/>
        </w:rPr>
      </w:pP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1AD6FA47" w14:textId="77777777" w:rsidR="001C501F" w:rsidRDefault="009C7513" w:rsidP="001C501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p>
    <w:p w14:paraId="00DC3481" w14:textId="444C3F39" w:rsidR="001C501F" w:rsidRPr="00C94B70" w:rsidRDefault="00A35F8F" w:rsidP="001C501F">
      <w:pPr>
        <w:autoSpaceDE w:val="0"/>
        <w:autoSpaceDN w:val="0"/>
        <w:adjustRightInd w:val="0"/>
        <w:spacing w:after="0" w:line="240" w:lineRule="auto"/>
        <w:rPr>
          <w:rFonts w:cstheme="minorHAnsi"/>
          <w:bCs/>
        </w:rPr>
      </w:pPr>
      <w:r w:rsidRPr="00DB3627">
        <w:rPr>
          <w:rFonts w:cstheme="minorHAnsi"/>
          <w:bCs/>
        </w:rPr>
        <w:br/>
      </w:r>
      <w:r w:rsidR="001C501F" w:rsidRPr="00C94B70">
        <w:rPr>
          <w:rFonts w:cstheme="minorHAnsi"/>
          <w:bCs/>
        </w:rPr>
        <w:t>There is wide variation in performance for this measure, documented in the datasets we used.  Use of this measure allows for identification of that variation in delivery of cardiac rehabilitation referral.  This is important because it provides data from which centers can identify improve upon gaps in care that are identified.</w:t>
      </w:r>
    </w:p>
    <w:p w14:paraId="0CABD017" w14:textId="0C9FD55C"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7E811EB2" w14:textId="77777777" w:rsidR="001C501F" w:rsidRDefault="009C7513" w:rsidP="001C501F">
      <w:pPr>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7105970F" w14:textId="3A83836F" w:rsidR="001C501F" w:rsidRPr="00C94B70" w:rsidRDefault="008F7E67" w:rsidP="001C501F">
      <w:r w:rsidRPr="00A25024">
        <w:rPr>
          <w:rFonts w:cstheme="minorHAnsi"/>
          <w:bCs/>
        </w:rPr>
        <w:br/>
        <w:t xml:space="preserve"> </w:t>
      </w:r>
      <w:r w:rsidR="001C501F" w:rsidRPr="00C94B70">
        <w:t xml:space="preserve">In the CR3 Project, lack of documentation of a cardiac rehabilitation referral was assumed to represent “no referral made”.  In the PINNACLE database, missing values are interpreted as “no” responses.  While </w:t>
      </w:r>
      <w:r w:rsidR="001C501F" w:rsidRPr="00C94B70">
        <w:lastRenderedPageBreak/>
        <w:t xml:space="preserve">it is challenging to ascertain a response that is truly “missing” versus one that is truly “No”, we assume that data were missing if all records from a given practice are missing.  </w:t>
      </w:r>
    </w:p>
    <w:p w14:paraId="0CABD01B" w14:textId="2C74838B" w:rsidR="008F7E67" w:rsidRPr="00A25024" w:rsidRDefault="008F7E67" w:rsidP="008F7E67">
      <w:pPr>
        <w:autoSpaceDE w:val="0"/>
        <w:autoSpaceDN w:val="0"/>
        <w:adjustRightInd w:val="0"/>
        <w:spacing w:after="0" w:line="240" w:lineRule="auto"/>
        <w:rPr>
          <w:rFonts w:cstheme="minorHAnsi"/>
          <w:bCs/>
        </w:rPr>
      </w:pP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1E758A22" w14:textId="77777777" w:rsidR="001C501F"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3D0A6E84" w14:textId="77777777" w:rsidR="001C501F" w:rsidRDefault="001C501F" w:rsidP="008F7E67">
      <w:pPr>
        <w:autoSpaceDE w:val="0"/>
        <w:autoSpaceDN w:val="0"/>
        <w:adjustRightInd w:val="0"/>
        <w:spacing w:after="0" w:line="240" w:lineRule="auto"/>
        <w:rPr>
          <w:rFonts w:cstheme="minorHAnsi"/>
          <w:bCs/>
        </w:rPr>
      </w:pPr>
    </w:p>
    <w:p w14:paraId="29763733" w14:textId="77777777" w:rsidR="001C501F" w:rsidRPr="00C94B70" w:rsidRDefault="001C501F" w:rsidP="001C501F">
      <w:pPr>
        <w:autoSpaceDE w:val="0"/>
        <w:autoSpaceDN w:val="0"/>
        <w:adjustRightInd w:val="0"/>
        <w:spacing w:after="0" w:line="240" w:lineRule="auto"/>
        <w:rPr>
          <w:rFonts w:cstheme="minorHAnsi"/>
          <w:bCs/>
        </w:rPr>
      </w:pPr>
      <w:r w:rsidRPr="00C94B70">
        <w:rPr>
          <w:rFonts w:cstheme="minorHAnsi"/>
          <w:bCs/>
        </w:rPr>
        <w:t xml:space="preserve">Given our assumptions, noted above, we did not conduct an empirical analysis of the frequency or distribution of missing data in the CR3 project.  </w:t>
      </w:r>
    </w:p>
    <w:p w14:paraId="37305B8C" w14:textId="77777777" w:rsidR="001C501F" w:rsidRPr="00C94B70" w:rsidRDefault="001C501F" w:rsidP="001C501F">
      <w:pPr>
        <w:autoSpaceDE w:val="0"/>
        <w:autoSpaceDN w:val="0"/>
        <w:adjustRightInd w:val="0"/>
        <w:spacing w:after="0" w:line="240" w:lineRule="auto"/>
        <w:rPr>
          <w:rFonts w:cstheme="minorHAnsi"/>
          <w:bCs/>
        </w:rPr>
      </w:pPr>
    </w:p>
    <w:p w14:paraId="5534D04A" w14:textId="77777777" w:rsidR="001C501F" w:rsidRPr="00C94B70" w:rsidRDefault="001C501F" w:rsidP="001C501F">
      <w:pPr>
        <w:autoSpaceDE w:val="0"/>
        <w:autoSpaceDN w:val="0"/>
        <w:adjustRightInd w:val="0"/>
        <w:spacing w:after="0" w:line="240" w:lineRule="auto"/>
      </w:pPr>
      <w:r w:rsidRPr="00C94B70">
        <w:rPr>
          <w:rFonts w:cstheme="minorHAnsi"/>
          <w:bCs/>
        </w:rPr>
        <w:t>In the PINNACLE dataset, 1.2% (</w:t>
      </w:r>
      <w:r w:rsidRPr="00C94B70">
        <w:t xml:space="preserve">13/1022) of centers </w:t>
      </w:r>
      <w:proofErr w:type="gramStart"/>
      <w:r w:rsidRPr="00C94B70">
        <w:t>were</w:t>
      </w:r>
      <w:proofErr w:type="gramEnd"/>
      <w:r w:rsidRPr="00C94B70">
        <w:t xml:space="preserve"> identified as having missing data and were excluded from analysis from the PINNACLE Registry.</w:t>
      </w:r>
    </w:p>
    <w:p w14:paraId="0CABD01D" w14:textId="1E40F52D" w:rsidR="008F7E67" w:rsidRDefault="008F7E67" w:rsidP="008F7E67">
      <w:pPr>
        <w:autoSpaceDE w:val="0"/>
        <w:autoSpaceDN w:val="0"/>
        <w:adjustRightInd w:val="0"/>
        <w:spacing w:after="0" w:line="240" w:lineRule="auto"/>
        <w:rPr>
          <w:rFonts w:cstheme="minorHAnsi"/>
          <w:bCs/>
        </w:rPr>
      </w:pPr>
      <w:r w:rsidRPr="00A25024">
        <w:rPr>
          <w:rFonts w:cstheme="minorHAnsi"/>
          <w:bCs/>
        </w:rPr>
        <w:br/>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0C6D6195" w14:textId="77777777" w:rsidR="001C501F" w:rsidRPr="00C94B70" w:rsidRDefault="001C501F" w:rsidP="001C501F">
      <w:pPr>
        <w:autoSpaceDE w:val="0"/>
        <w:autoSpaceDN w:val="0"/>
        <w:adjustRightInd w:val="0"/>
        <w:rPr>
          <w:rFonts w:cstheme="minorHAnsi"/>
          <w:bCs/>
        </w:rPr>
      </w:pPr>
      <w:r w:rsidRPr="00C94B70">
        <w:t>Our assumption, based on the data listed above, is that the missing data rate is extremely low for our primary measure.</w:t>
      </w:r>
    </w:p>
    <w:p w14:paraId="18C659BD" w14:textId="77777777" w:rsidR="001C501F" w:rsidRPr="005560E7" w:rsidRDefault="001C501F">
      <w:pPr>
        <w:autoSpaceDE w:val="0"/>
        <w:autoSpaceDN w:val="0"/>
        <w:adjustRightInd w:val="0"/>
        <w:spacing w:after="0" w:line="240" w:lineRule="auto"/>
        <w:rPr>
          <w:rFonts w:cstheme="minorHAnsi"/>
          <w:bCs/>
        </w:rPr>
      </w:pPr>
    </w:p>
    <w:sectPr w:rsidR="001C501F"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C0983" w14:textId="77777777" w:rsidR="00FE5110" w:rsidRDefault="00FE5110" w:rsidP="005C73CA">
      <w:pPr>
        <w:spacing w:after="0" w:line="240" w:lineRule="auto"/>
      </w:pPr>
      <w:r>
        <w:separator/>
      </w:r>
    </w:p>
  </w:endnote>
  <w:endnote w:type="continuationSeparator" w:id="0">
    <w:p w14:paraId="45535B57" w14:textId="77777777" w:rsidR="00FE5110" w:rsidRDefault="00FE511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altName w:val="Times"/>
    <w:panose1 w:val="02020603050405020304"/>
    <w:charset w:val="00"/>
    <w:family w:val="roman"/>
    <w:pitch w:val="variable"/>
    <w:sig w:usb0="E0002AFF" w:usb1="C0007841"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2B7FFA23" w:rsidR="00FE5110" w:rsidRDefault="00FE5110">
    <w:pPr>
      <w:pStyle w:val="Footer"/>
    </w:pPr>
    <w:r>
      <w:t>Version 7.1 9/6/2017</w:t>
    </w:r>
    <w:r>
      <w:ptab w:relativeTo="margin" w:alignment="right" w:leader="none"/>
    </w:r>
    <w:r>
      <w:fldChar w:fldCharType="begin"/>
    </w:r>
    <w:r>
      <w:instrText xml:space="preserve"> PAGE   \* MERGEFORMAT </w:instrText>
    </w:r>
    <w:r>
      <w:fldChar w:fldCharType="separate"/>
    </w:r>
    <w:r w:rsidR="0042155A">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4223E" w14:textId="77777777" w:rsidR="00FE5110" w:rsidRDefault="00FE5110" w:rsidP="005C73CA">
      <w:pPr>
        <w:spacing w:after="0" w:line="240" w:lineRule="auto"/>
      </w:pPr>
      <w:r>
        <w:separator/>
      </w:r>
    </w:p>
  </w:footnote>
  <w:footnote w:type="continuationSeparator" w:id="0">
    <w:p w14:paraId="4298B336" w14:textId="77777777" w:rsidR="00FE5110" w:rsidRDefault="00FE5110"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FE5110" w:rsidRPr="00105D8B" w:rsidRDefault="00FE5110"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FC5B76"/>
    <w:multiLevelType w:val="hybridMultilevel"/>
    <w:tmpl w:val="B2A4D50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2"/>
  </w:num>
  <w:num w:numId="9">
    <w:abstractNumId w:val="10"/>
  </w:num>
  <w:num w:numId="10">
    <w:abstractNumId w:val="27"/>
  </w:num>
  <w:num w:numId="11">
    <w:abstractNumId w:val="12"/>
  </w:num>
  <w:num w:numId="12">
    <w:abstractNumId w:val="25"/>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4"/>
  </w:num>
  <w:num w:numId="19">
    <w:abstractNumId w:val="23"/>
  </w:num>
  <w:num w:numId="20">
    <w:abstractNumId w:val="16"/>
  </w:num>
  <w:num w:numId="21">
    <w:abstractNumId w:val="21"/>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501F"/>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A2D9B"/>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6A8"/>
    <w:rsid w:val="0042155A"/>
    <w:rsid w:val="004348CC"/>
    <w:rsid w:val="00450C58"/>
    <w:rsid w:val="004658FF"/>
    <w:rsid w:val="00474ED7"/>
    <w:rsid w:val="004756E1"/>
    <w:rsid w:val="0048008A"/>
    <w:rsid w:val="00483E94"/>
    <w:rsid w:val="00484120"/>
    <w:rsid w:val="004853A0"/>
    <w:rsid w:val="00496B5F"/>
    <w:rsid w:val="004A2E10"/>
    <w:rsid w:val="004B17FF"/>
    <w:rsid w:val="004B1BA0"/>
    <w:rsid w:val="004B41D5"/>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559F"/>
    <w:rsid w:val="005A49FF"/>
    <w:rsid w:val="005A7634"/>
    <w:rsid w:val="005B6F04"/>
    <w:rsid w:val="005C0447"/>
    <w:rsid w:val="005C739F"/>
    <w:rsid w:val="005C73CA"/>
    <w:rsid w:val="005D4768"/>
    <w:rsid w:val="005E2CAB"/>
    <w:rsid w:val="005E429E"/>
    <w:rsid w:val="005F0524"/>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52B4"/>
    <w:rsid w:val="00AA65A6"/>
    <w:rsid w:val="00AC1D8E"/>
    <w:rsid w:val="00AC48FA"/>
    <w:rsid w:val="00AD0240"/>
    <w:rsid w:val="00AD4137"/>
    <w:rsid w:val="00AE55E1"/>
    <w:rsid w:val="00AF2D68"/>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1412B"/>
    <w:rsid w:val="00F15BFA"/>
    <w:rsid w:val="00F34FAB"/>
    <w:rsid w:val="00F435AA"/>
    <w:rsid w:val="00F5738A"/>
    <w:rsid w:val="00F612D4"/>
    <w:rsid w:val="00F7389E"/>
    <w:rsid w:val="00F7493D"/>
    <w:rsid w:val="00F77F1D"/>
    <w:rsid w:val="00F87CCB"/>
    <w:rsid w:val="00FA48C7"/>
    <w:rsid w:val="00FB35AE"/>
    <w:rsid w:val="00FB51FB"/>
    <w:rsid w:val="00FB73C1"/>
    <w:rsid w:val="00FE5110"/>
    <w:rsid w:val="00FE600C"/>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content.onlinejacc.org/cgi/reprint/j.jacc.2007.04.033v1.pdf"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cbi.nlm.nih.gov/pubmed/862199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8C68E1B30C45484E9237B7D3D6839FD8"/>
        <w:category>
          <w:name w:val="General"/>
          <w:gallery w:val="placeholder"/>
        </w:category>
        <w:types>
          <w:type w:val="bbPlcHdr"/>
        </w:types>
        <w:behaviors>
          <w:behavior w:val="content"/>
        </w:behaviors>
        <w:guid w:val="{193B7635-D1EB-4594-9892-73FB38DC39EA}"/>
      </w:docPartPr>
      <w:docPartBody>
        <w:p w:rsidR="00A93CD2" w:rsidRDefault="00EF708F" w:rsidP="00EF708F">
          <w:pPr>
            <w:pStyle w:val="8C68E1B30C45484E9237B7D3D6839FD8"/>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altName w:val="Times"/>
    <w:panose1 w:val="02020603050405020304"/>
    <w:charset w:val="00"/>
    <w:family w:val="roman"/>
    <w:pitch w:val="variable"/>
    <w:sig w:usb0="E0002AFF" w:usb1="C0007841"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3CD2"/>
    <w:rsid w:val="00A95183"/>
    <w:rsid w:val="00AB4AF7"/>
    <w:rsid w:val="00AD7C4F"/>
    <w:rsid w:val="00B445F5"/>
    <w:rsid w:val="00BD40CB"/>
    <w:rsid w:val="00C362A2"/>
    <w:rsid w:val="00C90121"/>
    <w:rsid w:val="00C96E73"/>
    <w:rsid w:val="00CA1FE8"/>
    <w:rsid w:val="00CA344F"/>
    <w:rsid w:val="00D1676E"/>
    <w:rsid w:val="00DC0246"/>
    <w:rsid w:val="00E32B00"/>
    <w:rsid w:val="00E6518A"/>
    <w:rsid w:val="00EF708F"/>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708F"/>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C68E1B30C45484E9237B7D3D6839FD8">
    <w:name w:val="8C68E1B30C45484E9237B7D3D6839FD8"/>
    <w:rsid w:val="00EF70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708F"/>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C68E1B30C45484E9237B7D3D6839FD8">
    <w:name w:val="8C68E1B30C45484E9237B7D3D6839FD8"/>
    <w:rsid w:val="00EF70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ED88B8-69E9-4FB8-82D2-DA0B7CCB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6920</Words>
  <Characters>39449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Sana Gokak</cp:lastModifiedBy>
  <cp:revision>8</cp:revision>
  <dcterms:created xsi:type="dcterms:W3CDTF">2017-10-24T18:38:00Z</dcterms:created>
  <dcterms:modified xsi:type="dcterms:W3CDTF">2017-11-06T22:27:00Z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