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DA36D1" w:rsidRDefault="00FD11AF">
      <w:pPr>
        <w:jc w:val="center"/>
      </w:pPr>
      <w:bookmarkStart w:id="0" w:name="_GoBack"/>
      <w:bookmarkEnd w:id="0"/>
      <w:r>
        <w:rPr>
          <w:b/>
          <w:smallCaps/>
          <w:sz w:val="24"/>
        </w:rPr>
        <w:t>National Quality Forum</w:t>
      </w:r>
      <w:r>
        <w:rPr>
          <w:b/>
          <w:sz w:val="24"/>
        </w:rPr>
        <w:t>—Evidence (</w:t>
      </w:r>
      <w:proofErr w:type="spellStart"/>
      <w:r>
        <w:rPr>
          <w:b/>
          <w:sz w:val="24"/>
        </w:rPr>
        <w:t>subcriterion</w:t>
      </w:r>
      <w:proofErr w:type="spellEnd"/>
      <w:r>
        <w:rPr>
          <w:b/>
          <w:sz w:val="24"/>
        </w:rPr>
        <w:t xml:space="preserve"> 1a) </w:t>
      </w:r>
    </w:p>
    <w:p w:rsidR="00DA36D1" w:rsidRDefault="00DA36D1">
      <w:pPr>
        <w:ind w:left="0" w:firstLine="0"/>
      </w:pPr>
    </w:p>
    <w:p w:rsidR="00DA36D1" w:rsidRDefault="00FD11AF">
      <w:pPr>
        <w:ind w:left="0" w:firstLine="0"/>
      </w:pPr>
      <w:r>
        <w:rPr>
          <w:b/>
        </w:rPr>
        <w:t xml:space="preserve">Measure Number </w:t>
      </w:r>
      <w:r>
        <w:t>(</w:t>
      </w:r>
      <w:r>
        <w:rPr>
          <w:i/>
        </w:rPr>
        <w:t>if previously endorsed</w:t>
      </w:r>
      <w:r>
        <w:t>)</w:t>
      </w:r>
      <w:r>
        <w:rPr>
          <w:b/>
        </w:rPr>
        <w:t xml:space="preserve">: </w:t>
      </w:r>
      <w:r>
        <w:rPr>
          <w:color w:val="808080"/>
        </w:rPr>
        <w:t>Click here to enter NQF number</w:t>
      </w:r>
    </w:p>
    <w:p w:rsidR="00DA36D1" w:rsidRDefault="00FD11AF">
      <w:pPr>
        <w:ind w:left="0" w:firstLine="0"/>
      </w:pPr>
      <w:r>
        <w:rPr>
          <w:b/>
        </w:rPr>
        <w:t>Measure Title</w:t>
      </w:r>
      <w:r>
        <w:t xml:space="preserve">:  </w:t>
      </w:r>
      <w:r>
        <w:rPr>
          <w:color w:val="0000FF"/>
        </w:rPr>
        <w:t>Post-Discharge Appointment for Heart Failure Patients</w:t>
      </w:r>
    </w:p>
    <w:p w:rsidR="00DA36D1" w:rsidRDefault="00FD11AF">
      <w:pPr>
        <w:ind w:left="0" w:firstLine="0"/>
      </w:pPr>
      <w:r>
        <w:rPr>
          <w:i/>
        </w:rPr>
        <w:t xml:space="preserve"> </w:t>
      </w:r>
      <w:r>
        <w:rPr>
          <w:b/>
        </w:rPr>
        <w:t>IF the measure is a component in a composite performance measure, provide the title of the Composite Measure here:</w:t>
      </w:r>
      <w:r>
        <w:t xml:space="preserve"> </w:t>
      </w:r>
      <w:proofErr w:type="gramStart"/>
      <w:r>
        <w:rPr>
          <w:color w:val="0000FF"/>
        </w:rPr>
        <w:t>n/a</w:t>
      </w:r>
      <w:proofErr w:type="gramEnd"/>
    </w:p>
    <w:p w:rsidR="00DA36D1" w:rsidRDefault="00DA36D1">
      <w:pPr>
        <w:ind w:left="0" w:firstLine="0"/>
      </w:pPr>
    </w:p>
    <w:p w:rsidR="00DA36D1" w:rsidRDefault="00FD11AF">
      <w:pPr>
        <w:ind w:left="0" w:firstLine="0"/>
      </w:pPr>
      <w:r>
        <w:rPr>
          <w:b/>
        </w:rPr>
        <w:t>Date of Submission</w:t>
      </w:r>
      <w:r>
        <w:t xml:space="preserve">:  </w:t>
      </w:r>
      <w:r w:rsidR="00050B63" w:rsidRPr="00050B63">
        <w:rPr>
          <w:color w:val="auto"/>
        </w:rPr>
        <w:t>12/23/2013</w:t>
      </w:r>
    </w:p>
    <w:p w:rsidR="00DA36D1" w:rsidRDefault="00DA36D1">
      <w:pPr>
        <w:ind w:left="0" w:firstLine="0"/>
      </w:pPr>
    </w:p>
    <w:tbl>
      <w:tblPr>
        <w:tblW w:w="10534" w:type="dxa"/>
        <w:tblInd w:w="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000" w:firstRow="0" w:lastRow="0" w:firstColumn="0" w:lastColumn="0" w:noHBand="0" w:noVBand="0"/>
      </w:tblPr>
      <w:tblGrid>
        <w:gridCol w:w="10534"/>
      </w:tblGrid>
      <w:tr w:rsidR="00DA36D1">
        <w:tc>
          <w:tcPr>
            <w:tcW w:w="10534" w:type="dxa"/>
            <w:tcMar>
              <w:top w:w="100" w:type="dxa"/>
              <w:left w:w="108" w:type="dxa"/>
              <w:bottom w:w="100" w:type="dxa"/>
              <w:right w:w="108" w:type="dxa"/>
            </w:tcMar>
          </w:tcPr>
          <w:p w:rsidR="00DA36D1" w:rsidRDefault="00FD11AF">
            <w:pPr>
              <w:ind w:left="0" w:firstLine="0"/>
            </w:pPr>
            <w:r>
              <w:rPr>
                <w:b/>
              </w:rPr>
              <w:t>Instructions</w:t>
            </w:r>
          </w:p>
          <w:p w:rsidR="00DA36D1" w:rsidRDefault="00FD11AF">
            <w:pPr>
              <w:numPr>
                <w:ilvl w:val="0"/>
                <w:numId w:val="3"/>
              </w:numPr>
              <w:ind w:hanging="359"/>
              <w:rPr>
                <w:i/>
              </w:rPr>
            </w:pPr>
            <w:r>
              <w:rPr>
                <w:i/>
              </w:rPr>
              <w:t xml:space="preserve">For composite performance measures:  </w:t>
            </w:r>
          </w:p>
          <w:p w:rsidR="00DA36D1" w:rsidRDefault="00FD11AF">
            <w:pPr>
              <w:numPr>
                <w:ilvl w:val="1"/>
                <w:numId w:val="3"/>
              </w:numPr>
              <w:ind w:left="792" w:hanging="359"/>
              <w:rPr>
                <w:i/>
              </w:rPr>
            </w:pPr>
            <w:r>
              <w:rPr>
                <w:i/>
              </w:rPr>
              <w:t xml:space="preserve"> A separate evidence form is required for each component measure unless several components were studied together.</w:t>
            </w:r>
          </w:p>
          <w:p w:rsidR="00DA36D1" w:rsidRDefault="00FD11AF">
            <w:pPr>
              <w:numPr>
                <w:ilvl w:val="1"/>
                <w:numId w:val="3"/>
              </w:numPr>
              <w:ind w:left="792" w:hanging="359"/>
              <w:rPr>
                <w:i/>
              </w:rPr>
            </w:pPr>
            <w:r>
              <w:rPr>
                <w:i/>
              </w:rPr>
              <w:t xml:space="preserve"> If a component measure is submitted as an individual performance measure, attach the evidence form to the individual measure submission.</w:t>
            </w:r>
          </w:p>
          <w:p w:rsidR="00DA36D1" w:rsidRDefault="00FD11AF">
            <w:pPr>
              <w:numPr>
                <w:ilvl w:val="0"/>
                <w:numId w:val="3"/>
              </w:numPr>
              <w:ind w:hanging="359"/>
              <w:contextualSpacing/>
            </w:pPr>
            <w:r>
              <w:t xml:space="preserve">Respond to </w:t>
            </w:r>
            <w:r>
              <w:rPr>
                <w:u w:val="single"/>
              </w:rPr>
              <w:t>all</w:t>
            </w:r>
            <w:r>
              <w:t xml:space="preserve"> questions as instructed with answers immediately following the question. All information needed to demonstrate meeting the evidence </w:t>
            </w:r>
            <w:proofErr w:type="spellStart"/>
            <w:r>
              <w:t>subcriterion</w:t>
            </w:r>
            <w:proofErr w:type="spellEnd"/>
            <w:r>
              <w:t xml:space="preserve"> (1a) must be in this form.  An appendix of </w:t>
            </w:r>
            <w:r>
              <w:rPr>
                <w:i/>
              </w:rPr>
              <w:t>supplemental</w:t>
            </w:r>
            <w:r>
              <w:t xml:space="preserve"> materials may be submitted, but there is no guarantee it will be reviewed.</w:t>
            </w:r>
          </w:p>
          <w:p w:rsidR="00DA36D1" w:rsidRDefault="00FD11AF">
            <w:pPr>
              <w:numPr>
                <w:ilvl w:val="0"/>
                <w:numId w:val="3"/>
              </w:numPr>
              <w:ind w:hanging="359"/>
              <w:contextualSpacing/>
            </w:pPr>
            <w:r>
              <w:t>If you are unable to check a box, please highlight or shade the box for your response.</w:t>
            </w:r>
          </w:p>
          <w:p w:rsidR="00DA36D1" w:rsidRDefault="00FD11AF">
            <w:pPr>
              <w:numPr>
                <w:ilvl w:val="0"/>
                <w:numId w:val="3"/>
              </w:numPr>
              <w:ind w:hanging="359"/>
              <w:contextualSpacing/>
            </w:pPr>
            <w:r>
              <w:t>Maximum of 10 pages (</w:t>
            </w:r>
            <w:r>
              <w:rPr>
                <w:i/>
              </w:rPr>
              <w:t>incudes questions/instructions</w:t>
            </w:r>
            <w:r>
              <w:t xml:space="preserve">; minimum font size 11 </w:t>
            </w:r>
            <w:proofErr w:type="spellStart"/>
            <w:r>
              <w:t>pt</w:t>
            </w:r>
            <w:proofErr w:type="spellEnd"/>
            <w:r>
              <w:t xml:space="preserve">; do not change margins). </w:t>
            </w:r>
            <w:r>
              <w:rPr>
                <w:b/>
                <w:i/>
              </w:rPr>
              <w:t>Contact NQF staff if more pages are needed.</w:t>
            </w:r>
          </w:p>
          <w:p w:rsidR="00DA36D1" w:rsidRDefault="00FD11AF">
            <w:pPr>
              <w:numPr>
                <w:ilvl w:val="0"/>
                <w:numId w:val="3"/>
              </w:numPr>
              <w:ind w:hanging="359"/>
              <w:contextualSpacing/>
              <w:rPr>
                <w:u w:val="single"/>
              </w:rPr>
            </w:pPr>
            <w:r>
              <w:t xml:space="preserve">Contact NQF staff regarding questions. Check for resources at </w:t>
            </w:r>
            <w:hyperlink r:id="rId9">
              <w:r>
                <w:rPr>
                  <w:color w:val="0000FF"/>
                  <w:u w:val="single"/>
                </w:rPr>
                <w:t>Submitting Standards webpage</w:t>
              </w:r>
            </w:hyperlink>
            <w:r>
              <w:t>.</w:t>
            </w:r>
          </w:p>
        </w:tc>
      </w:tr>
    </w:tbl>
    <w:p w:rsidR="00DA36D1" w:rsidRDefault="00DA36D1">
      <w:pPr>
        <w:ind w:left="0" w:firstLine="0"/>
      </w:pPr>
    </w:p>
    <w:tbl>
      <w:tblPr>
        <w:tblW w:w="10534" w:type="dxa"/>
        <w:tblInd w:w="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000" w:firstRow="0" w:lastRow="0" w:firstColumn="0" w:lastColumn="0" w:noHBand="0" w:noVBand="0"/>
      </w:tblPr>
      <w:tblGrid>
        <w:gridCol w:w="10534"/>
      </w:tblGrid>
      <w:tr w:rsidR="00DA36D1">
        <w:tc>
          <w:tcPr>
            <w:tcW w:w="10534" w:type="dxa"/>
            <w:tcMar>
              <w:top w:w="100" w:type="dxa"/>
              <w:left w:w="108" w:type="dxa"/>
              <w:bottom w:w="100" w:type="dxa"/>
              <w:right w:w="108" w:type="dxa"/>
            </w:tcMar>
          </w:tcPr>
          <w:p w:rsidR="00DA36D1" w:rsidRDefault="00FD11AF">
            <w:pPr>
              <w:ind w:left="0" w:firstLine="0"/>
            </w:pPr>
            <w:r>
              <w:rPr>
                <w:b/>
                <w:sz w:val="20"/>
                <w:u w:val="single"/>
              </w:rPr>
              <w:t>Note</w:t>
            </w:r>
            <w:r>
              <w:rPr>
                <w:b/>
                <w:sz w:val="20"/>
              </w:rPr>
              <w:t>: The information provided in this form is intended to aid the Steering Committee and other stakeholders in understanding to what degree the evidence for this measure meets NQF’s evaluation criteria.</w:t>
            </w:r>
          </w:p>
          <w:p w:rsidR="00DA36D1" w:rsidRDefault="00DA36D1">
            <w:pPr>
              <w:ind w:left="90" w:hanging="89"/>
            </w:pPr>
            <w:bookmarkStart w:id="1" w:name="h.gjdgxs" w:colFirst="0" w:colLast="0"/>
            <w:bookmarkEnd w:id="1"/>
          </w:p>
          <w:p w:rsidR="00DA36D1" w:rsidRDefault="00FD11AF">
            <w:pPr>
              <w:pStyle w:val="Heading3"/>
            </w:pPr>
            <w:r>
              <w:rPr>
                <w:sz w:val="20"/>
              </w:rPr>
              <w:t xml:space="preserve">1a. Evidence to Support the Measure Focus  </w:t>
            </w:r>
          </w:p>
          <w:p w:rsidR="00DA36D1" w:rsidRDefault="00FD11AF">
            <w:r>
              <w:rPr>
                <w:sz w:val="20"/>
              </w:rPr>
              <w:t xml:space="preserve">The measure focus is evidence-based, demonstrated as follows: </w:t>
            </w:r>
          </w:p>
          <w:p w:rsidR="00DA36D1" w:rsidRDefault="00FD11AF">
            <w:pPr>
              <w:numPr>
                <w:ilvl w:val="0"/>
                <w:numId w:val="2"/>
              </w:numPr>
              <w:ind w:hanging="215"/>
              <w:rPr>
                <w:sz w:val="20"/>
              </w:rPr>
            </w:pPr>
            <w:r>
              <w:rPr>
                <w:sz w:val="20"/>
                <w:u w:val="single"/>
              </w:rPr>
              <w:t xml:space="preserve">Health </w:t>
            </w:r>
            <w:r>
              <w:rPr>
                <w:sz w:val="20"/>
              </w:rPr>
              <w:t>outcome</w:t>
            </w:r>
            <w:r>
              <w:rPr>
                <w:color w:val="0000FF"/>
                <w:sz w:val="20"/>
              </w:rPr>
              <w:t xml:space="preserve">: </w:t>
            </w:r>
            <w:hyperlink w:anchor="h.30j0zll">
              <w:r>
                <w:rPr>
                  <w:b/>
                  <w:color w:val="0000FF"/>
                  <w:sz w:val="20"/>
                  <w:u w:val="single"/>
                  <w:vertAlign w:val="superscript"/>
                </w:rPr>
                <w:t>3</w:t>
              </w:r>
            </w:hyperlink>
            <w:hyperlink w:anchor="h.30j0zll">
              <w:r>
                <w:rPr>
                  <w:color w:val="0000FF"/>
                  <w:sz w:val="20"/>
                </w:rPr>
                <w:t xml:space="preserve"> </w:t>
              </w:r>
            </w:hyperlink>
            <w:r>
              <w:rPr>
                <w:sz w:val="20"/>
              </w:rPr>
              <w:t xml:space="preserve">a rationale </w:t>
            </w:r>
            <w:proofErr w:type="gramStart"/>
            <w:r>
              <w:rPr>
                <w:sz w:val="20"/>
              </w:rPr>
              <w:t>supports</w:t>
            </w:r>
            <w:proofErr w:type="gramEnd"/>
            <w:r>
              <w:rPr>
                <w:sz w:val="20"/>
              </w:rPr>
              <w:t xml:space="preserve"> the relationship of the health outcome to processes or structures of care. Applies to patient-reported outcomes (PRO), including health-related quality of life/functional status, symptom/symptom burden, experience with care, health-related behavior.</w:t>
            </w:r>
          </w:p>
          <w:p w:rsidR="00DA36D1" w:rsidRDefault="00FD11AF">
            <w:pPr>
              <w:numPr>
                <w:ilvl w:val="0"/>
                <w:numId w:val="2"/>
              </w:numPr>
              <w:ind w:hanging="215"/>
              <w:rPr>
                <w:sz w:val="20"/>
              </w:rPr>
            </w:pPr>
            <w:r>
              <w:rPr>
                <w:sz w:val="20"/>
                <w:u w:val="single"/>
              </w:rPr>
              <w:t>Intermediate clinical outcome</w:t>
            </w:r>
            <w:r>
              <w:rPr>
                <w:sz w:val="20"/>
              </w:rPr>
              <w:t xml:space="preserve">: a systematic assessment and grading of the quantity, quality, and consistency of the body of evidence </w:t>
            </w:r>
            <w:hyperlink w:anchor="h.1fob9te">
              <w:r>
                <w:rPr>
                  <w:b/>
                  <w:color w:val="0000FF"/>
                  <w:sz w:val="20"/>
                  <w:u w:val="single"/>
                  <w:vertAlign w:val="superscript"/>
                </w:rPr>
                <w:t>4</w:t>
              </w:r>
            </w:hyperlink>
            <w:hyperlink w:anchor="h.1fob9te">
              <w:r>
                <w:rPr>
                  <w:b/>
                  <w:sz w:val="20"/>
                  <w:vertAlign w:val="superscript"/>
                </w:rPr>
                <w:t xml:space="preserve"> </w:t>
              </w:r>
            </w:hyperlink>
            <w:r>
              <w:rPr>
                <w:sz w:val="20"/>
              </w:rPr>
              <w:t>that the measured intermediate clinical outcome leads to a desired health outcome.</w:t>
            </w:r>
          </w:p>
          <w:p w:rsidR="00DA36D1" w:rsidRDefault="00FD11AF">
            <w:pPr>
              <w:numPr>
                <w:ilvl w:val="0"/>
                <w:numId w:val="2"/>
              </w:numPr>
              <w:ind w:hanging="215"/>
              <w:rPr>
                <w:sz w:val="20"/>
              </w:rPr>
            </w:pPr>
            <w:r>
              <w:rPr>
                <w:sz w:val="20"/>
                <w:u w:val="single"/>
              </w:rPr>
              <w:t>Process</w:t>
            </w:r>
            <w:r>
              <w:rPr>
                <w:sz w:val="20"/>
              </w:rPr>
              <w:t xml:space="preserve">: </w:t>
            </w:r>
            <w:hyperlink w:anchor="h.3znysh7">
              <w:r>
                <w:rPr>
                  <w:b/>
                  <w:color w:val="0000FF"/>
                  <w:sz w:val="20"/>
                  <w:u w:val="single"/>
                  <w:vertAlign w:val="superscript"/>
                </w:rPr>
                <w:t>5</w:t>
              </w:r>
            </w:hyperlink>
            <w:hyperlink w:anchor="h.3znysh7">
              <w:r>
                <w:rPr>
                  <w:sz w:val="20"/>
                </w:rPr>
                <w:t xml:space="preserve"> </w:t>
              </w:r>
            </w:hyperlink>
            <w:r>
              <w:rPr>
                <w:sz w:val="20"/>
              </w:rPr>
              <w:t xml:space="preserve">a systematic assessment and grading of the quantity, quality, and consistency of the body of evidence </w:t>
            </w:r>
            <w:hyperlink w:anchor="h.1fob9te">
              <w:r>
                <w:rPr>
                  <w:b/>
                  <w:color w:val="0000FF"/>
                  <w:sz w:val="20"/>
                  <w:u w:val="single"/>
                  <w:vertAlign w:val="superscript"/>
                </w:rPr>
                <w:t>4</w:t>
              </w:r>
            </w:hyperlink>
            <w:hyperlink w:anchor="h.1fob9te">
              <w:r>
                <w:rPr>
                  <w:sz w:val="20"/>
                </w:rPr>
                <w:t xml:space="preserve"> </w:t>
              </w:r>
            </w:hyperlink>
            <w:r>
              <w:rPr>
                <w:sz w:val="20"/>
              </w:rPr>
              <w:t>that the measured process leads to a desired health outcome.</w:t>
            </w:r>
          </w:p>
          <w:p w:rsidR="00DA36D1" w:rsidRDefault="00FD11AF">
            <w:pPr>
              <w:numPr>
                <w:ilvl w:val="0"/>
                <w:numId w:val="1"/>
              </w:numPr>
              <w:ind w:hanging="215"/>
              <w:contextualSpacing/>
              <w:rPr>
                <w:sz w:val="20"/>
              </w:rPr>
            </w:pPr>
            <w:r>
              <w:rPr>
                <w:sz w:val="20"/>
                <w:u w:val="single"/>
              </w:rPr>
              <w:t>Structure</w:t>
            </w:r>
            <w:r>
              <w:rPr>
                <w:sz w:val="20"/>
              </w:rPr>
              <w:t xml:space="preserve">: a systematic assessment and grading of the quantity, quality, and consistency of the body of evidence </w:t>
            </w:r>
            <w:hyperlink w:anchor="h.1fob9te">
              <w:r>
                <w:rPr>
                  <w:b/>
                  <w:color w:val="0000FF"/>
                  <w:sz w:val="20"/>
                  <w:u w:val="single"/>
                  <w:vertAlign w:val="superscript"/>
                </w:rPr>
                <w:t>4</w:t>
              </w:r>
            </w:hyperlink>
            <w:hyperlink w:anchor="h.1fob9te">
              <w:r>
                <w:rPr>
                  <w:b/>
                  <w:sz w:val="20"/>
                  <w:vertAlign w:val="superscript"/>
                </w:rPr>
                <w:t xml:space="preserve"> </w:t>
              </w:r>
            </w:hyperlink>
            <w:r>
              <w:rPr>
                <w:sz w:val="20"/>
              </w:rPr>
              <w:t xml:space="preserve"> that the measured structure leads to a desired health outcome.</w:t>
            </w:r>
          </w:p>
          <w:p w:rsidR="00DA36D1" w:rsidRDefault="00FD11AF">
            <w:pPr>
              <w:numPr>
                <w:ilvl w:val="0"/>
                <w:numId w:val="1"/>
              </w:numPr>
              <w:ind w:hanging="215"/>
              <w:contextualSpacing/>
              <w:rPr>
                <w:sz w:val="20"/>
              </w:rPr>
            </w:pPr>
            <w:r>
              <w:rPr>
                <w:sz w:val="20"/>
                <w:u w:val="single"/>
              </w:rPr>
              <w:t>Efficiency</w:t>
            </w:r>
            <w:r>
              <w:rPr>
                <w:sz w:val="20"/>
              </w:rPr>
              <w:t xml:space="preserve">: </w:t>
            </w:r>
            <w:hyperlink w:anchor="h.2et92p0">
              <w:proofErr w:type="gramStart"/>
              <w:r>
                <w:rPr>
                  <w:b/>
                  <w:color w:val="0000FF"/>
                  <w:sz w:val="20"/>
                  <w:u w:val="single"/>
                  <w:vertAlign w:val="superscript"/>
                </w:rPr>
                <w:t>6</w:t>
              </w:r>
            </w:hyperlink>
            <w:hyperlink w:anchor="h.2et92p0">
              <w:r>
                <w:rPr>
                  <w:sz w:val="20"/>
                </w:rPr>
                <w:t xml:space="preserve"> </w:t>
              </w:r>
            </w:hyperlink>
            <w:r>
              <w:rPr>
                <w:sz w:val="20"/>
              </w:rPr>
              <w:t>evidence</w:t>
            </w:r>
            <w:proofErr w:type="gramEnd"/>
            <w:r>
              <w:rPr>
                <w:sz w:val="20"/>
              </w:rPr>
              <w:t xml:space="preserve"> not required for the resource use component.</w:t>
            </w:r>
          </w:p>
          <w:p w:rsidR="00DA36D1" w:rsidRDefault="00DA36D1"/>
          <w:p w:rsidR="00DA36D1" w:rsidRDefault="00FD11AF">
            <w:r>
              <w:rPr>
                <w:b/>
                <w:sz w:val="20"/>
              </w:rPr>
              <w:t>Notes</w:t>
            </w:r>
          </w:p>
          <w:p w:rsidR="00DA36D1" w:rsidRDefault="00FD11AF">
            <w:pPr>
              <w:ind w:left="0" w:firstLine="0"/>
            </w:pPr>
            <w:bookmarkStart w:id="2" w:name="h.30j0zll" w:colFirst="0" w:colLast="0"/>
            <w:bookmarkEnd w:id="2"/>
            <w:r>
              <w:rPr>
                <w:b/>
                <w:sz w:val="20"/>
              </w:rPr>
              <w:t>3.</w:t>
            </w:r>
            <w:r>
              <w:rPr>
                <w:sz w:val="20"/>
              </w:rPr>
              <w:t xml:space="preserve"> Generally, rare event outcomes do not provide adequate information for improvement or discrimination; however, serious reportable events that are compared to zero are appropriate outcomes for public reporting and quality improvement.           </w:t>
            </w:r>
          </w:p>
          <w:p w:rsidR="00DA36D1" w:rsidRDefault="00FD11AF">
            <w:pPr>
              <w:ind w:left="0" w:firstLine="0"/>
            </w:pPr>
            <w:bookmarkStart w:id="3" w:name="h.1fob9te" w:colFirst="0" w:colLast="0"/>
            <w:bookmarkEnd w:id="3"/>
            <w:r>
              <w:rPr>
                <w:b/>
                <w:sz w:val="20"/>
              </w:rPr>
              <w:t>4.</w:t>
            </w:r>
            <w:r>
              <w:rPr>
                <w:sz w:val="20"/>
              </w:rPr>
              <w:t xml:space="preserve"> The preferred systems for grading the evidence are the U.S. Preventive Services Task Force (USPSTF) </w:t>
            </w:r>
            <w:hyperlink r:id="rId10">
              <w:r>
                <w:rPr>
                  <w:color w:val="0000FF"/>
                  <w:sz w:val="20"/>
                  <w:u w:val="single"/>
                </w:rPr>
                <w:t>grading definitions</w:t>
              </w:r>
            </w:hyperlink>
            <w:r>
              <w:rPr>
                <w:sz w:val="20"/>
              </w:rPr>
              <w:t xml:space="preserve"> and </w:t>
            </w:r>
            <w:hyperlink r:id="rId11">
              <w:r>
                <w:rPr>
                  <w:color w:val="0000FF"/>
                  <w:sz w:val="20"/>
                  <w:u w:val="single"/>
                </w:rPr>
                <w:t>methods</w:t>
              </w:r>
            </w:hyperlink>
            <w:r>
              <w:rPr>
                <w:sz w:val="20"/>
              </w:rPr>
              <w:t xml:space="preserve">, or Grading of Recommendations, Assessment, Development and Evaluation </w:t>
            </w:r>
            <w:hyperlink r:id="rId12">
              <w:r>
                <w:rPr>
                  <w:color w:val="0000FF"/>
                  <w:sz w:val="20"/>
                  <w:u w:val="single"/>
                </w:rPr>
                <w:t>(GRADE) guidelines</w:t>
              </w:r>
            </w:hyperlink>
            <w:r>
              <w:rPr>
                <w:sz w:val="20"/>
              </w:rPr>
              <w:t>.</w:t>
            </w:r>
          </w:p>
          <w:p w:rsidR="00DA36D1" w:rsidRDefault="00FD11AF">
            <w:pPr>
              <w:ind w:left="0" w:firstLine="0"/>
            </w:pPr>
            <w:bookmarkStart w:id="4" w:name="h.3znysh7" w:colFirst="0" w:colLast="0"/>
            <w:bookmarkEnd w:id="4"/>
            <w:r>
              <w:rPr>
                <w:b/>
                <w:sz w:val="20"/>
              </w:rPr>
              <w:t>5.</w:t>
            </w:r>
            <w:r>
              <w:rPr>
                <w:sz w:val="20"/>
              </w:rPr>
              <w:t xml:space="preserve"> Clinical care processes typically include multiple steps: assess </w:t>
            </w:r>
            <w:r>
              <w:rPr>
                <w:sz w:val="20"/>
              </w:rPr>
              <w:t xml:space="preserve"> identify problem/potential problem </w:t>
            </w:r>
            <w:r>
              <w:rPr>
                <w:sz w:val="20"/>
              </w:rPr>
              <w:t xml:space="preserve"> choose/plan intervention (with patient input) </w:t>
            </w:r>
            <w:r>
              <w:rPr>
                <w:sz w:val="20"/>
              </w:rPr>
              <w:t xml:space="preserve"> provide intervention </w:t>
            </w:r>
            <w:r>
              <w:rPr>
                <w:sz w:val="20"/>
              </w:rPr>
              <w:t> evaluate impact on health status. If the measure focus is one step in such a multistep process, the step with the strongest evidence for the link to the desired outcome should be selected as the focus of measurement. Note: A measure focused only on collecting PROM data is not a PRO-PM.</w:t>
            </w:r>
          </w:p>
          <w:p w:rsidR="00DA36D1" w:rsidRDefault="00FD11AF">
            <w:pPr>
              <w:ind w:left="0" w:firstLine="0"/>
            </w:pPr>
            <w:bookmarkStart w:id="5" w:name="h.2et92p0" w:colFirst="0" w:colLast="0"/>
            <w:bookmarkEnd w:id="5"/>
            <w:r>
              <w:rPr>
                <w:b/>
                <w:sz w:val="20"/>
              </w:rPr>
              <w:lastRenderedPageBreak/>
              <w:t xml:space="preserve">6. </w:t>
            </w:r>
            <w:r>
              <w:rPr>
                <w:sz w:val="20"/>
              </w:rPr>
              <w:t xml:space="preserve">Measures of efficiency combine the concepts of resource use </w:t>
            </w:r>
            <w:r>
              <w:rPr>
                <w:sz w:val="20"/>
                <w:u w:val="single"/>
              </w:rPr>
              <w:t>and</w:t>
            </w:r>
            <w:r>
              <w:rPr>
                <w:sz w:val="20"/>
              </w:rPr>
              <w:t xml:space="preserve"> quality (see NQF’s </w:t>
            </w:r>
            <w:hyperlink r:id="rId13">
              <w:r>
                <w:rPr>
                  <w:color w:val="0000FF"/>
                  <w:sz w:val="20"/>
                  <w:u w:val="single"/>
                </w:rPr>
                <w:t>Measurement Framework: Evaluating Efficiency Across Episodes of Care</w:t>
              </w:r>
            </w:hyperlink>
            <w:r>
              <w:rPr>
                <w:sz w:val="20"/>
              </w:rPr>
              <w:t xml:space="preserve">; </w:t>
            </w:r>
            <w:hyperlink r:id="rId14">
              <w:r>
                <w:rPr>
                  <w:color w:val="0000FF"/>
                  <w:sz w:val="20"/>
                  <w:u w:val="single"/>
                </w:rPr>
                <w:t>AQA Principles of Efficiency Measures</w:t>
              </w:r>
            </w:hyperlink>
            <w:r>
              <w:rPr>
                <w:sz w:val="20"/>
              </w:rPr>
              <w:t>).</w:t>
            </w:r>
          </w:p>
        </w:tc>
      </w:tr>
    </w:tbl>
    <w:p w:rsidR="00DA36D1" w:rsidRDefault="00FD11AF">
      <w:pPr>
        <w:ind w:left="0" w:firstLine="0"/>
      </w:pPr>
      <w:r>
        <w:rPr>
          <w:b/>
          <w:color w:val="0000FF"/>
        </w:rPr>
        <w:lastRenderedPageBreak/>
        <w:t>1a.1.</w:t>
      </w:r>
      <w:r>
        <w:rPr>
          <w:b/>
        </w:rPr>
        <w:t>This is a measure of</w:t>
      </w:r>
      <w:r>
        <w:t>: (</w:t>
      </w:r>
      <w:r>
        <w:rPr>
          <w:i/>
        </w:rPr>
        <w:t>should be consistent with type of measure entered in De.1</w:t>
      </w:r>
      <w:r>
        <w:t xml:space="preserve">) </w:t>
      </w:r>
    </w:p>
    <w:p w:rsidR="00DA36D1" w:rsidRDefault="00FD11AF">
      <w:pPr>
        <w:ind w:left="432" w:hanging="431"/>
      </w:pPr>
      <w:r>
        <w:t>Outcome</w:t>
      </w:r>
    </w:p>
    <w:p w:rsidR="00DA36D1" w:rsidRDefault="00FD11AF">
      <w:pPr>
        <w:ind w:left="720" w:hanging="431"/>
      </w:pPr>
      <w:r>
        <w:rPr>
          <w:rFonts w:ascii="MS Gothic" w:eastAsia="MS Gothic" w:hAnsi="MS Gothic" w:cs="MS Gothic"/>
          <w:color w:val="0000FF"/>
        </w:rPr>
        <w:t>☐</w:t>
      </w:r>
      <w:r>
        <w:rPr>
          <w:color w:val="0000FF"/>
        </w:rPr>
        <w:t xml:space="preserve"> </w:t>
      </w:r>
      <w:r>
        <w:t xml:space="preserve">Health outcome: </w:t>
      </w:r>
      <w:r>
        <w:rPr>
          <w:color w:val="A6A6A6"/>
        </w:rPr>
        <w:t>Click here to name the health outcome</w:t>
      </w:r>
    </w:p>
    <w:p w:rsidR="00DA36D1" w:rsidRDefault="00FD11AF">
      <w:pPr>
        <w:ind w:left="720" w:hanging="431"/>
      </w:pPr>
      <w:r>
        <w:rPr>
          <w:rFonts w:ascii="MS Gothic" w:eastAsia="MS Gothic" w:hAnsi="MS Gothic" w:cs="MS Gothic"/>
          <w:color w:val="0000FF"/>
        </w:rPr>
        <w:t>☐</w:t>
      </w:r>
      <w:r>
        <w:t xml:space="preserve">Patient-reported outcome (PRO): </w:t>
      </w:r>
      <w:r>
        <w:rPr>
          <w:color w:val="A6A6A6"/>
        </w:rPr>
        <w:t>Click here to name the PRO</w:t>
      </w:r>
    </w:p>
    <w:p w:rsidR="00DA36D1" w:rsidRDefault="00FD11AF">
      <w:pPr>
        <w:ind w:left="720" w:firstLine="0"/>
      </w:pPr>
      <w:r>
        <w:rPr>
          <w:i/>
        </w:rPr>
        <w:t xml:space="preserve">PROs include </w:t>
      </w:r>
      <w:proofErr w:type="spellStart"/>
      <w:r>
        <w:rPr>
          <w:i/>
        </w:rPr>
        <w:t>HRQoL</w:t>
      </w:r>
      <w:proofErr w:type="spellEnd"/>
      <w:r>
        <w:rPr>
          <w:i/>
        </w:rPr>
        <w:t>/functional status, symptom/symptom burden, experience with care, health-related behaviors</w:t>
      </w:r>
    </w:p>
    <w:p w:rsidR="00DA36D1" w:rsidRDefault="00FD11AF">
      <w:pPr>
        <w:ind w:left="720" w:hanging="431"/>
      </w:pPr>
      <w:r>
        <w:rPr>
          <w:rFonts w:ascii="MS Gothic" w:eastAsia="MS Gothic" w:hAnsi="MS Gothic" w:cs="MS Gothic"/>
          <w:color w:val="0000FF"/>
        </w:rPr>
        <w:t>☐</w:t>
      </w:r>
      <w:r>
        <w:t xml:space="preserve"> Intermediate clinical outcome (</w:t>
      </w:r>
      <w:r>
        <w:rPr>
          <w:i/>
        </w:rPr>
        <w:t>e.g., lab value</w:t>
      </w:r>
      <w:r>
        <w:t xml:space="preserve">):  </w:t>
      </w:r>
      <w:r>
        <w:rPr>
          <w:color w:val="A6A6A6"/>
        </w:rPr>
        <w:t>Click here to name the intermediate outcome</w:t>
      </w:r>
    </w:p>
    <w:p w:rsidR="00DA36D1" w:rsidRDefault="00FD11AF">
      <w:pPr>
        <w:ind w:left="432" w:hanging="431"/>
      </w:pPr>
      <w:r>
        <w:rPr>
          <w:rFonts w:ascii="MS Gothic" w:eastAsia="MS Gothic" w:hAnsi="MS Gothic" w:cs="MS Gothic"/>
          <w:color w:val="0000FF"/>
        </w:rPr>
        <w:t>☒</w:t>
      </w:r>
      <w:r>
        <w:t xml:space="preserve"> Process:  </w:t>
      </w:r>
      <w:r>
        <w:rPr>
          <w:color w:val="0000FF"/>
          <w:u w:val="single"/>
        </w:rPr>
        <w:t>post-discharge appointment</w:t>
      </w:r>
      <w:r w:rsidR="006530DB">
        <w:rPr>
          <w:color w:val="0000FF"/>
          <w:u w:val="single"/>
        </w:rPr>
        <w:t xml:space="preserve"> for heart failure patients</w:t>
      </w:r>
    </w:p>
    <w:p w:rsidR="00DA36D1" w:rsidRDefault="00FD11AF">
      <w:pPr>
        <w:ind w:left="432" w:hanging="431"/>
      </w:pPr>
      <w:r>
        <w:rPr>
          <w:rFonts w:ascii="MS Gothic" w:eastAsia="MS Gothic" w:hAnsi="MS Gothic" w:cs="MS Gothic"/>
          <w:color w:val="0000FF"/>
        </w:rPr>
        <w:t>☐</w:t>
      </w:r>
      <w:r>
        <w:t xml:space="preserve"> Structure:  </w:t>
      </w:r>
      <w:r>
        <w:rPr>
          <w:color w:val="A6A6A6"/>
        </w:rPr>
        <w:t>Click here to name the structure</w:t>
      </w:r>
    </w:p>
    <w:p w:rsidR="00DA36D1" w:rsidRDefault="00FD11AF">
      <w:pPr>
        <w:ind w:left="432" w:hanging="431"/>
      </w:pPr>
      <w:r>
        <w:rPr>
          <w:rFonts w:ascii="MS Gothic" w:eastAsia="MS Gothic" w:hAnsi="MS Gothic" w:cs="MS Gothic"/>
          <w:color w:val="0000FF"/>
        </w:rPr>
        <w:t>☐</w:t>
      </w:r>
      <w:r>
        <w:t xml:space="preserve"> </w:t>
      </w:r>
      <w:proofErr w:type="gramStart"/>
      <w:r>
        <w:t>Other</w:t>
      </w:r>
      <w:proofErr w:type="gramEnd"/>
      <w:r>
        <w:t xml:space="preserve">:  </w:t>
      </w:r>
      <w:r>
        <w:rPr>
          <w:color w:val="A6A6A6"/>
        </w:rPr>
        <w:t>Click here to name what is being measured</w:t>
      </w:r>
    </w:p>
    <w:p w:rsidR="00DA36D1" w:rsidRDefault="00DA36D1">
      <w:pPr>
        <w:ind w:left="0" w:firstLine="0"/>
      </w:pPr>
    </w:p>
    <w:p w:rsidR="00DA36D1" w:rsidRDefault="00FD11AF">
      <w:pPr>
        <w:ind w:left="0" w:firstLine="0"/>
      </w:pPr>
      <w:r>
        <w:rPr>
          <w:b/>
          <w:smallCaps/>
        </w:rPr>
        <w:t>_________________________</w:t>
      </w:r>
    </w:p>
    <w:p w:rsidR="00DA36D1" w:rsidRDefault="00FD11AF">
      <w:pPr>
        <w:ind w:left="0" w:firstLine="0"/>
      </w:pPr>
      <w:r>
        <w:rPr>
          <w:b/>
        </w:rPr>
        <w:t xml:space="preserve">HEALTH OUTCOME/PRO PERFORMANCE </w:t>
      </w:r>
      <w:proofErr w:type="gramStart"/>
      <w:r>
        <w:rPr>
          <w:b/>
        </w:rPr>
        <w:t xml:space="preserve">MEASURE </w:t>
      </w:r>
      <w:r>
        <w:t xml:space="preserve"> </w:t>
      </w:r>
      <w:r>
        <w:rPr>
          <w:i/>
          <w:highlight w:val="green"/>
        </w:rPr>
        <w:t>If</w:t>
      </w:r>
      <w:proofErr w:type="gramEnd"/>
      <w:r>
        <w:rPr>
          <w:i/>
          <w:highlight w:val="green"/>
        </w:rPr>
        <w:t xml:space="preserve"> not a health outcome or PRO, skip to </w:t>
      </w:r>
      <w:hyperlink w:anchor="h.tyjcwt">
        <w:r>
          <w:rPr>
            <w:i/>
            <w:color w:val="0000FF"/>
            <w:highlight w:val="green"/>
            <w:u w:val="single"/>
          </w:rPr>
          <w:t>1a.3</w:t>
        </w:r>
      </w:hyperlink>
      <w:hyperlink w:anchor="h.tyjcwt"/>
    </w:p>
    <w:p w:rsidR="00DA36D1" w:rsidRDefault="00FD11AF">
      <w:pPr>
        <w:ind w:left="432" w:hanging="431"/>
      </w:pPr>
      <w:r>
        <w:rPr>
          <w:b/>
          <w:color w:val="0000FF"/>
        </w:rPr>
        <w:t>1a.2.</w:t>
      </w:r>
      <w:r>
        <w:t xml:space="preserve"> </w:t>
      </w:r>
      <w:proofErr w:type="gramStart"/>
      <w:r>
        <w:rPr>
          <w:b/>
        </w:rPr>
        <w:t>Briefly</w:t>
      </w:r>
      <w:proofErr w:type="gramEnd"/>
      <w:r>
        <w:rPr>
          <w:b/>
        </w:rPr>
        <w:t xml:space="preserve"> state or diagram the path between the health outcome (or PRO) and the healthcare structures, processes, interventions, or services that influence it.</w:t>
      </w:r>
    </w:p>
    <w:p w:rsidR="00DA36D1" w:rsidRDefault="00DA36D1">
      <w:pPr>
        <w:ind w:left="432" w:hanging="431"/>
      </w:pPr>
    </w:p>
    <w:p w:rsidR="00DA36D1" w:rsidRDefault="00FD11AF">
      <w:pPr>
        <w:ind w:left="432" w:hanging="431"/>
      </w:pPr>
      <w:r>
        <w:rPr>
          <w:b/>
          <w:color w:val="0000FF"/>
        </w:rPr>
        <w:t>1a.2.1.</w:t>
      </w:r>
      <w:r>
        <w:t xml:space="preserve"> </w:t>
      </w:r>
      <w:r>
        <w:rPr>
          <w:b/>
        </w:rPr>
        <w:t>State the rationale supporting the relationship between the health outcome (</w:t>
      </w:r>
      <w:proofErr w:type="gramStart"/>
      <w:r>
        <w:rPr>
          <w:b/>
        </w:rPr>
        <w:t>or</w:t>
      </w:r>
      <w:proofErr w:type="gramEnd"/>
      <w:r>
        <w:rPr>
          <w:b/>
        </w:rPr>
        <w:t xml:space="preserve"> PRO) to at least one healthcare structure, process, intervention, or service (</w:t>
      </w:r>
      <w:r>
        <w:rPr>
          <w:b/>
          <w:i/>
        </w:rPr>
        <w:t>i.e., influence on outcome/PRO</w:t>
      </w:r>
      <w:r>
        <w:rPr>
          <w:b/>
        </w:rPr>
        <w:t>).</w:t>
      </w:r>
    </w:p>
    <w:p w:rsidR="00DA36D1" w:rsidRDefault="00DA36D1">
      <w:pPr>
        <w:ind w:left="0" w:firstLine="0"/>
      </w:pPr>
    </w:p>
    <w:p w:rsidR="00DA36D1" w:rsidRDefault="00FD11AF">
      <w:pPr>
        <w:ind w:left="0" w:firstLine="0"/>
      </w:pPr>
      <w:r>
        <w:rPr>
          <w:i/>
          <w:highlight w:val="green"/>
          <w:u w:val="single"/>
        </w:rPr>
        <w:t>Note</w:t>
      </w:r>
      <w:r>
        <w:rPr>
          <w:i/>
          <w:highlight w:val="green"/>
        </w:rPr>
        <w:t xml:space="preserve">:  For health outcome/PRO performance measures, no further information is required; however, you may provide evidence for any of the structures, processes, interventions, or service identified above. </w:t>
      </w:r>
    </w:p>
    <w:p w:rsidR="00DA36D1" w:rsidRDefault="00FD11AF">
      <w:pPr>
        <w:ind w:left="0" w:firstLine="0"/>
      </w:pPr>
      <w:r>
        <w:rPr>
          <w:b/>
          <w:smallCaps/>
        </w:rPr>
        <w:t>_________________________</w:t>
      </w:r>
    </w:p>
    <w:p w:rsidR="00DA36D1" w:rsidRDefault="00FD11AF">
      <w:pPr>
        <w:ind w:left="0" w:firstLine="0"/>
      </w:pPr>
      <w:r>
        <w:rPr>
          <w:b/>
          <w:smallCaps/>
        </w:rPr>
        <w:t>intermediate outcome, PROCESS, or STRUCTURE PERFORMANCE measure</w:t>
      </w:r>
      <w:r>
        <w:rPr>
          <w:b/>
        </w:rPr>
        <w:t xml:space="preserve"> </w:t>
      </w:r>
    </w:p>
    <w:p w:rsidR="00DA36D1" w:rsidRDefault="00FD11AF">
      <w:pPr>
        <w:ind w:left="0" w:firstLine="0"/>
      </w:pPr>
      <w:bookmarkStart w:id="6" w:name="h.tyjcwt" w:colFirst="0" w:colLast="0"/>
      <w:bookmarkEnd w:id="6"/>
      <w:r>
        <w:rPr>
          <w:b/>
          <w:color w:val="0000FF"/>
        </w:rPr>
        <w:t>1a.3.</w:t>
      </w:r>
      <w:r>
        <w:rPr>
          <w:i/>
          <w:color w:val="0000FF"/>
        </w:rPr>
        <w:t xml:space="preserve"> </w:t>
      </w:r>
      <w:proofErr w:type="gramStart"/>
      <w:r>
        <w:rPr>
          <w:b/>
        </w:rPr>
        <w:t>Briefly</w:t>
      </w:r>
      <w:proofErr w:type="gramEnd"/>
      <w:r>
        <w:rPr>
          <w:b/>
        </w:rPr>
        <w:t xml:space="preserve"> state or diagram the path between structure, process, intermediate outcome, and health outcomes</w:t>
      </w:r>
      <w:r>
        <w:t>. Include all the steps between the measure focus and the health outcome.</w:t>
      </w:r>
      <w:r>
        <w:rPr>
          <w:i/>
        </w:rPr>
        <w:t xml:space="preserve"> </w:t>
      </w:r>
    </w:p>
    <w:p w:rsidR="00DA36D1" w:rsidRDefault="00094169">
      <w:pPr>
        <w:ind w:left="0" w:firstLine="0"/>
      </w:pPr>
      <w:r>
        <w:rPr>
          <w:noProof/>
        </w:rPr>
        <w:drawing>
          <wp:inline distT="0" distB="0" distL="0" distR="0">
            <wp:extent cx="5486400" cy="3200400"/>
            <wp:effectExtent l="38100" t="0" r="1905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DA36D1" w:rsidRDefault="00FD11AF">
      <w:pPr>
        <w:ind w:left="0" w:firstLine="0"/>
      </w:pPr>
      <w:r>
        <w:rPr>
          <w:b/>
          <w:color w:val="0000FF"/>
        </w:rPr>
        <w:lastRenderedPageBreak/>
        <w:t>1a.3.1.</w:t>
      </w:r>
      <w:r>
        <w:rPr>
          <w:color w:val="0000FF"/>
        </w:rPr>
        <w:t xml:space="preserve"> </w:t>
      </w:r>
      <w:proofErr w:type="gramStart"/>
      <w:r>
        <w:rPr>
          <w:b/>
        </w:rPr>
        <w:t>What</w:t>
      </w:r>
      <w:proofErr w:type="gramEnd"/>
      <w:r>
        <w:rPr>
          <w:b/>
        </w:rPr>
        <w:t xml:space="preserve"> is the source of the </w:t>
      </w:r>
      <w:r>
        <w:rPr>
          <w:b/>
          <w:u w:val="single"/>
        </w:rPr>
        <w:t>systematic review of the body of evidence</w:t>
      </w:r>
      <w:r>
        <w:rPr>
          <w:b/>
        </w:rPr>
        <w:t xml:space="preserve"> that supports the performance measure?</w:t>
      </w:r>
    </w:p>
    <w:p w:rsidR="00DA36D1" w:rsidRDefault="001C2C32">
      <w:pPr>
        <w:ind w:left="0" w:firstLine="0"/>
      </w:pPr>
      <w:proofErr w:type="gramStart"/>
      <w:r>
        <w:rPr>
          <w:rFonts w:ascii="MS Gothic" w:eastAsia="MS Gothic" w:hAnsi="MS Gothic" w:cs="MS Gothic"/>
          <w:color w:val="0000FF"/>
        </w:rPr>
        <w:t>x</w:t>
      </w:r>
      <w:proofErr w:type="gramEnd"/>
      <w:r w:rsidR="00FD11AF">
        <w:t xml:space="preserve"> </w:t>
      </w:r>
      <w:r w:rsidR="00FD11AF" w:rsidRPr="00094169">
        <w:rPr>
          <w:highlight w:val="yellow"/>
        </w:rPr>
        <w:t>Clinical Practice Guideline recommendation</w:t>
      </w:r>
      <w:r w:rsidR="00FD11AF">
        <w:t xml:space="preserve"> – </w:t>
      </w:r>
      <w:r w:rsidR="00FD11AF">
        <w:rPr>
          <w:b/>
          <w:i/>
        </w:rPr>
        <w:t xml:space="preserve">complete sections </w:t>
      </w:r>
      <w:hyperlink w:anchor="h.3dy6vkm">
        <w:r w:rsidR="00FD11AF">
          <w:rPr>
            <w:b/>
            <w:i/>
            <w:color w:val="0000FF"/>
            <w:u w:val="single"/>
          </w:rPr>
          <w:t>1a.4</w:t>
        </w:r>
      </w:hyperlink>
      <w:hyperlink w:anchor="h.3dy6vkm">
        <w:r w:rsidR="00FD11AF">
          <w:rPr>
            <w:b/>
            <w:i/>
          </w:rPr>
          <w:t>,</w:t>
        </w:r>
      </w:hyperlink>
      <w:r w:rsidR="00FD11AF">
        <w:rPr>
          <w:b/>
          <w:i/>
        </w:rPr>
        <w:t xml:space="preserve"> and </w:t>
      </w:r>
      <w:hyperlink w:anchor="h.2s8eyo1">
        <w:r w:rsidR="00FD11AF">
          <w:rPr>
            <w:b/>
            <w:i/>
            <w:color w:val="0000FF"/>
            <w:u w:val="single"/>
          </w:rPr>
          <w:t>1a.7</w:t>
        </w:r>
      </w:hyperlink>
      <w:hyperlink w:anchor="h.2s8eyo1">
        <w:r w:rsidR="00FD11AF">
          <w:t xml:space="preserve"> </w:t>
        </w:r>
      </w:hyperlink>
    </w:p>
    <w:p w:rsidR="00DA36D1" w:rsidRDefault="00FD11AF">
      <w:pPr>
        <w:ind w:left="0" w:firstLine="0"/>
      </w:pPr>
      <w:r>
        <w:rPr>
          <w:rFonts w:ascii="MS Gothic" w:eastAsia="MS Gothic" w:hAnsi="MS Gothic" w:cs="MS Gothic"/>
          <w:color w:val="0000FF"/>
        </w:rPr>
        <w:t>☐</w:t>
      </w:r>
      <w:r>
        <w:t xml:space="preserve"> US Preventive Services Task Force Recommendation – </w:t>
      </w:r>
      <w:r>
        <w:rPr>
          <w:b/>
          <w:i/>
        </w:rPr>
        <w:t xml:space="preserve">complete sections </w:t>
      </w:r>
      <w:hyperlink w:anchor="h.1t3h5sf">
        <w:r>
          <w:rPr>
            <w:b/>
            <w:i/>
            <w:color w:val="0000FF"/>
            <w:u w:val="single"/>
          </w:rPr>
          <w:t>1a.5</w:t>
        </w:r>
      </w:hyperlink>
      <w:hyperlink w:anchor="h.1t3h5sf">
        <w:r>
          <w:rPr>
            <w:b/>
            <w:i/>
          </w:rPr>
          <w:t xml:space="preserve"> </w:t>
        </w:r>
      </w:hyperlink>
      <w:r>
        <w:rPr>
          <w:b/>
          <w:i/>
        </w:rPr>
        <w:t xml:space="preserve">and </w:t>
      </w:r>
      <w:hyperlink w:anchor="h.2s8eyo1">
        <w:r>
          <w:rPr>
            <w:b/>
            <w:i/>
            <w:color w:val="0000FF"/>
            <w:u w:val="single"/>
          </w:rPr>
          <w:t>1a.7</w:t>
        </w:r>
      </w:hyperlink>
      <w:hyperlink w:anchor="h.2s8eyo1"/>
    </w:p>
    <w:p w:rsidR="00DA36D1" w:rsidRDefault="001C2C32">
      <w:pPr>
        <w:ind w:left="0" w:firstLine="0"/>
      </w:pPr>
      <w:proofErr w:type="gramStart"/>
      <w:r>
        <w:rPr>
          <w:rFonts w:ascii="MS Gothic" w:eastAsia="MS Gothic" w:hAnsi="MS Gothic" w:cs="MS Gothic"/>
          <w:color w:val="0000FF"/>
        </w:rPr>
        <w:t>x</w:t>
      </w:r>
      <w:proofErr w:type="gramEnd"/>
      <w:r w:rsidR="00FD11AF">
        <w:t xml:space="preserve"> </w:t>
      </w:r>
      <w:r w:rsidR="00FD11AF" w:rsidRPr="00094169">
        <w:rPr>
          <w:highlight w:val="yellow"/>
        </w:rPr>
        <w:t>Other systematic review and grading of the body of evidence</w:t>
      </w:r>
      <w:r w:rsidR="00FD11AF">
        <w:t xml:space="preserve"> (</w:t>
      </w:r>
      <w:r w:rsidR="00FD11AF">
        <w:rPr>
          <w:i/>
        </w:rPr>
        <w:t>e.g., Cochrane Collaboration, AHRQ Evidence Practice Center</w:t>
      </w:r>
      <w:r w:rsidR="00FD11AF">
        <w:t xml:space="preserve">) – </w:t>
      </w:r>
      <w:r w:rsidR="00FD11AF">
        <w:rPr>
          <w:b/>
          <w:i/>
        </w:rPr>
        <w:t xml:space="preserve">complete sections </w:t>
      </w:r>
      <w:hyperlink w:anchor="h.4d34og8">
        <w:r w:rsidR="00FD11AF">
          <w:rPr>
            <w:b/>
            <w:i/>
            <w:color w:val="0000FF"/>
            <w:u w:val="single"/>
          </w:rPr>
          <w:t>1a.6</w:t>
        </w:r>
      </w:hyperlink>
      <w:hyperlink w:anchor="h.4d34og8">
        <w:r w:rsidR="00FD11AF">
          <w:rPr>
            <w:b/>
            <w:i/>
          </w:rPr>
          <w:t xml:space="preserve"> </w:t>
        </w:r>
      </w:hyperlink>
      <w:r w:rsidR="00FD11AF">
        <w:rPr>
          <w:b/>
          <w:i/>
        </w:rPr>
        <w:t xml:space="preserve">and </w:t>
      </w:r>
      <w:hyperlink w:anchor="h.2s8eyo1">
        <w:r w:rsidR="00FD11AF">
          <w:rPr>
            <w:b/>
            <w:i/>
            <w:color w:val="0000FF"/>
            <w:u w:val="single"/>
          </w:rPr>
          <w:t>1a.7</w:t>
        </w:r>
      </w:hyperlink>
      <w:hyperlink w:anchor="h.2s8eyo1"/>
    </w:p>
    <w:p w:rsidR="00DA36D1" w:rsidRDefault="00FD11AF">
      <w:pPr>
        <w:ind w:left="0" w:firstLine="0"/>
      </w:pPr>
      <w:r>
        <w:rPr>
          <w:rFonts w:ascii="MS Gothic" w:eastAsia="MS Gothic" w:hAnsi="MS Gothic" w:cs="MS Gothic"/>
          <w:color w:val="0000FF"/>
        </w:rPr>
        <w:t>☐</w:t>
      </w:r>
      <w:r>
        <w:t xml:space="preserve"> </w:t>
      </w:r>
      <w:proofErr w:type="gramStart"/>
      <w:r>
        <w:t>Other</w:t>
      </w:r>
      <w:proofErr w:type="gramEnd"/>
      <w:r>
        <w:t xml:space="preserve"> – </w:t>
      </w:r>
      <w:r>
        <w:rPr>
          <w:b/>
          <w:i/>
        </w:rPr>
        <w:t xml:space="preserve">complete section </w:t>
      </w:r>
      <w:hyperlink w:anchor="h.17dp8vu">
        <w:r>
          <w:rPr>
            <w:b/>
            <w:i/>
            <w:color w:val="0000FF"/>
            <w:u w:val="single"/>
          </w:rPr>
          <w:t>1a.8</w:t>
        </w:r>
      </w:hyperlink>
      <w:hyperlink w:anchor="h.17dp8vu"/>
    </w:p>
    <w:p w:rsidR="00DA36D1" w:rsidRDefault="005F6366">
      <w:pPr>
        <w:ind w:left="0" w:firstLine="0"/>
      </w:pPr>
      <w:hyperlink w:anchor="Section1a8"/>
    </w:p>
    <w:p w:rsidR="00DA36D1" w:rsidRDefault="00FD11AF">
      <w:pPr>
        <w:ind w:left="0" w:firstLine="0"/>
      </w:pPr>
      <w:r>
        <w:rPr>
          <w:i/>
          <w:highlight w:val="green"/>
        </w:rPr>
        <w:t>Please complete the sections indicated above for the source of evidence. You may skip the sections that do not apply.</w:t>
      </w:r>
    </w:p>
    <w:p w:rsidR="00DA36D1" w:rsidRDefault="00FD11AF">
      <w:pPr>
        <w:ind w:left="0" w:firstLine="0"/>
      </w:pPr>
      <w:bookmarkStart w:id="7" w:name="h.3dy6vkm" w:colFirst="0" w:colLast="0"/>
      <w:bookmarkEnd w:id="7"/>
      <w:r>
        <w:rPr>
          <w:b/>
          <w:smallCaps/>
        </w:rPr>
        <w:t>_________________________</w:t>
      </w:r>
    </w:p>
    <w:p w:rsidR="00DA36D1" w:rsidRDefault="00FD11AF">
      <w:pPr>
        <w:ind w:left="0" w:firstLine="0"/>
      </w:pPr>
      <w:r>
        <w:rPr>
          <w:b/>
          <w:color w:val="0000FF"/>
        </w:rPr>
        <w:t>1a.4.</w:t>
      </w:r>
      <w:r>
        <w:rPr>
          <w:b/>
          <w:color w:val="0070C0"/>
        </w:rPr>
        <w:t xml:space="preserve"> </w:t>
      </w:r>
      <w:r>
        <w:rPr>
          <w:b/>
        </w:rPr>
        <w:t>CLINICAL PRACTICE GUIDELINE RECOMMENDATION</w:t>
      </w:r>
    </w:p>
    <w:p w:rsidR="00DA36D1" w:rsidRDefault="00FD11AF">
      <w:pPr>
        <w:ind w:left="0" w:firstLine="0"/>
      </w:pPr>
      <w:r>
        <w:rPr>
          <w:b/>
          <w:color w:val="0000FF"/>
        </w:rPr>
        <w:t>1a.4.1.</w:t>
      </w:r>
      <w:r>
        <w:t xml:space="preserve"> </w:t>
      </w:r>
      <w:r>
        <w:rPr>
          <w:b/>
        </w:rPr>
        <w:t>Guideline citation</w:t>
      </w:r>
      <w:r>
        <w:t xml:space="preserve"> (</w:t>
      </w:r>
      <w:r>
        <w:rPr>
          <w:i/>
        </w:rPr>
        <w:t>including date</w:t>
      </w:r>
      <w:r>
        <w:t xml:space="preserve">) and </w:t>
      </w:r>
      <w:r>
        <w:rPr>
          <w:b/>
        </w:rPr>
        <w:t>URL for guideline</w:t>
      </w:r>
      <w:r>
        <w:t xml:space="preserve"> (</w:t>
      </w:r>
      <w:r>
        <w:rPr>
          <w:i/>
        </w:rPr>
        <w:t>if available online</w:t>
      </w:r>
      <w:r>
        <w:t>):</w:t>
      </w:r>
      <w:r>
        <w:rPr>
          <w:sz w:val="20"/>
        </w:rPr>
        <w:tab/>
      </w:r>
      <w:r>
        <w:rPr>
          <w:sz w:val="20"/>
        </w:rPr>
        <w:tab/>
      </w:r>
      <w:r>
        <w:rPr>
          <w:sz w:val="20"/>
        </w:rPr>
        <w:tab/>
      </w:r>
    </w:p>
    <w:p w:rsidR="006530DB" w:rsidRDefault="00FD11AF">
      <w:pPr>
        <w:ind w:left="0" w:firstLine="0"/>
      </w:pPr>
      <w:r>
        <w:rPr>
          <w:sz w:val="20"/>
        </w:rPr>
        <w:tab/>
      </w:r>
      <w:r>
        <w:rPr>
          <w:sz w:val="20"/>
        </w:rPr>
        <w:tab/>
      </w:r>
      <w:r>
        <w:rPr>
          <w:sz w:val="20"/>
        </w:rPr>
        <w:tab/>
      </w:r>
      <w:r>
        <w:rPr>
          <w:sz w:val="20"/>
        </w:rPr>
        <w:tab/>
      </w:r>
      <w:r>
        <w:rPr>
          <w:sz w:val="20"/>
        </w:rPr>
        <w:tab/>
      </w:r>
    </w:p>
    <w:p w:rsidR="00DA36D1" w:rsidRPr="00050B63" w:rsidRDefault="002B11E5">
      <w:pPr>
        <w:ind w:left="0" w:firstLine="0"/>
        <w:rPr>
          <w:rFonts w:cs="Times New Roman"/>
        </w:rPr>
      </w:pPr>
      <w:proofErr w:type="spellStart"/>
      <w:r w:rsidRPr="00050B63">
        <w:rPr>
          <w:rFonts w:cs="Times New Roman"/>
        </w:rPr>
        <w:t>Yancy</w:t>
      </w:r>
      <w:proofErr w:type="spellEnd"/>
      <w:r w:rsidRPr="00050B63">
        <w:rPr>
          <w:rFonts w:cs="Times New Roman"/>
        </w:rPr>
        <w:t xml:space="preserve"> CW, Jessup M, </w:t>
      </w:r>
      <w:proofErr w:type="spellStart"/>
      <w:r w:rsidRPr="00050B63">
        <w:rPr>
          <w:rFonts w:cs="Times New Roman"/>
        </w:rPr>
        <w:t>Bozkurt</w:t>
      </w:r>
      <w:proofErr w:type="spellEnd"/>
      <w:r w:rsidRPr="00050B63">
        <w:rPr>
          <w:rFonts w:cs="Times New Roman"/>
        </w:rPr>
        <w:t xml:space="preserve"> B, Butler J, Casey DE, </w:t>
      </w:r>
      <w:proofErr w:type="spellStart"/>
      <w:r w:rsidRPr="00050B63">
        <w:rPr>
          <w:rFonts w:cs="Times New Roman"/>
        </w:rPr>
        <w:t>Drazner</w:t>
      </w:r>
      <w:proofErr w:type="spellEnd"/>
      <w:r w:rsidRPr="00050B63">
        <w:rPr>
          <w:rFonts w:cs="Times New Roman"/>
        </w:rPr>
        <w:t xml:space="preserve"> MH, </w:t>
      </w:r>
      <w:proofErr w:type="spellStart"/>
      <w:r w:rsidRPr="00050B63">
        <w:rPr>
          <w:rFonts w:cs="Times New Roman"/>
        </w:rPr>
        <w:t>Fonorow</w:t>
      </w:r>
      <w:proofErr w:type="spellEnd"/>
      <w:r w:rsidRPr="00050B63">
        <w:rPr>
          <w:rFonts w:cs="Times New Roman"/>
        </w:rPr>
        <w:t xml:space="preserve"> GC, </w:t>
      </w:r>
      <w:proofErr w:type="spellStart"/>
      <w:r w:rsidRPr="00050B63">
        <w:rPr>
          <w:rFonts w:cs="Times New Roman"/>
        </w:rPr>
        <w:t>Geraci</w:t>
      </w:r>
      <w:proofErr w:type="spellEnd"/>
      <w:r w:rsidRPr="00050B63">
        <w:rPr>
          <w:rFonts w:cs="Times New Roman"/>
        </w:rPr>
        <w:t xml:space="preserve"> SA, </w:t>
      </w:r>
      <w:proofErr w:type="spellStart"/>
      <w:r w:rsidRPr="00050B63">
        <w:rPr>
          <w:rFonts w:cs="Times New Roman"/>
        </w:rPr>
        <w:t>Horwich</w:t>
      </w:r>
      <w:proofErr w:type="spellEnd"/>
      <w:r w:rsidRPr="00050B63">
        <w:rPr>
          <w:rFonts w:cs="Times New Roman"/>
        </w:rPr>
        <w:t xml:space="preserve"> T, </w:t>
      </w:r>
      <w:proofErr w:type="spellStart"/>
      <w:r w:rsidRPr="00050B63">
        <w:rPr>
          <w:rFonts w:cs="Times New Roman"/>
        </w:rPr>
        <w:t>Januzzi</w:t>
      </w:r>
      <w:proofErr w:type="spellEnd"/>
      <w:r w:rsidRPr="00050B63">
        <w:rPr>
          <w:rFonts w:cs="Times New Roman"/>
        </w:rPr>
        <w:t xml:space="preserve"> JL, Johnson MR, Kasper EK, Levy WC, </w:t>
      </w:r>
      <w:proofErr w:type="spellStart"/>
      <w:r w:rsidRPr="00050B63">
        <w:rPr>
          <w:rFonts w:cs="Times New Roman"/>
        </w:rPr>
        <w:t>Masoudi</w:t>
      </w:r>
      <w:proofErr w:type="spellEnd"/>
      <w:r w:rsidRPr="00050B63">
        <w:rPr>
          <w:rFonts w:cs="Times New Roman"/>
        </w:rPr>
        <w:t xml:space="preserve"> FA, McBride PE, McMurray JJV, Mitchell JE, Peterson PN, </w:t>
      </w:r>
      <w:proofErr w:type="spellStart"/>
      <w:r w:rsidRPr="00050B63">
        <w:rPr>
          <w:rFonts w:cs="Times New Roman"/>
        </w:rPr>
        <w:t>Riegel</w:t>
      </w:r>
      <w:proofErr w:type="spellEnd"/>
      <w:r w:rsidRPr="00050B63">
        <w:rPr>
          <w:rFonts w:cs="Times New Roman"/>
        </w:rPr>
        <w:t xml:space="preserve"> B, Sam F, Stevenson LW, Tang WHW, Tsai EJ, </w:t>
      </w:r>
      <w:proofErr w:type="spellStart"/>
      <w:r w:rsidRPr="00050B63">
        <w:rPr>
          <w:rFonts w:cs="Times New Roman"/>
        </w:rPr>
        <w:t>Wilkoff</w:t>
      </w:r>
      <w:proofErr w:type="spellEnd"/>
      <w:r w:rsidRPr="00050B63">
        <w:rPr>
          <w:rFonts w:cs="Times New Roman"/>
        </w:rPr>
        <w:t xml:space="preserve"> BL. 2013 ACCF/AHA Guideline for the Manage</w:t>
      </w:r>
      <w:r w:rsidR="006530DB" w:rsidRPr="00050B63">
        <w:rPr>
          <w:rFonts w:cs="Times New Roman"/>
        </w:rPr>
        <w:t xml:space="preserve">ment of Heart Failure: A report of the American College of Cardiology Foundation/American Heart Association Task Force on Practice Guidelines. J Am </w:t>
      </w:r>
      <w:proofErr w:type="spellStart"/>
      <w:r w:rsidR="006530DB" w:rsidRPr="00050B63">
        <w:rPr>
          <w:rFonts w:cs="Times New Roman"/>
        </w:rPr>
        <w:t>Coll</w:t>
      </w:r>
      <w:proofErr w:type="spellEnd"/>
      <w:r w:rsidR="006530DB" w:rsidRPr="00050B63">
        <w:rPr>
          <w:rFonts w:cs="Times New Roman"/>
        </w:rPr>
        <w:t xml:space="preserve"> </w:t>
      </w:r>
      <w:proofErr w:type="spellStart"/>
      <w:r w:rsidR="006530DB" w:rsidRPr="00050B63">
        <w:rPr>
          <w:rFonts w:cs="Times New Roman"/>
        </w:rPr>
        <w:t>Cardiol</w:t>
      </w:r>
      <w:proofErr w:type="spellEnd"/>
      <w:r w:rsidR="006530DB" w:rsidRPr="00050B63">
        <w:rPr>
          <w:rFonts w:cs="Times New Roman"/>
        </w:rPr>
        <w:t xml:space="preserve"> 2013</w:t>
      </w:r>
      <w:proofErr w:type="gramStart"/>
      <w:r w:rsidR="006530DB" w:rsidRPr="00050B63">
        <w:rPr>
          <w:rFonts w:cs="Times New Roman"/>
        </w:rPr>
        <w:t>;62</w:t>
      </w:r>
      <w:proofErr w:type="gramEnd"/>
      <w:r w:rsidR="006530DB" w:rsidRPr="00050B63">
        <w:rPr>
          <w:rFonts w:cs="Times New Roman"/>
        </w:rPr>
        <w:t>:</w:t>
      </w:r>
      <w:r w:rsidR="006530DB" w:rsidRPr="00050B63">
        <w:rPr>
          <w:rFonts w:eastAsia="Arial Unicode MS" w:cs="Times New Roman"/>
          <w:color w:val="2E2E2E"/>
          <w:shd w:val="clear" w:color="auto" w:fill="F9FBFC"/>
        </w:rPr>
        <w:t xml:space="preserve"> e147–e239</w:t>
      </w:r>
      <w:r w:rsidR="006530DB" w:rsidRPr="00050B63">
        <w:rPr>
          <w:rFonts w:cs="Times New Roman"/>
        </w:rPr>
        <w:t xml:space="preserve">. Available at: </w:t>
      </w:r>
      <w:hyperlink r:id="rId20" w:history="1">
        <w:r w:rsidR="006530DB" w:rsidRPr="00050B63">
          <w:rPr>
            <w:rStyle w:val="Hyperlink"/>
            <w:rFonts w:eastAsiaTheme="minorEastAsia" w:cs="Times New Roman"/>
          </w:rPr>
          <w:t>http://dx.doi.org/10.1016/j.jacc.2013.05.019</w:t>
        </w:r>
      </w:hyperlink>
      <w:r w:rsidR="006530DB" w:rsidRPr="00050B63">
        <w:rPr>
          <w:rFonts w:cs="Times New Roman"/>
          <w:color w:val="auto"/>
        </w:rPr>
        <w:t xml:space="preserve">. </w:t>
      </w:r>
      <w:r w:rsidR="00FD11AF" w:rsidRPr="00050B63">
        <w:rPr>
          <w:rFonts w:cs="Times New Roman"/>
        </w:rPr>
        <w:tab/>
      </w:r>
      <w:r w:rsidR="00FD11AF" w:rsidRPr="00050B63">
        <w:rPr>
          <w:rFonts w:cs="Times New Roman"/>
        </w:rPr>
        <w:tab/>
      </w:r>
      <w:r w:rsidR="00FD11AF" w:rsidRPr="00050B63">
        <w:rPr>
          <w:rFonts w:cs="Times New Roman"/>
        </w:rPr>
        <w:tab/>
      </w:r>
      <w:r w:rsidR="00FD11AF" w:rsidRPr="00050B63">
        <w:rPr>
          <w:rFonts w:cs="Times New Roman"/>
        </w:rPr>
        <w:tab/>
      </w:r>
    </w:p>
    <w:p w:rsidR="00DA36D1" w:rsidRDefault="00DA36D1">
      <w:pPr>
        <w:ind w:left="0" w:firstLine="0"/>
      </w:pPr>
    </w:p>
    <w:p w:rsidR="00DA36D1" w:rsidRDefault="00FD11AF">
      <w:pPr>
        <w:ind w:left="0" w:firstLine="0"/>
      </w:pPr>
      <w:r>
        <w:rPr>
          <w:b/>
          <w:color w:val="0000FF"/>
        </w:rPr>
        <w:t>1a.4.2.</w:t>
      </w:r>
      <w:r>
        <w:t xml:space="preserve"> </w:t>
      </w:r>
      <w:r>
        <w:rPr>
          <w:b/>
        </w:rPr>
        <w:t>Identify guideline recommendation number and/or page number</w:t>
      </w:r>
      <w:r>
        <w:t xml:space="preserve"> and </w:t>
      </w:r>
      <w:r>
        <w:rPr>
          <w:b/>
        </w:rPr>
        <w:t>quote verbatim, the specific guideline recommendation</w:t>
      </w:r>
      <w:r>
        <w:t>.</w:t>
      </w:r>
    </w:p>
    <w:p w:rsidR="00DA36D1" w:rsidRDefault="00FD11AF">
      <w:pPr>
        <w:ind w:left="0" w:firstLine="0"/>
      </w:pPr>
      <w:r>
        <w:tab/>
      </w:r>
      <w:r>
        <w:tab/>
        <w:t xml:space="preserve"> </w:t>
      </w:r>
      <w:r>
        <w:tab/>
        <w:t xml:space="preserve"> </w:t>
      </w:r>
      <w:r>
        <w:tab/>
        <w:t xml:space="preserve"> </w:t>
      </w:r>
      <w:r>
        <w:tab/>
      </w:r>
      <w:r>
        <w:tab/>
      </w:r>
    </w:p>
    <w:p w:rsidR="00DA36D1" w:rsidRPr="00952B41" w:rsidRDefault="00FD11AF">
      <w:pPr>
        <w:ind w:left="0" w:firstLine="0"/>
      </w:pPr>
      <w:r w:rsidRPr="00952B41">
        <w:t>A follow-up visit within 7 to 14 d and/or a telephone follow-up within 3 d of hospital discharge are reasonable</w:t>
      </w:r>
      <w:r w:rsidR="00952B41" w:rsidRPr="00952B41">
        <w:t>(Level of Evidence: B)Page e199</w:t>
      </w:r>
      <w:r w:rsidRPr="00952B41">
        <w:t xml:space="preserve"> </w:t>
      </w:r>
    </w:p>
    <w:p w:rsidR="002B11E5" w:rsidRPr="00952B41" w:rsidRDefault="002B11E5">
      <w:pPr>
        <w:ind w:left="0" w:firstLine="0"/>
      </w:pPr>
    </w:p>
    <w:p w:rsidR="002B11E5" w:rsidRPr="00952B41" w:rsidRDefault="002B11E5" w:rsidP="002B11E5">
      <w:pPr>
        <w:pStyle w:val="NormalWeb"/>
        <w:spacing w:before="0" w:beforeAutospacing="0" w:after="0" w:afterAutospacing="0"/>
        <w:rPr>
          <w:rFonts w:ascii="Tahoma" w:hAnsi="Tahoma" w:cs="Tahoma"/>
          <w:color w:val="000000"/>
          <w:sz w:val="22"/>
          <w:szCs w:val="22"/>
        </w:rPr>
      </w:pPr>
      <w:r w:rsidRPr="00952B41">
        <w:rPr>
          <w:rFonts w:ascii="Calibri" w:hAnsi="Calibri"/>
          <w:color w:val="000000"/>
          <w:sz w:val="22"/>
          <w:szCs w:val="22"/>
        </w:rPr>
        <w:t xml:space="preserve"> Effective systems of care c</w:t>
      </w:r>
      <w:r w:rsidR="00765F26">
        <w:rPr>
          <w:rFonts w:ascii="Calibri" w:hAnsi="Calibri"/>
          <w:color w:val="000000"/>
          <w:sz w:val="22"/>
          <w:szCs w:val="22"/>
        </w:rPr>
        <w:t>oordination with special atten</w:t>
      </w:r>
      <w:r w:rsidRPr="00952B41">
        <w:rPr>
          <w:rFonts w:ascii="Calibri" w:hAnsi="Calibri"/>
          <w:color w:val="000000"/>
          <w:sz w:val="22"/>
          <w:szCs w:val="22"/>
        </w:rPr>
        <w:t>tion to care transitions should be deployed for every patient with chronic HF that facilitate and ensure effective care that is designed to achieve GDMT and prevent hospitalization. (Level of Evidence: B)</w:t>
      </w:r>
      <w:r w:rsidR="006530DB" w:rsidRPr="00952B41">
        <w:rPr>
          <w:rFonts w:ascii="Calibri" w:hAnsi="Calibri"/>
          <w:color w:val="000000"/>
          <w:sz w:val="22"/>
          <w:szCs w:val="22"/>
        </w:rPr>
        <w:t>, Page e205</w:t>
      </w:r>
    </w:p>
    <w:p w:rsidR="00952B41" w:rsidRPr="00952B41" w:rsidRDefault="00952B41" w:rsidP="002B11E5"/>
    <w:p w:rsidR="002B11E5" w:rsidRPr="00952B41" w:rsidRDefault="002B11E5" w:rsidP="002B11E5">
      <w:pPr>
        <w:rPr>
          <w:rFonts w:ascii="Tahoma" w:hAnsi="Tahoma" w:cs="Tahoma"/>
        </w:rPr>
      </w:pPr>
      <w:r w:rsidRPr="00952B41">
        <w:t>Every patient with HF should have a clear, detailed, and evidence-based plan of care that ensures the achievement of GDMT goals, effectiv</w:t>
      </w:r>
      <w:r w:rsidR="00765F26">
        <w:t>e management of comorbid condi</w:t>
      </w:r>
      <w:r w:rsidRPr="00952B41">
        <w:t>tions, timely follow-up with the healthcare team, appropriate dietary and physical activities, and compliance with secondary prevention guidelines for cardiovascular disease. This plan of care should be updated regularly and made readily available to all members of each patient’s healthcare te</w:t>
      </w:r>
      <w:r w:rsidR="00952B41" w:rsidRPr="00952B41">
        <w:t>am</w:t>
      </w:r>
      <w:r w:rsidR="006530DB" w:rsidRPr="00952B41">
        <w:t>. (Level of Evidence: C), Page e205</w:t>
      </w:r>
    </w:p>
    <w:p w:rsidR="002B11E5" w:rsidRPr="00952B41" w:rsidRDefault="002B11E5">
      <w:pPr>
        <w:ind w:left="0" w:firstLine="0"/>
      </w:pPr>
    </w:p>
    <w:p w:rsidR="00DA36D1" w:rsidRDefault="00FD11AF">
      <w:pPr>
        <w:ind w:left="0"/>
      </w:pPr>
      <w:r>
        <w:rPr>
          <w:sz w:val="16"/>
        </w:rPr>
        <w:tab/>
      </w:r>
      <w:r>
        <w:rPr>
          <w:sz w:val="16"/>
        </w:rPr>
        <w:tab/>
      </w:r>
      <w:r>
        <w:rPr>
          <w:sz w:val="16"/>
        </w:rPr>
        <w:tab/>
      </w:r>
      <w:r>
        <w:rPr>
          <w:sz w:val="16"/>
        </w:rPr>
        <w:tab/>
      </w:r>
    </w:p>
    <w:p w:rsidR="00DA36D1" w:rsidRDefault="00FD11AF">
      <w:pPr>
        <w:ind w:left="0" w:firstLine="0"/>
      </w:pPr>
      <w:r>
        <w:rPr>
          <w:b/>
          <w:color w:val="0000FF"/>
        </w:rPr>
        <w:t>1a.4.3.</w:t>
      </w:r>
      <w:r>
        <w:t xml:space="preserve"> </w:t>
      </w:r>
      <w:r>
        <w:rPr>
          <w:b/>
        </w:rPr>
        <w:t xml:space="preserve">Grade assigned to the quoted recommendation </w:t>
      </w:r>
      <w:r>
        <w:rPr>
          <w:b/>
          <w:u w:val="single"/>
        </w:rPr>
        <w:t>with definition</w:t>
      </w:r>
      <w:r>
        <w:rPr>
          <w:b/>
        </w:rPr>
        <w:t xml:space="preserve"> of the grade:</w:t>
      </w:r>
      <w:r>
        <w:t xml:space="preserve">  </w:t>
      </w:r>
    </w:p>
    <w:p w:rsidR="00DA36D1" w:rsidRDefault="00FD11AF">
      <w:pPr>
        <w:ind w:left="0" w:firstLine="0"/>
      </w:pPr>
      <w:r>
        <w:tab/>
      </w:r>
      <w:r>
        <w:tab/>
        <w:t xml:space="preserve"> </w:t>
      </w:r>
      <w:r>
        <w:tab/>
        <w:t xml:space="preserve"> </w:t>
      </w:r>
      <w:r>
        <w:tab/>
        <w:t xml:space="preserve"> </w:t>
      </w:r>
      <w:r>
        <w:tab/>
      </w:r>
      <w:r>
        <w:tab/>
      </w:r>
    </w:p>
    <w:p w:rsidR="00DA36D1" w:rsidRPr="00050B63" w:rsidRDefault="00FD11AF">
      <w:pPr>
        <w:ind w:left="0" w:firstLine="0"/>
        <w:rPr>
          <w:color w:val="auto"/>
        </w:rPr>
      </w:pPr>
      <w:r w:rsidRPr="00050B63">
        <w:rPr>
          <w:color w:val="auto"/>
        </w:rPr>
        <w:t xml:space="preserve">The </w:t>
      </w:r>
      <w:r w:rsidR="00B83F13" w:rsidRPr="00050B63">
        <w:rPr>
          <w:color w:val="auto"/>
        </w:rPr>
        <w:t xml:space="preserve">first </w:t>
      </w:r>
      <w:r w:rsidRPr="00050B63">
        <w:rPr>
          <w:color w:val="auto"/>
        </w:rPr>
        <w:t>quoted recommendation</w:t>
      </w:r>
      <w:r w:rsidR="00B83F13" w:rsidRPr="00050B63">
        <w:rPr>
          <w:color w:val="auto"/>
        </w:rPr>
        <w:t>, found on page e199, has been</w:t>
      </w:r>
      <w:r w:rsidRPr="00050B63">
        <w:rPr>
          <w:color w:val="auto"/>
        </w:rPr>
        <w:t xml:space="preserve"> assigned a class </w:t>
      </w:r>
      <w:proofErr w:type="spellStart"/>
      <w:r w:rsidRPr="00050B63">
        <w:rPr>
          <w:color w:val="auto"/>
        </w:rPr>
        <w:t>IIa</w:t>
      </w:r>
      <w:proofErr w:type="spellEnd"/>
      <w:r w:rsidRPr="00050B63">
        <w:rPr>
          <w:color w:val="auto"/>
        </w:rPr>
        <w:t xml:space="preserve"> grade, defined by the </w:t>
      </w:r>
      <w:r w:rsidR="00B83F13" w:rsidRPr="00050B63">
        <w:rPr>
          <w:color w:val="auto"/>
        </w:rPr>
        <w:t>ACCF/AHA Task F</w:t>
      </w:r>
      <w:r w:rsidRPr="00050B63">
        <w:rPr>
          <w:color w:val="auto"/>
        </w:rPr>
        <w:t>orce</w:t>
      </w:r>
      <w:r w:rsidR="00B83F13" w:rsidRPr="00050B63">
        <w:rPr>
          <w:color w:val="auto"/>
        </w:rPr>
        <w:t xml:space="preserve"> on Practice Guidelines</w:t>
      </w:r>
      <w:r w:rsidRPr="00050B63">
        <w:rPr>
          <w:color w:val="auto"/>
        </w:rPr>
        <w:t xml:space="preserve"> as meaning “it is reasonable to perform procedure/administer treatment.” </w:t>
      </w:r>
      <w:r w:rsidR="00B83F13" w:rsidRPr="00050B63">
        <w:rPr>
          <w:color w:val="auto"/>
        </w:rPr>
        <w:t>The second and third quoted recommendations</w:t>
      </w:r>
      <w:r w:rsidR="00050B63">
        <w:rPr>
          <w:color w:val="auto"/>
        </w:rPr>
        <w:t xml:space="preserve"> in 1a.4.2, found on page e205 </w:t>
      </w:r>
      <w:r w:rsidR="00B83F13" w:rsidRPr="00050B63">
        <w:rPr>
          <w:color w:val="auto"/>
        </w:rPr>
        <w:t xml:space="preserve">have been assigned a Class I recommendation.  Class I recommendations refer to “Conditions for which there is evidence and/or general agreement that a given procedure or treatment is beneficial, useful, and effective.”  </w:t>
      </w:r>
    </w:p>
    <w:p w:rsidR="00DA36D1" w:rsidRDefault="00DA36D1">
      <w:pPr>
        <w:ind w:left="0" w:firstLine="0"/>
      </w:pPr>
    </w:p>
    <w:p w:rsidR="00DA36D1" w:rsidRDefault="00FD11AF">
      <w:pPr>
        <w:ind w:left="0" w:firstLine="0"/>
      </w:pPr>
      <w:r>
        <w:rPr>
          <w:b/>
          <w:color w:val="0000FF"/>
        </w:rPr>
        <w:lastRenderedPageBreak/>
        <w:t>1a.4.4.</w:t>
      </w:r>
      <w:r>
        <w:rPr>
          <w:b/>
          <w:color w:val="17365D"/>
        </w:rPr>
        <w:t xml:space="preserve"> </w:t>
      </w:r>
      <w:proofErr w:type="gramStart"/>
      <w:r>
        <w:rPr>
          <w:b/>
        </w:rPr>
        <w:t>Provide</w:t>
      </w:r>
      <w:proofErr w:type="gramEnd"/>
      <w:r>
        <w:rPr>
          <w:b/>
        </w:rPr>
        <w:t xml:space="preserve"> all other grades and associated definitions for recommendations in the grading system.  </w:t>
      </w:r>
      <w:r>
        <w:t>(</w:t>
      </w:r>
      <w:r>
        <w:rPr>
          <w:i/>
        </w:rPr>
        <w:t>Note: If separate grades for the strength of the evidence, report them in section 1a.7.</w:t>
      </w:r>
      <w:r>
        <w:t xml:space="preserve">) </w:t>
      </w:r>
    </w:p>
    <w:p w:rsidR="00050B63" w:rsidRDefault="00050B63" w:rsidP="00547A68">
      <w:pPr>
        <w:ind w:left="0" w:firstLine="0"/>
        <w:rPr>
          <w:color w:val="auto"/>
        </w:rPr>
      </w:pPr>
    </w:p>
    <w:p w:rsidR="00547A68" w:rsidRPr="00050B63" w:rsidRDefault="00547A68" w:rsidP="00547A68">
      <w:pPr>
        <w:ind w:left="0" w:firstLine="0"/>
        <w:rPr>
          <w:color w:val="auto"/>
        </w:rPr>
      </w:pPr>
      <w:r w:rsidRPr="00050B63">
        <w:rPr>
          <w:color w:val="auto"/>
        </w:rPr>
        <w:t>ACCF/AHA guideline methodology categorizes indications as class I,</w:t>
      </w:r>
      <w:r w:rsidR="00420621" w:rsidRPr="00050B63">
        <w:rPr>
          <w:color w:val="auto"/>
        </w:rPr>
        <w:t xml:space="preserve"> </w:t>
      </w:r>
      <w:r w:rsidRPr="00050B63">
        <w:rPr>
          <w:color w:val="auto"/>
        </w:rPr>
        <w:t>II, or III on the basis of a multifactorial assessment of risk and expected efficacy viewed in the context of current knowle</w:t>
      </w:r>
      <w:r w:rsidR="00420621" w:rsidRPr="00050B63">
        <w:rPr>
          <w:color w:val="auto"/>
        </w:rPr>
        <w:t>d</w:t>
      </w:r>
      <w:r w:rsidRPr="00050B63">
        <w:rPr>
          <w:color w:val="auto"/>
        </w:rPr>
        <w:t>ge and the relative strength of this knowledge.  These classes summarize the recommendations for procedures or treatments as follows and noted in the table below:</w:t>
      </w:r>
    </w:p>
    <w:p w:rsidR="00547A68" w:rsidRPr="00050B63" w:rsidRDefault="00547A68" w:rsidP="00547A68">
      <w:pPr>
        <w:ind w:left="0" w:firstLine="0"/>
        <w:rPr>
          <w:color w:val="auto"/>
        </w:rPr>
      </w:pPr>
    </w:p>
    <w:p w:rsidR="00547A68" w:rsidRPr="00050B63" w:rsidRDefault="00547A68" w:rsidP="00547A68">
      <w:pPr>
        <w:ind w:left="0" w:firstLine="0"/>
        <w:rPr>
          <w:color w:val="auto"/>
        </w:rPr>
      </w:pPr>
      <w:r w:rsidRPr="00050B63">
        <w:rPr>
          <w:color w:val="auto"/>
        </w:rPr>
        <w:t>Class I: Conditions for which there is evidence and/or general agreement that a given procedure or treatment is useful and effective.</w:t>
      </w:r>
    </w:p>
    <w:p w:rsidR="00547A68" w:rsidRPr="00050B63" w:rsidRDefault="00547A68" w:rsidP="00547A68">
      <w:pPr>
        <w:ind w:left="0" w:firstLine="0"/>
        <w:rPr>
          <w:color w:val="auto"/>
        </w:rPr>
      </w:pPr>
    </w:p>
    <w:p w:rsidR="00547A68" w:rsidRPr="00050B63" w:rsidRDefault="00547A68" w:rsidP="00547A68">
      <w:pPr>
        <w:ind w:left="0" w:firstLine="0"/>
        <w:rPr>
          <w:color w:val="auto"/>
        </w:rPr>
      </w:pPr>
      <w:r w:rsidRPr="00050B63">
        <w:rPr>
          <w:color w:val="auto"/>
        </w:rPr>
        <w:t>Class II: Conditions for which there is conflicting evidence and/or a divergence of opinion about the usefulness/efficacy of a procedure or treatment.</w:t>
      </w:r>
    </w:p>
    <w:p w:rsidR="00547A68" w:rsidRPr="00050B63" w:rsidRDefault="00547A68" w:rsidP="00547A68">
      <w:pPr>
        <w:pStyle w:val="ListParagraph"/>
        <w:numPr>
          <w:ilvl w:val="0"/>
          <w:numId w:val="5"/>
        </w:numPr>
      </w:pPr>
      <w:r w:rsidRPr="00050B63">
        <w:t>•</w:t>
      </w:r>
      <w:proofErr w:type="spellStart"/>
      <w:r w:rsidRPr="00050B63">
        <w:t>IIa</w:t>
      </w:r>
      <w:proofErr w:type="spellEnd"/>
      <w:r w:rsidRPr="00050B63">
        <w:t>: Weight of evidence/opinion is in favor of usefulness/efficacy</w:t>
      </w:r>
    </w:p>
    <w:p w:rsidR="00547A68" w:rsidRPr="00050B63" w:rsidRDefault="00547A68" w:rsidP="00547A68">
      <w:pPr>
        <w:pStyle w:val="ListParagraph"/>
        <w:numPr>
          <w:ilvl w:val="0"/>
          <w:numId w:val="5"/>
        </w:numPr>
      </w:pPr>
      <w:r w:rsidRPr="00050B63">
        <w:t>•</w:t>
      </w:r>
      <w:proofErr w:type="spellStart"/>
      <w:r w:rsidRPr="00050B63">
        <w:t>IIb</w:t>
      </w:r>
      <w:proofErr w:type="spellEnd"/>
      <w:r w:rsidRPr="00050B63">
        <w:t>: Usefulness/efficacy is less well established by evidence/opinion.</w:t>
      </w:r>
    </w:p>
    <w:p w:rsidR="00547A68" w:rsidRPr="00050B63" w:rsidRDefault="00547A68" w:rsidP="00547A68">
      <w:pPr>
        <w:ind w:left="0" w:firstLine="0"/>
        <w:rPr>
          <w:color w:val="auto"/>
        </w:rPr>
      </w:pPr>
      <w:r w:rsidRPr="00050B63">
        <w:rPr>
          <w:color w:val="auto"/>
        </w:rPr>
        <w:t>Class III: Conditions for which there is evidence and/or general agreement that the procedure/treatment is not useful/effective e and in some cases may be harmful.</w:t>
      </w:r>
    </w:p>
    <w:p w:rsidR="00547A68" w:rsidRPr="00050B63" w:rsidRDefault="00547A68" w:rsidP="00547A68">
      <w:pPr>
        <w:pStyle w:val="ListParagraph"/>
        <w:numPr>
          <w:ilvl w:val="0"/>
          <w:numId w:val="4"/>
        </w:numPr>
      </w:pPr>
      <w:r w:rsidRPr="00050B63">
        <w:t>No Benefit- Procedure/Test not helpful or Treatment w/o established proven benefit</w:t>
      </w:r>
    </w:p>
    <w:p w:rsidR="00547A68" w:rsidRPr="00050B63" w:rsidRDefault="00547A68" w:rsidP="00547A68">
      <w:pPr>
        <w:pStyle w:val="ListParagraph"/>
        <w:numPr>
          <w:ilvl w:val="0"/>
          <w:numId w:val="4"/>
        </w:numPr>
      </w:pPr>
      <w:r w:rsidRPr="00050B63">
        <w:t>Harm- Procedure/Test leads to excess cost w/o benefit or is harmful, and or Treatment is harmful</w:t>
      </w:r>
    </w:p>
    <w:p w:rsidR="00547A68" w:rsidRDefault="00547A68" w:rsidP="00547A68">
      <w:pPr>
        <w:ind w:left="0" w:firstLine="0"/>
      </w:pPr>
      <w:r>
        <w:rPr>
          <w:noProof/>
        </w:rPr>
        <w:drawing>
          <wp:inline distT="0" distB="0" distL="0" distR="0" wp14:anchorId="13053D0A" wp14:editId="4B035A4F">
            <wp:extent cx="5943600" cy="395142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951424"/>
                    </a:xfrm>
                    <a:prstGeom prst="rect">
                      <a:avLst/>
                    </a:prstGeom>
                    <a:noFill/>
                    <a:ln>
                      <a:noFill/>
                    </a:ln>
                  </pic:spPr>
                </pic:pic>
              </a:graphicData>
            </a:graphic>
          </wp:inline>
        </w:drawing>
      </w:r>
    </w:p>
    <w:p w:rsidR="00547A68" w:rsidRPr="00BA6023" w:rsidRDefault="00547A68" w:rsidP="00547A68">
      <w:pPr>
        <w:ind w:left="0" w:firstLine="0"/>
      </w:pPr>
    </w:p>
    <w:p w:rsidR="00DA36D1" w:rsidRDefault="00DA36D1">
      <w:pPr>
        <w:ind w:left="0" w:firstLine="0"/>
      </w:pPr>
    </w:p>
    <w:p w:rsidR="00DA36D1" w:rsidRDefault="00FD11AF">
      <w:pPr>
        <w:ind w:left="432" w:hanging="431"/>
      </w:pPr>
      <w:r>
        <w:rPr>
          <w:b/>
          <w:color w:val="0000FF"/>
        </w:rPr>
        <w:lastRenderedPageBreak/>
        <w:t>1a.4.5.</w:t>
      </w:r>
      <w:r>
        <w:rPr>
          <w:b/>
          <w:color w:val="17365D"/>
        </w:rPr>
        <w:t xml:space="preserve"> </w:t>
      </w:r>
      <w:r>
        <w:rPr>
          <w:b/>
        </w:rPr>
        <w:t xml:space="preserve">Citation and URL for methodology for grading recommendations </w:t>
      </w:r>
      <w:r>
        <w:t>(</w:t>
      </w:r>
      <w:r>
        <w:rPr>
          <w:i/>
        </w:rPr>
        <w:t>if different from 1a.4.1</w:t>
      </w:r>
      <w:r>
        <w:t>)</w:t>
      </w:r>
      <w:r>
        <w:rPr>
          <w:b/>
        </w:rPr>
        <w:t>:</w:t>
      </w:r>
    </w:p>
    <w:p w:rsidR="00050B63" w:rsidRDefault="00050B63">
      <w:pPr>
        <w:ind w:left="432" w:hanging="431"/>
        <w:rPr>
          <w:color w:val="auto"/>
        </w:rPr>
      </w:pPr>
    </w:p>
    <w:p w:rsidR="00DA36D1" w:rsidRDefault="00547A68">
      <w:pPr>
        <w:ind w:left="432" w:hanging="431"/>
        <w:rPr>
          <w:rStyle w:val="Hyperlink"/>
          <w:color w:val="auto"/>
        </w:rPr>
      </w:pPr>
      <w:proofErr w:type="gramStart"/>
      <w:r w:rsidRPr="00050B63">
        <w:rPr>
          <w:color w:val="auto"/>
        </w:rPr>
        <w:t>ACCF/AHA Task Force on Practice Guidelines.</w:t>
      </w:r>
      <w:proofErr w:type="gramEnd"/>
      <w:r w:rsidRPr="00050B63">
        <w:rPr>
          <w:color w:val="auto"/>
        </w:rPr>
        <w:t xml:space="preserve"> Methodology Manual and Policies </w:t>
      </w:r>
      <w:proofErr w:type="gramStart"/>
      <w:r w:rsidRPr="00050B63">
        <w:rPr>
          <w:color w:val="auto"/>
        </w:rPr>
        <w:t>From</w:t>
      </w:r>
      <w:proofErr w:type="gramEnd"/>
      <w:r w:rsidRPr="00050B63">
        <w:rPr>
          <w:color w:val="auto"/>
        </w:rPr>
        <w:t xml:space="preserve"> the ACCF/AHA Task Force on Practice Guidelines. </w:t>
      </w:r>
      <w:proofErr w:type="gramStart"/>
      <w:r w:rsidRPr="00050B63">
        <w:rPr>
          <w:color w:val="auto"/>
        </w:rPr>
        <w:t>American College of Cardiology Foundation and American Heart Association, Inc.</w:t>
      </w:r>
      <w:proofErr w:type="gramEnd"/>
      <w:r w:rsidRPr="00050B63">
        <w:rPr>
          <w:color w:val="auto"/>
        </w:rPr>
        <w:t xml:space="preserve">  </w:t>
      </w:r>
      <w:proofErr w:type="gramStart"/>
      <w:r w:rsidRPr="00050B63">
        <w:rPr>
          <w:color w:val="auto"/>
        </w:rPr>
        <w:t>Cardiosource.com. 2010.</w:t>
      </w:r>
      <w:proofErr w:type="gramEnd"/>
      <w:r w:rsidRPr="00050B63">
        <w:rPr>
          <w:color w:val="auto"/>
        </w:rPr>
        <w:t xml:space="preserve"> Available at: http://assets.cardiosource.com/Methodology_Manual_for_ACC_AHA_Writing_Committees.pdf and </w:t>
      </w:r>
      <w:hyperlink r:id="rId22" w:history="1">
        <w:r w:rsidRPr="00050B63">
          <w:rPr>
            <w:rStyle w:val="Hyperlink"/>
            <w:color w:val="auto"/>
          </w:rPr>
          <w:t>http://my.americanheart.org/idc/groups/ahamah-public/@wcm/@sop/documents/downloadable/ucm_319826.pdf</w:t>
        </w:r>
      </w:hyperlink>
    </w:p>
    <w:p w:rsidR="00050B63" w:rsidRDefault="00050B63">
      <w:pPr>
        <w:ind w:left="432" w:hanging="431"/>
      </w:pPr>
    </w:p>
    <w:p w:rsidR="00DA36D1" w:rsidRDefault="00FD11AF">
      <w:pPr>
        <w:ind w:left="432" w:hanging="431"/>
      </w:pPr>
      <w:r>
        <w:rPr>
          <w:b/>
          <w:color w:val="0000FF"/>
        </w:rPr>
        <w:t>1a.4.6</w:t>
      </w:r>
      <w:r>
        <w:rPr>
          <w:b/>
        </w:rPr>
        <w:t>. If guideline is evidence-based (rather than expert opinion), are the details of the quantity, quality, and consistency of the body of evidence available (e.g., evidence tables)?</w:t>
      </w:r>
    </w:p>
    <w:p w:rsidR="00DA36D1" w:rsidRDefault="00FD11AF">
      <w:pPr>
        <w:ind w:left="720" w:hanging="431"/>
      </w:pPr>
      <w:r>
        <w:rPr>
          <w:rFonts w:ascii="MS Gothic" w:eastAsia="MS Gothic" w:hAnsi="MS Gothic" w:cs="MS Gothic"/>
          <w:color w:val="0000FF"/>
        </w:rPr>
        <w:t>☐</w:t>
      </w:r>
      <w:r>
        <w:rPr>
          <w:b/>
        </w:rPr>
        <w:t xml:space="preserve"> </w:t>
      </w:r>
      <w:r>
        <w:t>Yes</w:t>
      </w:r>
      <w:r>
        <w:rPr>
          <w:b/>
        </w:rPr>
        <w:t xml:space="preserve"> </w:t>
      </w:r>
      <w:r>
        <w:rPr>
          <w:b/>
          <w:highlight w:val="green"/>
        </w:rPr>
        <w:t xml:space="preserve">→ </w:t>
      </w:r>
      <w:r>
        <w:rPr>
          <w:b/>
          <w:i/>
          <w:highlight w:val="green"/>
        </w:rPr>
        <w:t xml:space="preserve">complete section </w:t>
      </w:r>
      <w:hyperlink w:anchor="h.2s8eyo1">
        <w:proofErr w:type="gramStart"/>
        <w:r>
          <w:rPr>
            <w:b/>
            <w:i/>
            <w:color w:val="0000FF"/>
            <w:highlight w:val="green"/>
            <w:u w:val="single"/>
          </w:rPr>
          <w:t>1a.7  YES</w:t>
        </w:r>
        <w:proofErr w:type="gramEnd"/>
      </w:hyperlink>
      <w:hyperlink w:anchor="h.2s8eyo1"/>
    </w:p>
    <w:p w:rsidR="00DA36D1" w:rsidRDefault="00050B63">
      <w:pPr>
        <w:ind w:left="1008" w:hanging="719"/>
      </w:pPr>
      <w:proofErr w:type="gramStart"/>
      <w:r>
        <w:rPr>
          <w:rFonts w:ascii="MS Gothic" w:eastAsia="MS Gothic" w:hAnsi="MS Gothic" w:cs="MS Gothic"/>
          <w:color w:val="0000FF"/>
          <w:highlight w:val="yellow"/>
        </w:rPr>
        <w:t>x</w:t>
      </w:r>
      <w:proofErr w:type="gramEnd"/>
      <w:r w:rsidR="00FD11AF" w:rsidRPr="0085351E">
        <w:rPr>
          <w:b/>
          <w:highlight w:val="yellow"/>
        </w:rPr>
        <w:t xml:space="preserve"> </w:t>
      </w:r>
      <w:r w:rsidR="00FD11AF" w:rsidRPr="0085351E">
        <w:rPr>
          <w:highlight w:val="yellow"/>
        </w:rPr>
        <w:t>No</w:t>
      </w:r>
      <w:r w:rsidR="00FD11AF">
        <w:t xml:space="preserve">  </w:t>
      </w:r>
      <w:r w:rsidR="00FD11AF">
        <w:rPr>
          <w:b/>
          <w:highlight w:val="green"/>
        </w:rPr>
        <w:t xml:space="preserve">→ </w:t>
      </w:r>
      <w:r w:rsidR="00FD11AF">
        <w:rPr>
          <w:b/>
          <w:i/>
          <w:highlight w:val="green"/>
        </w:rPr>
        <w:t xml:space="preserve">report on another systematic review of the evidence in sections </w:t>
      </w:r>
      <w:hyperlink w:anchor="h.4d34og8">
        <w:r w:rsidR="00FD11AF">
          <w:rPr>
            <w:b/>
            <w:i/>
            <w:color w:val="0000FF"/>
            <w:highlight w:val="green"/>
            <w:u w:val="single"/>
          </w:rPr>
          <w:t>1a.6</w:t>
        </w:r>
      </w:hyperlink>
      <w:hyperlink w:anchor="h.4d34og8">
        <w:r w:rsidR="00FD11AF">
          <w:rPr>
            <w:b/>
            <w:i/>
            <w:highlight w:val="green"/>
          </w:rPr>
          <w:t xml:space="preserve"> </w:t>
        </w:r>
      </w:hyperlink>
      <w:r w:rsidR="00FD11AF">
        <w:rPr>
          <w:b/>
          <w:i/>
          <w:highlight w:val="green"/>
        </w:rPr>
        <w:t xml:space="preserve">and </w:t>
      </w:r>
      <w:hyperlink w:anchor="h.2s8eyo1">
        <w:r w:rsidR="00FD11AF">
          <w:rPr>
            <w:b/>
            <w:i/>
            <w:color w:val="0000FF"/>
            <w:highlight w:val="green"/>
            <w:u w:val="single"/>
          </w:rPr>
          <w:t>1a.7</w:t>
        </w:r>
      </w:hyperlink>
      <w:hyperlink w:anchor="h.2s8eyo1">
        <w:r w:rsidR="00FD11AF">
          <w:rPr>
            <w:b/>
            <w:i/>
            <w:highlight w:val="green"/>
          </w:rPr>
          <w:t>;</w:t>
        </w:r>
      </w:hyperlink>
      <w:r w:rsidR="00FD11AF">
        <w:rPr>
          <w:b/>
          <w:i/>
          <w:highlight w:val="green"/>
        </w:rPr>
        <w:t xml:space="preserve"> if another review does not exist, provide what is known from the guideline review of evidence in </w:t>
      </w:r>
      <w:hyperlink w:anchor="h.2s8eyo1">
        <w:r w:rsidR="00FD11AF">
          <w:rPr>
            <w:b/>
            <w:i/>
            <w:color w:val="0000FF"/>
            <w:highlight w:val="green"/>
            <w:u w:val="single"/>
          </w:rPr>
          <w:t>1a.7</w:t>
        </w:r>
      </w:hyperlink>
      <w:hyperlink w:anchor="h.2s8eyo1"/>
    </w:p>
    <w:p w:rsidR="00DA36D1" w:rsidRDefault="005F6366">
      <w:hyperlink w:anchor="Section1a7"/>
    </w:p>
    <w:p w:rsidR="00DA36D1" w:rsidRDefault="00FD11AF">
      <w:pPr>
        <w:ind w:left="0" w:firstLine="0"/>
      </w:pPr>
      <w:r>
        <w:rPr>
          <w:b/>
          <w:smallCaps/>
        </w:rPr>
        <w:t>_________________________</w:t>
      </w:r>
    </w:p>
    <w:p w:rsidR="00DA36D1" w:rsidRDefault="00FD11AF">
      <w:pPr>
        <w:ind w:left="0" w:firstLine="0"/>
      </w:pPr>
      <w:bookmarkStart w:id="8" w:name="h.1t3h5sf" w:colFirst="0" w:colLast="0"/>
      <w:bookmarkEnd w:id="8"/>
      <w:r>
        <w:rPr>
          <w:b/>
          <w:color w:val="0000FF"/>
        </w:rPr>
        <w:t>1a.5.</w:t>
      </w:r>
      <w:r>
        <w:rPr>
          <w:color w:val="0000FF"/>
        </w:rPr>
        <w:t xml:space="preserve"> </w:t>
      </w:r>
      <w:r>
        <w:rPr>
          <w:b/>
        </w:rPr>
        <w:t>UNITED STATES PREVENTIVE SERVICES TASK FORCE RECOMMENDATION</w:t>
      </w:r>
    </w:p>
    <w:p w:rsidR="00DA36D1" w:rsidRDefault="00FD11AF">
      <w:pPr>
        <w:ind w:left="0" w:firstLine="0"/>
      </w:pPr>
      <w:r>
        <w:rPr>
          <w:b/>
          <w:color w:val="0000FF"/>
        </w:rPr>
        <w:t>1a.5.1.</w:t>
      </w:r>
      <w:r>
        <w:t xml:space="preserve"> </w:t>
      </w:r>
      <w:r>
        <w:rPr>
          <w:b/>
        </w:rPr>
        <w:t>Recommendation citation</w:t>
      </w:r>
      <w:r>
        <w:t xml:space="preserve"> (</w:t>
      </w:r>
      <w:r>
        <w:rPr>
          <w:i/>
        </w:rPr>
        <w:t>including date</w:t>
      </w:r>
      <w:r>
        <w:t xml:space="preserve">) and </w:t>
      </w:r>
      <w:r>
        <w:rPr>
          <w:b/>
        </w:rPr>
        <w:t>URL for recommendation</w:t>
      </w:r>
      <w:r>
        <w:t xml:space="preserve"> (</w:t>
      </w:r>
      <w:r>
        <w:rPr>
          <w:i/>
        </w:rPr>
        <w:t>if available online</w:t>
      </w:r>
      <w:r>
        <w:t xml:space="preserve">):  </w:t>
      </w:r>
    </w:p>
    <w:p w:rsidR="00DA36D1" w:rsidRDefault="00DA36D1">
      <w:pPr>
        <w:ind w:left="0" w:firstLine="0"/>
      </w:pPr>
    </w:p>
    <w:p w:rsidR="00DA36D1" w:rsidRDefault="00DA36D1">
      <w:pPr>
        <w:ind w:left="0" w:firstLine="0"/>
      </w:pPr>
    </w:p>
    <w:p w:rsidR="00DA36D1" w:rsidRDefault="00FD11AF">
      <w:pPr>
        <w:ind w:left="0" w:firstLine="0"/>
      </w:pPr>
      <w:r>
        <w:rPr>
          <w:b/>
          <w:color w:val="0000FF"/>
        </w:rPr>
        <w:t>1a.5.2.</w:t>
      </w:r>
      <w:r>
        <w:t xml:space="preserve"> </w:t>
      </w:r>
      <w:r>
        <w:rPr>
          <w:b/>
        </w:rPr>
        <w:t>Identify recommendation number and/or page number</w:t>
      </w:r>
      <w:r>
        <w:t xml:space="preserve"> and </w:t>
      </w:r>
      <w:r>
        <w:rPr>
          <w:b/>
        </w:rPr>
        <w:t>quote verbatim, the specific recommendation</w:t>
      </w:r>
      <w:r>
        <w:t>.</w:t>
      </w:r>
    </w:p>
    <w:p w:rsidR="00DA36D1" w:rsidRDefault="00DA36D1">
      <w:pPr>
        <w:ind w:left="0" w:firstLine="0"/>
      </w:pPr>
    </w:p>
    <w:p w:rsidR="00DA36D1" w:rsidRDefault="00DA36D1">
      <w:pPr>
        <w:ind w:left="0" w:firstLine="0"/>
      </w:pPr>
    </w:p>
    <w:p w:rsidR="00DA36D1" w:rsidRDefault="00FD11AF">
      <w:pPr>
        <w:ind w:left="0" w:firstLine="0"/>
      </w:pPr>
      <w:r>
        <w:rPr>
          <w:b/>
          <w:color w:val="0000FF"/>
        </w:rPr>
        <w:t>1a.5.3.</w:t>
      </w:r>
      <w:r>
        <w:t xml:space="preserve"> </w:t>
      </w:r>
      <w:r>
        <w:rPr>
          <w:b/>
        </w:rPr>
        <w:t xml:space="preserve">Grade assigned to the quoted recommendation </w:t>
      </w:r>
      <w:r>
        <w:rPr>
          <w:b/>
          <w:u w:val="single"/>
        </w:rPr>
        <w:t>with definition</w:t>
      </w:r>
      <w:r>
        <w:rPr>
          <w:b/>
        </w:rPr>
        <w:t xml:space="preserve"> of the grade</w:t>
      </w:r>
      <w:r>
        <w:t>:</w:t>
      </w:r>
    </w:p>
    <w:p w:rsidR="00DA36D1" w:rsidRDefault="00DA36D1">
      <w:pPr>
        <w:ind w:left="0" w:firstLine="0"/>
      </w:pPr>
    </w:p>
    <w:p w:rsidR="00DA36D1" w:rsidRDefault="00FD11AF">
      <w:pPr>
        <w:ind w:left="0" w:firstLine="0"/>
      </w:pPr>
      <w:r>
        <w:rPr>
          <w:b/>
          <w:color w:val="0000FF"/>
        </w:rPr>
        <w:t xml:space="preserve">1a.5.4. </w:t>
      </w:r>
      <w:proofErr w:type="gramStart"/>
      <w:r>
        <w:rPr>
          <w:b/>
        </w:rPr>
        <w:t>Provide</w:t>
      </w:r>
      <w:proofErr w:type="gramEnd"/>
      <w:r>
        <w:rPr>
          <w:b/>
        </w:rPr>
        <w:t xml:space="preserve"> all other grades and associated definitions for recommendations in the grading system. </w:t>
      </w:r>
      <w:r>
        <w:t>(</w:t>
      </w:r>
      <w:r>
        <w:rPr>
          <w:i/>
        </w:rPr>
        <w:t>Note: the</w:t>
      </w:r>
      <w:r>
        <w:t xml:space="preserve"> </w:t>
      </w:r>
      <w:r>
        <w:rPr>
          <w:i/>
        </w:rPr>
        <w:t>grading system for the evidence should be reported in section 1a.7.</w:t>
      </w:r>
      <w:r>
        <w:t>)</w:t>
      </w:r>
    </w:p>
    <w:p w:rsidR="00DA36D1" w:rsidRDefault="00DA36D1">
      <w:pPr>
        <w:ind w:left="0" w:firstLine="0"/>
      </w:pPr>
    </w:p>
    <w:p w:rsidR="00DA36D1" w:rsidRDefault="00FD11AF">
      <w:pPr>
        <w:ind w:left="432" w:hanging="431"/>
      </w:pPr>
      <w:r>
        <w:rPr>
          <w:b/>
          <w:color w:val="0000FF"/>
        </w:rPr>
        <w:t>1a.5.5.</w:t>
      </w:r>
      <w:r>
        <w:rPr>
          <w:b/>
        </w:rPr>
        <w:t xml:space="preserve"> Citation and URL for methodology for grading recommendations </w:t>
      </w:r>
      <w:r>
        <w:t>(</w:t>
      </w:r>
      <w:r>
        <w:rPr>
          <w:i/>
        </w:rPr>
        <w:t>if different from 1a.5.1</w:t>
      </w:r>
      <w:r>
        <w:t>)</w:t>
      </w:r>
      <w:r>
        <w:rPr>
          <w:b/>
        </w:rPr>
        <w:t>:</w:t>
      </w:r>
    </w:p>
    <w:p w:rsidR="00DA36D1" w:rsidRDefault="00DA36D1">
      <w:pPr>
        <w:ind w:left="432" w:hanging="431"/>
      </w:pPr>
    </w:p>
    <w:p w:rsidR="00DA36D1" w:rsidRDefault="00FD11AF">
      <w:pPr>
        <w:ind w:left="432" w:hanging="431"/>
      </w:pPr>
      <w:r>
        <w:rPr>
          <w:b/>
          <w:i/>
          <w:highlight w:val="green"/>
        </w:rPr>
        <w:t xml:space="preserve">Complete section </w:t>
      </w:r>
      <w:hyperlink w:anchor="h.2s8eyo1">
        <w:r>
          <w:rPr>
            <w:b/>
            <w:i/>
            <w:color w:val="0000FF"/>
            <w:highlight w:val="green"/>
            <w:u w:val="single"/>
          </w:rPr>
          <w:t>1a.7</w:t>
        </w:r>
      </w:hyperlink>
      <w:hyperlink w:anchor="h.2s8eyo1"/>
    </w:p>
    <w:p w:rsidR="00DA36D1" w:rsidRDefault="00FD11AF">
      <w:pPr>
        <w:ind w:left="432" w:hanging="431"/>
      </w:pPr>
      <w:r>
        <w:rPr>
          <w:b/>
          <w:smallCaps/>
        </w:rPr>
        <w:t>_________________________</w:t>
      </w:r>
    </w:p>
    <w:p w:rsidR="00DA36D1" w:rsidRDefault="00FD11AF">
      <w:pPr>
        <w:ind w:left="432" w:hanging="431"/>
      </w:pPr>
      <w:bookmarkStart w:id="9" w:name="h.4d34og8" w:colFirst="0" w:colLast="0"/>
      <w:bookmarkEnd w:id="9"/>
      <w:r>
        <w:rPr>
          <w:b/>
          <w:color w:val="0000FF"/>
        </w:rPr>
        <w:t xml:space="preserve">1a.6. </w:t>
      </w:r>
      <w:r>
        <w:rPr>
          <w:b/>
        </w:rPr>
        <w:t>OTHER SYSTEMATIC REVIEW OF THE BODY OF EVIDENCE</w:t>
      </w:r>
    </w:p>
    <w:p w:rsidR="00DA36D1" w:rsidRDefault="00FD11AF">
      <w:pPr>
        <w:ind w:left="0" w:firstLine="0"/>
      </w:pPr>
      <w:r>
        <w:rPr>
          <w:b/>
          <w:color w:val="0000FF"/>
        </w:rPr>
        <w:t>1a.6.1.</w:t>
      </w:r>
      <w:r>
        <w:t xml:space="preserve"> </w:t>
      </w:r>
      <w:r>
        <w:rPr>
          <w:b/>
        </w:rPr>
        <w:t>Citation</w:t>
      </w:r>
      <w:r>
        <w:t xml:space="preserve"> (</w:t>
      </w:r>
      <w:r>
        <w:rPr>
          <w:i/>
        </w:rPr>
        <w:t>including date</w:t>
      </w:r>
      <w:r>
        <w:t xml:space="preserve">) and </w:t>
      </w:r>
      <w:r>
        <w:rPr>
          <w:b/>
        </w:rPr>
        <w:t>URL</w:t>
      </w:r>
      <w:r>
        <w:t xml:space="preserve"> (</w:t>
      </w:r>
      <w:r>
        <w:rPr>
          <w:i/>
        </w:rPr>
        <w:t>if available online</w:t>
      </w:r>
      <w:r>
        <w:t xml:space="preserve">): </w:t>
      </w:r>
    </w:p>
    <w:p w:rsidR="00050B63" w:rsidRDefault="00050B63">
      <w:pPr>
        <w:ind w:left="0" w:firstLine="0"/>
        <w:rPr>
          <w:rFonts w:asciiTheme="minorHAnsi" w:eastAsiaTheme="minorEastAsia" w:hAnsiTheme="minorHAnsi" w:cs="AGaramond-Bold"/>
          <w:bCs/>
          <w:color w:val="auto"/>
        </w:rPr>
      </w:pPr>
    </w:p>
    <w:p w:rsidR="00DA36D1" w:rsidRDefault="0085351E">
      <w:pPr>
        <w:ind w:left="0" w:firstLine="0"/>
        <w:rPr>
          <w:rFonts w:asciiTheme="minorHAnsi" w:hAnsiTheme="minorHAnsi"/>
        </w:rPr>
      </w:pPr>
      <w:proofErr w:type="gramStart"/>
      <w:r w:rsidRPr="0085351E">
        <w:rPr>
          <w:rFonts w:asciiTheme="minorHAnsi" w:eastAsiaTheme="minorEastAsia" w:hAnsiTheme="minorHAnsi" w:cs="AGaramond-Bold"/>
          <w:bCs/>
          <w:color w:val="auto"/>
        </w:rPr>
        <w:t xml:space="preserve">Takeda A, Taylor SJC, Taylor RS, Khan F, Krum H, Underwood M. </w:t>
      </w:r>
      <w:r w:rsidRPr="0085351E">
        <w:rPr>
          <w:rFonts w:asciiTheme="minorHAnsi" w:eastAsiaTheme="minorEastAsia" w:hAnsiTheme="minorHAnsi" w:cs="GillSans-Bold"/>
          <w:bCs/>
          <w:color w:val="auto"/>
        </w:rPr>
        <w:t xml:space="preserve">Clinical service </w:t>
      </w:r>
      <w:proofErr w:type="spellStart"/>
      <w:r w:rsidRPr="0085351E">
        <w:rPr>
          <w:rFonts w:asciiTheme="minorHAnsi" w:eastAsiaTheme="minorEastAsia" w:hAnsiTheme="minorHAnsi" w:cs="GillSans-Bold"/>
          <w:bCs/>
          <w:color w:val="auto"/>
        </w:rPr>
        <w:t>organisation</w:t>
      </w:r>
      <w:proofErr w:type="spellEnd"/>
      <w:r w:rsidRPr="0085351E">
        <w:rPr>
          <w:rFonts w:asciiTheme="minorHAnsi" w:eastAsiaTheme="minorEastAsia" w:hAnsiTheme="minorHAnsi" w:cs="GillSans-Bold"/>
          <w:bCs/>
          <w:color w:val="auto"/>
        </w:rPr>
        <w:t xml:space="preserve"> for heart failure.</w:t>
      </w:r>
      <w:proofErr w:type="gramEnd"/>
      <w:r w:rsidRPr="0085351E">
        <w:rPr>
          <w:rFonts w:asciiTheme="minorHAnsi" w:eastAsiaTheme="minorEastAsia" w:hAnsiTheme="minorHAnsi" w:cs="GillSans-Bold"/>
          <w:bCs/>
          <w:color w:val="auto"/>
        </w:rPr>
        <w:t xml:space="preserve"> </w:t>
      </w:r>
      <w:proofErr w:type="gramStart"/>
      <w:r w:rsidRPr="0085351E">
        <w:rPr>
          <w:rFonts w:asciiTheme="minorHAnsi" w:eastAsiaTheme="minorEastAsia" w:hAnsiTheme="minorHAnsi" w:cs="GillSans-Bold"/>
          <w:bCs/>
          <w:color w:val="auto"/>
        </w:rPr>
        <w:t>The Cochrane Library 2012; Issue 9.</w:t>
      </w:r>
      <w:proofErr w:type="gramEnd"/>
      <w:r w:rsidRPr="0085351E">
        <w:rPr>
          <w:rFonts w:asciiTheme="minorHAnsi" w:eastAsiaTheme="minorEastAsia" w:hAnsiTheme="minorHAnsi" w:cs="GillSans-Bold"/>
          <w:bCs/>
          <w:color w:val="auto"/>
        </w:rPr>
        <w:t xml:space="preserve"> A</w:t>
      </w:r>
      <w:r>
        <w:rPr>
          <w:rFonts w:asciiTheme="minorHAnsi" w:eastAsiaTheme="minorEastAsia" w:hAnsiTheme="minorHAnsi" w:cs="GillSans-Bold"/>
          <w:bCs/>
          <w:color w:val="auto"/>
        </w:rPr>
        <w:t>vailabl</w:t>
      </w:r>
      <w:r w:rsidRPr="0085351E">
        <w:rPr>
          <w:rFonts w:asciiTheme="minorHAnsi" w:eastAsiaTheme="minorEastAsia" w:hAnsiTheme="minorHAnsi" w:cs="GillSans-Bold"/>
          <w:bCs/>
          <w:color w:val="auto"/>
        </w:rPr>
        <w:t>e at:</w:t>
      </w:r>
      <w:r w:rsidRPr="0085351E">
        <w:rPr>
          <w:rFonts w:asciiTheme="minorHAnsi" w:hAnsiTheme="minorHAnsi"/>
        </w:rPr>
        <w:t xml:space="preserve"> </w:t>
      </w:r>
      <w:hyperlink r:id="rId23" w:history="1">
        <w:r w:rsidRPr="0085351E">
          <w:rPr>
            <w:rStyle w:val="Hyperlink"/>
            <w:rFonts w:asciiTheme="minorHAnsi" w:hAnsiTheme="minorHAnsi"/>
          </w:rPr>
          <w:t>http://onlinelibrary.wiley.com/doi/10.1002/14651858.CD002752.pub3/abstract;jsessionid=A3634890666ADC7093FD6D27171E2F71.f04t01</w:t>
        </w:r>
      </w:hyperlink>
      <w:r w:rsidRPr="0085351E">
        <w:rPr>
          <w:rFonts w:asciiTheme="minorHAnsi" w:hAnsiTheme="minorHAnsi"/>
        </w:rPr>
        <w:t xml:space="preserve">. </w:t>
      </w:r>
    </w:p>
    <w:p w:rsidR="0085351E" w:rsidRPr="0085351E" w:rsidRDefault="0085351E">
      <w:pPr>
        <w:ind w:left="0" w:firstLine="0"/>
        <w:rPr>
          <w:rFonts w:asciiTheme="minorHAnsi" w:hAnsiTheme="minorHAnsi"/>
        </w:rPr>
      </w:pPr>
    </w:p>
    <w:p w:rsidR="00DA36D1" w:rsidRDefault="00FD11AF">
      <w:pPr>
        <w:ind w:left="0" w:firstLine="0"/>
      </w:pPr>
      <w:r>
        <w:rPr>
          <w:b/>
          <w:color w:val="0000FF"/>
        </w:rPr>
        <w:t>1a.6.2.</w:t>
      </w:r>
      <w:r>
        <w:t xml:space="preserve"> </w:t>
      </w:r>
      <w:r>
        <w:rPr>
          <w:b/>
        </w:rPr>
        <w:t>Citation and</w:t>
      </w:r>
      <w:r>
        <w:t xml:space="preserve"> </w:t>
      </w:r>
      <w:r>
        <w:rPr>
          <w:b/>
        </w:rPr>
        <w:t xml:space="preserve">URL for methodology for evidence review and grading </w:t>
      </w:r>
      <w:r>
        <w:t>(</w:t>
      </w:r>
      <w:r>
        <w:rPr>
          <w:i/>
        </w:rPr>
        <w:t>if different from 1a.6.1</w:t>
      </w:r>
      <w:r>
        <w:t>)</w:t>
      </w:r>
      <w:r>
        <w:rPr>
          <w:b/>
        </w:rPr>
        <w:t>:</w:t>
      </w:r>
    </w:p>
    <w:p w:rsidR="00050B63" w:rsidRDefault="00050B63">
      <w:pPr>
        <w:ind w:left="0" w:firstLine="0"/>
      </w:pPr>
    </w:p>
    <w:p w:rsidR="007D55B6" w:rsidRDefault="006A6E9B">
      <w:pPr>
        <w:ind w:left="0" w:firstLine="0"/>
        <w:rPr>
          <w:rFonts w:ascii="Arial" w:hAnsi="Arial" w:cs="Arial"/>
          <w:sz w:val="20"/>
          <w:szCs w:val="20"/>
          <w:shd w:val="clear" w:color="auto" w:fill="FFFFFF"/>
        </w:rPr>
      </w:pPr>
      <w:r>
        <w:t xml:space="preserve">As of publication of this Cochrane review, the Cochrane Collaboration was not reporting the results of a standardized approach to grading the evidence. The recent Cochrane information indicates future reviews will feature evidence finding tables representing evidence review and grading. </w:t>
      </w:r>
    </w:p>
    <w:p w:rsidR="00050B63" w:rsidRDefault="00050B63">
      <w:pPr>
        <w:ind w:left="0" w:firstLine="0"/>
        <w:rPr>
          <w:b/>
          <w:i/>
          <w:highlight w:val="green"/>
        </w:rPr>
      </w:pPr>
    </w:p>
    <w:p w:rsidR="00DA36D1" w:rsidRDefault="00FD11AF">
      <w:pPr>
        <w:ind w:left="0" w:firstLine="0"/>
      </w:pPr>
      <w:r>
        <w:rPr>
          <w:b/>
          <w:i/>
          <w:highlight w:val="green"/>
        </w:rPr>
        <w:t xml:space="preserve">Complete section </w:t>
      </w:r>
      <w:hyperlink w:anchor="h.2s8eyo1">
        <w:r>
          <w:rPr>
            <w:b/>
            <w:i/>
            <w:color w:val="0000FF"/>
            <w:highlight w:val="green"/>
            <w:u w:val="single"/>
          </w:rPr>
          <w:t>1a.7</w:t>
        </w:r>
      </w:hyperlink>
      <w:hyperlink w:anchor="h.2s8eyo1"/>
    </w:p>
    <w:p w:rsidR="00DA36D1" w:rsidRDefault="00FD11AF">
      <w:pPr>
        <w:ind w:left="0" w:firstLine="0"/>
      </w:pPr>
      <w:r>
        <w:rPr>
          <w:b/>
          <w:smallCaps/>
        </w:rPr>
        <w:lastRenderedPageBreak/>
        <w:t>_________________________</w:t>
      </w:r>
    </w:p>
    <w:p w:rsidR="00DA36D1" w:rsidRDefault="00FD11AF">
      <w:pPr>
        <w:ind w:left="0" w:firstLine="0"/>
      </w:pPr>
      <w:r>
        <w:rPr>
          <w:b/>
          <w:color w:val="0000FF"/>
        </w:rPr>
        <w:t xml:space="preserve">1a.7. </w:t>
      </w:r>
      <w:r>
        <w:rPr>
          <w:b/>
        </w:rPr>
        <w:t xml:space="preserve">FINDINGS FROM SYSTEMATIC REVIEW OF BODY OF THE EVIDENCE </w:t>
      </w:r>
      <w:r>
        <w:rPr>
          <w:b/>
          <w:smallCaps/>
        </w:rPr>
        <w:t>supporting the measure</w:t>
      </w:r>
    </w:p>
    <w:p w:rsidR="00DA36D1" w:rsidRDefault="00FD11AF">
      <w:pPr>
        <w:ind w:left="0" w:firstLine="0"/>
      </w:pPr>
      <w:r>
        <w:rPr>
          <w:i/>
        </w:rPr>
        <w:t>If more than one systematic review of the evidence is identified above, you may choose to summarize the one (or more) for which the best information is available to provide a summary of the quantity, quality, and consistency of the body of evidence. Be sure to identify which review is the basis of the responses in this section and if more than one, provide a separate response for each review.</w:t>
      </w:r>
    </w:p>
    <w:p w:rsidR="00DA36D1" w:rsidRDefault="00DA36D1">
      <w:pPr>
        <w:ind w:left="0" w:firstLine="0"/>
      </w:pPr>
    </w:p>
    <w:p w:rsidR="00DA36D1" w:rsidRDefault="00FD11AF">
      <w:pPr>
        <w:ind w:left="0" w:firstLine="0"/>
      </w:pPr>
      <w:r>
        <w:rPr>
          <w:b/>
          <w:color w:val="0000FF"/>
        </w:rPr>
        <w:t>1a.7.1.</w:t>
      </w:r>
      <w:r>
        <w:t xml:space="preserve"> </w:t>
      </w:r>
      <w:proofErr w:type="gramStart"/>
      <w:r>
        <w:rPr>
          <w:b/>
        </w:rPr>
        <w:t>What</w:t>
      </w:r>
      <w:proofErr w:type="gramEnd"/>
      <w:r>
        <w:rPr>
          <w:b/>
        </w:rPr>
        <w:t xml:space="preserve"> was the specific structure, treatment, intervention, service, or intermediate outcome addressed in the evidence review?</w:t>
      </w:r>
      <w:r>
        <w:t xml:space="preserve"> </w:t>
      </w:r>
    </w:p>
    <w:p w:rsidR="00050B63" w:rsidRDefault="00050B63">
      <w:pPr>
        <w:ind w:left="0" w:firstLine="0"/>
      </w:pPr>
    </w:p>
    <w:p w:rsidR="00DA36D1" w:rsidRDefault="006E53F1">
      <w:pPr>
        <w:ind w:left="0" w:firstLine="0"/>
      </w:pPr>
      <w:r>
        <w:t xml:space="preserve">The </w:t>
      </w:r>
      <w:r w:rsidR="006A6E9B">
        <w:t>section</w:t>
      </w:r>
      <w:r w:rsidR="00420621">
        <w:t>s</w:t>
      </w:r>
      <w:r w:rsidR="006A6E9B">
        <w:t xml:space="preserve"> of the</w:t>
      </w:r>
      <w:r>
        <w:t xml:space="preserve"> ACCF/AHA guideline</w:t>
      </w:r>
      <w:r w:rsidR="006A6E9B">
        <w:t xml:space="preserve"> supporting the recommendations on page </w:t>
      </w:r>
      <w:r w:rsidR="00420621">
        <w:t>e199</w:t>
      </w:r>
      <w:r w:rsidR="006A6E9B">
        <w:t xml:space="preserve"> and </w:t>
      </w:r>
      <w:r w:rsidR="00420621">
        <w:t>e205</w:t>
      </w:r>
      <w:r>
        <w:t xml:space="preserve"> </w:t>
      </w:r>
      <w:r w:rsidR="00420621">
        <w:t>address</w:t>
      </w:r>
      <w:r>
        <w:t xml:space="preserve"> the scheduling of a follow-up appointment prior to discharge for heart failure patients. The evidence review in the Cochrane Collaboration systematic review addresses clinical service organization for heart failure, including follow up care for heart failure patients following a hospital discharge. </w:t>
      </w:r>
    </w:p>
    <w:p w:rsidR="006E53F1" w:rsidRDefault="006E53F1">
      <w:pPr>
        <w:ind w:left="0" w:firstLine="0"/>
      </w:pPr>
    </w:p>
    <w:p w:rsidR="00DA36D1" w:rsidRDefault="00FD11AF">
      <w:pPr>
        <w:ind w:left="0" w:firstLine="0"/>
      </w:pPr>
      <w:r>
        <w:rPr>
          <w:b/>
          <w:color w:val="0000FF"/>
        </w:rPr>
        <w:t>1a.7.2.</w:t>
      </w:r>
      <w:r>
        <w:t xml:space="preserve"> </w:t>
      </w:r>
      <w:r>
        <w:rPr>
          <w:b/>
        </w:rPr>
        <w:t xml:space="preserve">Grade assigned for the quality of the quoted evidence </w:t>
      </w:r>
      <w:r>
        <w:rPr>
          <w:b/>
          <w:u w:val="single"/>
        </w:rPr>
        <w:t>with definition</w:t>
      </w:r>
      <w:r>
        <w:rPr>
          <w:b/>
        </w:rPr>
        <w:t xml:space="preserve"> of the grade</w:t>
      </w:r>
      <w:r>
        <w:t xml:space="preserve">: </w:t>
      </w:r>
    </w:p>
    <w:p w:rsidR="00050B63" w:rsidRDefault="00050B63">
      <w:pPr>
        <w:ind w:left="0"/>
        <w:rPr>
          <w:sz w:val="24"/>
        </w:rPr>
      </w:pPr>
    </w:p>
    <w:p w:rsidR="00DA36D1" w:rsidRDefault="00FD11AF">
      <w:pPr>
        <w:ind w:left="0"/>
      </w:pPr>
      <w:r>
        <w:rPr>
          <w:sz w:val="24"/>
        </w:rPr>
        <w:t>ACCF/AHA Levels of Evidence are classified as follows:</w:t>
      </w:r>
    </w:p>
    <w:p w:rsidR="007D55B6" w:rsidRDefault="00FD11AF">
      <w:pPr>
        <w:ind w:left="0"/>
        <w:rPr>
          <w:sz w:val="24"/>
        </w:rPr>
      </w:pPr>
      <w:r>
        <w:rPr>
          <w:sz w:val="24"/>
        </w:rPr>
        <w:t>-Level of Evidence A: Data derived from multiple randomized clinical trials or meta-analyses</w:t>
      </w:r>
    </w:p>
    <w:p w:rsidR="007D55B6" w:rsidRDefault="00FD11AF">
      <w:pPr>
        <w:ind w:left="0"/>
        <w:rPr>
          <w:sz w:val="24"/>
        </w:rPr>
      </w:pPr>
      <w:r>
        <w:rPr>
          <w:sz w:val="24"/>
        </w:rPr>
        <w:t xml:space="preserve"> -Level of Evidence B: Data derived from a single randomized trial or nonrandomized studies </w:t>
      </w:r>
    </w:p>
    <w:p w:rsidR="00DA36D1" w:rsidRDefault="00FD11AF">
      <w:pPr>
        <w:ind w:left="0"/>
      </w:pPr>
      <w:r>
        <w:rPr>
          <w:sz w:val="24"/>
        </w:rPr>
        <w:t xml:space="preserve">-Level of Evidence C: Only consensus opinion of experts, case studies, or standard-of-care </w:t>
      </w:r>
    </w:p>
    <w:p w:rsidR="00DA36D1" w:rsidRDefault="00DA36D1">
      <w:pPr>
        <w:ind w:left="0"/>
      </w:pPr>
    </w:p>
    <w:p w:rsidR="00DA36D1" w:rsidRDefault="00FD11AF">
      <w:pPr>
        <w:ind w:left="0"/>
      </w:pPr>
      <w:r>
        <w:tab/>
      </w:r>
      <w:r>
        <w:tab/>
        <w:t xml:space="preserve"> </w:t>
      </w:r>
      <w:r>
        <w:tab/>
        <w:t xml:space="preserve"> </w:t>
      </w:r>
      <w:r>
        <w:tab/>
        <w:t xml:space="preserve"> </w:t>
      </w:r>
      <w:r>
        <w:tab/>
      </w:r>
      <w:r>
        <w:tab/>
      </w:r>
    </w:p>
    <w:p w:rsidR="00DA36D1" w:rsidRDefault="00FD11AF">
      <w:pPr>
        <w:ind w:left="0"/>
      </w:pPr>
      <w:r>
        <w:rPr>
          <w:sz w:val="24"/>
        </w:rPr>
        <w:t xml:space="preserve">Methodologies and policies from the ACC/AHA Task Force on Practice Guidelines state that   “a recommendation with Level of Evidence B or C does not imply that the recommendation is weak. Many important clinical questions addressed in the guidelines do not lend themselves to clinical trials. Although randomized trials are unavailable, there may be a very clear clinical consensus that a particular test or therapy is useful or effective. </w:t>
      </w:r>
    </w:p>
    <w:p w:rsidR="00DA36D1" w:rsidRDefault="00DA36D1">
      <w:pPr>
        <w:ind w:left="0"/>
      </w:pPr>
    </w:p>
    <w:p w:rsidR="0085351E" w:rsidRDefault="00FD11AF" w:rsidP="008B2EB4">
      <w:pPr>
        <w:ind w:left="0"/>
        <w:rPr>
          <w:sz w:val="24"/>
        </w:rPr>
      </w:pPr>
      <w:r>
        <w:rPr>
          <w:sz w:val="24"/>
        </w:rPr>
        <w:t>The</w:t>
      </w:r>
      <w:r w:rsidR="007D55B6">
        <w:rPr>
          <w:sz w:val="24"/>
        </w:rPr>
        <w:t xml:space="preserve"> first and second ACCF/AHA</w:t>
      </w:r>
      <w:r>
        <w:rPr>
          <w:sz w:val="24"/>
        </w:rPr>
        <w:t xml:space="preserve"> cited recommendation </w:t>
      </w:r>
      <w:r w:rsidR="007D55B6">
        <w:rPr>
          <w:sz w:val="24"/>
        </w:rPr>
        <w:t xml:space="preserve">(found on page e199 and e205) </w:t>
      </w:r>
      <w:r>
        <w:rPr>
          <w:sz w:val="24"/>
        </w:rPr>
        <w:t xml:space="preserve">received a Grade B level of evidence. </w:t>
      </w:r>
      <w:r w:rsidR="007D55B6">
        <w:rPr>
          <w:sz w:val="24"/>
        </w:rPr>
        <w:t xml:space="preserve">The third ACCF/AHA cited recommendation (found on page e205) received a Grade C level of evidence. </w:t>
      </w:r>
    </w:p>
    <w:p w:rsidR="00420621" w:rsidRDefault="00420621" w:rsidP="008B2EB4">
      <w:pPr>
        <w:ind w:left="0"/>
        <w:rPr>
          <w:sz w:val="24"/>
        </w:rPr>
      </w:pPr>
    </w:p>
    <w:p w:rsidR="00420621" w:rsidRDefault="00420621" w:rsidP="00420621">
      <w:pPr>
        <w:ind w:left="0" w:firstLine="0"/>
        <w:rPr>
          <w:rFonts w:ascii="Arial" w:hAnsi="Arial" w:cs="Arial"/>
          <w:sz w:val="20"/>
          <w:szCs w:val="20"/>
          <w:shd w:val="clear" w:color="auto" w:fill="FFFFFF"/>
        </w:rPr>
      </w:pPr>
      <w:r>
        <w:t xml:space="preserve">As of publication of this Cochrane review, the Cochrane Collaboration was not reporting the results of a standardized approach to grading the evidence. The recent Cochrane information indicates future reviews will feature evidence finding tables representing evidence review and grading. </w:t>
      </w:r>
    </w:p>
    <w:p w:rsidR="00420621" w:rsidRPr="008B2EB4" w:rsidRDefault="00420621" w:rsidP="008B2EB4">
      <w:pPr>
        <w:ind w:left="0"/>
        <w:rPr>
          <w:sz w:val="24"/>
        </w:rPr>
      </w:pPr>
    </w:p>
    <w:p w:rsidR="00DA36D1" w:rsidRDefault="00DA36D1">
      <w:pPr>
        <w:ind w:left="0" w:firstLine="0"/>
      </w:pPr>
    </w:p>
    <w:p w:rsidR="00DA36D1" w:rsidRDefault="00FD11AF">
      <w:pPr>
        <w:ind w:left="0" w:firstLine="0"/>
      </w:pPr>
      <w:r>
        <w:rPr>
          <w:b/>
          <w:color w:val="0000FF"/>
        </w:rPr>
        <w:t xml:space="preserve">1a.7.3. </w:t>
      </w:r>
      <w:proofErr w:type="gramStart"/>
      <w:r>
        <w:rPr>
          <w:b/>
        </w:rPr>
        <w:t>Provide</w:t>
      </w:r>
      <w:proofErr w:type="gramEnd"/>
      <w:r>
        <w:rPr>
          <w:b/>
        </w:rPr>
        <w:t xml:space="preserve"> all other grades and associated definitions for strength of the evidence in the grading system. </w:t>
      </w:r>
    </w:p>
    <w:p w:rsidR="00050B63" w:rsidRDefault="00050B63">
      <w:pPr>
        <w:ind w:left="0" w:firstLine="0"/>
        <w:rPr>
          <w:b/>
        </w:rPr>
      </w:pPr>
    </w:p>
    <w:p w:rsidR="00DA36D1" w:rsidRPr="00050B63" w:rsidRDefault="00050B63">
      <w:pPr>
        <w:ind w:left="0" w:firstLine="0"/>
      </w:pPr>
      <w:r w:rsidRPr="00050B63">
        <w:t>Not applicable</w:t>
      </w:r>
    </w:p>
    <w:p w:rsidR="00DA36D1" w:rsidRDefault="00DA36D1">
      <w:pPr>
        <w:ind w:left="0" w:firstLine="0"/>
      </w:pPr>
    </w:p>
    <w:p w:rsidR="00C45488" w:rsidRPr="00C45488" w:rsidRDefault="00FD11AF" w:rsidP="00C45488">
      <w:pPr>
        <w:ind w:left="432" w:hanging="431"/>
        <w:rPr>
          <w:color w:val="A6A6A6"/>
        </w:rPr>
      </w:pPr>
      <w:bookmarkStart w:id="10" w:name="h.2s8eyo1" w:colFirst="0" w:colLast="0"/>
      <w:bookmarkEnd w:id="10"/>
      <w:r>
        <w:rPr>
          <w:b/>
          <w:color w:val="0000FF"/>
        </w:rPr>
        <w:t>1a.7.4.</w:t>
      </w:r>
      <w:r>
        <w:t xml:space="preserve"> </w:t>
      </w:r>
      <w:proofErr w:type="gramStart"/>
      <w:r>
        <w:rPr>
          <w:b/>
        </w:rPr>
        <w:t>What</w:t>
      </w:r>
      <w:proofErr w:type="gramEnd"/>
      <w:r>
        <w:rPr>
          <w:b/>
        </w:rPr>
        <w:t xml:space="preserve"> is the time period covered by the body of evidence? (</w:t>
      </w:r>
      <w:proofErr w:type="gramStart"/>
      <w:r>
        <w:rPr>
          <w:b/>
          <w:i/>
        </w:rPr>
        <w:t>provide</w:t>
      </w:r>
      <w:proofErr w:type="gramEnd"/>
      <w:r>
        <w:rPr>
          <w:b/>
          <w:i/>
        </w:rPr>
        <w:t xml:space="preserve"> the date range, e.g., 1990-2010</w:t>
      </w:r>
      <w:r>
        <w:rPr>
          <w:b/>
        </w:rPr>
        <w:t>).  Date range</w:t>
      </w:r>
      <w:r>
        <w:t xml:space="preserve">:  </w:t>
      </w:r>
      <w:r w:rsidR="00C45488" w:rsidRPr="002264A2">
        <w:rPr>
          <w:color w:val="auto"/>
        </w:rPr>
        <w:t xml:space="preserve">The date range covered by the body of evidence included in the ACCF/AHA </w:t>
      </w:r>
      <w:r w:rsidR="00C45488" w:rsidRPr="002264A2">
        <w:rPr>
          <w:color w:val="auto"/>
        </w:rPr>
        <w:lastRenderedPageBreak/>
        <w:t xml:space="preserve">guideline is 1995-2011. The date range covered by the body of evidence included in the Cochrane Collaboration systematic review is 1998-2008. </w:t>
      </w:r>
    </w:p>
    <w:p w:rsidR="00DA36D1" w:rsidRDefault="00DA36D1">
      <w:pPr>
        <w:ind w:left="0" w:firstLine="0"/>
      </w:pPr>
    </w:p>
    <w:p w:rsidR="00DA36D1" w:rsidRDefault="00DA36D1">
      <w:pPr>
        <w:ind w:left="0" w:firstLine="0"/>
      </w:pPr>
    </w:p>
    <w:p w:rsidR="00DA36D1" w:rsidRDefault="00FD11AF">
      <w:pPr>
        <w:ind w:left="0" w:firstLine="0"/>
      </w:pPr>
      <w:r>
        <w:rPr>
          <w:b/>
        </w:rPr>
        <w:t>QUANTITY AND QUALITY OF BODY OF EVIDENCE</w:t>
      </w:r>
    </w:p>
    <w:p w:rsidR="00DA36D1" w:rsidRDefault="00FD11AF">
      <w:pPr>
        <w:ind w:left="432" w:hanging="431"/>
      </w:pPr>
      <w:r>
        <w:rPr>
          <w:b/>
          <w:color w:val="0000FF"/>
        </w:rPr>
        <w:t>1a.7.5.</w:t>
      </w:r>
      <w:r>
        <w:rPr>
          <w:i/>
          <w:color w:val="0000FF"/>
        </w:rPr>
        <w:t xml:space="preserve"> </w:t>
      </w:r>
      <w:r>
        <w:rPr>
          <w:b/>
        </w:rPr>
        <w:t>How many and what type of study designs are included in the body of evidence</w:t>
      </w:r>
      <w:r>
        <w:t>? (</w:t>
      </w:r>
      <w:r>
        <w:rPr>
          <w:i/>
        </w:rPr>
        <w:t>e.g., 3 randomized controlled trials and 1 observational study</w:t>
      </w:r>
      <w:r>
        <w:t xml:space="preserve">) </w:t>
      </w:r>
    </w:p>
    <w:p w:rsidR="00050B63" w:rsidRDefault="00050B63">
      <w:pPr>
        <w:ind w:left="0" w:firstLine="0"/>
      </w:pPr>
    </w:p>
    <w:p w:rsidR="00C45488" w:rsidRDefault="00406196">
      <w:pPr>
        <w:ind w:left="0" w:firstLine="0"/>
      </w:pPr>
      <w:r>
        <w:t>The</w:t>
      </w:r>
      <w:r w:rsidR="00C45488">
        <w:t xml:space="preserve"> </w:t>
      </w:r>
      <w:r w:rsidR="005A5EEA">
        <w:t xml:space="preserve">body of evidence supporting the </w:t>
      </w:r>
      <w:r w:rsidR="00C45488">
        <w:t xml:space="preserve">ACCF/AHA recommendation found on page e199 </w:t>
      </w:r>
      <w:r w:rsidR="005A5EEA">
        <w:t>includes</w:t>
      </w:r>
      <w:r w:rsidR="00C45488">
        <w:t xml:space="preserve"> 1 observational study and 1 retrospective study. </w:t>
      </w:r>
    </w:p>
    <w:p w:rsidR="00C45488" w:rsidRDefault="00C45488">
      <w:pPr>
        <w:ind w:left="0" w:firstLine="0"/>
      </w:pPr>
    </w:p>
    <w:p w:rsidR="00DA36D1" w:rsidRDefault="00406196">
      <w:pPr>
        <w:ind w:left="0" w:firstLine="0"/>
      </w:pPr>
      <w:r>
        <w:t xml:space="preserve"> </w:t>
      </w:r>
      <w:r w:rsidR="00C45488">
        <w:t xml:space="preserve">The </w:t>
      </w:r>
      <w:r w:rsidR="005A5EEA">
        <w:t xml:space="preserve">body of evidence supporting the </w:t>
      </w:r>
      <w:r w:rsidR="00C45488">
        <w:t xml:space="preserve">first </w:t>
      </w:r>
      <w:r w:rsidR="005A5EEA">
        <w:t>ACCF/AHA recommendation found on page e205 includes 8 randomized controlled trials,</w:t>
      </w:r>
      <w:r w:rsidR="00FD11AF">
        <w:t xml:space="preserve"> </w:t>
      </w:r>
      <w:r w:rsidR="005A5EEA">
        <w:t xml:space="preserve">2 systematic reviews, 1 meta-analysis, 1 AHA policy statement, and 1 cross-sectional assessment. </w:t>
      </w:r>
    </w:p>
    <w:p w:rsidR="005A5EEA" w:rsidRDefault="005A5EEA">
      <w:pPr>
        <w:ind w:left="0" w:firstLine="0"/>
      </w:pPr>
    </w:p>
    <w:p w:rsidR="005A5EEA" w:rsidRDefault="005A5EEA">
      <w:pPr>
        <w:ind w:left="0" w:firstLine="0"/>
      </w:pPr>
      <w:r>
        <w:t xml:space="preserve">The body of evidence supporting the second ACCF/AHA recommendation found on page e205 includes 1 AHA/ACCF guideline. </w:t>
      </w:r>
    </w:p>
    <w:p w:rsidR="00DA36D1" w:rsidRDefault="00DA36D1">
      <w:pPr>
        <w:ind w:left="0" w:firstLine="0"/>
      </w:pPr>
    </w:p>
    <w:p w:rsidR="00420621" w:rsidRDefault="00406196">
      <w:pPr>
        <w:ind w:left="0" w:firstLine="0"/>
      </w:pPr>
      <w:r>
        <w:t>The Cochrane Collaboration systematic review includes seventeen randomized controlled trials focusing on a case management intervention, six randomized controlled trials focusing on clinic model interventions, and two randomized controlled trails focusing on a multidisciplinary model intervention.</w:t>
      </w:r>
    </w:p>
    <w:p w:rsidR="00406196" w:rsidRDefault="00406196">
      <w:pPr>
        <w:ind w:left="0" w:firstLine="0"/>
      </w:pPr>
      <w:r>
        <w:t xml:space="preserve"> </w:t>
      </w:r>
    </w:p>
    <w:p w:rsidR="00DA36D1" w:rsidRDefault="00FD11AF">
      <w:pPr>
        <w:ind w:left="432" w:hanging="431"/>
      </w:pPr>
      <w:r>
        <w:rPr>
          <w:b/>
          <w:color w:val="0000FF"/>
        </w:rPr>
        <w:t>1a.7.6.</w:t>
      </w:r>
      <w:r>
        <w:t xml:space="preserve"> </w:t>
      </w:r>
      <w:proofErr w:type="gramStart"/>
      <w:r>
        <w:rPr>
          <w:b/>
        </w:rPr>
        <w:t>What</w:t>
      </w:r>
      <w:proofErr w:type="gramEnd"/>
      <w:r>
        <w:rPr>
          <w:b/>
        </w:rPr>
        <w:t xml:space="preserve"> is the overall quality of evidence </w:t>
      </w:r>
      <w:r>
        <w:rPr>
          <w:b/>
          <w:u w:val="single"/>
        </w:rPr>
        <w:t>across studies</w:t>
      </w:r>
      <w:r>
        <w:rPr>
          <w:b/>
        </w:rPr>
        <w:t xml:space="preserve"> in the body of evidence</w:t>
      </w:r>
      <w:r>
        <w:t>? (</w:t>
      </w:r>
      <w:proofErr w:type="gramStart"/>
      <w:r>
        <w:rPr>
          <w:i/>
        </w:rPr>
        <w:t>discuss</w:t>
      </w:r>
      <w:proofErr w:type="gramEnd"/>
      <w:r>
        <w:rPr>
          <w:i/>
        </w:rPr>
        <w:t xml:space="preserve"> the certainty or confidence in the estimates of effect particularly in relation to study factors such as design flaws, imprecision due to small numbers, indirectness of studies to the measure focus or target population</w:t>
      </w:r>
      <w:r>
        <w:t xml:space="preserve">)  </w:t>
      </w:r>
    </w:p>
    <w:p w:rsidR="00050B63" w:rsidRDefault="00050B63">
      <w:pPr>
        <w:ind w:left="0" w:firstLine="0"/>
      </w:pPr>
    </w:p>
    <w:p w:rsidR="00DA36D1" w:rsidRDefault="002264A2">
      <w:pPr>
        <w:ind w:left="0" w:firstLine="0"/>
      </w:pPr>
      <w:r>
        <w:t>The ACCF/AHA guideline did not provide an analysis of the quality of the body of evidence.</w:t>
      </w:r>
    </w:p>
    <w:p w:rsidR="002264A2" w:rsidRDefault="002264A2">
      <w:pPr>
        <w:ind w:left="0" w:firstLine="0"/>
      </w:pPr>
    </w:p>
    <w:p w:rsidR="00420621" w:rsidRDefault="00420621" w:rsidP="00420621">
      <w:pPr>
        <w:ind w:left="0" w:firstLine="0"/>
        <w:rPr>
          <w:rFonts w:ascii="Arial" w:hAnsi="Arial" w:cs="Arial"/>
          <w:sz w:val="20"/>
          <w:szCs w:val="20"/>
          <w:shd w:val="clear" w:color="auto" w:fill="FFFFFF"/>
        </w:rPr>
      </w:pPr>
      <w:r>
        <w:t xml:space="preserve">As of publication of this Cochrane review, the Cochrane Collaboration was not reporting the results of a standardized approach to grading the evidence. The recent Cochrane information indicates future reviews will feature evidence finding tables representing evidence review and grading. </w:t>
      </w:r>
    </w:p>
    <w:p w:rsidR="00DA36D1" w:rsidRDefault="00DA36D1">
      <w:pPr>
        <w:ind w:left="0" w:firstLine="0"/>
      </w:pPr>
    </w:p>
    <w:p w:rsidR="00DA36D1" w:rsidRDefault="00FD11AF">
      <w:pPr>
        <w:ind w:left="0" w:firstLine="0"/>
      </w:pPr>
      <w:r>
        <w:rPr>
          <w:b/>
        </w:rPr>
        <w:t>ESTIMATES OF BENEFIT AND CONSISTENCY ACROSS STUDIES IN BODY OF EVIDENCE</w:t>
      </w:r>
    </w:p>
    <w:p w:rsidR="00DA36D1" w:rsidRDefault="00FD11AF">
      <w:pPr>
        <w:ind w:left="432" w:hanging="431"/>
      </w:pPr>
      <w:r>
        <w:rPr>
          <w:b/>
          <w:color w:val="0000FF"/>
        </w:rPr>
        <w:t>1a.7.7.</w:t>
      </w:r>
      <w:r>
        <w:t xml:space="preserve"> </w:t>
      </w:r>
      <w:proofErr w:type="gramStart"/>
      <w:r>
        <w:rPr>
          <w:b/>
        </w:rPr>
        <w:t>What</w:t>
      </w:r>
      <w:proofErr w:type="gramEnd"/>
      <w:r>
        <w:rPr>
          <w:b/>
        </w:rPr>
        <w:t xml:space="preserve"> are the estimates of benefit—magnitude and direction of effect on outcome(s) </w:t>
      </w:r>
      <w:r>
        <w:rPr>
          <w:b/>
          <w:u w:val="single"/>
        </w:rPr>
        <w:t>across studies</w:t>
      </w:r>
      <w:r>
        <w:rPr>
          <w:b/>
        </w:rPr>
        <w:t xml:space="preserve"> in the body of evidence</w:t>
      </w:r>
      <w:r>
        <w:t>? (</w:t>
      </w:r>
      <w:r>
        <w:rPr>
          <w:i/>
        </w:rPr>
        <w:t>e.g., ranges of percentages or odds ratios for improvement/ decline across studies, results of meta-analysis, and statistical significance</w:t>
      </w:r>
      <w:r>
        <w:t xml:space="preserve">)  </w:t>
      </w:r>
    </w:p>
    <w:p w:rsidR="00050B63" w:rsidRDefault="00050B63">
      <w:pPr>
        <w:ind w:left="0" w:firstLine="0"/>
      </w:pPr>
    </w:p>
    <w:p w:rsidR="00C36754" w:rsidRDefault="00C36754">
      <w:pPr>
        <w:ind w:left="0" w:firstLine="0"/>
      </w:pPr>
      <w:r>
        <w:t>The esti</w:t>
      </w:r>
      <w:r w:rsidR="002248AC">
        <w:t>mate of benefit</w:t>
      </w:r>
      <w:r>
        <w:t xml:space="preserve"> across studies</w:t>
      </w:r>
      <w:r w:rsidR="002248AC">
        <w:t xml:space="preserve"> is not listed in </w:t>
      </w:r>
      <w:r>
        <w:t xml:space="preserve">the ACCF/AHA guideline in a </w:t>
      </w:r>
      <w:r w:rsidR="002248AC">
        <w:t xml:space="preserve">quantitative way. </w:t>
      </w:r>
      <w:r>
        <w:t>A review of the cited evidence shows that, across studies, reductions in heart failure-related readmissions ranged from45.7%</w:t>
      </w:r>
      <w:r>
        <w:rPr>
          <w:rStyle w:val="FootnoteReference"/>
        </w:rPr>
        <w:footnoteReference w:id="1"/>
      </w:r>
      <w:r>
        <w:t xml:space="preserve"> to 56.2%</w:t>
      </w:r>
      <w:r>
        <w:rPr>
          <w:rStyle w:val="FootnoteReference"/>
        </w:rPr>
        <w:footnoteReference w:id="2"/>
      </w:r>
      <w:r>
        <w:t>, all-cause readmissions were reduced by as much as 28.5%</w:t>
      </w:r>
      <w:r w:rsidR="00D762B0">
        <w:rPr>
          <w:rStyle w:val="FootnoteReference"/>
        </w:rPr>
        <w:footnoteReference w:id="3"/>
      </w:r>
      <w:r>
        <w:t xml:space="preserve">, and reduced </w:t>
      </w:r>
      <w:r>
        <w:lastRenderedPageBreak/>
        <w:t>morta</w:t>
      </w:r>
      <w:r w:rsidR="00D762B0">
        <w:t>lity (RR .75</w:t>
      </w:r>
      <w:r>
        <w:t>)</w:t>
      </w:r>
      <w:r w:rsidR="00D762B0">
        <w:rPr>
          <w:rStyle w:val="FootnoteReference"/>
        </w:rPr>
        <w:footnoteReference w:id="4"/>
      </w:r>
      <w:r>
        <w:t xml:space="preserve"> for those patients receiving a case management intervention, including clinical follow-up. </w:t>
      </w:r>
    </w:p>
    <w:p w:rsidR="00B75EDF" w:rsidRDefault="00C36754">
      <w:pPr>
        <w:ind w:left="0" w:firstLine="0"/>
      </w:pPr>
      <w:r>
        <w:t xml:space="preserve"> </w:t>
      </w:r>
    </w:p>
    <w:p w:rsidR="00B75EDF" w:rsidRDefault="00B75EDF">
      <w:pPr>
        <w:ind w:left="0" w:firstLine="0"/>
      </w:pPr>
      <w:r>
        <w:t>Evidence included in the Cochrane collaboration systematic review found that, for those studies featuring case management interventions and reporting on deaths attributed to heart failure or cardiovascular causes, there</w:t>
      </w:r>
      <w:r w:rsidR="001D52A7">
        <w:t xml:space="preserve"> was a reduction of mortality at</w:t>
      </w:r>
      <w:r>
        <w:t xml:space="preserve"> 12 months</w:t>
      </w:r>
      <w:r w:rsidR="001D52A7">
        <w:t xml:space="preserve"> follow up</w:t>
      </w:r>
      <w:r>
        <w:t>. For those studies reporting all</w:t>
      </w:r>
      <w:r w:rsidR="005D525B">
        <w:t>-</w:t>
      </w:r>
      <w:r>
        <w:t xml:space="preserve">cause mortality, a meta-analysis </w:t>
      </w:r>
      <w:r w:rsidR="005D525B">
        <w:t>found a substantial and statistically significant reduction in all-cause mortality at 12 months</w:t>
      </w:r>
      <w:r w:rsidR="001D52A7">
        <w:t>,</w:t>
      </w:r>
      <w:r w:rsidR="001D52A7" w:rsidRPr="001D52A7">
        <w:t xml:space="preserve"> </w:t>
      </w:r>
      <w:r w:rsidR="001D52A7">
        <w:t>OR 0.66 (95% CI 0.47 to 0.91)</w:t>
      </w:r>
      <w:r w:rsidR="005D525B">
        <w:t>. Analysis also found a highly significant overall reduction in rea</w:t>
      </w:r>
      <w:r w:rsidR="00561DBA">
        <w:t>dmissions to secondary care at 12 months</w:t>
      </w:r>
      <w:r w:rsidR="001D52A7">
        <w:t xml:space="preserve"> (OR 0.75, 95% CI 0.57 to 0.99)</w:t>
      </w:r>
      <w:r w:rsidR="00561DBA">
        <w:t xml:space="preserve">. </w:t>
      </w:r>
      <w:r w:rsidR="001D52A7">
        <w:t xml:space="preserve">In the studies that looked at multidisciplinary interventions, both all cause and CHF related readmissions were reduced (OR 0.46, 95% CI 0.57 to 0.99). </w:t>
      </w:r>
    </w:p>
    <w:p w:rsidR="00DA36D1" w:rsidRDefault="00DA36D1">
      <w:pPr>
        <w:ind w:left="0" w:firstLine="0"/>
      </w:pPr>
    </w:p>
    <w:p w:rsidR="00DA36D1" w:rsidRDefault="00FD11AF">
      <w:pPr>
        <w:ind w:left="0" w:firstLine="0"/>
      </w:pPr>
      <w:r>
        <w:rPr>
          <w:b/>
          <w:color w:val="0000FF"/>
        </w:rPr>
        <w:t>1a.7.8.</w:t>
      </w:r>
      <w:r>
        <w:t xml:space="preserve"> </w:t>
      </w:r>
      <w:proofErr w:type="gramStart"/>
      <w:r>
        <w:rPr>
          <w:b/>
        </w:rPr>
        <w:t>What</w:t>
      </w:r>
      <w:proofErr w:type="gramEnd"/>
      <w:r>
        <w:rPr>
          <w:b/>
        </w:rPr>
        <w:t xml:space="preserve"> harms were studied and how do they affect the net benefit (benefits over harms)?</w:t>
      </w:r>
      <w:r>
        <w:t xml:space="preserve"> </w:t>
      </w:r>
    </w:p>
    <w:p w:rsidR="00050B63" w:rsidRDefault="00050B63">
      <w:pPr>
        <w:ind w:left="0" w:firstLine="0"/>
      </w:pPr>
    </w:p>
    <w:p w:rsidR="00DA36D1" w:rsidRDefault="00561DBA">
      <w:pPr>
        <w:ind w:left="0" w:firstLine="0"/>
      </w:pPr>
      <w:r>
        <w:t xml:space="preserve">No harms were studied. </w:t>
      </w:r>
    </w:p>
    <w:p w:rsidR="00DA36D1" w:rsidRDefault="00DA36D1">
      <w:pPr>
        <w:ind w:left="0" w:firstLine="0"/>
      </w:pPr>
    </w:p>
    <w:p w:rsidR="00DA36D1" w:rsidRDefault="00FD11AF">
      <w:pPr>
        <w:ind w:left="0" w:firstLine="0"/>
      </w:pPr>
      <w:r>
        <w:rPr>
          <w:b/>
        </w:rPr>
        <w:t>UPDATE TO THE SYSTEMATIC REVIEW(S) OF THE BODY OF EVIDENCE</w:t>
      </w:r>
    </w:p>
    <w:p w:rsidR="00DA36D1" w:rsidRDefault="00FD11AF">
      <w:pPr>
        <w:ind w:left="432" w:hanging="431"/>
      </w:pPr>
      <w:r>
        <w:rPr>
          <w:b/>
          <w:color w:val="0000FF"/>
        </w:rPr>
        <w:t>1a.7.9.</w:t>
      </w:r>
      <w:r>
        <w:t xml:space="preserve"> </w:t>
      </w:r>
      <w:proofErr w:type="gramStart"/>
      <w:r>
        <w:rPr>
          <w:b/>
        </w:rPr>
        <w:t>If</w:t>
      </w:r>
      <w:proofErr w:type="gramEnd"/>
      <w:r>
        <w:rPr>
          <w:b/>
        </w:rPr>
        <w:t xml:space="preserve"> new studies have been conducted since the systematic review of the body of evidence, provide for </w:t>
      </w:r>
      <w:r>
        <w:rPr>
          <w:b/>
          <w:u w:val="single"/>
        </w:rPr>
        <w:t>each</w:t>
      </w:r>
      <w:r>
        <w:rPr>
          <w:b/>
        </w:rPr>
        <w:t xml:space="preserve"> new study: 1) citation, 2) description, 3) results, 4) impact on conclusions of systematic review</w:t>
      </w:r>
      <w:r>
        <w:t xml:space="preserve">.  </w:t>
      </w:r>
    </w:p>
    <w:p w:rsidR="00DA36D1" w:rsidRDefault="00DA36D1">
      <w:pPr>
        <w:ind w:left="0" w:firstLine="0"/>
      </w:pPr>
    </w:p>
    <w:p w:rsidR="00D63E37" w:rsidRPr="00050B63" w:rsidRDefault="00D63E37" w:rsidP="00D63E37">
      <w:pPr>
        <w:pStyle w:val="ListParagraph"/>
        <w:numPr>
          <w:ilvl w:val="0"/>
          <w:numId w:val="6"/>
        </w:numPr>
        <w:rPr>
          <w:rFonts w:ascii="Calibri" w:hAnsi="Calibri"/>
        </w:rPr>
      </w:pPr>
      <w:r w:rsidRPr="00050B63">
        <w:rPr>
          <w:rFonts w:ascii="Calibri" w:hAnsi="Calibri" w:cs="Arial"/>
          <w:color w:val="222222"/>
          <w:shd w:val="clear" w:color="auto" w:fill="FFFFFF"/>
        </w:rPr>
        <w:t xml:space="preserve">Citation: </w:t>
      </w:r>
    </w:p>
    <w:p w:rsidR="00D63E37" w:rsidRPr="00050B63" w:rsidRDefault="00D63E37" w:rsidP="00D63E37">
      <w:pPr>
        <w:pStyle w:val="ListParagraph"/>
        <w:ind w:firstLine="0"/>
        <w:rPr>
          <w:rFonts w:ascii="Calibri" w:hAnsi="Calibri" w:cs="Arial"/>
          <w:color w:val="222222"/>
          <w:shd w:val="clear" w:color="auto" w:fill="FFFFFF"/>
        </w:rPr>
      </w:pPr>
      <w:proofErr w:type="spellStart"/>
      <w:proofErr w:type="gramStart"/>
      <w:r w:rsidRPr="00050B63">
        <w:rPr>
          <w:rFonts w:ascii="Calibri" w:hAnsi="Calibri" w:cs="Arial"/>
          <w:color w:val="222222"/>
          <w:shd w:val="clear" w:color="auto" w:fill="FFFFFF"/>
        </w:rPr>
        <w:t>Horwitz</w:t>
      </w:r>
      <w:proofErr w:type="spellEnd"/>
      <w:r w:rsidRPr="00050B63">
        <w:rPr>
          <w:rFonts w:ascii="Calibri" w:hAnsi="Calibri" w:cs="Arial"/>
          <w:color w:val="222222"/>
          <w:shd w:val="clear" w:color="auto" w:fill="FFFFFF"/>
        </w:rPr>
        <w:t xml:space="preserve">, </w:t>
      </w:r>
      <w:proofErr w:type="spellStart"/>
      <w:r w:rsidRPr="00050B63">
        <w:rPr>
          <w:rFonts w:ascii="Calibri" w:hAnsi="Calibri" w:cs="Arial"/>
          <w:color w:val="222222"/>
          <w:shd w:val="clear" w:color="auto" w:fill="FFFFFF"/>
        </w:rPr>
        <w:t>Leora</w:t>
      </w:r>
      <w:proofErr w:type="spellEnd"/>
      <w:r w:rsidRPr="00050B63">
        <w:rPr>
          <w:rFonts w:ascii="Calibri" w:hAnsi="Calibri" w:cs="Arial"/>
          <w:color w:val="222222"/>
          <w:shd w:val="clear" w:color="auto" w:fill="FFFFFF"/>
        </w:rPr>
        <w:t xml:space="preserve"> I., et al. "Quality of Discharge Practices and Patient Understanding at an Academic Medical </w:t>
      </w:r>
      <w:proofErr w:type="spellStart"/>
      <w:r w:rsidRPr="00050B63">
        <w:rPr>
          <w:rFonts w:ascii="Calibri" w:hAnsi="Calibri" w:cs="Arial"/>
          <w:color w:val="222222"/>
          <w:shd w:val="clear" w:color="auto" w:fill="FFFFFF"/>
        </w:rPr>
        <w:t>CenterDischarge</w:t>
      </w:r>
      <w:proofErr w:type="spellEnd"/>
      <w:r w:rsidRPr="00050B63">
        <w:rPr>
          <w:rFonts w:ascii="Calibri" w:hAnsi="Calibri" w:cs="Arial"/>
          <w:color w:val="222222"/>
          <w:shd w:val="clear" w:color="auto" w:fill="FFFFFF"/>
        </w:rPr>
        <w:t xml:space="preserve"> Process </w:t>
      </w:r>
      <w:proofErr w:type="spellStart"/>
      <w:r w:rsidRPr="00050B63">
        <w:rPr>
          <w:rFonts w:ascii="Calibri" w:hAnsi="Calibri" w:cs="Arial"/>
          <w:color w:val="222222"/>
          <w:shd w:val="clear" w:color="auto" w:fill="FFFFFF"/>
        </w:rPr>
        <w:t>QualityDischarge</w:t>
      </w:r>
      <w:proofErr w:type="spellEnd"/>
      <w:r w:rsidRPr="00050B63">
        <w:rPr>
          <w:rFonts w:ascii="Calibri" w:hAnsi="Calibri" w:cs="Arial"/>
          <w:color w:val="222222"/>
          <w:shd w:val="clear" w:color="auto" w:fill="FFFFFF"/>
        </w:rPr>
        <w:t xml:space="preserve"> Process Quality."</w:t>
      </w:r>
      <w:proofErr w:type="gramEnd"/>
      <w:r w:rsidRPr="00050B63">
        <w:rPr>
          <w:rStyle w:val="apple-converted-space"/>
          <w:rFonts w:ascii="Calibri" w:hAnsi="Calibri" w:cs="Arial"/>
          <w:color w:val="222222"/>
          <w:shd w:val="clear" w:color="auto" w:fill="FFFFFF"/>
        </w:rPr>
        <w:t> </w:t>
      </w:r>
      <w:r w:rsidRPr="00050B63">
        <w:rPr>
          <w:rFonts w:ascii="Calibri" w:hAnsi="Calibri" w:cs="Arial"/>
          <w:i/>
          <w:iCs/>
          <w:color w:val="222222"/>
          <w:shd w:val="clear" w:color="auto" w:fill="FFFFFF"/>
        </w:rPr>
        <w:t>JAMA internal medicine</w:t>
      </w:r>
      <w:r w:rsidRPr="00050B63">
        <w:rPr>
          <w:rStyle w:val="apple-converted-space"/>
          <w:rFonts w:ascii="Calibri" w:hAnsi="Calibri" w:cs="Arial"/>
          <w:color w:val="222222"/>
          <w:shd w:val="clear" w:color="auto" w:fill="FFFFFF"/>
        </w:rPr>
        <w:t> </w:t>
      </w:r>
      <w:r w:rsidRPr="00050B63">
        <w:rPr>
          <w:rFonts w:ascii="Calibri" w:hAnsi="Calibri" w:cs="Arial"/>
          <w:color w:val="222222"/>
          <w:shd w:val="clear" w:color="auto" w:fill="FFFFFF"/>
        </w:rPr>
        <w:t xml:space="preserve">173.18 (2013): 1715-1722. Available at: </w:t>
      </w:r>
      <w:hyperlink r:id="rId24" w:history="1">
        <w:r w:rsidRPr="00050B63">
          <w:rPr>
            <w:rStyle w:val="Hyperlink"/>
            <w:rFonts w:ascii="Calibri" w:hAnsi="Calibri"/>
          </w:rPr>
          <w:t>http://archinte.jamanetwork.com/article.aspx?articleid=1754366</w:t>
        </w:r>
      </w:hyperlink>
      <w:r w:rsidRPr="00050B63">
        <w:rPr>
          <w:rFonts w:ascii="Calibri" w:hAnsi="Calibri"/>
        </w:rPr>
        <w:t xml:space="preserve">. </w:t>
      </w:r>
    </w:p>
    <w:p w:rsidR="00D63E37" w:rsidRPr="00050B63" w:rsidRDefault="00D63E37" w:rsidP="00D63E37">
      <w:pPr>
        <w:pStyle w:val="ListParagraph"/>
        <w:ind w:firstLine="0"/>
        <w:rPr>
          <w:rFonts w:ascii="Calibri" w:hAnsi="Calibri" w:cs="Arial"/>
          <w:color w:val="222222"/>
          <w:shd w:val="clear" w:color="auto" w:fill="FFFFFF"/>
        </w:rPr>
      </w:pPr>
    </w:p>
    <w:p w:rsidR="00D63E37" w:rsidRPr="00050B63" w:rsidRDefault="00D63E37" w:rsidP="00D63E37">
      <w:pPr>
        <w:pStyle w:val="ListParagraph"/>
        <w:ind w:firstLine="0"/>
        <w:rPr>
          <w:rFonts w:ascii="Calibri" w:hAnsi="Calibri" w:cs="Arial"/>
          <w:color w:val="222222"/>
          <w:shd w:val="clear" w:color="auto" w:fill="FFFFFF"/>
        </w:rPr>
      </w:pPr>
      <w:r w:rsidRPr="00050B63">
        <w:rPr>
          <w:rFonts w:ascii="Calibri" w:hAnsi="Calibri" w:cs="Arial"/>
          <w:color w:val="222222"/>
          <w:shd w:val="clear" w:color="auto" w:fill="FFFFFF"/>
        </w:rPr>
        <w:t xml:space="preserve">Description: </w:t>
      </w:r>
      <w:r w:rsidR="00D64461" w:rsidRPr="00050B63">
        <w:rPr>
          <w:rFonts w:ascii="Calibri" w:hAnsi="Calibri" w:cs="Arial"/>
          <w:color w:val="222222"/>
          <w:shd w:val="clear" w:color="auto" w:fill="FFFFFF"/>
        </w:rPr>
        <w:t xml:space="preserve">This study describes the findings of a prospective, observational cohort study of patients discharged from the hospital with a diagnosis of heart failure. The patients were contacted by phone within one week of discharge, and interviewed regarding their post-discharge instructions. </w:t>
      </w:r>
    </w:p>
    <w:p w:rsidR="00D63E37" w:rsidRPr="00050B63" w:rsidRDefault="00D63E37" w:rsidP="00D63E37">
      <w:pPr>
        <w:pStyle w:val="ListParagraph"/>
        <w:ind w:firstLine="0"/>
        <w:rPr>
          <w:rFonts w:ascii="Calibri" w:hAnsi="Calibri" w:cs="Arial"/>
          <w:color w:val="222222"/>
          <w:shd w:val="clear" w:color="auto" w:fill="FFFFFF"/>
        </w:rPr>
      </w:pPr>
    </w:p>
    <w:p w:rsidR="00D63E37" w:rsidRPr="00050B63" w:rsidRDefault="00D63E37" w:rsidP="00D63E37">
      <w:pPr>
        <w:pStyle w:val="ListParagraph"/>
        <w:ind w:firstLine="0"/>
        <w:rPr>
          <w:rFonts w:ascii="Calibri" w:hAnsi="Calibri" w:cs="Arial"/>
          <w:color w:val="222222"/>
          <w:shd w:val="clear" w:color="auto" w:fill="FFFFFF"/>
        </w:rPr>
      </w:pPr>
      <w:r w:rsidRPr="00050B63">
        <w:rPr>
          <w:rFonts w:ascii="Calibri" w:hAnsi="Calibri" w:cs="Arial"/>
          <w:color w:val="222222"/>
          <w:shd w:val="clear" w:color="auto" w:fill="FFFFFF"/>
        </w:rPr>
        <w:t xml:space="preserve">Results: </w:t>
      </w:r>
      <w:r w:rsidR="00616BDE" w:rsidRPr="00050B63">
        <w:rPr>
          <w:rFonts w:ascii="Calibri" w:hAnsi="Calibri" w:cs="Arial"/>
          <w:color w:val="222222"/>
          <w:shd w:val="clear" w:color="auto" w:fill="FFFFFF"/>
        </w:rPr>
        <w:t xml:space="preserve">Interviews found that only 32.6% of interviewed patients </w:t>
      </w:r>
      <w:proofErr w:type="gramStart"/>
      <w:r w:rsidR="00616BDE" w:rsidRPr="00050B63">
        <w:rPr>
          <w:rFonts w:ascii="Calibri" w:hAnsi="Calibri" w:cs="Arial"/>
          <w:color w:val="222222"/>
          <w:shd w:val="clear" w:color="auto" w:fill="FFFFFF"/>
        </w:rPr>
        <w:t>were  discharged</w:t>
      </w:r>
      <w:proofErr w:type="gramEnd"/>
      <w:r w:rsidR="00616BDE" w:rsidRPr="00050B63">
        <w:rPr>
          <w:rFonts w:ascii="Calibri" w:hAnsi="Calibri" w:cs="Arial"/>
          <w:color w:val="222222"/>
          <w:shd w:val="clear" w:color="auto" w:fill="FFFFFF"/>
        </w:rPr>
        <w:t xml:space="preserve"> with an appointment for a follow up primary care or cardiovascular visit. </w:t>
      </w:r>
    </w:p>
    <w:p w:rsidR="00D63E37" w:rsidRPr="00050B63" w:rsidRDefault="00D63E37" w:rsidP="00D63E37">
      <w:pPr>
        <w:pStyle w:val="ListParagraph"/>
        <w:ind w:firstLine="0"/>
        <w:rPr>
          <w:rFonts w:ascii="Calibri" w:hAnsi="Calibri" w:cs="Arial"/>
          <w:color w:val="222222"/>
          <w:shd w:val="clear" w:color="auto" w:fill="FFFFFF"/>
        </w:rPr>
      </w:pPr>
    </w:p>
    <w:p w:rsidR="00D63E37" w:rsidRPr="00050B63" w:rsidRDefault="00D63E37" w:rsidP="00D63E37">
      <w:pPr>
        <w:pStyle w:val="ListParagraph"/>
        <w:ind w:firstLine="0"/>
        <w:rPr>
          <w:rFonts w:ascii="Calibri" w:hAnsi="Calibri" w:cs="Arial"/>
          <w:color w:val="222222"/>
          <w:shd w:val="clear" w:color="auto" w:fill="FFFFFF"/>
        </w:rPr>
      </w:pPr>
      <w:r w:rsidRPr="00050B63">
        <w:rPr>
          <w:rFonts w:ascii="Calibri" w:hAnsi="Calibri" w:cs="Arial"/>
          <w:color w:val="222222"/>
          <w:shd w:val="clear" w:color="auto" w:fill="FFFFFF"/>
        </w:rPr>
        <w:t xml:space="preserve">Impact on conclusions of systematic review: </w:t>
      </w:r>
      <w:r w:rsidR="00616BDE" w:rsidRPr="00050B63">
        <w:rPr>
          <w:rFonts w:ascii="Calibri" w:hAnsi="Calibri" w:cs="Arial"/>
          <w:color w:val="222222"/>
          <w:shd w:val="clear" w:color="auto" w:fill="FFFFFF"/>
        </w:rPr>
        <w:t xml:space="preserve">This study supports the evidence of a gap in practice. </w:t>
      </w:r>
    </w:p>
    <w:p w:rsidR="00D64461" w:rsidRPr="00050B63" w:rsidRDefault="00D64461" w:rsidP="00D64461">
      <w:pPr>
        <w:pStyle w:val="ListParagraph"/>
        <w:ind w:firstLine="0"/>
      </w:pPr>
    </w:p>
    <w:p w:rsidR="00DA36D1" w:rsidRPr="00050B63" w:rsidRDefault="00FD11AF">
      <w:pPr>
        <w:ind w:left="0" w:firstLine="0"/>
        <w:rPr>
          <w:rFonts w:asciiTheme="minorHAnsi" w:hAnsiTheme="minorHAnsi"/>
        </w:rPr>
      </w:pPr>
      <w:r w:rsidRPr="00050B63">
        <w:rPr>
          <w:rFonts w:asciiTheme="minorHAnsi" w:hAnsiTheme="minorHAnsi"/>
          <w:b/>
          <w:smallCaps/>
        </w:rPr>
        <w:t>_________________________</w:t>
      </w:r>
    </w:p>
    <w:p w:rsidR="00DA36D1" w:rsidRPr="00050B63" w:rsidRDefault="00FD11AF">
      <w:pPr>
        <w:ind w:left="0" w:firstLine="0"/>
        <w:rPr>
          <w:rFonts w:asciiTheme="minorHAnsi" w:hAnsiTheme="minorHAnsi"/>
        </w:rPr>
      </w:pPr>
      <w:bookmarkStart w:id="11" w:name="h.17dp8vu" w:colFirst="0" w:colLast="0"/>
      <w:bookmarkEnd w:id="11"/>
      <w:r w:rsidRPr="00050B63">
        <w:rPr>
          <w:rFonts w:asciiTheme="minorHAnsi" w:hAnsiTheme="minorHAnsi"/>
          <w:b/>
          <w:color w:val="0000FF"/>
        </w:rPr>
        <w:t xml:space="preserve">1a.8 </w:t>
      </w:r>
      <w:r w:rsidRPr="00050B63">
        <w:rPr>
          <w:rFonts w:asciiTheme="minorHAnsi" w:hAnsiTheme="minorHAnsi"/>
          <w:b/>
        </w:rPr>
        <w:t>OTHER SOURCE OF EVIDENCE</w:t>
      </w:r>
    </w:p>
    <w:p w:rsidR="00DA36D1" w:rsidRPr="00050B63" w:rsidRDefault="00FD11AF">
      <w:pPr>
        <w:ind w:left="0" w:firstLine="0"/>
        <w:rPr>
          <w:rFonts w:asciiTheme="minorHAnsi" w:hAnsiTheme="minorHAnsi"/>
        </w:rPr>
      </w:pPr>
      <w:r w:rsidRPr="00050B63">
        <w:rPr>
          <w:rFonts w:asciiTheme="minorHAnsi" w:hAnsiTheme="minorHAnsi"/>
          <w:i/>
        </w:rPr>
        <w:t>If source of evidence is NOT from a clinical practice guideline, USPSTF, or systematic review, please describe the evidence on which you are basing the performance measure.</w:t>
      </w:r>
    </w:p>
    <w:p w:rsidR="00DA36D1" w:rsidRPr="00050B63" w:rsidRDefault="00DA36D1">
      <w:pPr>
        <w:ind w:left="0" w:firstLine="0"/>
        <w:rPr>
          <w:rFonts w:asciiTheme="minorHAnsi" w:hAnsiTheme="minorHAnsi"/>
        </w:rPr>
      </w:pPr>
    </w:p>
    <w:p w:rsidR="00DA36D1" w:rsidRPr="00050B63" w:rsidRDefault="00FD11AF">
      <w:pPr>
        <w:ind w:left="0" w:firstLine="0"/>
        <w:rPr>
          <w:rFonts w:asciiTheme="minorHAnsi" w:hAnsiTheme="minorHAnsi"/>
        </w:rPr>
      </w:pPr>
      <w:r w:rsidRPr="00050B63">
        <w:rPr>
          <w:rFonts w:asciiTheme="minorHAnsi" w:hAnsiTheme="minorHAnsi"/>
          <w:b/>
          <w:color w:val="0000FF"/>
        </w:rPr>
        <w:t>1a.8.1</w:t>
      </w:r>
      <w:r w:rsidRPr="00050B63">
        <w:rPr>
          <w:rFonts w:asciiTheme="minorHAnsi" w:hAnsiTheme="minorHAnsi"/>
          <w:color w:val="0070C0"/>
        </w:rPr>
        <w:t xml:space="preserve"> </w:t>
      </w:r>
      <w:proofErr w:type="gramStart"/>
      <w:r w:rsidRPr="00050B63">
        <w:rPr>
          <w:rFonts w:asciiTheme="minorHAnsi" w:hAnsiTheme="minorHAnsi"/>
          <w:b/>
        </w:rPr>
        <w:t>What</w:t>
      </w:r>
      <w:proofErr w:type="gramEnd"/>
      <w:r w:rsidRPr="00050B63">
        <w:rPr>
          <w:rFonts w:asciiTheme="minorHAnsi" w:hAnsiTheme="minorHAnsi"/>
          <w:b/>
        </w:rPr>
        <w:t xml:space="preserve"> process was used to identify the evidence?</w:t>
      </w:r>
    </w:p>
    <w:p w:rsidR="00DA36D1" w:rsidRPr="00050B63" w:rsidRDefault="00DA36D1">
      <w:pPr>
        <w:ind w:left="0" w:firstLine="0"/>
        <w:rPr>
          <w:rFonts w:asciiTheme="minorHAnsi" w:hAnsiTheme="minorHAnsi"/>
        </w:rPr>
      </w:pPr>
    </w:p>
    <w:p w:rsidR="00DA36D1" w:rsidRPr="00050B63" w:rsidRDefault="00FD11AF">
      <w:pPr>
        <w:ind w:left="0" w:firstLine="0"/>
        <w:rPr>
          <w:rFonts w:asciiTheme="minorHAnsi" w:hAnsiTheme="minorHAnsi"/>
        </w:rPr>
      </w:pPr>
      <w:r w:rsidRPr="00050B63">
        <w:rPr>
          <w:rFonts w:asciiTheme="minorHAnsi" w:hAnsiTheme="minorHAnsi"/>
          <w:b/>
          <w:color w:val="0000FF"/>
        </w:rPr>
        <w:t>1a.8.2.</w:t>
      </w:r>
      <w:r w:rsidRPr="00050B63">
        <w:rPr>
          <w:rFonts w:asciiTheme="minorHAnsi" w:hAnsiTheme="minorHAnsi"/>
          <w:color w:val="0070C0"/>
        </w:rPr>
        <w:t xml:space="preserve"> </w:t>
      </w:r>
      <w:r w:rsidRPr="00050B63">
        <w:rPr>
          <w:rFonts w:asciiTheme="minorHAnsi" w:hAnsiTheme="minorHAnsi"/>
          <w:b/>
        </w:rPr>
        <w:t>Provide the citation and summary for each piece of evidence.</w:t>
      </w:r>
    </w:p>
    <w:sectPr w:rsidR="00DA36D1" w:rsidRPr="00050B63">
      <w:headerReference w:type="default" r:id="rId25"/>
      <w:footerReference w:type="default" r:id="rId26"/>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56B4" w:rsidRDefault="004756B4">
      <w:r>
        <w:separator/>
      </w:r>
    </w:p>
  </w:endnote>
  <w:endnote w:type="continuationSeparator" w:id="0">
    <w:p w:rsidR="004756B4" w:rsidRDefault="004756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l?r ?S?V?b?N"/>
    <w:panose1 w:val="020B06090702050802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AGaramond-Bold">
    <w:panose1 w:val="00000000000000000000"/>
    <w:charset w:val="00"/>
    <w:family w:val="roman"/>
    <w:notTrueType/>
    <w:pitch w:val="default"/>
    <w:sig w:usb0="00000003" w:usb1="00000000" w:usb2="00000000" w:usb3="00000000" w:csb0="00000001" w:csb1="00000000"/>
  </w:font>
  <w:font w:name="GillSans-Bold">
    <w:panose1 w:val="00000000000000000000"/>
    <w:charset w:val="00"/>
    <w:family w:val="roman"/>
    <w:notTrueType/>
    <w:pitch w:val="default"/>
    <w:sig w:usb0="00000003" w:usb1="00000000" w:usb2="00000000" w:usb3="00000000" w:csb0="00000001" w:csb1="00000000"/>
  </w:font>
  <w:font w:name="AdvOT3c2d9f11">
    <w:panose1 w:val="00000000000000000000"/>
    <w:charset w:val="00"/>
    <w:family w:val="roman"/>
    <w:notTrueType/>
    <w:pitch w:val="default"/>
    <w:sig w:usb0="00000003" w:usb1="00000000" w:usb2="00000000" w:usb3="00000000" w:csb0="00000001" w:csb1="00000000"/>
  </w:font>
  <w:font w:name="AdvOT3c2d9f11+20">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6D1" w:rsidRDefault="00FD11AF">
    <w:pPr>
      <w:tabs>
        <w:tab w:val="center" w:pos="4680"/>
        <w:tab w:val="right" w:pos="9360"/>
      </w:tabs>
    </w:pPr>
    <w:r>
      <w:t xml:space="preserve">Version </w:t>
    </w:r>
    <w:proofErr w:type="gramStart"/>
    <w:r>
      <w:t>6.5  08</w:t>
    </w:r>
    <w:proofErr w:type="gramEnd"/>
    <w:r>
      <w:t>/20/13</w:t>
    </w:r>
    <w:r>
      <w:fldChar w:fldCharType="begin"/>
    </w:r>
    <w:r>
      <w:instrText>PAGE</w:instrText>
    </w:r>
    <w:r>
      <w:fldChar w:fldCharType="separate"/>
    </w:r>
    <w:r w:rsidR="005F6366">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56B4" w:rsidRDefault="004756B4">
      <w:r>
        <w:separator/>
      </w:r>
    </w:p>
  </w:footnote>
  <w:footnote w:type="continuationSeparator" w:id="0">
    <w:p w:rsidR="004756B4" w:rsidRDefault="004756B4">
      <w:r>
        <w:continuationSeparator/>
      </w:r>
    </w:p>
  </w:footnote>
  <w:footnote w:id="1">
    <w:p w:rsidR="00C36754" w:rsidRPr="00050B63" w:rsidRDefault="00C36754" w:rsidP="00C36754">
      <w:pPr>
        <w:pStyle w:val="FootnoteText"/>
        <w:rPr>
          <w:rFonts w:asciiTheme="minorHAnsi" w:hAnsiTheme="minorHAnsi"/>
        </w:rPr>
      </w:pPr>
      <w:r w:rsidRPr="00050B63">
        <w:rPr>
          <w:rStyle w:val="FootnoteReference"/>
          <w:rFonts w:asciiTheme="minorHAnsi" w:hAnsiTheme="minorHAnsi"/>
        </w:rPr>
        <w:footnoteRef/>
      </w:r>
      <w:r w:rsidRPr="00050B63">
        <w:rPr>
          <w:rFonts w:asciiTheme="minorHAnsi" w:hAnsiTheme="minorHAnsi"/>
        </w:rPr>
        <w:t xml:space="preserve"> </w:t>
      </w:r>
      <w:proofErr w:type="spellStart"/>
      <w:r w:rsidRPr="00050B63">
        <w:rPr>
          <w:rFonts w:asciiTheme="minorHAnsi" w:hAnsiTheme="minorHAnsi"/>
        </w:rPr>
        <w:t>Riegel</w:t>
      </w:r>
      <w:proofErr w:type="spellEnd"/>
      <w:r w:rsidRPr="00050B63">
        <w:rPr>
          <w:rFonts w:asciiTheme="minorHAnsi" w:hAnsiTheme="minorHAnsi"/>
        </w:rPr>
        <w:t xml:space="preserve"> B, Carlson B, Kopp Z, et al. Effect of a standardized nurse case-management telephone intervention on</w:t>
      </w:r>
    </w:p>
    <w:p w:rsidR="00C36754" w:rsidRPr="00050B63" w:rsidRDefault="00C36754" w:rsidP="00C36754">
      <w:pPr>
        <w:pStyle w:val="FootnoteText"/>
        <w:rPr>
          <w:rFonts w:asciiTheme="minorHAnsi" w:hAnsiTheme="minorHAnsi"/>
        </w:rPr>
      </w:pPr>
      <w:proofErr w:type="gramStart"/>
      <w:r w:rsidRPr="00050B63">
        <w:rPr>
          <w:rFonts w:asciiTheme="minorHAnsi" w:hAnsiTheme="minorHAnsi"/>
        </w:rPr>
        <w:t>resource</w:t>
      </w:r>
      <w:proofErr w:type="gramEnd"/>
      <w:r w:rsidRPr="00050B63">
        <w:rPr>
          <w:rFonts w:asciiTheme="minorHAnsi" w:hAnsiTheme="minorHAnsi"/>
        </w:rPr>
        <w:t xml:space="preserve"> use in patients with chronic heart failure. Arch Intern Med. 2002</w:t>
      </w:r>
      <w:proofErr w:type="gramStart"/>
      <w:r w:rsidRPr="00050B63">
        <w:rPr>
          <w:rFonts w:asciiTheme="minorHAnsi" w:hAnsiTheme="minorHAnsi"/>
        </w:rPr>
        <w:t>;162:705</w:t>
      </w:r>
      <w:proofErr w:type="gramEnd"/>
      <w:r w:rsidRPr="00050B63">
        <w:rPr>
          <w:rFonts w:asciiTheme="minorHAnsi" w:hAnsiTheme="minorHAnsi"/>
        </w:rPr>
        <w:t>-12.</w:t>
      </w:r>
    </w:p>
  </w:footnote>
  <w:footnote w:id="2">
    <w:p w:rsidR="00C36754" w:rsidRPr="00050B63" w:rsidRDefault="00C36754" w:rsidP="00C36754">
      <w:pPr>
        <w:autoSpaceDE w:val="0"/>
        <w:autoSpaceDN w:val="0"/>
        <w:adjustRightInd w:val="0"/>
        <w:ind w:left="0" w:firstLine="0"/>
        <w:rPr>
          <w:rFonts w:asciiTheme="minorHAnsi" w:eastAsiaTheme="minorEastAsia" w:hAnsiTheme="minorHAnsi" w:cs="AdvOT3c2d9f11"/>
          <w:color w:val="auto"/>
          <w:sz w:val="20"/>
          <w:szCs w:val="20"/>
        </w:rPr>
      </w:pPr>
      <w:r w:rsidRPr="00050B63">
        <w:rPr>
          <w:rStyle w:val="FootnoteReference"/>
          <w:rFonts w:asciiTheme="minorHAnsi" w:hAnsiTheme="minorHAnsi"/>
          <w:sz w:val="20"/>
          <w:szCs w:val="20"/>
        </w:rPr>
        <w:footnoteRef/>
      </w:r>
      <w:r w:rsidRPr="00050B63">
        <w:rPr>
          <w:rFonts w:asciiTheme="minorHAnsi" w:hAnsiTheme="minorHAnsi"/>
          <w:sz w:val="20"/>
          <w:szCs w:val="20"/>
        </w:rPr>
        <w:t xml:space="preserve"> </w:t>
      </w:r>
      <w:proofErr w:type="gramStart"/>
      <w:r w:rsidRPr="00050B63">
        <w:rPr>
          <w:rFonts w:asciiTheme="minorHAnsi" w:eastAsiaTheme="minorEastAsia" w:hAnsiTheme="minorHAnsi" w:cs="AdvOT3c2d9f11"/>
          <w:color w:val="auto"/>
          <w:sz w:val="20"/>
          <w:szCs w:val="20"/>
        </w:rPr>
        <w:t>Rich MW, Beckham V, Wittenberg C, et al.</w:t>
      </w:r>
      <w:proofErr w:type="gramEnd"/>
      <w:r w:rsidRPr="00050B63">
        <w:rPr>
          <w:rFonts w:asciiTheme="minorHAnsi" w:eastAsiaTheme="minorEastAsia" w:hAnsiTheme="minorHAnsi" w:cs="AdvOT3c2d9f11"/>
          <w:color w:val="auto"/>
          <w:sz w:val="20"/>
          <w:szCs w:val="20"/>
        </w:rPr>
        <w:t xml:space="preserve"> </w:t>
      </w:r>
      <w:proofErr w:type="gramStart"/>
      <w:r w:rsidRPr="00050B63">
        <w:rPr>
          <w:rFonts w:asciiTheme="minorHAnsi" w:eastAsiaTheme="minorEastAsia" w:hAnsiTheme="minorHAnsi" w:cs="AdvOT3c2d9f11"/>
          <w:color w:val="auto"/>
          <w:sz w:val="20"/>
          <w:szCs w:val="20"/>
        </w:rPr>
        <w:t>A multidisciplinary intervention to prevent the readmission of elderly patients with congestive heart failure.</w:t>
      </w:r>
      <w:proofErr w:type="gramEnd"/>
      <w:r w:rsidRPr="00050B63">
        <w:rPr>
          <w:rFonts w:asciiTheme="minorHAnsi" w:eastAsiaTheme="minorEastAsia" w:hAnsiTheme="minorHAnsi" w:cs="AdvOT3c2d9f11"/>
          <w:color w:val="auto"/>
          <w:sz w:val="20"/>
          <w:szCs w:val="20"/>
        </w:rPr>
        <w:t xml:space="preserve"> N </w:t>
      </w:r>
      <w:proofErr w:type="spellStart"/>
      <w:r w:rsidRPr="00050B63">
        <w:rPr>
          <w:rFonts w:asciiTheme="minorHAnsi" w:eastAsiaTheme="minorEastAsia" w:hAnsiTheme="minorHAnsi" w:cs="AdvOT3c2d9f11"/>
          <w:color w:val="auto"/>
          <w:sz w:val="20"/>
          <w:szCs w:val="20"/>
        </w:rPr>
        <w:t>Engl</w:t>
      </w:r>
      <w:proofErr w:type="spellEnd"/>
      <w:r w:rsidRPr="00050B63">
        <w:rPr>
          <w:rFonts w:asciiTheme="minorHAnsi" w:eastAsiaTheme="minorEastAsia" w:hAnsiTheme="minorHAnsi" w:cs="AdvOT3c2d9f11"/>
          <w:color w:val="auto"/>
          <w:sz w:val="20"/>
          <w:szCs w:val="20"/>
        </w:rPr>
        <w:t xml:space="preserve"> J Med 1995</w:t>
      </w:r>
      <w:proofErr w:type="gramStart"/>
      <w:r w:rsidRPr="00050B63">
        <w:rPr>
          <w:rFonts w:asciiTheme="minorHAnsi" w:eastAsiaTheme="minorEastAsia" w:hAnsiTheme="minorHAnsi" w:cs="AdvOT3c2d9f11"/>
          <w:color w:val="auto"/>
          <w:sz w:val="20"/>
          <w:szCs w:val="20"/>
        </w:rPr>
        <w:t>;333:1190</w:t>
      </w:r>
      <w:proofErr w:type="gramEnd"/>
      <w:r w:rsidRPr="00050B63">
        <w:rPr>
          <w:rFonts w:asciiTheme="minorHAnsi" w:eastAsiaTheme="minorEastAsia" w:hAnsiTheme="minorHAnsi" w:cs="AdvOT3c2d9f11+20"/>
          <w:color w:val="auto"/>
          <w:sz w:val="20"/>
          <w:szCs w:val="20"/>
        </w:rPr>
        <w:t>–</w:t>
      </w:r>
      <w:r w:rsidRPr="00050B63">
        <w:rPr>
          <w:rFonts w:asciiTheme="minorHAnsi" w:eastAsiaTheme="minorEastAsia" w:hAnsiTheme="minorHAnsi" w:cs="AdvOT3c2d9f11"/>
          <w:color w:val="auto"/>
          <w:sz w:val="20"/>
          <w:szCs w:val="20"/>
        </w:rPr>
        <w:t>5.</w:t>
      </w:r>
    </w:p>
  </w:footnote>
  <w:footnote w:id="3">
    <w:p w:rsidR="00D762B0" w:rsidRPr="00050B63" w:rsidRDefault="00D762B0">
      <w:pPr>
        <w:pStyle w:val="FootnoteText"/>
        <w:rPr>
          <w:rFonts w:asciiTheme="minorHAnsi" w:hAnsiTheme="minorHAnsi"/>
        </w:rPr>
      </w:pPr>
      <w:r w:rsidRPr="00050B63">
        <w:rPr>
          <w:rStyle w:val="FootnoteReference"/>
          <w:rFonts w:asciiTheme="minorHAnsi" w:hAnsiTheme="minorHAnsi"/>
        </w:rPr>
        <w:footnoteRef/>
      </w:r>
      <w:r w:rsidRPr="00050B63">
        <w:rPr>
          <w:rFonts w:asciiTheme="minorHAnsi" w:hAnsiTheme="minorHAnsi"/>
        </w:rPr>
        <w:t xml:space="preserve"> </w:t>
      </w:r>
      <w:proofErr w:type="gramStart"/>
      <w:r w:rsidRPr="00050B63">
        <w:rPr>
          <w:rFonts w:asciiTheme="minorHAnsi" w:eastAsiaTheme="minorEastAsia" w:hAnsiTheme="minorHAnsi" w:cs="AdvOT3c2d9f11"/>
          <w:color w:val="auto"/>
        </w:rPr>
        <w:t>Rich MW, Beckham V, Wittenberg C, et al.</w:t>
      </w:r>
      <w:proofErr w:type="gramEnd"/>
      <w:r w:rsidRPr="00050B63">
        <w:rPr>
          <w:rFonts w:asciiTheme="minorHAnsi" w:eastAsiaTheme="minorEastAsia" w:hAnsiTheme="minorHAnsi" w:cs="AdvOT3c2d9f11"/>
          <w:color w:val="auto"/>
        </w:rPr>
        <w:t xml:space="preserve"> </w:t>
      </w:r>
      <w:proofErr w:type="gramStart"/>
      <w:r w:rsidRPr="00050B63">
        <w:rPr>
          <w:rFonts w:asciiTheme="minorHAnsi" w:eastAsiaTheme="minorEastAsia" w:hAnsiTheme="minorHAnsi" w:cs="AdvOT3c2d9f11"/>
          <w:color w:val="auto"/>
        </w:rPr>
        <w:t>A multidisciplinary intervention to prevent the readmission of elderly patients with congestive heart failure.</w:t>
      </w:r>
      <w:proofErr w:type="gramEnd"/>
      <w:r w:rsidRPr="00050B63">
        <w:rPr>
          <w:rFonts w:asciiTheme="minorHAnsi" w:eastAsiaTheme="minorEastAsia" w:hAnsiTheme="minorHAnsi" w:cs="AdvOT3c2d9f11"/>
          <w:color w:val="auto"/>
        </w:rPr>
        <w:t xml:space="preserve"> N </w:t>
      </w:r>
      <w:proofErr w:type="spellStart"/>
      <w:r w:rsidRPr="00050B63">
        <w:rPr>
          <w:rFonts w:asciiTheme="minorHAnsi" w:eastAsiaTheme="minorEastAsia" w:hAnsiTheme="minorHAnsi" w:cs="AdvOT3c2d9f11"/>
          <w:color w:val="auto"/>
        </w:rPr>
        <w:t>Engl</w:t>
      </w:r>
      <w:proofErr w:type="spellEnd"/>
      <w:r w:rsidRPr="00050B63">
        <w:rPr>
          <w:rFonts w:asciiTheme="minorHAnsi" w:eastAsiaTheme="minorEastAsia" w:hAnsiTheme="minorHAnsi" w:cs="AdvOT3c2d9f11"/>
          <w:color w:val="auto"/>
        </w:rPr>
        <w:t xml:space="preserve"> J Med 1995</w:t>
      </w:r>
      <w:proofErr w:type="gramStart"/>
      <w:r w:rsidRPr="00050B63">
        <w:rPr>
          <w:rFonts w:asciiTheme="minorHAnsi" w:eastAsiaTheme="minorEastAsia" w:hAnsiTheme="minorHAnsi" w:cs="AdvOT3c2d9f11"/>
          <w:color w:val="auto"/>
        </w:rPr>
        <w:t>;333:1190</w:t>
      </w:r>
      <w:proofErr w:type="gramEnd"/>
      <w:r w:rsidRPr="00050B63">
        <w:rPr>
          <w:rFonts w:asciiTheme="minorHAnsi" w:eastAsiaTheme="minorEastAsia" w:hAnsiTheme="minorHAnsi" w:cs="AdvOT3c2d9f11+20"/>
          <w:color w:val="auto"/>
        </w:rPr>
        <w:t>–</w:t>
      </w:r>
      <w:r w:rsidRPr="00050B63">
        <w:rPr>
          <w:rFonts w:asciiTheme="minorHAnsi" w:eastAsiaTheme="minorEastAsia" w:hAnsiTheme="minorHAnsi" w:cs="AdvOT3c2d9f11"/>
          <w:color w:val="auto"/>
        </w:rPr>
        <w:t>5.</w:t>
      </w:r>
    </w:p>
  </w:footnote>
  <w:footnote w:id="4">
    <w:p w:rsidR="00D762B0" w:rsidRPr="00D762B0" w:rsidRDefault="00D762B0" w:rsidP="00D762B0">
      <w:pPr>
        <w:autoSpaceDE w:val="0"/>
        <w:autoSpaceDN w:val="0"/>
        <w:adjustRightInd w:val="0"/>
        <w:ind w:left="0" w:firstLine="0"/>
        <w:rPr>
          <w:rFonts w:ascii="AdvOT3c2d9f11" w:eastAsiaTheme="minorEastAsia" w:hAnsi="AdvOT3c2d9f11" w:cs="AdvOT3c2d9f11"/>
          <w:color w:val="auto"/>
          <w:sz w:val="15"/>
          <w:szCs w:val="15"/>
        </w:rPr>
      </w:pPr>
      <w:r w:rsidRPr="00050B63">
        <w:rPr>
          <w:rStyle w:val="FootnoteReference"/>
          <w:rFonts w:asciiTheme="minorHAnsi" w:hAnsiTheme="minorHAnsi"/>
          <w:sz w:val="20"/>
          <w:szCs w:val="20"/>
        </w:rPr>
        <w:footnoteRef/>
      </w:r>
      <w:r w:rsidRPr="00050B63">
        <w:rPr>
          <w:rFonts w:asciiTheme="minorHAnsi" w:hAnsiTheme="minorHAnsi"/>
          <w:sz w:val="20"/>
          <w:szCs w:val="20"/>
        </w:rPr>
        <w:t xml:space="preserve"> </w:t>
      </w:r>
      <w:r w:rsidRPr="00050B63">
        <w:rPr>
          <w:rFonts w:asciiTheme="minorHAnsi" w:eastAsiaTheme="minorEastAsia" w:hAnsiTheme="minorHAnsi" w:cs="AdvOT3c2d9f11"/>
          <w:color w:val="auto"/>
          <w:sz w:val="20"/>
          <w:szCs w:val="20"/>
        </w:rPr>
        <w:t xml:space="preserve">McAlister FA, Stewart S, </w:t>
      </w:r>
      <w:proofErr w:type="spellStart"/>
      <w:r w:rsidRPr="00050B63">
        <w:rPr>
          <w:rFonts w:asciiTheme="minorHAnsi" w:eastAsiaTheme="minorEastAsia" w:hAnsiTheme="minorHAnsi" w:cs="AdvOT3c2d9f11"/>
          <w:color w:val="auto"/>
          <w:sz w:val="20"/>
          <w:szCs w:val="20"/>
        </w:rPr>
        <w:t>Ferrua</w:t>
      </w:r>
      <w:proofErr w:type="spellEnd"/>
      <w:r w:rsidRPr="00050B63">
        <w:rPr>
          <w:rFonts w:asciiTheme="minorHAnsi" w:eastAsiaTheme="minorEastAsia" w:hAnsiTheme="minorHAnsi" w:cs="AdvOT3c2d9f11"/>
          <w:color w:val="auto"/>
          <w:sz w:val="20"/>
          <w:szCs w:val="20"/>
        </w:rPr>
        <w:t xml:space="preserve"> S, et al. Multidisciplinary strategies for the management of heart failure patients at high risk for </w:t>
      </w:r>
      <w:proofErr w:type="spellStart"/>
      <w:r w:rsidRPr="00050B63">
        <w:rPr>
          <w:rFonts w:asciiTheme="minorHAnsi" w:eastAsiaTheme="minorEastAsia" w:hAnsiTheme="minorHAnsi" w:cs="AdvOT3c2d9f11"/>
          <w:color w:val="auto"/>
          <w:sz w:val="20"/>
          <w:szCs w:val="20"/>
        </w:rPr>
        <w:t>admission:a</w:t>
      </w:r>
      <w:proofErr w:type="spellEnd"/>
      <w:r w:rsidRPr="00050B63">
        <w:rPr>
          <w:rFonts w:asciiTheme="minorHAnsi" w:eastAsiaTheme="minorEastAsia" w:hAnsiTheme="minorHAnsi" w:cs="AdvOT3c2d9f11"/>
          <w:color w:val="auto"/>
          <w:sz w:val="20"/>
          <w:szCs w:val="20"/>
        </w:rPr>
        <w:t xml:space="preserve"> systematic review of randomized trials. </w:t>
      </w:r>
      <w:proofErr w:type="spellStart"/>
      <w:r w:rsidRPr="00050B63">
        <w:rPr>
          <w:rFonts w:asciiTheme="minorHAnsi" w:eastAsiaTheme="minorEastAsia" w:hAnsiTheme="minorHAnsi" w:cs="AdvOT3c2d9f11"/>
          <w:color w:val="auto"/>
          <w:sz w:val="20"/>
          <w:szCs w:val="20"/>
        </w:rPr>
        <w:t>JAmColl</w:t>
      </w:r>
      <w:proofErr w:type="spellEnd"/>
      <w:r w:rsidRPr="00050B63">
        <w:rPr>
          <w:rFonts w:asciiTheme="minorHAnsi" w:eastAsiaTheme="minorEastAsia" w:hAnsiTheme="minorHAnsi" w:cs="AdvOT3c2d9f11"/>
          <w:color w:val="auto"/>
          <w:sz w:val="20"/>
          <w:szCs w:val="20"/>
        </w:rPr>
        <w:t xml:space="preserve"> </w:t>
      </w:r>
      <w:proofErr w:type="spellStart"/>
      <w:r w:rsidRPr="00050B63">
        <w:rPr>
          <w:rFonts w:asciiTheme="minorHAnsi" w:eastAsiaTheme="minorEastAsia" w:hAnsiTheme="minorHAnsi" w:cs="AdvOT3c2d9f11"/>
          <w:color w:val="auto"/>
          <w:sz w:val="20"/>
          <w:szCs w:val="20"/>
        </w:rPr>
        <w:t>Cardiol</w:t>
      </w:r>
      <w:proofErr w:type="spellEnd"/>
      <w:r w:rsidRPr="00050B63">
        <w:rPr>
          <w:rFonts w:asciiTheme="minorHAnsi" w:eastAsiaTheme="minorEastAsia" w:hAnsiTheme="minorHAnsi" w:cs="AdvOT3c2d9f11"/>
          <w:color w:val="auto"/>
          <w:sz w:val="20"/>
          <w:szCs w:val="20"/>
        </w:rPr>
        <w:t xml:space="preserve"> 2004</w:t>
      </w:r>
      <w:proofErr w:type="gramStart"/>
      <w:r w:rsidRPr="00050B63">
        <w:rPr>
          <w:rFonts w:asciiTheme="minorHAnsi" w:eastAsiaTheme="minorEastAsia" w:hAnsiTheme="minorHAnsi" w:cs="AdvOT3c2d9f11"/>
          <w:color w:val="auto"/>
          <w:sz w:val="20"/>
          <w:szCs w:val="20"/>
        </w:rPr>
        <w:t>;44:810</w:t>
      </w:r>
      <w:proofErr w:type="gramEnd"/>
      <w:r w:rsidRPr="00050B63">
        <w:rPr>
          <w:rFonts w:asciiTheme="minorHAnsi" w:eastAsiaTheme="minorEastAsia" w:hAnsiTheme="minorHAnsi" w:cs="AdvOT3c2d9f11+20"/>
          <w:color w:val="auto"/>
          <w:sz w:val="20"/>
          <w:szCs w:val="20"/>
        </w:rPr>
        <w:t>–</w:t>
      </w:r>
      <w:r w:rsidRPr="00050B63">
        <w:rPr>
          <w:rFonts w:asciiTheme="minorHAnsi" w:eastAsiaTheme="minorEastAsia" w:hAnsiTheme="minorHAnsi" w:cs="AdvOT3c2d9f11"/>
          <w:color w:val="auto"/>
          <w:sz w:val="20"/>
          <w:szCs w:val="20"/>
        </w:rPr>
        <w:t>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6D1" w:rsidRDefault="00DA36D1">
    <w:pPr>
      <w:tabs>
        <w:tab w:val="center" w:pos="4680"/>
        <w:tab w:val="right" w:pos="9360"/>
      </w:tabs>
      <w:ind w:left="0" w:firstLine="0"/>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24A43"/>
    <w:multiLevelType w:val="hybridMultilevel"/>
    <w:tmpl w:val="699ACBFA"/>
    <w:lvl w:ilvl="0" w:tplc="681C5E48">
      <w:start w:val="1"/>
      <w:numFmt w:val="decimal"/>
      <w:lvlText w:val="%1."/>
      <w:lvlJc w:val="left"/>
      <w:pPr>
        <w:ind w:left="720" w:hanging="360"/>
      </w:pPr>
      <w:rPr>
        <w:rFonts w:ascii="Arial" w:hAnsi="Arial" w:cs="Arial" w:hint="default"/>
        <w:color w:val="222222"/>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3866CD"/>
    <w:multiLevelType w:val="multilevel"/>
    <w:tmpl w:val="2E90A6F4"/>
    <w:lvl w:ilvl="0">
      <w:start w:val="1"/>
      <w:numFmt w:val="bullet"/>
      <w:lvlText w:val="●"/>
      <w:lvlJc w:val="left"/>
      <w:pPr>
        <w:ind w:left="216" w:firstLine="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
    <w:nsid w:val="09CA2C83"/>
    <w:multiLevelType w:val="multilevel"/>
    <w:tmpl w:val="BF20CCEA"/>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3">
    <w:nsid w:val="0DA94946"/>
    <w:multiLevelType w:val="hybridMultilevel"/>
    <w:tmpl w:val="7214E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7AD7ECE"/>
    <w:multiLevelType w:val="multilevel"/>
    <w:tmpl w:val="FBD0DE26"/>
    <w:lvl w:ilvl="0">
      <w:start w:val="1"/>
      <w:numFmt w:val="bullet"/>
      <w:lvlText w:val="●"/>
      <w:lvlJc w:val="left"/>
      <w:pPr>
        <w:ind w:left="216" w:firstLine="0"/>
      </w:pPr>
      <w:rPr>
        <w:rFonts w:ascii="Arial" w:eastAsia="Arial" w:hAnsi="Arial" w:cs="Arial"/>
      </w:rPr>
    </w:lvl>
    <w:lvl w:ilvl="1">
      <w:start w:val="1"/>
      <w:numFmt w:val="bullet"/>
      <w:lvlText w:val="●"/>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5">
    <w:nsid w:val="499F103E"/>
    <w:multiLevelType w:val="hybridMultilevel"/>
    <w:tmpl w:val="9CDE7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2"/>
  </w:num>
  <w:num w:numId="4">
    <w:abstractNumId w:val="3"/>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DA36D1"/>
    <w:rsid w:val="00050B63"/>
    <w:rsid w:val="000908D0"/>
    <w:rsid w:val="00094169"/>
    <w:rsid w:val="000A1CCC"/>
    <w:rsid w:val="001C2C32"/>
    <w:rsid w:val="001D52A7"/>
    <w:rsid w:val="002248AC"/>
    <w:rsid w:val="002264A2"/>
    <w:rsid w:val="00267A1D"/>
    <w:rsid w:val="002B11E5"/>
    <w:rsid w:val="002E0365"/>
    <w:rsid w:val="003343D7"/>
    <w:rsid w:val="003F2A33"/>
    <w:rsid w:val="00406196"/>
    <w:rsid w:val="00420621"/>
    <w:rsid w:val="004756B4"/>
    <w:rsid w:val="00547A68"/>
    <w:rsid w:val="00561DBA"/>
    <w:rsid w:val="005A5EEA"/>
    <w:rsid w:val="005D525B"/>
    <w:rsid w:val="005F6366"/>
    <w:rsid w:val="00616BDE"/>
    <w:rsid w:val="00631690"/>
    <w:rsid w:val="006530DB"/>
    <w:rsid w:val="006A6E9B"/>
    <w:rsid w:val="006E53F1"/>
    <w:rsid w:val="00765F26"/>
    <w:rsid w:val="00781A6C"/>
    <w:rsid w:val="007A5C47"/>
    <w:rsid w:val="007D55B6"/>
    <w:rsid w:val="0085351E"/>
    <w:rsid w:val="008B2EB4"/>
    <w:rsid w:val="008D602E"/>
    <w:rsid w:val="00952B41"/>
    <w:rsid w:val="00B75EDF"/>
    <w:rsid w:val="00B83F13"/>
    <w:rsid w:val="00B90495"/>
    <w:rsid w:val="00C36754"/>
    <w:rsid w:val="00C45488"/>
    <w:rsid w:val="00D63E37"/>
    <w:rsid w:val="00D64461"/>
    <w:rsid w:val="00D762B0"/>
    <w:rsid w:val="00DA36D1"/>
    <w:rsid w:val="00E07FE1"/>
    <w:rsid w:val="00E4520A"/>
    <w:rsid w:val="00E64D36"/>
    <w:rsid w:val="00FD11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pPr>
      <w:spacing w:after="0" w:line="240" w:lineRule="auto"/>
      <w:ind w:left="360" w:hanging="359"/>
    </w:pPr>
    <w:rPr>
      <w:rFonts w:ascii="Calibri" w:eastAsia="Calibri" w:hAnsi="Calibri" w:cs="Calibri"/>
      <w:color w:val="000000"/>
    </w:rPr>
  </w:style>
  <w:style w:type="paragraph" w:styleId="Heading1">
    <w:name w:val="heading 1"/>
    <w:basedOn w:val="Normal"/>
    <w:next w:val="Normal"/>
    <w:pPr>
      <w:spacing w:before="480" w:after="120"/>
      <w:contextualSpacing/>
      <w:outlineLvl w:val="0"/>
    </w:pPr>
    <w:rPr>
      <w:b/>
      <w:sz w:val="48"/>
    </w:rPr>
  </w:style>
  <w:style w:type="paragraph" w:styleId="Heading2">
    <w:name w:val="heading 2"/>
    <w:basedOn w:val="Normal"/>
    <w:next w:val="Normal"/>
    <w:pPr>
      <w:spacing w:before="200"/>
      <w:outlineLvl w:val="1"/>
    </w:pPr>
    <w:rPr>
      <w:rFonts w:ascii="Cambria" w:eastAsia="Cambria" w:hAnsi="Cambria" w:cs="Cambria"/>
      <w:b/>
      <w:color w:val="4F81BD"/>
      <w:sz w:val="26"/>
    </w:rPr>
  </w:style>
  <w:style w:type="paragraph" w:styleId="Heading3">
    <w:name w:val="heading 3"/>
    <w:basedOn w:val="Normal"/>
    <w:next w:val="Normal"/>
    <w:pPr>
      <w:ind w:left="0" w:firstLine="0"/>
      <w:outlineLvl w:val="2"/>
    </w:pPr>
    <w:rPr>
      <w:b/>
    </w:rPr>
  </w:style>
  <w:style w:type="paragraph" w:styleId="Heading4">
    <w:name w:val="heading 4"/>
    <w:basedOn w:val="Normal"/>
    <w:next w:val="Normal"/>
    <w:pPr>
      <w:spacing w:before="240" w:after="40"/>
      <w:contextualSpacing/>
      <w:outlineLvl w:val="3"/>
    </w:pPr>
    <w:rPr>
      <w:b/>
      <w:sz w:val="24"/>
    </w:rPr>
  </w:style>
  <w:style w:type="paragraph" w:styleId="Heading5">
    <w:name w:val="heading 5"/>
    <w:basedOn w:val="Normal"/>
    <w:next w:val="Normal"/>
    <w:pPr>
      <w:spacing w:before="220" w:after="40"/>
      <w:contextualSpacing/>
      <w:outlineLvl w:val="4"/>
    </w:pPr>
    <w:rPr>
      <w:b/>
    </w:rPr>
  </w:style>
  <w:style w:type="paragraph" w:styleId="Heading6">
    <w:name w:val="heading 6"/>
    <w:basedOn w:val="Normal"/>
    <w:next w:val="Normal"/>
    <w:pPr>
      <w:spacing w:before="200" w:after="40"/>
      <w:contextualSpacing/>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contextualSpacing/>
    </w:pPr>
    <w:rPr>
      <w:b/>
      <w:sz w:val="72"/>
    </w:rPr>
  </w:style>
  <w:style w:type="paragraph" w:styleId="Subtitle">
    <w:name w:val="Subtitle"/>
    <w:basedOn w:val="Normal"/>
    <w:next w:val="Normal"/>
    <w:pPr>
      <w:spacing w:before="360" w:after="80"/>
      <w:contextualSpacing/>
    </w:pPr>
    <w:rPr>
      <w:rFonts w:ascii="Georgia" w:eastAsia="Georgia" w:hAnsi="Georgia" w:cs="Georgia"/>
      <w:i/>
      <w:color w:val="666666"/>
      <w:sz w:val="48"/>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Calibri" w:eastAsia="Calibri" w:hAnsi="Calibri" w:cs="Calibri"/>
      <w:color w:val="000000"/>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094169"/>
    <w:rPr>
      <w:rFonts w:ascii="Tahoma" w:hAnsi="Tahoma" w:cs="Tahoma"/>
      <w:sz w:val="16"/>
      <w:szCs w:val="16"/>
    </w:rPr>
  </w:style>
  <w:style w:type="character" w:customStyle="1" w:styleId="BalloonTextChar">
    <w:name w:val="Balloon Text Char"/>
    <w:basedOn w:val="DefaultParagraphFont"/>
    <w:link w:val="BalloonText"/>
    <w:uiPriority w:val="99"/>
    <w:semiHidden/>
    <w:rsid w:val="00094169"/>
    <w:rPr>
      <w:rFonts w:ascii="Tahoma" w:eastAsia="Calibri" w:hAnsi="Tahoma" w:cs="Tahoma"/>
      <w:color w:val="000000"/>
      <w:sz w:val="16"/>
      <w:szCs w:val="16"/>
    </w:rPr>
  </w:style>
  <w:style w:type="paragraph" w:styleId="ListParagraph">
    <w:name w:val="List Paragraph"/>
    <w:basedOn w:val="Normal"/>
    <w:uiPriority w:val="34"/>
    <w:qFormat/>
    <w:rsid w:val="00547A68"/>
    <w:pPr>
      <w:spacing w:after="200" w:line="276" w:lineRule="auto"/>
      <w:ind w:left="720" w:hanging="360"/>
      <w:contextualSpacing/>
    </w:pPr>
    <w:rPr>
      <w:rFonts w:asciiTheme="minorHAnsi" w:eastAsiaTheme="minorEastAsia" w:hAnsiTheme="minorHAnsi" w:cstheme="minorBidi"/>
      <w:color w:val="auto"/>
    </w:rPr>
  </w:style>
  <w:style w:type="character" w:styleId="Hyperlink">
    <w:name w:val="Hyperlink"/>
    <w:basedOn w:val="DefaultParagraphFont"/>
    <w:uiPriority w:val="99"/>
    <w:unhideWhenUsed/>
    <w:rsid w:val="00547A68"/>
    <w:rPr>
      <w:color w:val="0000FF" w:themeColor="hyperlink"/>
      <w:u w:val="single"/>
    </w:rPr>
  </w:style>
  <w:style w:type="paragraph" w:styleId="NormalWeb">
    <w:name w:val="Normal (Web)"/>
    <w:basedOn w:val="Normal"/>
    <w:uiPriority w:val="99"/>
    <w:unhideWhenUsed/>
    <w:rsid w:val="002B11E5"/>
    <w:pPr>
      <w:spacing w:before="100" w:beforeAutospacing="1" w:after="100" w:afterAutospacing="1"/>
      <w:ind w:left="0" w:firstLine="0"/>
    </w:pPr>
    <w:rPr>
      <w:rFonts w:ascii="Times New Roman" w:eastAsiaTheme="minorHAnsi" w:hAnsi="Times New Roman" w:cs="Times New Roman"/>
      <w:color w:val="auto"/>
      <w:sz w:val="24"/>
      <w:szCs w:val="24"/>
    </w:rPr>
  </w:style>
  <w:style w:type="paragraph" w:styleId="Header">
    <w:name w:val="header"/>
    <w:basedOn w:val="Normal"/>
    <w:link w:val="HeaderChar"/>
    <w:uiPriority w:val="99"/>
    <w:unhideWhenUsed/>
    <w:rsid w:val="00B83F13"/>
    <w:pPr>
      <w:tabs>
        <w:tab w:val="center" w:pos="4680"/>
        <w:tab w:val="right" w:pos="9360"/>
      </w:tabs>
    </w:pPr>
  </w:style>
  <w:style w:type="character" w:customStyle="1" w:styleId="HeaderChar">
    <w:name w:val="Header Char"/>
    <w:basedOn w:val="DefaultParagraphFont"/>
    <w:link w:val="Header"/>
    <w:uiPriority w:val="99"/>
    <w:rsid w:val="00B83F13"/>
    <w:rPr>
      <w:rFonts w:ascii="Calibri" w:eastAsia="Calibri" w:hAnsi="Calibri" w:cs="Calibri"/>
      <w:color w:val="000000"/>
    </w:rPr>
  </w:style>
  <w:style w:type="paragraph" w:styleId="Footer">
    <w:name w:val="footer"/>
    <w:basedOn w:val="Normal"/>
    <w:link w:val="FooterChar"/>
    <w:uiPriority w:val="99"/>
    <w:unhideWhenUsed/>
    <w:rsid w:val="00B83F13"/>
    <w:pPr>
      <w:tabs>
        <w:tab w:val="center" w:pos="4680"/>
        <w:tab w:val="right" w:pos="9360"/>
      </w:tabs>
    </w:pPr>
  </w:style>
  <w:style w:type="character" w:customStyle="1" w:styleId="FooterChar">
    <w:name w:val="Footer Char"/>
    <w:basedOn w:val="DefaultParagraphFont"/>
    <w:link w:val="Footer"/>
    <w:uiPriority w:val="99"/>
    <w:rsid w:val="00B83F13"/>
    <w:rPr>
      <w:rFonts w:ascii="Calibri" w:eastAsia="Calibri" w:hAnsi="Calibri" w:cs="Calibri"/>
      <w:color w:val="000000"/>
    </w:rPr>
  </w:style>
  <w:style w:type="character" w:customStyle="1" w:styleId="apple-converted-space">
    <w:name w:val="apple-converted-space"/>
    <w:basedOn w:val="DefaultParagraphFont"/>
    <w:rsid w:val="0085351E"/>
  </w:style>
  <w:style w:type="character" w:customStyle="1" w:styleId="currentchapterlink">
    <w:name w:val="currentchapterlink"/>
    <w:basedOn w:val="DefaultParagraphFont"/>
    <w:rsid w:val="0085351E"/>
  </w:style>
  <w:style w:type="paragraph" w:customStyle="1" w:styleId="Caption1">
    <w:name w:val="Caption1"/>
    <w:basedOn w:val="Normal"/>
    <w:rsid w:val="0085351E"/>
    <w:pPr>
      <w:spacing w:before="100" w:beforeAutospacing="1" w:after="100" w:afterAutospacing="1"/>
      <w:ind w:left="0" w:firstLine="0"/>
    </w:pPr>
    <w:rPr>
      <w:rFonts w:ascii="Times New Roman" w:eastAsia="Times New Roman" w:hAnsi="Times New Roman" w:cs="Times New Roman"/>
      <w:color w:val="auto"/>
      <w:sz w:val="24"/>
      <w:szCs w:val="24"/>
    </w:rPr>
  </w:style>
  <w:style w:type="paragraph" w:styleId="CommentSubject">
    <w:name w:val="annotation subject"/>
    <w:basedOn w:val="CommentText"/>
    <w:next w:val="CommentText"/>
    <w:link w:val="CommentSubjectChar"/>
    <w:uiPriority w:val="99"/>
    <w:semiHidden/>
    <w:unhideWhenUsed/>
    <w:rsid w:val="007D55B6"/>
    <w:rPr>
      <w:b/>
      <w:bCs/>
    </w:rPr>
  </w:style>
  <w:style w:type="character" w:customStyle="1" w:styleId="CommentSubjectChar">
    <w:name w:val="Comment Subject Char"/>
    <w:basedOn w:val="CommentTextChar"/>
    <w:link w:val="CommentSubject"/>
    <w:uiPriority w:val="99"/>
    <w:semiHidden/>
    <w:rsid w:val="007D55B6"/>
    <w:rPr>
      <w:rFonts w:ascii="Calibri" w:eastAsia="Calibri" w:hAnsi="Calibri" w:cs="Calibri"/>
      <w:b/>
      <w:bCs/>
      <w:color w:val="000000"/>
      <w:sz w:val="20"/>
      <w:szCs w:val="20"/>
    </w:rPr>
  </w:style>
  <w:style w:type="paragraph" w:styleId="FootnoteText">
    <w:name w:val="footnote text"/>
    <w:basedOn w:val="Normal"/>
    <w:link w:val="FootnoteTextChar"/>
    <w:uiPriority w:val="99"/>
    <w:semiHidden/>
    <w:unhideWhenUsed/>
    <w:rsid w:val="00C36754"/>
    <w:rPr>
      <w:sz w:val="20"/>
      <w:szCs w:val="20"/>
    </w:rPr>
  </w:style>
  <w:style w:type="character" w:customStyle="1" w:styleId="FootnoteTextChar">
    <w:name w:val="Footnote Text Char"/>
    <w:basedOn w:val="DefaultParagraphFont"/>
    <w:link w:val="FootnoteText"/>
    <w:uiPriority w:val="99"/>
    <w:semiHidden/>
    <w:rsid w:val="00C36754"/>
    <w:rPr>
      <w:rFonts w:ascii="Calibri" w:eastAsia="Calibri" w:hAnsi="Calibri" w:cs="Calibri"/>
      <w:color w:val="000000"/>
      <w:sz w:val="20"/>
      <w:szCs w:val="20"/>
    </w:rPr>
  </w:style>
  <w:style w:type="character" w:styleId="FootnoteReference">
    <w:name w:val="footnote reference"/>
    <w:basedOn w:val="DefaultParagraphFont"/>
    <w:uiPriority w:val="99"/>
    <w:semiHidden/>
    <w:unhideWhenUsed/>
    <w:rsid w:val="00C36754"/>
    <w:rPr>
      <w:vertAlign w:val="superscript"/>
    </w:rPr>
  </w:style>
  <w:style w:type="paragraph" w:styleId="EndnoteText">
    <w:name w:val="endnote text"/>
    <w:basedOn w:val="Normal"/>
    <w:link w:val="EndnoteTextChar"/>
    <w:uiPriority w:val="99"/>
    <w:semiHidden/>
    <w:unhideWhenUsed/>
    <w:rsid w:val="00C36754"/>
    <w:rPr>
      <w:sz w:val="20"/>
      <w:szCs w:val="20"/>
    </w:rPr>
  </w:style>
  <w:style w:type="character" w:customStyle="1" w:styleId="EndnoteTextChar">
    <w:name w:val="Endnote Text Char"/>
    <w:basedOn w:val="DefaultParagraphFont"/>
    <w:link w:val="EndnoteText"/>
    <w:uiPriority w:val="99"/>
    <w:semiHidden/>
    <w:rsid w:val="00C36754"/>
    <w:rPr>
      <w:rFonts w:ascii="Calibri" w:eastAsia="Calibri" w:hAnsi="Calibri" w:cs="Calibri"/>
      <w:color w:val="000000"/>
      <w:sz w:val="20"/>
      <w:szCs w:val="20"/>
    </w:rPr>
  </w:style>
  <w:style w:type="character" w:styleId="EndnoteReference">
    <w:name w:val="endnote reference"/>
    <w:basedOn w:val="DefaultParagraphFont"/>
    <w:uiPriority w:val="99"/>
    <w:semiHidden/>
    <w:unhideWhenUsed/>
    <w:rsid w:val="00C36754"/>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pPr>
      <w:spacing w:after="0" w:line="240" w:lineRule="auto"/>
      <w:ind w:left="360" w:hanging="359"/>
    </w:pPr>
    <w:rPr>
      <w:rFonts w:ascii="Calibri" w:eastAsia="Calibri" w:hAnsi="Calibri" w:cs="Calibri"/>
      <w:color w:val="000000"/>
    </w:rPr>
  </w:style>
  <w:style w:type="paragraph" w:styleId="Heading1">
    <w:name w:val="heading 1"/>
    <w:basedOn w:val="Normal"/>
    <w:next w:val="Normal"/>
    <w:pPr>
      <w:spacing w:before="480" w:after="120"/>
      <w:contextualSpacing/>
      <w:outlineLvl w:val="0"/>
    </w:pPr>
    <w:rPr>
      <w:b/>
      <w:sz w:val="48"/>
    </w:rPr>
  </w:style>
  <w:style w:type="paragraph" w:styleId="Heading2">
    <w:name w:val="heading 2"/>
    <w:basedOn w:val="Normal"/>
    <w:next w:val="Normal"/>
    <w:pPr>
      <w:spacing w:before="200"/>
      <w:outlineLvl w:val="1"/>
    </w:pPr>
    <w:rPr>
      <w:rFonts w:ascii="Cambria" w:eastAsia="Cambria" w:hAnsi="Cambria" w:cs="Cambria"/>
      <w:b/>
      <w:color w:val="4F81BD"/>
      <w:sz w:val="26"/>
    </w:rPr>
  </w:style>
  <w:style w:type="paragraph" w:styleId="Heading3">
    <w:name w:val="heading 3"/>
    <w:basedOn w:val="Normal"/>
    <w:next w:val="Normal"/>
    <w:pPr>
      <w:ind w:left="0" w:firstLine="0"/>
      <w:outlineLvl w:val="2"/>
    </w:pPr>
    <w:rPr>
      <w:b/>
    </w:rPr>
  </w:style>
  <w:style w:type="paragraph" w:styleId="Heading4">
    <w:name w:val="heading 4"/>
    <w:basedOn w:val="Normal"/>
    <w:next w:val="Normal"/>
    <w:pPr>
      <w:spacing w:before="240" w:after="40"/>
      <w:contextualSpacing/>
      <w:outlineLvl w:val="3"/>
    </w:pPr>
    <w:rPr>
      <w:b/>
      <w:sz w:val="24"/>
    </w:rPr>
  </w:style>
  <w:style w:type="paragraph" w:styleId="Heading5">
    <w:name w:val="heading 5"/>
    <w:basedOn w:val="Normal"/>
    <w:next w:val="Normal"/>
    <w:pPr>
      <w:spacing w:before="220" w:after="40"/>
      <w:contextualSpacing/>
      <w:outlineLvl w:val="4"/>
    </w:pPr>
    <w:rPr>
      <w:b/>
    </w:rPr>
  </w:style>
  <w:style w:type="paragraph" w:styleId="Heading6">
    <w:name w:val="heading 6"/>
    <w:basedOn w:val="Normal"/>
    <w:next w:val="Normal"/>
    <w:pPr>
      <w:spacing w:before="200" w:after="40"/>
      <w:contextualSpacing/>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contextualSpacing/>
    </w:pPr>
    <w:rPr>
      <w:b/>
      <w:sz w:val="72"/>
    </w:rPr>
  </w:style>
  <w:style w:type="paragraph" w:styleId="Subtitle">
    <w:name w:val="Subtitle"/>
    <w:basedOn w:val="Normal"/>
    <w:next w:val="Normal"/>
    <w:pPr>
      <w:spacing w:before="360" w:after="80"/>
      <w:contextualSpacing/>
    </w:pPr>
    <w:rPr>
      <w:rFonts w:ascii="Georgia" w:eastAsia="Georgia" w:hAnsi="Georgia" w:cs="Georgia"/>
      <w:i/>
      <w:color w:val="666666"/>
      <w:sz w:val="48"/>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Calibri" w:eastAsia="Calibri" w:hAnsi="Calibri" w:cs="Calibri"/>
      <w:color w:val="000000"/>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094169"/>
    <w:rPr>
      <w:rFonts w:ascii="Tahoma" w:hAnsi="Tahoma" w:cs="Tahoma"/>
      <w:sz w:val="16"/>
      <w:szCs w:val="16"/>
    </w:rPr>
  </w:style>
  <w:style w:type="character" w:customStyle="1" w:styleId="BalloonTextChar">
    <w:name w:val="Balloon Text Char"/>
    <w:basedOn w:val="DefaultParagraphFont"/>
    <w:link w:val="BalloonText"/>
    <w:uiPriority w:val="99"/>
    <w:semiHidden/>
    <w:rsid w:val="00094169"/>
    <w:rPr>
      <w:rFonts w:ascii="Tahoma" w:eastAsia="Calibri" w:hAnsi="Tahoma" w:cs="Tahoma"/>
      <w:color w:val="000000"/>
      <w:sz w:val="16"/>
      <w:szCs w:val="16"/>
    </w:rPr>
  </w:style>
  <w:style w:type="paragraph" w:styleId="ListParagraph">
    <w:name w:val="List Paragraph"/>
    <w:basedOn w:val="Normal"/>
    <w:uiPriority w:val="34"/>
    <w:qFormat/>
    <w:rsid w:val="00547A68"/>
    <w:pPr>
      <w:spacing w:after="200" w:line="276" w:lineRule="auto"/>
      <w:ind w:left="720" w:hanging="360"/>
      <w:contextualSpacing/>
    </w:pPr>
    <w:rPr>
      <w:rFonts w:asciiTheme="minorHAnsi" w:eastAsiaTheme="minorEastAsia" w:hAnsiTheme="minorHAnsi" w:cstheme="minorBidi"/>
      <w:color w:val="auto"/>
    </w:rPr>
  </w:style>
  <w:style w:type="character" w:styleId="Hyperlink">
    <w:name w:val="Hyperlink"/>
    <w:basedOn w:val="DefaultParagraphFont"/>
    <w:uiPriority w:val="99"/>
    <w:unhideWhenUsed/>
    <w:rsid w:val="00547A68"/>
    <w:rPr>
      <w:color w:val="0000FF" w:themeColor="hyperlink"/>
      <w:u w:val="single"/>
    </w:rPr>
  </w:style>
  <w:style w:type="paragraph" w:styleId="NormalWeb">
    <w:name w:val="Normal (Web)"/>
    <w:basedOn w:val="Normal"/>
    <w:uiPriority w:val="99"/>
    <w:unhideWhenUsed/>
    <w:rsid w:val="002B11E5"/>
    <w:pPr>
      <w:spacing w:before="100" w:beforeAutospacing="1" w:after="100" w:afterAutospacing="1"/>
      <w:ind w:left="0" w:firstLine="0"/>
    </w:pPr>
    <w:rPr>
      <w:rFonts w:ascii="Times New Roman" w:eastAsiaTheme="minorHAnsi" w:hAnsi="Times New Roman" w:cs="Times New Roman"/>
      <w:color w:val="auto"/>
      <w:sz w:val="24"/>
      <w:szCs w:val="24"/>
    </w:rPr>
  </w:style>
  <w:style w:type="paragraph" w:styleId="Header">
    <w:name w:val="header"/>
    <w:basedOn w:val="Normal"/>
    <w:link w:val="HeaderChar"/>
    <w:uiPriority w:val="99"/>
    <w:unhideWhenUsed/>
    <w:rsid w:val="00B83F13"/>
    <w:pPr>
      <w:tabs>
        <w:tab w:val="center" w:pos="4680"/>
        <w:tab w:val="right" w:pos="9360"/>
      </w:tabs>
    </w:pPr>
  </w:style>
  <w:style w:type="character" w:customStyle="1" w:styleId="HeaderChar">
    <w:name w:val="Header Char"/>
    <w:basedOn w:val="DefaultParagraphFont"/>
    <w:link w:val="Header"/>
    <w:uiPriority w:val="99"/>
    <w:rsid w:val="00B83F13"/>
    <w:rPr>
      <w:rFonts w:ascii="Calibri" w:eastAsia="Calibri" w:hAnsi="Calibri" w:cs="Calibri"/>
      <w:color w:val="000000"/>
    </w:rPr>
  </w:style>
  <w:style w:type="paragraph" w:styleId="Footer">
    <w:name w:val="footer"/>
    <w:basedOn w:val="Normal"/>
    <w:link w:val="FooterChar"/>
    <w:uiPriority w:val="99"/>
    <w:unhideWhenUsed/>
    <w:rsid w:val="00B83F13"/>
    <w:pPr>
      <w:tabs>
        <w:tab w:val="center" w:pos="4680"/>
        <w:tab w:val="right" w:pos="9360"/>
      </w:tabs>
    </w:pPr>
  </w:style>
  <w:style w:type="character" w:customStyle="1" w:styleId="FooterChar">
    <w:name w:val="Footer Char"/>
    <w:basedOn w:val="DefaultParagraphFont"/>
    <w:link w:val="Footer"/>
    <w:uiPriority w:val="99"/>
    <w:rsid w:val="00B83F13"/>
    <w:rPr>
      <w:rFonts w:ascii="Calibri" w:eastAsia="Calibri" w:hAnsi="Calibri" w:cs="Calibri"/>
      <w:color w:val="000000"/>
    </w:rPr>
  </w:style>
  <w:style w:type="character" w:customStyle="1" w:styleId="apple-converted-space">
    <w:name w:val="apple-converted-space"/>
    <w:basedOn w:val="DefaultParagraphFont"/>
    <w:rsid w:val="0085351E"/>
  </w:style>
  <w:style w:type="character" w:customStyle="1" w:styleId="currentchapterlink">
    <w:name w:val="currentchapterlink"/>
    <w:basedOn w:val="DefaultParagraphFont"/>
    <w:rsid w:val="0085351E"/>
  </w:style>
  <w:style w:type="paragraph" w:customStyle="1" w:styleId="Caption1">
    <w:name w:val="Caption1"/>
    <w:basedOn w:val="Normal"/>
    <w:rsid w:val="0085351E"/>
    <w:pPr>
      <w:spacing w:before="100" w:beforeAutospacing="1" w:after="100" w:afterAutospacing="1"/>
      <w:ind w:left="0" w:firstLine="0"/>
    </w:pPr>
    <w:rPr>
      <w:rFonts w:ascii="Times New Roman" w:eastAsia="Times New Roman" w:hAnsi="Times New Roman" w:cs="Times New Roman"/>
      <w:color w:val="auto"/>
      <w:sz w:val="24"/>
      <w:szCs w:val="24"/>
    </w:rPr>
  </w:style>
  <w:style w:type="paragraph" w:styleId="CommentSubject">
    <w:name w:val="annotation subject"/>
    <w:basedOn w:val="CommentText"/>
    <w:next w:val="CommentText"/>
    <w:link w:val="CommentSubjectChar"/>
    <w:uiPriority w:val="99"/>
    <w:semiHidden/>
    <w:unhideWhenUsed/>
    <w:rsid w:val="007D55B6"/>
    <w:rPr>
      <w:b/>
      <w:bCs/>
    </w:rPr>
  </w:style>
  <w:style w:type="character" w:customStyle="1" w:styleId="CommentSubjectChar">
    <w:name w:val="Comment Subject Char"/>
    <w:basedOn w:val="CommentTextChar"/>
    <w:link w:val="CommentSubject"/>
    <w:uiPriority w:val="99"/>
    <w:semiHidden/>
    <w:rsid w:val="007D55B6"/>
    <w:rPr>
      <w:rFonts w:ascii="Calibri" w:eastAsia="Calibri" w:hAnsi="Calibri" w:cs="Calibri"/>
      <w:b/>
      <w:bCs/>
      <w:color w:val="000000"/>
      <w:sz w:val="20"/>
      <w:szCs w:val="20"/>
    </w:rPr>
  </w:style>
  <w:style w:type="paragraph" w:styleId="FootnoteText">
    <w:name w:val="footnote text"/>
    <w:basedOn w:val="Normal"/>
    <w:link w:val="FootnoteTextChar"/>
    <w:uiPriority w:val="99"/>
    <w:semiHidden/>
    <w:unhideWhenUsed/>
    <w:rsid w:val="00C36754"/>
    <w:rPr>
      <w:sz w:val="20"/>
      <w:szCs w:val="20"/>
    </w:rPr>
  </w:style>
  <w:style w:type="character" w:customStyle="1" w:styleId="FootnoteTextChar">
    <w:name w:val="Footnote Text Char"/>
    <w:basedOn w:val="DefaultParagraphFont"/>
    <w:link w:val="FootnoteText"/>
    <w:uiPriority w:val="99"/>
    <w:semiHidden/>
    <w:rsid w:val="00C36754"/>
    <w:rPr>
      <w:rFonts w:ascii="Calibri" w:eastAsia="Calibri" w:hAnsi="Calibri" w:cs="Calibri"/>
      <w:color w:val="000000"/>
      <w:sz w:val="20"/>
      <w:szCs w:val="20"/>
    </w:rPr>
  </w:style>
  <w:style w:type="character" w:styleId="FootnoteReference">
    <w:name w:val="footnote reference"/>
    <w:basedOn w:val="DefaultParagraphFont"/>
    <w:uiPriority w:val="99"/>
    <w:semiHidden/>
    <w:unhideWhenUsed/>
    <w:rsid w:val="00C36754"/>
    <w:rPr>
      <w:vertAlign w:val="superscript"/>
    </w:rPr>
  </w:style>
  <w:style w:type="paragraph" w:styleId="EndnoteText">
    <w:name w:val="endnote text"/>
    <w:basedOn w:val="Normal"/>
    <w:link w:val="EndnoteTextChar"/>
    <w:uiPriority w:val="99"/>
    <w:semiHidden/>
    <w:unhideWhenUsed/>
    <w:rsid w:val="00C36754"/>
    <w:rPr>
      <w:sz w:val="20"/>
      <w:szCs w:val="20"/>
    </w:rPr>
  </w:style>
  <w:style w:type="character" w:customStyle="1" w:styleId="EndnoteTextChar">
    <w:name w:val="Endnote Text Char"/>
    <w:basedOn w:val="DefaultParagraphFont"/>
    <w:link w:val="EndnoteText"/>
    <w:uiPriority w:val="99"/>
    <w:semiHidden/>
    <w:rsid w:val="00C36754"/>
    <w:rPr>
      <w:rFonts w:ascii="Calibri" w:eastAsia="Calibri" w:hAnsi="Calibri" w:cs="Calibri"/>
      <w:color w:val="000000"/>
      <w:sz w:val="20"/>
      <w:szCs w:val="20"/>
    </w:rPr>
  </w:style>
  <w:style w:type="character" w:styleId="EndnoteReference">
    <w:name w:val="endnote reference"/>
    <w:basedOn w:val="DefaultParagraphFont"/>
    <w:uiPriority w:val="99"/>
    <w:semiHidden/>
    <w:unhideWhenUsed/>
    <w:rsid w:val="00C3675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1855847">
      <w:bodyDiv w:val="1"/>
      <w:marLeft w:val="0"/>
      <w:marRight w:val="0"/>
      <w:marTop w:val="0"/>
      <w:marBottom w:val="0"/>
      <w:divBdr>
        <w:top w:val="none" w:sz="0" w:space="0" w:color="auto"/>
        <w:left w:val="none" w:sz="0" w:space="0" w:color="auto"/>
        <w:bottom w:val="none" w:sz="0" w:space="0" w:color="auto"/>
        <w:right w:val="none" w:sz="0" w:space="0" w:color="auto"/>
      </w:divBdr>
    </w:div>
    <w:div w:id="764108100">
      <w:bodyDiv w:val="1"/>
      <w:marLeft w:val="0"/>
      <w:marRight w:val="0"/>
      <w:marTop w:val="0"/>
      <w:marBottom w:val="0"/>
      <w:divBdr>
        <w:top w:val="none" w:sz="0" w:space="0" w:color="auto"/>
        <w:left w:val="none" w:sz="0" w:space="0" w:color="auto"/>
        <w:bottom w:val="none" w:sz="0" w:space="0" w:color="auto"/>
        <w:right w:val="none" w:sz="0" w:space="0" w:color="auto"/>
      </w:divBdr>
    </w:div>
    <w:div w:id="9648942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qualityforum.org/Publications/2010/01/Measurement_Framework__Evaluating_Efficiency_Across_Patient-Focused_Episodes_of_Care.aspx" TargetMode="External"/><Relationship Id="rId18" Type="http://schemas.openxmlformats.org/officeDocument/2006/relationships/diagramColors" Target="diagrams/colors1.xm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emf"/><Relationship Id="rId7" Type="http://schemas.openxmlformats.org/officeDocument/2006/relationships/footnotes" Target="footnotes.xml"/><Relationship Id="rId12" Type="http://schemas.openxmlformats.org/officeDocument/2006/relationships/hyperlink" Target="http://www.gradeworkinggroup.org/publications/index.htm" TargetMode="External"/><Relationship Id="rId17" Type="http://schemas.openxmlformats.org/officeDocument/2006/relationships/diagramQuickStyle" Target="diagrams/quickStyle1.xm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hyperlink" Target="http://dx.doi.org/10.1016/j.jacc.2013.05.019"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uspreventiveservicestaskforce.org/methods.htm" TargetMode="External"/><Relationship Id="rId24" Type="http://schemas.openxmlformats.org/officeDocument/2006/relationships/hyperlink" Target="http://archinte.jamanetwork.com/article.aspx?articleid=1754366" TargetMode="External"/><Relationship Id="rId5" Type="http://schemas.openxmlformats.org/officeDocument/2006/relationships/settings" Target="settings.xml"/><Relationship Id="rId15" Type="http://schemas.openxmlformats.org/officeDocument/2006/relationships/diagramData" Target="diagrams/data1.xml"/><Relationship Id="rId23" Type="http://schemas.openxmlformats.org/officeDocument/2006/relationships/hyperlink" Target="http://onlinelibrary.wiley.com/doi/10.1002/14651858.CD002752.pub3/abstract;jsessionid=A3634890666ADC7093FD6D27171E2F71.f04t01" TargetMode="External"/><Relationship Id="rId28" Type="http://schemas.openxmlformats.org/officeDocument/2006/relationships/theme" Target="theme/theme1.xml"/><Relationship Id="rId10" Type="http://schemas.openxmlformats.org/officeDocument/2006/relationships/hyperlink" Target="http://www.uspreventiveservicestaskforce.org/uspstf/grades.htm" TargetMode="External"/><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hyperlink" Target="http://www.qualityforum.org/Measuring_Performance/Submitting_Standards.aspx" TargetMode="External"/><Relationship Id="rId14" Type="http://schemas.openxmlformats.org/officeDocument/2006/relationships/hyperlink" Target="http://www.aqaalliance.org/files/PrinciplesofEfficiencyMeasurementApril2006.doc" TargetMode="External"/><Relationship Id="rId22" Type="http://schemas.openxmlformats.org/officeDocument/2006/relationships/hyperlink" Target="http://my.americanheart.org/idc/groups/ahamah-public/@wcm/@sop/documents/downloadable/ucm_319826.pdf" TargetMode="External"/><Relationship Id="rId27"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5ED0D3D-C827-4D96-B7BC-943658FC62C2}" type="doc">
      <dgm:prSet loTypeId="urn:microsoft.com/office/officeart/2005/8/layout/process1" loCatId="process" qsTypeId="urn:microsoft.com/office/officeart/2005/8/quickstyle/simple1" qsCatId="simple" csTypeId="urn:microsoft.com/office/officeart/2005/8/colors/accent1_2" csCatId="accent1" phldr="1"/>
      <dgm:spPr/>
    </dgm:pt>
    <dgm:pt modelId="{E429DC2B-38C4-444C-958E-CF1F27C57575}">
      <dgm:prSet phldrT="[Text]"/>
      <dgm:spPr/>
      <dgm:t>
        <a:bodyPr/>
        <a:lstStyle/>
        <a:p>
          <a:r>
            <a:rPr lang="en-US"/>
            <a:t>Post-discharge appointment</a:t>
          </a:r>
        </a:p>
      </dgm:t>
    </dgm:pt>
    <dgm:pt modelId="{53D2FAC1-8128-4EE8-9F49-118120DACFC7}" type="parTrans" cxnId="{9A454E74-43ED-4736-8AD0-57101D694571}">
      <dgm:prSet/>
      <dgm:spPr/>
    </dgm:pt>
    <dgm:pt modelId="{48C02DC5-4418-461F-9077-63A586BBED75}" type="sibTrans" cxnId="{9A454E74-43ED-4736-8AD0-57101D694571}">
      <dgm:prSet/>
      <dgm:spPr/>
      <dgm:t>
        <a:bodyPr/>
        <a:lstStyle/>
        <a:p>
          <a:endParaRPr lang="en-US"/>
        </a:p>
      </dgm:t>
    </dgm:pt>
    <dgm:pt modelId="{D086186F-3EB5-4498-B77D-EB5DE2AFCBFC}">
      <dgm:prSet phldrT="[Text]"/>
      <dgm:spPr/>
      <dgm:t>
        <a:bodyPr/>
        <a:lstStyle/>
        <a:p>
          <a:r>
            <a:rPr lang="en-US"/>
            <a:t>Reduced readmissions</a:t>
          </a:r>
        </a:p>
      </dgm:t>
    </dgm:pt>
    <dgm:pt modelId="{F9870972-DB5E-4854-9C7E-705F23FA49F0}" type="parTrans" cxnId="{A0B6693B-D34F-437A-B276-1093B332A2E2}">
      <dgm:prSet/>
      <dgm:spPr/>
    </dgm:pt>
    <dgm:pt modelId="{57DAD0D3-CCA4-4562-919D-6F550EC1FA92}" type="sibTrans" cxnId="{A0B6693B-D34F-437A-B276-1093B332A2E2}">
      <dgm:prSet/>
      <dgm:spPr/>
      <dgm:t>
        <a:bodyPr/>
        <a:lstStyle/>
        <a:p>
          <a:endParaRPr lang="en-US"/>
        </a:p>
      </dgm:t>
    </dgm:pt>
    <dgm:pt modelId="{D425A61F-F3F3-4394-91AF-9DB3EB9FDFA4}">
      <dgm:prSet phldrT="[Text]"/>
      <dgm:spPr/>
      <dgm:t>
        <a:bodyPr/>
        <a:lstStyle/>
        <a:p>
          <a:r>
            <a:rPr lang="en-US"/>
            <a:t>Improved patient outcomes</a:t>
          </a:r>
        </a:p>
      </dgm:t>
    </dgm:pt>
    <dgm:pt modelId="{342BEBE7-C715-439E-AB4B-7C6E138762BF}" type="parTrans" cxnId="{EDC74BF8-10FB-458E-9091-264E346571FC}">
      <dgm:prSet/>
      <dgm:spPr/>
    </dgm:pt>
    <dgm:pt modelId="{DEF472AA-C86A-4A05-AFDE-244B63ABE510}" type="sibTrans" cxnId="{EDC74BF8-10FB-458E-9091-264E346571FC}">
      <dgm:prSet/>
      <dgm:spPr/>
    </dgm:pt>
    <dgm:pt modelId="{952D7967-702F-4860-A462-8306CB72B5A1}" type="pres">
      <dgm:prSet presAssocID="{75ED0D3D-C827-4D96-B7BC-943658FC62C2}" presName="Name0" presStyleCnt="0">
        <dgm:presLayoutVars>
          <dgm:dir/>
          <dgm:resizeHandles val="exact"/>
        </dgm:presLayoutVars>
      </dgm:prSet>
      <dgm:spPr/>
    </dgm:pt>
    <dgm:pt modelId="{F733D3ED-F379-48F0-A830-2D44A7F3184D}" type="pres">
      <dgm:prSet presAssocID="{E429DC2B-38C4-444C-958E-CF1F27C57575}" presName="node" presStyleLbl="node1" presStyleIdx="0" presStyleCnt="3">
        <dgm:presLayoutVars>
          <dgm:bulletEnabled val="1"/>
        </dgm:presLayoutVars>
      </dgm:prSet>
      <dgm:spPr/>
      <dgm:t>
        <a:bodyPr/>
        <a:lstStyle/>
        <a:p>
          <a:endParaRPr lang="en-US"/>
        </a:p>
      </dgm:t>
    </dgm:pt>
    <dgm:pt modelId="{A65DE764-5C20-438B-92E9-112638C9E7C6}" type="pres">
      <dgm:prSet presAssocID="{48C02DC5-4418-461F-9077-63A586BBED75}" presName="sibTrans" presStyleLbl="sibTrans2D1" presStyleIdx="0" presStyleCnt="2"/>
      <dgm:spPr/>
      <dgm:t>
        <a:bodyPr/>
        <a:lstStyle/>
        <a:p>
          <a:endParaRPr lang="en-US"/>
        </a:p>
      </dgm:t>
    </dgm:pt>
    <dgm:pt modelId="{193193AD-4871-49FC-97A7-A75910A275CA}" type="pres">
      <dgm:prSet presAssocID="{48C02DC5-4418-461F-9077-63A586BBED75}" presName="connectorText" presStyleLbl="sibTrans2D1" presStyleIdx="0" presStyleCnt="2"/>
      <dgm:spPr/>
      <dgm:t>
        <a:bodyPr/>
        <a:lstStyle/>
        <a:p>
          <a:endParaRPr lang="en-US"/>
        </a:p>
      </dgm:t>
    </dgm:pt>
    <dgm:pt modelId="{C0DC4120-E6EB-4C34-BA5F-D798D75A1A89}" type="pres">
      <dgm:prSet presAssocID="{D086186F-3EB5-4498-B77D-EB5DE2AFCBFC}" presName="node" presStyleLbl="node1" presStyleIdx="1" presStyleCnt="3">
        <dgm:presLayoutVars>
          <dgm:bulletEnabled val="1"/>
        </dgm:presLayoutVars>
      </dgm:prSet>
      <dgm:spPr/>
      <dgm:t>
        <a:bodyPr/>
        <a:lstStyle/>
        <a:p>
          <a:endParaRPr lang="en-US"/>
        </a:p>
      </dgm:t>
    </dgm:pt>
    <dgm:pt modelId="{3134C9CC-1EBE-453E-9E18-FF8C6C3431D8}" type="pres">
      <dgm:prSet presAssocID="{57DAD0D3-CCA4-4562-919D-6F550EC1FA92}" presName="sibTrans" presStyleLbl="sibTrans2D1" presStyleIdx="1" presStyleCnt="2"/>
      <dgm:spPr/>
      <dgm:t>
        <a:bodyPr/>
        <a:lstStyle/>
        <a:p>
          <a:endParaRPr lang="en-US"/>
        </a:p>
      </dgm:t>
    </dgm:pt>
    <dgm:pt modelId="{93907AE5-E594-4715-B3A6-244D644798C9}" type="pres">
      <dgm:prSet presAssocID="{57DAD0D3-CCA4-4562-919D-6F550EC1FA92}" presName="connectorText" presStyleLbl="sibTrans2D1" presStyleIdx="1" presStyleCnt="2"/>
      <dgm:spPr/>
      <dgm:t>
        <a:bodyPr/>
        <a:lstStyle/>
        <a:p>
          <a:endParaRPr lang="en-US"/>
        </a:p>
      </dgm:t>
    </dgm:pt>
    <dgm:pt modelId="{EF7058FB-0E50-44A4-AE3E-997083F85431}" type="pres">
      <dgm:prSet presAssocID="{D425A61F-F3F3-4394-91AF-9DB3EB9FDFA4}" presName="node" presStyleLbl="node1" presStyleIdx="2" presStyleCnt="3">
        <dgm:presLayoutVars>
          <dgm:bulletEnabled val="1"/>
        </dgm:presLayoutVars>
      </dgm:prSet>
      <dgm:spPr/>
      <dgm:t>
        <a:bodyPr/>
        <a:lstStyle/>
        <a:p>
          <a:endParaRPr lang="en-US"/>
        </a:p>
      </dgm:t>
    </dgm:pt>
  </dgm:ptLst>
  <dgm:cxnLst>
    <dgm:cxn modelId="{E71FA45F-91AB-4564-AA77-6357F931F5C9}" type="presOf" srcId="{D086186F-3EB5-4498-B77D-EB5DE2AFCBFC}" destId="{C0DC4120-E6EB-4C34-BA5F-D798D75A1A89}" srcOrd="0" destOrd="0" presId="urn:microsoft.com/office/officeart/2005/8/layout/process1"/>
    <dgm:cxn modelId="{A0B6693B-D34F-437A-B276-1093B332A2E2}" srcId="{75ED0D3D-C827-4D96-B7BC-943658FC62C2}" destId="{D086186F-3EB5-4498-B77D-EB5DE2AFCBFC}" srcOrd="1" destOrd="0" parTransId="{F9870972-DB5E-4854-9C7E-705F23FA49F0}" sibTransId="{57DAD0D3-CCA4-4562-919D-6F550EC1FA92}"/>
    <dgm:cxn modelId="{7F24620D-34ED-4D8F-81F8-0F11F4494A39}" type="presOf" srcId="{E429DC2B-38C4-444C-958E-CF1F27C57575}" destId="{F733D3ED-F379-48F0-A830-2D44A7F3184D}" srcOrd="0" destOrd="0" presId="urn:microsoft.com/office/officeart/2005/8/layout/process1"/>
    <dgm:cxn modelId="{9A454E74-43ED-4736-8AD0-57101D694571}" srcId="{75ED0D3D-C827-4D96-B7BC-943658FC62C2}" destId="{E429DC2B-38C4-444C-958E-CF1F27C57575}" srcOrd="0" destOrd="0" parTransId="{53D2FAC1-8128-4EE8-9F49-118120DACFC7}" sibTransId="{48C02DC5-4418-461F-9077-63A586BBED75}"/>
    <dgm:cxn modelId="{ABDB21B6-4B49-41C1-8B32-A6D34216B01B}" type="presOf" srcId="{57DAD0D3-CCA4-4562-919D-6F550EC1FA92}" destId="{93907AE5-E594-4715-B3A6-244D644798C9}" srcOrd="1" destOrd="0" presId="urn:microsoft.com/office/officeart/2005/8/layout/process1"/>
    <dgm:cxn modelId="{18C6D77A-2353-4A43-ADDF-E45EBFF8445D}" type="presOf" srcId="{D425A61F-F3F3-4394-91AF-9DB3EB9FDFA4}" destId="{EF7058FB-0E50-44A4-AE3E-997083F85431}" srcOrd="0" destOrd="0" presId="urn:microsoft.com/office/officeart/2005/8/layout/process1"/>
    <dgm:cxn modelId="{61D7EF0A-F1A4-421A-AE81-784E7820FB0E}" type="presOf" srcId="{57DAD0D3-CCA4-4562-919D-6F550EC1FA92}" destId="{3134C9CC-1EBE-453E-9E18-FF8C6C3431D8}" srcOrd="0" destOrd="0" presId="urn:microsoft.com/office/officeart/2005/8/layout/process1"/>
    <dgm:cxn modelId="{EDC74BF8-10FB-458E-9091-264E346571FC}" srcId="{75ED0D3D-C827-4D96-B7BC-943658FC62C2}" destId="{D425A61F-F3F3-4394-91AF-9DB3EB9FDFA4}" srcOrd="2" destOrd="0" parTransId="{342BEBE7-C715-439E-AB4B-7C6E138762BF}" sibTransId="{DEF472AA-C86A-4A05-AFDE-244B63ABE510}"/>
    <dgm:cxn modelId="{53562A82-947A-4FCD-8B14-C68102F29A64}" type="presOf" srcId="{48C02DC5-4418-461F-9077-63A586BBED75}" destId="{193193AD-4871-49FC-97A7-A75910A275CA}" srcOrd="1" destOrd="0" presId="urn:microsoft.com/office/officeart/2005/8/layout/process1"/>
    <dgm:cxn modelId="{18C089F0-3F76-4788-AA9A-F06219894908}" type="presOf" srcId="{75ED0D3D-C827-4D96-B7BC-943658FC62C2}" destId="{952D7967-702F-4860-A462-8306CB72B5A1}" srcOrd="0" destOrd="0" presId="urn:microsoft.com/office/officeart/2005/8/layout/process1"/>
    <dgm:cxn modelId="{AF5C9BF8-CE2E-4737-82A1-EA9758D87702}" type="presOf" srcId="{48C02DC5-4418-461F-9077-63A586BBED75}" destId="{A65DE764-5C20-438B-92E9-112638C9E7C6}" srcOrd="0" destOrd="0" presId="urn:microsoft.com/office/officeart/2005/8/layout/process1"/>
    <dgm:cxn modelId="{7EC7D653-6D59-4C37-A37E-7AF2498D2881}" type="presParOf" srcId="{952D7967-702F-4860-A462-8306CB72B5A1}" destId="{F733D3ED-F379-48F0-A830-2D44A7F3184D}" srcOrd="0" destOrd="0" presId="urn:microsoft.com/office/officeart/2005/8/layout/process1"/>
    <dgm:cxn modelId="{D949E1A0-4855-45C4-BCD7-9654722DA5D1}" type="presParOf" srcId="{952D7967-702F-4860-A462-8306CB72B5A1}" destId="{A65DE764-5C20-438B-92E9-112638C9E7C6}" srcOrd="1" destOrd="0" presId="urn:microsoft.com/office/officeart/2005/8/layout/process1"/>
    <dgm:cxn modelId="{185B4CA5-9D84-4CF3-BBAB-A858F0BF600B}" type="presParOf" srcId="{A65DE764-5C20-438B-92E9-112638C9E7C6}" destId="{193193AD-4871-49FC-97A7-A75910A275CA}" srcOrd="0" destOrd="0" presId="urn:microsoft.com/office/officeart/2005/8/layout/process1"/>
    <dgm:cxn modelId="{FE27766E-1A10-4E9A-B54D-6B60D5008585}" type="presParOf" srcId="{952D7967-702F-4860-A462-8306CB72B5A1}" destId="{C0DC4120-E6EB-4C34-BA5F-D798D75A1A89}" srcOrd="2" destOrd="0" presId="urn:microsoft.com/office/officeart/2005/8/layout/process1"/>
    <dgm:cxn modelId="{FADED741-D768-48CA-92ED-27D68418F621}" type="presParOf" srcId="{952D7967-702F-4860-A462-8306CB72B5A1}" destId="{3134C9CC-1EBE-453E-9E18-FF8C6C3431D8}" srcOrd="3" destOrd="0" presId="urn:microsoft.com/office/officeart/2005/8/layout/process1"/>
    <dgm:cxn modelId="{B7972E88-BE25-4764-AC74-5793DAA283D3}" type="presParOf" srcId="{3134C9CC-1EBE-453E-9E18-FF8C6C3431D8}" destId="{93907AE5-E594-4715-B3A6-244D644798C9}" srcOrd="0" destOrd="0" presId="urn:microsoft.com/office/officeart/2005/8/layout/process1"/>
    <dgm:cxn modelId="{F38E3720-8316-4BF2-8480-93BD5D7718A7}" type="presParOf" srcId="{952D7967-702F-4860-A462-8306CB72B5A1}" destId="{EF7058FB-0E50-44A4-AE3E-997083F85431}" srcOrd="4" destOrd="0" presId="urn:microsoft.com/office/officeart/2005/8/layout/process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33D3ED-F379-48F0-A830-2D44A7F3184D}">
      <dsp:nvSpPr>
        <dsp:cNvPr id="0" name=""/>
        <dsp:cNvSpPr/>
      </dsp:nvSpPr>
      <dsp:spPr>
        <a:xfrm>
          <a:off x="4822" y="1107021"/>
          <a:ext cx="1441251" cy="98635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Post-discharge appointment</a:t>
          </a:r>
        </a:p>
      </dsp:txBody>
      <dsp:txXfrm>
        <a:off x="33711" y="1135910"/>
        <a:ext cx="1383473" cy="928578"/>
      </dsp:txXfrm>
    </dsp:sp>
    <dsp:sp modelId="{A65DE764-5C20-438B-92E9-112638C9E7C6}">
      <dsp:nvSpPr>
        <dsp:cNvPr id="0" name=""/>
        <dsp:cNvSpPr/>
      </dsp:nvSpPr>
      <dsp:spPr>
        <a:xfrm>
          <a:off x="1590198" y="1421484"/>
          <a:ext cx="305545" cy="35743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a:off x="1590198" y="1492970"/>
        <a:ext cx="213882" cy="214458"/>
      </dsp:txXfrm>
    </dsp:sp>
    <dsp:sp modelId="{C0DC4120-E6EB-4C34-BA5F-D798D75A1A89}">
      <dsp:nvSpPr>
        <dsp:cNvPr id="0" name=""/>
        <dsp:cNvSpPr/>
      </dsp:nvSpPr>
      <dsp:spPr>
        <a:xfrm>
          <a:off x="2022574" y="1107021"/>
          <a:ext cx="1441251" cy="98635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Reduced readmissions</a:t>
          </a:r>
        </a:p>
      </dsp:txBody>
      <dsp:txXfrm>
        <a:off x="2051463" y="1135910"/>
        <a:ext cx="1383473" cy="928578"/>
      </dsp:txXfrm>
    </dsp:sp>
    <dsp:sp modelId="{3134C9CC-1EBE-453E-9E18-FF8C6C3431D8}">
      <dsp:nvSpPr>
        <dsp:cNvPr id="0" name=""/>
        <dsp:cNvSpPr/>
      </dsp:nvSpPr>
      <dsp:spPr>
        <a:xfrm>
          <a:off x="3607950" y="1421484"/>
          <a:ext cx="305545" cy="35743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a:off x="3607950" y="1492970"/>
        <a:ext cx="213882" cy="214458"/>
      </dsp:txXfrm>
    </dsp:sp>
    <dsp:sp modelId="{EF7058FB-0E50-44A4-AE3E-997083F85431}">
      <dsp:nvSpPr>
        <dsp:cNvPr id="0" name=""/>
        <dsp:cNvSpPr/>
      </dsp:nvSpPr>
      <dsp:spPr>
        <a:xfrm>
          <a:off x="4040326" y="1107021"/>
          <a:ext cx="1441251" cy="98635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Improved patient outcomes</a:t>
          </a:r>
        </a:p>
      </dsp:txBody>
      <dsp:txXfrm>
        <a:off x="4069215" y="1135910"/>
        <a:ext cx="1383473" cy="928578"/>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29EB2-2CF8-4327-A354-A7979A03BA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3291</Words>
  <Characters>18760</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Template_MeasSubm_Evidence_2013-08-20 HF postdischarge.docx.docx</vt:lpstr>
    </vt:vector>
  </TitlesOfParts>
  <Company>American Medical Association</Company>
  <LinksUpToDate>false</LinksUpToDate>
  <CharactersWithSpaces>22007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Template_MeasSubm_Evidence_2013-08-20 HF postdischarge.docx.docx</dc:title>
  <dc:creator>Jennifer Heffernan</dc:creator>
  <cp:lastModifiedBy>Jennifer Heffernan</cp:lastModifiedBy>
  <cp:revision>2</cp:revision>
  <cp:lastPrinted>2013-11-27T17:59:00Z</cp:lastPrinted>
  <dcterms:created xsi:type="dcterms:W3CDTF">2013-12-20T21:05:00Z</dcterms:created>
  <dcterms:modified xsi:type="dcterms:W3CDTF">2013-12-20T21:05:00Z</dcterms:modified>
</cp:coreProperties>
</file>