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3D12">
      <w:pPr>
        <w:contextualSpacing/>
        <w:jc w:val="center"/>
        <w:outlineLvl w:val="0"/>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801EEE9" w:rsidR="00927027" w:rsidRDefault="00797624" w:rsidP="00923D12">
      <w:pPr>
        <w:contextualSpacing/>
        <w:outlineLvl w:val="0"/>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0E73F4">
            <w:rPr>
              <w:rStyle w:val="Style1"/>
            </w:rPr>
            <w:t>2459</w:t>
          </w:r>
        </w:sdtContent>
      </w:sdt>
    </w:p>
    <w:p w14:paraId="0CABCF56" w14:textId="502B9698" w:rsidR="00105D8B" w:rsidRPr="00A25024" w:rsidRDefault="00105D8B" w:rsidP="00923D12">
      <w:pPr>
        <w:contextualSpacing/>
        <w:outlineLvl w:val="0"/>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E73F4" w:rsidRPr="00362AEA">
            <w:rPr>
              <w:rStyle w:val="Style1"/>
              <w:rFonts w:asciiTheme="majorHAnsi" w:hAnsiTheme="majorHAnsi"/>
              <w:sz w:val="20"/>
              <w:szCs w:val="20"/>
            </w:rPr>
            <w:t>In-hospital Risk Adjusted Rate of Bleeding Events for patients undergoing PC</w:t>
          </w:r>
        </w:sdtContent>
      </w:sdt>
    </w:p>
    <w:p w14:paraId="0CABCF57" w14:textId="7A8C1E1B" w:rsidR="005C73CA" w:rsidRPr="00450C58" w:rsidRDefault="00105D8B" w:rsidP="009E1846">
      <w:pPr>
        <w:spacing w:after="0"/>
        <w:rPr>
          <w:rStyle w:val="Style2"/>
          <w:rFonts w:cstheme="minorHAnsi"/>
        </w:rPr>
      </w:pPr>
      <w:r w:rsidRPr="00450C58">
        <w:rPr>
          <w:rFonts w:cstheme="minorHAnsi"/>
          <w:b/>
          <w:noProof/>
        </w:rPr>
        <w:t>Date of Submission</w:t>
      </w:r>
      <w:r w:rsidR="000E73F4">
        <w:rPr>
          <w:rFonts w:cstheme="minorHAnsi"/>
          <w:noProof/>
        </w:rPr>
        <w:t>: 08/01/2018</w:t>
      </w:r>
    </w:p>
    <w:p w14:paraId="0CABCF58" w14:textId="77777777" w:rsidR="00CD364B" w:rsidRPr="00450C58" w:rsidRDefault="009E1846" w:rsidP="00923D12">
      <w:pPr>
        <w:spacing w:after="0"/>
        <w:outlineLvl w:val="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4175C367" w:rsidR="000B7D57" w:rsidRPr="00C775CE" w:rsidRDefault="0087340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Content>
                <w:r w:rsidR="005C6C45">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87340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87340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87340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87340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87340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87340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4A5F7D55" w:rsidR="00145149" w:rsidRPr="000F034A" w:rsidRDefault="00145149" w:rsidP="00145149">
            <w:pPr>
              <w:rPr>
                <w:rFonts w:cstheme="minorHAnsi"/>
              </w:rPr>
            </w:pPr>
            <w:r w:rsidRPr="000F034A">
              <w:rPr>
                <w:rFonts w:cstheme="minorHAnsi"/>
              </w:rPr>
              <w:lastRenderedPageBreak/>
              <w:t xml:space="preserve">If patient preference (e.g., informed </w:t>
            </w:r>
            <w:r w:rsidR="00F26AD7"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87340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87340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87340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87340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1674EEA" w:rsidR="00A01494" w:rsidRPr="000F1B7A" w:rsidRDefault="00873401"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222FE523" w:rsidR="00A01494" w:rsidRPr="000F1B7A" w:rsidRDefault="00873401"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87340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87340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87340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87340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87340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87340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FD7C1AB" w14:textId="77777777" w:rsidR="000E73F4" w:rsidRDefault="000E73F4" w:rsidP="00DB3627">
      <w:pPr>
        <w:autoSpaceDE w:val="0"/>
        <w:autoSpaceDN w:val="0"/>
        <w:adjustRightInd w:val="0"/>
        <w:spacing w:after="0" w:line="240" w:lineRule="auto"/>
        <w:rPr>
          <w:rFonts w:cstheme="minorHAnsi"/>
          <w:bCs/>
        </w:rPr>
      </w:pPr>
    </w:p>
    <w:p w14:paraId="5894B242" w14:textId="20FDF3C8" w:rsidR="00366680" w:rsidRPr="000E73F4" w:rsidRDefault="00F26AD7" w:rsidP="00366680">
      <w:pPr>
        <w:autoSpaceDE w:val="0"/>
        <w:autoSpaceDN w:val="0"/>
        <w:adjustRightInd w:val="0"/>
        <w:spacing w:after="0" w:line="240" w:lineRule="auto"/>
        <w:rPr>
          <w:rFonts w:asciiTheme="majorHAnsi" w:hAnsiTheme="majorHAnsi" w:cstheme="minorHAnsi"/>
          <w:color w:val="0070C0"/>
          <w:sz w:val="20"/>
          <w:szCs w:val="20"/>
        </w:rPr>
      </w:pPr>
      <w:r w:rsidRPr="000E73F4">
        <w:rPr>
          <w:rFonts w:asciiTheme="majorHAnsi" w:hAnsiTheme="majorHAnsi" w:cstheme="minorHAnsi"/>
          <w:color w:val="0070C0"/>
          <w:sz w:val="20"/>
          <w:szCs w:val="20"/>
        </w:rPr>
        <w:t xml:space="preserve">We </w:t>
      </w:r>
      <w:r>
        <w:rPr>
          <w:rFonts w:asciiTheme="majorHAnsi" w:hAnsiTheme="majorHAnsi" w:cstheme="minorHAnsi"/>
          <w:color w:val="0070C0"/>
          <w:sz w:val="20"/>
          <w:szCs w:val="20"/>
        </w:rPr>
        <w:t>used</w:t>
      </w:r>
      <w:r w:rsidR="00366680" w:rsidRPr="00F33B08">
        <w:rPr>
          <w:rFonts w:asciiTheme="majorHAnsi" w:hAnsiTheme="majorHAnsi" w:cstheme="minorHAnsi"/>
          <w:color w:val="4F81BD" w:themeColor="accent1"/>
          <w:sz w:val="20"/>
          <w:szCs w:val="20"/>
        </w:rPr>
        <w:t xml:space="preserve"> the </w:t>
      </w:r>
      <w:r w:rsidR="00366680" w:rsidRPr="000E73F4">
        <w:rPr>
          <w:rFonts w:asciiTheme="majorHAnsi" w:hAnsiTheme="majorHAnsi" w:cstheme="minorHAnsi"/>
          <w:color w:val="0070C0"/>
          <w:sz w:val="20"/>
          <w:szCs w:val="20"/>
        </w:rPr>
        <w:t xml:space="preserve">National Cardiovascular Data Registry for </w:t>
      </w:r>
      <w:proofErr w:type="spellStart"/>
      <w:r w:rsidR="00366680" w:rsidRPr="000E73F4">
        <w:rPr>
          <w:rFonts w:asciiTheme="majorHAnsi" w:hAnsiTheme="majorHAnsi" w:cstheme="minorHAnsi"/>
          <w:color w:val="0070C0"/>
          <w:sz w:val="20"/>
          <w:szCs w:val="20"/>
        </w:rPr>
        <w:t>CathPCI</w:t>
      </w:r>
      <w:proofErr w:type="spellEnd"/>
      <w:r w:rsidR="00366680" w:rsidRPr="000E73F4">
        <w:rPr>
          <w:rFonts w:asciiTheme="majorHAnsi" w:hAnsiTheme="majorHAnsi" w:cstheme="minorHAnsi"/>
          <w:color w:val="0070C0"/>
          <w:sz w:val="20"/>
          <w:szCs w:val="20"/>
        </w:rPr>
        <w:t xml:space="preserve"> Registry. This is a national quality improvement registry </w:t>
      </w:r>
      <w:r w:rsidR="00366680">
        <w:rPr>
          <w:rFonts w:asciiTheme="majorHAnsi" w:hAnsiTheme="majorHAnsi" w:cstheme="minorHAnsi"/>
          <w:color w:val="0070C0"/>
          <w:sz w:val="20"/>
          <w:szCs w:val="20"/>
        </w:rPr>
        <w:t>with more than 1200 participating US hospitals</w:t>
      </w:r>
      <w:r w:rsidR="00366680" w:rsidRPr="000E73F4">
        <w:rPr>
          <w:rFonts w:asciiTheme="majorHAnsi" w:hAnsiTheme="majorHAnsi" w:cstheme="minorHAnsi"/>
          <w:color w:val="0070C0"/>
          <w:sz w:val="20"/>
          <w:szCs w:val="20"/>
        </w:rPr>
        <w:t xml:space="preserve">. </w:t>
      </w:r>
      <w:r w:rsidR="00366680">
        <w:rPr>
          <w:rFonts w:asciiTheme="majorHAnsi" w:hAnsiTheme="majorHAnsi" w:cstheme="minorHAnsi"/>
          <w:color w:val="0070C0"/>
          <w:sz w:val="20"/>
          <w:szCs w:val="20"/>
        </w:rPr>
        <w:t xml:space="preserve"> Participation is largely voluntary though some</w:t>
      </w:r>
      <w:r w:rsidR="00366680" w:rsidRPr="000E73F4">
        <w:rPr>
          <w:rFonts w:asciiTheme="majorHAnsi" w:hAnsiTheme="majorHAnsi" w:cstheme="minorHAnsi"/>
          <w:color w:val="0070C0"/>
          <w:sz w:val="20"/>
          <w:szCs w:val="20"/>
        </w:rPr>
        <w:t xml:space="preserve"> states and healthcare systems mandate participation. Rigorous quality standards are applied to the data and both quarterly and ad hoc performance reports are generated for participating centers to track and improve their performance. </w:t>
      </w:r>
    </w:p>
    <w:p w14:paraId="132DB203" w14:textId="77777777" w:rsidR="000E73F4" w:rsidRDefault="000E73F4" w:rsidP="00DB3627">
      <w:pPr>
        <w:autoSpaceDE w:val="0"/>
        <w:autoSpaceDN w:val="0"/>
        <w:adjustRightInd w:val="0"/>
        <w:spacing w:after="0" w:line="240" w:lineRule="auto"/>
        <w:rPr>
          <w:rFonts w:cstheme="minorHAnsi"/>
          <w:bCs/>
        </w:rPr>
      </w:pPr>
    </w:p>
    <w:p w14:paraId="0CABCFAF" w14:textId="77777777" w:rsidR="009E1846"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sidRPr="00076599">
        <w:rPr>
          <w:rFonts w:cstheme="minorHAnsi"/>
          <w:b/>
        </w:rPr>
        <w:t>1</w:t>
      </w:r>
      <w:r w:rsidR="00927027" w:rsidRPr="00076599">
        <w:rPr>
          <w:rFonts w:cstheme="minorHAnsi"/>
          <w:b/>
        </w:rPr>
        <w:t>.</w:t>
      </w:r>
      <w:r w:rsidR="00DB3627" w:rsidRPr="00076599">
        <w:rPr>
          <w:rFonts w:cstheme="minorHAnsi"/>
          <w:b/>
        </w:rPr>
        <w:t xml:space="preserve">3. </w:t>
      </w:r>
      <w:r w:rsidR="000574AB" w:rsidRPr="00076599">
        <w:rPr>
          <w:rFonts w:cstheme="minorHAnsi"/>
          <w:b/>
        </w:rPr>
        <w:t xml:space="preserve">What </w:t>
      </w:r>
      <w:r w:rsidR="000968F8" w:rsidRPr="00076599">
        <w:rPr>
          <w:rFonts w:cstheme="minorHAnsi"/>
          <w:b/>
        </w:rPr>
        <w:t xml:space="preserve">are the </w:t>
      </w:r>
      <w:r w:rsidR="000574AB" w:rsidRPr="00076599">
        <w:rPr>
          <w:rFonts w:cstheme="minorHAnsi"/>
          <w:b/>
        </w:rPr>
        <w:t xml:space="preserve">dates of </w:t>
      </w:r>
      <w:r w:rsidR="000968F8" w:rsidRPr="00076599">
        <w:rPr>
          <w:rFonts w:cstheme="minorHAnsi"/>
          <w:b/>
        </w:rPr>
        <w:t xml:space="preserve">the </w:t>
      </w:r>
      <w:r w:rsidR="000574AB" w:rsidRPr="00076599">
        <w:rPr>
          <w:rFonts w:cstheme="minorHAnsi"/>
          <w:b/>
        </w:rPr>
        <w:t xml:space="preserve">data </w:t>
      </w:r>
      <w:r w:rsidR="000968F8" w:rsidRPr="00076599">
        <w:rPr>
          <w:rFonts w:cstheme="minorHAnsi"/>
          <w:b/>
        </w:rPr>
        <w:t>used in testing</w:t>
      </w:r>
      <w:r w:rsidR="000968F8" w:rsidRPr="00076599">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3180D1E7" w14:textId="77777777"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r w:rsidRPr="000E73F4">
        <w:rPr>
          <w:rFonts w:asciiTheme="majorHAnsi" w:hAnsiTheme="majorHAnsi" w:cstheme="minorHAnsi"/>
          <w:bCs/>
          <w:color w:val="0070C0"/>
          <w:sz w:val="20"/>
          <w:szCs w:val="20"/>
        </w:rPr>
        <w:t xml:space="preserve">We have chosen to use different datasets to provide support for different aspects of the proposed measure. </w:t>
      </w:r>
    </w:p>
    <w:p w14:paraId="6CF3AA1F" w14:textId="33D6C6D9" w:rsidR="000E73F4" w:rsidRPr="000E73F4" w:rsidRDefault="006F7C40" w:rsidP="000E73F4">
      <w:pPr>
        <w:autoSpaceDE w:val="0"/>
        <w:autoSpaceDN w:val="0"/>
        <w:adjustRightInd w:val="0"/>
        <w:spacing w:after="0" w:line="240" w:lineRule="auto"/>
        <w:rPr>
          <w:rFonts w:asciiTheme="majorHAnsi" w:hAnsiTheme="majorHAnsi" w:cs="Times New Roman"/>
          <w:color w:val="0070C0"/>
          <w:sz w:val="20"/>
          <w:szCs w:val="20"/>
          <w:lang w:eastAsia="ja-JP"/>
        </w:rPr>
      </w:pPr>
      <w:r>
        <w:rPr>
          <w:rFonts w:asciiTheme="majorHAnsi" w:hAnsiTheme="majorHAnsi" w:cstheme="minorHAnsi"/>
          <w:bCs/>
          <w:color w:val="0070C0"/>
          <w:sz w:val="20"/>
          <w:szCs w:val="20"/>
        </w:rPr>
        <w:t>1</w:t>
      </w:r>
      <w:r w:rsidR="000E73F4" w:rsidRPr="000E73F4">
        <w:rPr>
          <w:rFonts w:asciiTheme="majorHAnsi" w:hAnsiTheme="majorHAnsi" w:cstheme="minorHAnsi"/>
          <w:bCs/>
          <w:color w:val="0070C0"/>
          <w:sz w:val="20"/>
          <w:szCs w:val="20"/>
        </w:rPr>
        <w:t xml:space="preserve">. Creation of the Bleeding model was performed on all national NCDR data from </w:t>
      </w:r>
      <w:r w:rsidR="000E73F4" w:rsidRPr="000E73F4">
        <w:rPr>
          <w:rFonts w:asciiTheme="majorHAnsi" w:hAnsiTheme="majorHAnsi" w:cs="Times New Roman"/>
          <w:color w:val="0070C0"/>
          <w:sz w:val="20"/>
          <w:szCs w:val="20"/>
          <w:lang w:eastAsia="ja-JP"/>
        </w:rPr>
        <w:t>02/2008–04/2011 and has been used to provide a description and initial performance characteristics of the model.</w:t>
      </w:r>
    </w:p>
    <w:p w14:paraId="5AD26464" w14:textId="5EF341F8" w:rsidR="000E73F4" w:rsidRPr="00F33B08" w:rsidRDefault="006F7C40" w:rsidP="000E73F4">
      <w:pPr>
        <w:autoSpaceDE w:val="0"/>
        <w:autoSpaceDN w:val="0"/>
        <w:adjustRightInd w:val="0"/>
        <w:spacing w:after="0" w:line="240" w:lineRule="auto"/>
        <w:rPr>
          <w:rFonts w:asciiTheme="majorHAnsi" w:hAnsiTheme="majorHAnsi" w:cstheme="minorHAnsi"/>
          <w:bCs/>
          <w:color w:val="FF0000"/>
          <w:sz w:val="20"/>
          <w:szCs w:val="20"/>
        </w:rPr>
      </w:pPr>
      <w:r>
        <w:rPr>
          <w:rFonts w:asciiTheme="majorHAnsi" w:hAnsiTheme="majorHAnsi" w:cs="Times New Roman"/>
          <w:color w:val="FF0000"/>
          <w:sz w:val="20"/>
          <w:szCs w:val="20"/>
          <w:lang w:eastAsia="ja-JP"/>
        </w:rPr>
        <w:t>2</w:t>
      </w:r>
      <w:r w:rsidR="000E73F4" w:rsidRPr="00F33B08">
        <w:rPr>
          <w:rFonts w:asciiTheme="majorHAnsi" w:hAnsiTheme="majorHAnsi" w:cs="Times New Roman"/>
          <w:color w:val="FF0000"/>
          <w:sz w:val="20"/>
          <w:szCs w:val="20"/>
          <w:lang w:eastAsia="ja-JP"/>
        </w:rPr>
        <w:t xml:space="preserve">. </w:t>
      </w:r>
      <w:r w:rsidR="00305F8C" w:rsidRPr="00305F8C">
        <w:rPr>
          <w:rFonts w:asciiTheme="majorHAnsi" w:hAnsiTheme="majorHAnsi" w:cs="Times New Roman"/>
          <w:color w:val="FF0000"/>
          <w:sz w:val="20"/>
          <w:szCs w:val="20"/>
          <w:lang w:eastAsia="ja-JP"/>
        </w:rPr>
        <w:t xml:space="preserve">A validation cohort from the NCDR </w:t>
      </w:r>
      <w:proofErr w:type="spellStart"/>
      <w:r w:rsidR="00305F8C" w:rsidRPr="00305F8C">
        <w:rPr>
          <w:rFonts w:asciiTheme="majorHAnsi" w:hAnsiTheme="majorHAnsi" w:cs="Times New Roman"/>
          <w:color w:val="FF0000"/>
          <w:sz w:val="20"/>
          <w:szCs w:val="20"/>
          <w:lang w:eastAsia="ja-JP"/>
        </w:rPr>
        <w:t>CathPCI</w:t>
      </w:r>
      <w:proofErr w:type="spellEnd"/>
      <w:r w:rsidR="00305F8C" w:rsidRPr="00305F8C">
        <w:rPr>
          <w:rFonts w:asciiTheme="majorHAnsi" w:hAnsiTheme="majorHAnsi" w:cs="Times New Roman"/>
          <w:color w:val="FF0000"/>
          <w:sz w:val="20"/>
          <w:szCs w:val="20"/>
          <w:lang w:eastAsia="ja-JP"/>
        </w:rPr>
        <w:t xml:space="preserve"> was identified (all cases performed between 01/2016-12/2016). These data were also used to assess test-retest reliability of the risk model covariates and validate the </w:t>
      </w:r>
      <w:r w:rsidR="00366680">
        <w:rPr>
          <w:rFonts w:asciiTheme="majorHAnsi" w:hAnsiTheme="majorHAnsi" w:cs="Times New Roman"/>
          <w:color w:val="FF0000"/>
          <w:sz w:val="20"/>
          <w:szCs w:val="20"/>
          <w:lang w:eastAsia="ja-JP"/>
        </w:rPr>
        <w:t xml:space="preserve">association </w:t>
      </w:r>
      <w:r w:rsidR="00305F8C" w:rsidRPr="00305F8C">
        <w:rPr>
          <w:rFonts w:asciiTheme="majorHAnsi" w:hAnsiTheme="majorHAnsi" w:cs="Times New Roman"/>
          <w:color w:val="FF0000"/>
          <w:sz w:val="20"/>
          <w:szCs w:val="20"/>
          <w:lang w:eastAsia="ja-JP"/>
        </w:rPr>
        <w:t>between the predictor variables and bleeding, including model discrimination and calibration.</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305929B9" w:rsidR="000414E8" w:rsidRPr="00A01494" w:rsidRDefault="0087340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56ECAECA" w:rsidR="000414E8" w:rsidRPr="00A01494" w:rsidRDefault="0087340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87340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sidRPr="00076599">
        <w:rPr>
          <w:rFonts w:cstheme="minorHAnsi"/>
          <w:b/>
          <w:bCs/>
        </w:rPr>
        <w:lastRenderedPageBreak/>
        <w:t>1.</w:t>
      </w:r>
      <w:r w:rsidR="00E310B9" w:rsidRPr="00076599">
        <w:rPr>
          <w:rFonts w:cstheme="minorHAnsi"/>
          <w:b/>
          <w:bCs/>
        </w:rPr>
        <w:t xml:space="preserve">5. </w:t>
      </w:r>
      <w:r w:rsidR="004348CC" w:rsidRPr="00076599">
        <w:rPr>
          <w:rFonts w:cstheme="minorHAnsi"/>
          <w:b/>
          <w:bCs/>
        </w:rPr>
        <w:t xml:space="preserve">How many and which </w:t>
      </w:r>
      <w:r w:rsidR="004348CC" w:rsidRPr="00076599">
        <w:rPr>
          <w:rFonts w:cstheme="minorHAnsi"/>
          <w:b/>
          <w:bCs/>
          <w:u w:val="single"/>
        </w:rPr>
        <w:t>measured entities</w:t>
      </w:r>
      <w:r w:rsidR="004348CC" w:rsidRPr="00076599">
        <w:rPr>
          <w:rFonts w:cstheme="minorHAnsi"/>
          <w:b/>
          <w:bCs/>
        </w:rPr>
        <w:t xml:space="preserve"> were included in the testing</w:t>
      </w:r>
      <w:r w:rsidR="004B6CEE" w:rsidRPr="00076599">
        <w:rPr>
          <w:rFonts w:cstheme="minorHAnsi"/>
          <w:b/>
          <w:bCs/>
        </w:rPr>
        <w:t xml:space="preserve"> and analysis</w:t>
      </w:r>
      <w:r w:rsidR="00AA65A6" w:rsidRPr="00076599">
        <w:rPr>
          <w:rFonts w:cstheme="minorHAnsi"/>
          <w:b/>
          <w:bCs/>
        </w:rPr>
        <w:t xml:space="preserve"> </w:t>
      </w:r>
      <w:r w:rsidR="00616EB5" w:rsidRPr="00076599">
        <w:rPr>
          <w:rFonts w:cstheme="minorHAnsi"/>
          <w:b/>
          <w:bCs/>
        </w:rPr>
        <w:t>(</w:t>
      </w:r>
      <w:r w:rsidR="00AA65A6" w:rsidRPr="00076599">
        <w:rPr>
          <w:rFonts w:cstheme="minorHAnsi"/>
          <w:b/>
          <w:bCs/>
        </w:rPr>
        <w:t>by level of analysis and data source</w:t>
      </w:r>
      <w:r w:rsidR="00616EB5" w:rsidRPr="00076599">
        <w:rPr>
          <w:rFonts w:cstheme="minorHAnsi"/>
          <w:b/>
          <w:bCs/>
        </w:rPr>
        <w:t>)</w:t>
      </w:r>
      <w:r w:rsidR="004348CC" w:rsidRPr="00076599">
        <w:rPr>
          <w:rFonts w:cstheme="minorHAnsi"/>
          <w:bCs/>
        </w:rPr>
        <w:t>?</w:t>
      </w:r>
      <w:r w:rsidR="004348CC" w:rsidRPr="00A25024">
        <w:rPr>
          <w:rFonts w:cstheme="minorHAnsi"/>
          <w:bCs/>
        </w:rPr>
        <w:t xml:space="preserve">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072C24B" w14:textId="77777777" w:rsidR="000E73F4" w:rsidRPr="000E73F4" w:rsidRDefault="000E73F4" w:rsidP="00DB3627">
      <w:pPr>
        <w:autoSpaceDE w:val="0"/>
        <w:autoSpaceDN w:val="0"/>
        <w:adjustRightInd w:val="0"/>
        <w:spacing w:after="0" w:line="240" w:lineRule="auto"/>
        <w:rPr>
          <w:rFonts w:cstheme="minorHAnsi"/>
          <w:bCs/>
          <w:color w:val="0070C0"/>
        </w:rPr>
      </w:pPr>
    </w:p>
    <w:p w14:paraId="06020A3A" w14:textId="77777777" w:rsidR="000E73F4" w:rsidRPr="00DB0E3E" w:rsidRDefault="000E73F4" w:rsidP="000E73F4">
      <w:pPr>
        <w:autoSpaceDE w:val="0"/>
        <w:autoSpaceDN w:val="0"/>
        <w:adjustRightInd w:val="0"/>
        <w:spacing w:after="0" w:line="240" w:lineRule="auto"/>
        <w:rPr>
          <w:rFonts w:asciiTheme="majorHAnsi" w:hAnsiTheme="majorHAnsi" w:cstheme="minorHAnsi"/>
          <w:bCs/>
          <w:i/>
          <w:color w:val="FF0000"/>
          <w:sz w:val="20"/>
          <w:szCs w:val="20"/>
        </w:rPr>
      </w:pPr>
    </w:p>
    <w:p w14:paraId="174F14DC" w14:textId="77777777" w:rsidR="000E73F4" w:rsidRPr="00DB0E3E" w:rsidRDefault="000E73F4" w:rsidP="000E73F4">
      <w:pPr>
        <w:autoSpaceDE w:val="0"/>
        <w:autoSpaceDN w:val="0"/>
        <w:adjustRightInd w:val="0"/>
        <w:spacing w:after="0" w:line="240" w:lineRule="auto"/>
        <w:rPr>
          <w:rFonts w:asciiTheme="majorHAnsi" w:hAnsiTheme="majorHAnsi" w:cstheme="minorHAnsi"/>
          <w:bCs/>
          <w:i/>
          <w:color w:val="FF0000"/>
          <w:sz w:val="20"/>
          <w:szCs w:val="20"/>
        </w:rPr>
      </w:pPr>
      <w:r w:rsidRPr="00DB0E3E">
        <w:rPr>
          <w:rFonts w:asciiTheme="majorHAnsi" w:hAnsiTheme="majorHAnsi" w:cstheme="minorHAnsi"/>
          <w:bCs/>
          <w:i/>
          <w:color w:val="FF0000"/>
          <w:sz w:val="20"/>
          <w:szCs w:val="20"/>
        </w:rPr>
        <w:t>Creation of the Bleeding &amp; Validation model:</w:t>
      </w:r>
    </w:p>
    <w:p w14:paraId="0D947CC4" w14:textId="03210BC8" w:rsidR="000E73F4" w:rsidRPr="00DB0E3E" w:rsidRDefault="00366680" w:rsidP="000E73F4">
      <w:pPr>
        <w:autoSpaceDE w:val="0"/>
        <w:autoSpaceDN w:val="0"/>
        <w:adjustRightInd w:val="0"/>
        <w:spacing w:after="0" w:line="240" w:lineRule="auto"/>
        <w:rPr>
          <w:rFonts w:asciiTheme="majorHAnsi" w:hAnsiTheme="majorHAnsi" w:cstheme="minorHAnsi"/>
          <w:bCs/>
          <w:color w:val="FF0000"/>
          <w:sz w:val="20"/>
          <w:szCs w:val="20"/>
        </w:rPr>
      </w:pPr>
      <w:r>
        <w:rPr>
          <w:rFonts w:asciiTheme="majorHAnsi" w:eastAsia="MS Mincho" w:hAnsiTheme="majorHAnsi" w:cs="Arial"/>
          <w:color w:val="FF0000"/>
          <w:sz w:val="20"/>
          <w:szCs w:val="20"/>
          <w:lang w:eastAsia="ja-JP"/>
        </w:rPr>
        <w:t xml:space="preserve">The model was originally </w:t>
      </w:r>
      <w:r w:rsidR="00F26AD7">
        <w:rPr>
          <w:rFonts w:asciiTheme="majorHAnsi" w:eastAsia="MS Mincho" w:hAnsiTheme="majorHAnsi" w:cs="Arial"/>
          <w:color w:val="FF0000"/>
          <w:sz w:val="20"/>
          <w:szCs w:val="20"/>
          <w:lang w:eastAsia="ja-JP"/>
        </w:rPr>
        <w:t>developed</w:t>
      </w:r>
      <w:r>
        <w:rPr>
          <w:rFonts w:asciiTheme="majorHAnsi" w:eastAsia="MS Mincho" w:hAnsiTheme="majorHAnsi" w:cs="Arial"/>
          <w:color w:val="FF0000"/>
          <w:sz w:val="20"/>
          <w:szCs w:val="20"/>
          <w:lang w:eastAsia="ja-JP"/>
        </w:rPr>
        <w:t xml:space="preserve"> using data from </w:t>
      </w:r>
      <w:r w:rsidR="000E73F4" w:rsidRPr="00DB0E3E">
        <w:rPr>
          <w:rFonts w:asciiTheme="majorHAnsi" w:eastAsia="MS Mincho" w:hAnsiTheme="majorHAnsi" w:cs="Arial"/>
          <w:color w:val="FF0000"/>
          <w:sz w:val="20"/>
          <w:szCs w:val="20"/>
          <w:lang w:eastAsia="ja-JP"/>
        </w:rPr>
        <w:t>1,142 hospitals</w:t>
      </w:r>
      <w:r w:rsidR="000E73F4" w:rsidRPr="00DB0E3E">
        <w:rPr>
          <w:rFonts w:asciiTheme="majorHAnsi" w:hAnsiTheme="majorHAnsi" w:cstheme="minorHAnsi"/>
          <w:bCs/>
          <w:color w:val="FF0000"/>
          <w:sz w:val="20"/>
          <w:szCs w:val="20"/>
        </w:rPr>
        <w:t>. See additional information under section 1.6</w:t>
      </w:r>
      <w:r>
        <w:rPr>
          <w:rFonts w:asciiTheme="majorHAnsi" w:hAnsiTheme="majorHAnsi" w:cstheme="minorHAnsi"/>
          <w:bCs/>
          <w:color w:val="FF0000"/>
          <w:sz w:val="20"/>
          <w:szCs w:val="20"/>
        </w:rPr>
        <w:t>.</w:t>
      </w:r>
    </w:p>
    <w:p w14:paraId="550F2783" w14:textId="77777777" w:rsidR="00182B22" w:rsidRDefault="00182B22" w:rsidP="000E73F4">
      <w:pPr>
        <w:autoSpaceDE w:val="0"/>
        <w:autoSpaceDN w:val="0"/>
        <w:adjustRightInd w:val="0"/>
        <w:spacing w:after="0" w:line="240" w:lineRule="auto"/>
        <w:rPr>
          <w:rFonts w:asciiTheme="majorHAnsi" w:hAnsiTheme="majorHAnsi" w:cstheme="minorHAnsi"/>
          <w:bCs/>
          <w:color w:val="FF0000"/>
          <w:sz w:val="20"/>
          <w:szCs w:val="20"/>
        </w:rPr>
      </w:pPr>
    </w:p>
    <w:p w14:paraId="1A2C1B56" w14:textId="2921601A" w:rsidR="00DE6325" w:rsidRPr="00DE6325" w:rsidRDefault="00DE6325" w:rsidP="000E73F4">
      <w:pPr>
        <w:autoSpaceDE w:val="0"/>
        <w:autoSpaceDN w:val="0"/>
        <w:adjustRightInd w:val="0"/>
        <w:spacing w:after="0" w:line="240" w:lineRule="auto"/>
        <w:rPr>
          <w:rFonts w:asciiTheme="majorHAnsi" w:hAnsiTheme="majorHAnsi" w:cstheme="minorHAnsi"/>
          <w:bCs/>
          <w:i/>
          <w:color w:val="FF0000"/>
          <w:sz w:val="20"/>
          <w:szCs w:val="20"/>
        </w:rPr>
      </w:pPr>
      <w:r w:rsidRPr="00DE6325">
        <w:rPr>
          <w:rFonts w:asciiTheme="majorHAnsi" w:hAnsiTheme="majorHAnsi" w:cstheme="minorHAnsi"/>
          <w:bCs/>
          <w:i/>
          <w:color w:val="FF0000"/>
          <w:sz w:val="20"/>
          <w:szCs w:val="20"/>
        </w:rPr>
        <w:t>Test-Retest</w:t>
      </w:r>
    </w:p>
    <w:p w14:paraId="416BA11C" w14:textId="7A0CAA96" w:rsidR="00182B22" w:rsidRPr="00DB0E3E" w:rsidRDefault="00305F8C" w:rsidP="00923D12">
      <w:pPr>
        <w:autoSpaceDE w:val="0"/>
        <w:autoSpaceDN w:val="0"/>
        <w:adjustRightInd w:val="0"/>
        <w:spacing w:after="0" w:line="240" w:lineRule="auto"/>
        <w:outlineLvl w:val="0"/>
        <w:rPr>
          <w:rFonts w:asciiTheme="majorHAnsi" w:hAnsiTheme="majorHAnsi" w:cstheme="minorHAnsi"/>
          <w:bCs/>
          <w:color w:val="FF0000"/>
          <w:sz w:val="20"/>
          <w:szCs w:val="20"/>
        </w:rPr>
      </w:pPr>
      <w:r>
        <w:rPr>
          <w:rFonts w:asciiTheme="majorHAnsi" w:hAnsiTheme="majorHAnsi" w:cstheme="minorHAnsi"/>
          <w:bCs/>
          <w:color w:val="FF0000"/>
          <w:sz w:val="20"/>
          <w:szCs w:val="20"/>
        </w:rPr>
        <w:t>The</w:t>
      </w:r>
      <w:r w:rsidRPr="00DB0E3E">
        <w:rPr>
          <w:rFonts w:asciiTheme="majorHAnsi" w:hAnsiTheme="majorHAnsi" w:cstheme="minorHAnsi"/>
          <w:bCs/>
          <w:color w:val="FF0000"/>
          <w:sz w:val="20"/>
          <w:szCs w:val="20"/>
        </w:rPr>
        <w:t xml:space="preserve"> </w:t>
      </w:r>
      <w:r w:rsidR="00182B22" w:rsidRPr="00DB0E3E">
        <w:rPr>
          <w:rFonts w:asciiTheme="majorHAnsi" w:hAnsiTheme="majorHAnsi" w:cstheme="minorHAnsi"/>
          <w:bCs/>
          <w:color w:val="FF0000"/>
          <w:sz w:val="20"/>
          <w:szCs w:val="20"/>
        </w:rPr>
        <w:t>2016</w:t>
      </w:r>
      <w:r>
        <w:rPr>
          <w:rFonts w:asciiTheme="majorHAnsi" w:hAnsiTheme="majorHAnsi" w:cstheme="minorHAnsi"/>
          <w:bCs/>
          <w:color w:val="FF0000"/>
          <w:sz w:val="20"/>
          <w:szCs w:val="20"/>
        </w:rPr>
        <w:t xml:space="preserve"> validation sample includes cases from</w:t>
      </w:r>
      <w:r w:rsidR="00182B22" w:rsidRPr="00DB0E3E">
        <w:rPr>
          <w:rFonts w:asciiTheme="majorHAnsi" w:hAnsiTheme="majorHAnsi" w:cstheme="minorHAnsi"/>
          <w:bCs/>
          <w:color w:val="FF0000"/>
          <w:sz w:val="20"/>
          <w:szCs w:val="20"/>
        </w:rPr>
        <w:t xml:space="preserve"> 1,619 hospitals.</w:t>
      </w:r>
    </w:p>
    <w:p w14:paraId="1BD648F1" w14:textId="77777777" w:rsidR="00B32278" w:rsidRDefault="00B32278" w:rsidP="000E73F4">
      <w:pPr>
        <w:autoSpaceDE w:val="0"/>
        <w:autoSpaceDN w:val="0"/>
        <w:adjustRightInd w:val="0"/>
        <w:spacing w:after="0" w:line="240" w:lineRule="auto"/>
        <w:rPr>
          <w:rFonts w:asciiTheme="majorHAnsi" w:hAnsiTheme="majorHAnsi" w:cstheme="minorHAnsi"/>
          <w:bCs/>
          <w:color w:val="0070C0"/>
          <w:sz w:val="20"/>
          <w:szCs w:val="20"/>
        </w:rPr>
      </w:pP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7FA87E42" w14:textId="77777777" w:rsidR="000E73F4" w:rsidRDefault="002B5016" w:rsidP="00DB3627">
      <w:pPr>
        <w:autoSpaceDE w:val="0"/>
        <w:autoSpaceDN w:val="0"/>
        <w:adjustRightInd w:val="0"/>
        <w:spacing w:after="0" w:line="240" w:lineRule="auto"/>
        <w:rPr>
          <w:rFonts w:cstheme="minorHAnsi"/>
          <w:bCs/>
        </w:rPr>
      </w:pPr>
      <w:r w:rsidRPr="00332544">
        <w:rPr>
          <w:rFonts w:cstheme="minorHAnsi"/>
          <w:b/>
          <w:bCs/>
        </w:rPr>
        <w:t>1.</w:t>
      </w:r>
      <w:r w:rsidR="00E310B9" w:rsidRPr="00332544">
        <w:rPr>
          <w:rFonts w:cstheme="minorHAnsi"/>
          <w:b/>
          <w:bCs/>
        </w:rPr>
        <w:t xml:space="preserve">6. </w:t>
      </w:r>
      <w:r w:rsidR="007422FD" w:rsidRPr="00332544">
        <w:rPr>
          <w:rFonts w:cstheme="minorHAnsi"/>
          <w:b/>
          <w:bCs/>
        </w:rPr>
        <w:t xml:space="preserve">How many and which </w:t>
      </w:r>
      <w:r w:rsidR="007422FD" w:rsidRPr="00332544">
        <w:rPr>
          <w:rFonts w:cstheme="minorHAnsi"/>
          <w:b/>
          <w:bCs/>
          <w:u w:val="single"/>
        </w:rPr>
        <w:t>patients</w:t>
      </w:r>
      <w:r w:rsidR="007422FD" w:rsidRPr="00332544">
        <w:rPr>
          <w:rFonts w:cstheme="minorHAnsi"/>
          <w:b/>
          <w:bCs/>
        </w:rPr>
        <w:t xml:space="preserve"> were included in the testing and analysis</w:t>
      </w:r>
      <w:r w:rsidR="00AA65A6" w:rsidRPr="00332544">
        <w:rPr>
          <w:rFonts w:cstheme="minorHAnsi"/>
          <w:b/>
          <w:bCs/>
        </w:rPr>
        <w:t xml:space="preserve"> </w:t>
      </w:r>
      <w:r w:rsidR="00616EB5" w:rsidRPr="00332544">
        <w:rPr>
          <w:rFonts w:cstheme="minorHAnsi"/>
          <w:b/>
          <w:bCs/>
        </w:rPr>
        <w:t>(</w:t>
      </w:r>
      <w:r w:rsidR="00AA65A6" w:rsidRPr="00332544">
        <w:rPr>
          <w:rFonts w:cstheme="minorHAnsi"/>
          <w:b/>
          <w:bCs/>
        </w:rPr>
        <w:t>by level of analysis and data source</w:t>
      </w:r>
      <w:r w:rsidR="00616EB5" w:rsidRPr="00332544">
        <w:rPr>
          <w:rFonts w:cstheme="minorHAnsi"/>
          <w:b/>
          <w:bCs/>
        </w:rPr>
        <w:t>)</w:t>
      </w:r>
      <w:r w:rsidR="007422FD" w:rsidRPr="00332544">
        <w:rPr>
          <w:rFonts w:cstheme="minorHAnsi"/>
          <w:bCs/>
        </w:rPr>
        <w:t>? (</w:t>
      </w:r>
      <w:r w:rsidR="007422FD" w:rsidRPr="00332544">
        <w:rPr>
          <w:rFonts w:cstheme="minorHAnsi"/>
          <w:bCs/>
          <w:i/>
        </w:rPr>
        <w:t xml:space="preserve">identify </w:t>
      </w:r>
      <w:r w:rsidR="00F435AA" w:rsidRPr="00332544">
        <w:rPr>
          <w:rFonts w:cstheme="minorHAnsi"/>
          <w:bCs/>
          <w:i/>
        </w:rPr>
        <w:t>the number</w:t>
      </w:r>
      <w:r w:rsidR="007422FD" w:rsidRPr="00332544">
        <w:rPr>
          <w:rFonts w:cstheme="minorHAnsi"/>
          <w:bCs/>
          <w:i/>
        </w:rPr>
        <w:t xml:space="preserve"> and </w:t>
      </w:r>
      <w:r w:rsidR="005A7634" w:rsidRPr="00332544">
        <w:rPr>
          <w:rFonts w:cstheme="minorHAnsi"/>
          <w:bCs/>
          <w:i/>
        </w:rPr>
        <w:t xml:space="preserve">descriptive </w:t>
      </w:r>
      <w:r w:rsidR="007422FD" w:rsidRPr="00332544">
        <w:rPr>
          <w:rFonts w:cstheme="minorHAnsi"/>
          <w:bCs/>
          <w:i/>
        </w:rPr>
        <w:t>characteristics of patients</w:t>
      </w:r>
      <w:r w:rsidR="00DA7277" w:rsidRPr="00332544">
        <w:rPr>
          <w:rFonts w:cstheme="minorHAnsi"/>
          <w:bCs/>
          <w:i/>
        </w:rPr>
        <w:t xml:space="preserve"> </w:t>
      </w:r>
      <w:r w:rsidR="007422FD" w:rsidRPr="00332544">
        <w:rPr>
          <w:rFonts w:cstheme="minorHAnsi"/>
          <w:bCs/>
          <w:i/>
        </w:rPr>
        <w:t>included in the analysis</w:t>
      </w:r>
      <w:r w:rsidR="00DA7277" w:rsidRPr="00332544">
        <w:rPr>
          <w:rFonts w:cstheme="minorHAnsi"/>
          <w:bCs/>
          <w:i/>
        </w:rPr>
        <w:t xml:space="preserve"> (e.g., age, sex, race, diagnosis)</w:t>
      </w:r>
      <w:r w:rsidR="007422FD" w:rsidRPr="00332544">
        <w:rPr>
          <w:rFonts w:cstheme="minorHAnsi"/>
          <w:bCs/>
          <w:i/>
        </w:rPr>
        <w:t>; if a sample</w:t>
      </w:r>
      <w:r w:rsidR="00E310B9" w:rsidRPr="00332544">
        <w:rPr>
          <w:rFonts w:cstheme="minorHAnsi"/>
          <w:bCs/>
          <w:i/>
        </w:rPr>
        <w:t xml:space="preserve"> was used</w:t>
      </w:r>
      <w:r w:rsidR="007422FD" w:rsidRPr="00332544">
        <w:rPr>
          <w:rFonts w:cstheme="minorHAnsi"/>
          <w:bCs/>
          <w:i/>
        </w:rPr>
        <w:t xml:space="preserve">, describe how </w:t>
      </w:r>
      <w:r w:rsidR="005A7634" w:rsidRPr="00332544">
        <w:rPr>
          <w:rFonts w:cstheme="minorHAnsi"/>
          <w:bCs/>
          <w:i/>
        </w:rPr>
        <w:t xml:space="preserve">patients were </w:t>
      </w:r>
      <w:r w:rsidR="007422FD" w:rsidRPr="00332544">
        <w:rPr>
          <w:rFonts w:cstheme="minorHAnsi"/>
          <w:bCs/>
          <w:i/>
        </w:rPr>
        <w:t>selected</w:t>
      </w:r>
      <w:r w:rsidR="005A7634" w:rsidRPr="00332544">
        <w:rPr>
          <w:rFonts w:cstheme="minorHAnsi"/>
          <w:bCs/>
          <w:i/>
        </w:rPr>
        <w:t xml:space="preserve"> for inclusion in the sample</w:t>
      </w:r>
      <w:r w:rsidR="007422FD" w:rsidRPr="00332544">
        <w:rPr>
          <w:rFonts w:cstheme="minorHAnsi"/>
          <w:bCs/>
        </w:rPr>
        <w:t>)</w:t>
      </w:r>
      <w:r w:rsidR="007422FD" w:rsidRPr="00A25024">
        <w:rPr>
          <w:rFonts w:cstheme="minorHAnsi"/>
          <w:bCs/>
        </w:rPr>
        <w:t xml:space="preserve"> </w:t>
      </w:r>
    </w:p>
    <w:p w14:paraId="7C4264CC" w14:textId="77777777" w:rsidR="000E73F4" w:rsidRDefault="000E73F4" w:rsidP="00DB3627">
      <w:pPr>
        <w:autoSpaceDE w:val="0"/>
        <w:autoSpaceDN w:val="0"/>
        <w:adjustRightInd w:val="0"/>
        <w:spacing w:after="0" w:line="240" w:lineRule="auto"/>
        <w:rPr>
          <w:rFonts w:cstheme="minorHAnsi"/>
          <w:bCs/>
        </w:rPr>
      </w:pPr>
    </w:p>
    <w:p w14:paraId="00707F38" w14:textId="70410CDE" w:rsidR="00DE6325" w:rsidRPr="00DE6325" w:rsidRDefault="00452FB8" w:rsidP="00DB3627">
      <w:pPr>
        <w:autoSpaceDE w:val="0"/>
        <w:autoSpaceDN w:val="0"/>
        <w:adjustRightInd w:val="0"/>
        <w:spacing w:after="0" w:line="240" w:lineRule="auto"/>
        <w:rPr>
          <w:rFonts w:cstheme="minorHAnsi"/>
          <w:bCs/>
          <w:i/>
        </w:rPr>
      </w:pPr>
      <w:r>
        <w:rPr>
          <w:rFonts w:cstheme="minorHAnsi"/>
          <w:bCs/>
          <w:i/>
        </w:rPr>
        <w:t>Bleeding &amp; Validation M</w:t>
      </w:r>
      <w:r w:rsidR="00DE6325" w:rsidRPr="00DE6325">
        <w:rPr>
          <w:rFonts w:cstheme="minorHAnsi"/>
          <w:bCs/>
          <w:i/>
        </w:rPr>
        <w:t>odel:</w:t>
      </w:r>
    </w:p>
    <w:p w14:paraId="76CD3C8A" w14:textId="77777777" w:rsidR="00DE6325" w:rsidRDefault="00DE6325" w:rsidP="00DB3627">
      <w:pPr>
        <w:autoSpaceDE w:val="0"/>
        <w:autoSpaceDN w:val="0"/>
        <w:adjustRightInd w:val="0"/>
        <w:spacing w:after="0" w:line="240" w:lineRule="auto"/>
        <w:rPr>
          <w:rFonts w:cstheme="minorHAnsi"/>
          <w:bCs/>
        </w:rPr>
      </w:pPr>
    </w:p>
    <w:p w14:paraId="08DCFB04" w14:textId="77777777" w:rsidR="00366680" w:rsidRPr="000E73F4" w:rsidRDefault="00366680" w:rsidP="00366680">
      <w:pPr>
        <w:autoSpaceDE w:val="0"/>
        <w:autoSpaceDN w:val="0"/>
        <w:adjustRightInd w:val="0"/>
        <w:spacing w:after="0" w:line="240" w:lineRule="auto"/>
        <w:rPr>
          <w:rFonts w:asciiTheme="majorHAnsi" w:eastAsia="MS Mincho" w:hAnsiTheme="majorHAnsi" w:cs="Arial"/>
          <w:color w:val="0070C0"/>
          <w:sz w:val="20"/>
          <w:szCs w:val="20"/>
          <w:lang w:eastAsia="ja-JP"/>
        </w:rPr>
      </w:pPr>
      <w:r w:rsidRPr="000E73F4">
        <w:rPr>
          <w:rFonts w:asciiTheme="majorHAnsi" w:eastAsia="MS Mincho" w:hAnsiTheme="majorHAnsi" w:cs="Arial"/>
          <w:color w:val="0070C0"/>
          <w:sz w:val="20"/>
          <w:szCs w:val="20"/>
          <w:lang w:eastAsia="ja-JP"/>
        </w:rPr>
        <w:t xml:space="preserve">For the initial derivation and validation of the bleeding risk model, 1,043,759 patients undergoing PCI between 2/2008-4/2011 at 1,142 hospitals were included; 80% </w:t>
      </w:r>
      <w:r>
        <w:rPr>
          <w:rFonts w:asciiTheme="majorHAnsi" w:eastAsia="MS Mincho" w:hAnsiTheme="majorHAnsi" w:cs="Arial"/>
          <w:color w:val="0070C0"/>
          <w:sz w:val="20"/>
          <w:szCs w:val="20"/>
          <w:lang w:eastAsia="ja-JP"/>
        </w:rPr>
        <w:t>were randomly assigned to</w:t>
      </w:r>
      <w:r w:rsidRPr="000E73F4">
        <w:rPr>
          <w:rFonts w:asciiTheme="majorHAnsi" w:eastAsia="MS Mincho" w:hAnsiTheme="majorHAnsi" w:cs="Arial"/>
          <w:color w:val="0070C0"/>
          <w:sz w:val="20"/>
          <w:szCs w:val="20"/>
          <w:lang w:eastAsia="ja-JP"/>
        </w:rPr>
        <w:t xml:space="preserve"> the derivation cohort </w:t>
      </w:r>
      <w:r>
        <w:rPr>
          <w:rFonts w:asciiTheme="majorHAnsi" w:eastAsia="MS Mincho" w:hAnsiTheme="majorHAnsi" w:cs="Arial"/>
          <w:color w:val="0070C0"/>
          <w:sz w:val="20"/>
          <w:szCs w:val="20"/>
          <w:lang w:eastAsia="ja-JP"/>
        </w:rPr>
        <w:t>with the remaining</w:t>
      </w:r>
      <w:r w:rsidRPr="000E73F4">
        <w:rPr>
          <w:rFonts w:asciiTheme="majorHAnsi" w:eastAsia="MS Mincho" w:hAnsiTheme="majorHAnsi" w:cs="Arial"/>
          <w:color w:val="0070C0"/>
          <w:sz w:val="20"/>
          <w:szCs w:val="20"/>
          <w:lang w:eastAsia="ja-JP"/>
        </w:rPr>
        <w:t xml:space="preserve"> 20% </w:t>
      </w:r>
      <w:r>
        <w:rPr>
          <w:rFonts w:asciiTheme="majorHAnsi" w:eastAsia="MS Mincho" w:hAnsiTheme="majorHAnsi" w:cs="Arial"/>
          <w:color w:val="0070C0"/>
          <w:sz w:val="20"/>
          <w:szCs w:val="20"/>
          <w:lang w:eastAsia="ja-JP"/>
        </w:rPr>
        <w:t>serving as</w:t>
      </w:r>
      <w:r w:rsidRPr="000E73F4">
        <w:rPr>
          <w:rFonts w:asciiTheme="majorHAnsi" w:eastAsia="MS Mincho" w:hAnsiTheme="majorHAnsi" w:cs="Arial"/>
          <w:color w:val="0070C0"/>
          <w:sz w:val="20"/>
          <w:szCs w:val="20"/>
          <w:lang w:eastAsia="ja-JP"/>
        </w:rPr>
        <w:t xml:space="preserve"> the validation cohort.  Of these, 60,194 PCI procedures had post-procedure bleeding, yielding a post-PCI bleeding event rate of 5.8%. A summary of these patients’ clinical characteristics and the hospital characteristics are provided under Table 1:</w:t>
      </w:r>
    </w:p>
    <w:p w14:paraId="34ECDBEC" w14:textId="77777777" w:rsidR="000E73F4" w:rsidRPr="000E73F4" w:rsidRDefault="000E73F4" w:rsidP="000E73F4">
      <w:pPr>
        <w:autoSpaceDE w:val="0"/>
        <w:autoSpaceDN w:val="0"/>
        <w:adjustRightInd w:val="0"/>
        <w:spacing w:after="0" w:line="240" w:lineRule="auto"/>
        <w:rPr>
          <w:rFonts w:asciiTheme="majorHAnsi" w:eastAsia="MS Mincho" w:hAnsiTheme="majorHAnsi" w:cs="Arial"/>
          <w:color w:val="0070C0"/>
          <w:sz w:val="20"/>
          <w:szCs w:val="20"/>
          <w:lang w:eastAsia="ja-JP"/>
        </w:rPr>
      </w:pPr>
    </w:p>
    <w:p w14:paraId="7DBDBCAE" w14:textId="77777777" w:rsidR="000E73F4" w:rsidRPr="000E73F4" w:rsidRDefault="000E73F4" w:rsidP="00923D12">
      <w:pPr>
        <w:pStyle w:val="Caption"/>
        <w:keepNext/>
        <w:outlineLvl w:val="0"/>
        <w:rPr>
          <w:rFonts w:asciiTheme="majorHAnsi" w:hAnsiTheme="majorHAnsi"/>
          <w:color w:val="0070C0"/>
          <w:sz w:val="20"/>
          <w:szCs w:val="20"/>
        </w:rPr>
      </w:pPr>
      <w:r w:rsidRPr="000E73F4">
        <w:rPr>
          <w:rFonts w:asciiTheme="majorHAnsi" w:hAnsiTheme="majorHAnsi"/>
          <w:color w:val="0070C0"/>
          <w:sz w:val="20"/>
          <w:szCs w:val="20"/>
        </w:rPr>
        <w:t xml:space="preserve">Table </w:t>
      </w:r>
      <w:r w:rsidRPr="000E73F4">
        <w:rPr>
          <w:rFonts w:asciiTheme="majorHAnsi" w:hAnsiTheme="majorHAnsi"/>
          <w:color w:val="0070C0"/>
          <w:sz w:val="20"/>
          <w:szCs w:val="20"/>
        </w:rPr>
        <w:fldChar w:fldCharType="begin"/>
      </w:r>
      <w:r w:rsidRPr="000E73F4">
        <w:rPr>
          <w:rFonts w:asciiTheme="majorHAnsi" w:hAnsiTheme="majorHAnsi"/>
          <w:color w:val="0070C0"/>
          <w:sz w:val="20"/>
          <w:szCs w:val="20"/>
        </w:rPr>
        <w:instrText xml:space="preserve"> SEQ Table \* ARABIC </w:instrText>
      </w:r>
      <w:r w:rsidRPr="000E73F4">
        <w:rPr>
          <w:rFonts w:asciiTheme="majorHAnsi" w:hAnsiTheme="majorHAnsi"/>
          <w:color w:val="0070C0"/>
          <w:sz w:val="20"/>
          <w:szCs w:val="20"/>
        </w:rPr>
        <w:fldChar w:fldCharType="separate"/>
      </w:r>
      <w:r w:rsidR="00452FB8">
        <w:rPr>
          <w:rFonts w:asciiTheme="majorHAnsi" w:hAnsiTheme="majorHAnsi"/>
          <w:noProof/>
          <w:color w:val="0070C0"/>
          <w:sz w:val="20"/>
          <w:szCs w:val="20"/>
        </w:rPr>
        <w:t>1</w:t>
      </w:r>
      <w:r w:rsidRPr="000E73F4">
        <w:rPr>
          <w:rFonts w:asciiTheme="majorHAnsi" w:hAnsiTheme="majorHAnsi"/>
          <w:color w:val="0070C0"/>
          <w:sz w:val="20"/>
          <w:szCs w:val="20"/>
        </w:rPr>
        <w:fldChar w:fldCharType="end"/>
      </w:r>
      <w:r w:rsidRPr="000E73F4">
        <w:rPr>
          <w:rFonts w:asciiTheme="majorHAnsi" w:hAnsiTheme="majorHAnsi"/>
          <w:color w:val="0070C0"/>
          <w:sz w:val="20"/>
          <w:szCs w:val="20"/>
        </w:rPr>
        <w:t>. Derivation and Validation Characteristics</w:t>
      </w:r>
    </w:p>
    <w:tbl>
      <w:tblPr>
        <w:tblW w:w="8533" w:type="dxa"/>
        <w:tblCellMar>
          <w:left w:w="14" w:type="dxa"/>
          <w:right w:w="14" w:type="dxa"/>
        </w:tblCellMar>
        <w:tblLook w:val="00A0" w:firstRow="1" w:lastRow="0" w:firstColumn="1" w:lastColumn="0" w:noHBand="0" w:noVBand="0"/>
      </w:tblPr>
      <w:tblGrid>
        <w:gridCol w:w="3974"/>
        <w:gridCol w:w="1530"/>
        <w:gridCol w:w="1530"/>
        <w:gridCol w:w="1499"/>
      </w:tblGrid>
      <w:tr w:rsidR="000E73F4" w:rsidRPr="000E73F4" w14:paraId="7FAB1869" w14:textId="77777777" w:rsidTr="000E73F4">
        <w:trPr>
          <w:tblHeader/>
        </w:trPr>
        <w:tc>
          <w:tcPr>
            <w:tcW w:w="3974" w:type="dxa"/>
            <w:tcBorders>
              <w:top w:val="single" w:sz="12" w:space="0" w:color="auto"/>
              <w:bottom w:val="single" w:sz="6" w:space="0" w:color="auto"/>
            </w:tcBorders>
            <w:shd w:val="clear" w:color="auto" w:fill="auto"/>
          </w:tcPr>
          <w:p w14:paraId="72FC5824" w14:textId="77777777" w:rsidR="000E73F4" w:rsidRPr="000E73F4" w:rsidRDefault="000E73F4" w:rsidP="000E73F4">
            <w:pPr>
              <w:spacing w:after="0" w:line="360" w:lineRule="auto"/>
              <w:jc w:val="center"/>
              <w:rPr>
                <w:rFonts w:asciiTheme="majorHAnsi" w:eastAsia="MS Mincho" w:hAnsiTheme="majorHAnsi" w:cs="Times New Roman"/>
                <w:b/>
                <w:color w:val="0070C0"/>
                <w:sz w:val="20"/>
                <w:szCs w:val="20"/>
                <w:lang w:eastAsia="ja-JP"/>
              </w:rPr>
            </w:pPr>
          </w:p>
        </w:tc>
        <w:tc>
          <w:tcPr>
            <w:tcW w:w="1530" w:type="dxa"/>
            <w:tcBorders>
              <w:top w:val="single" w:sz="12" w:space="0" w:color="auto"/>
              <w:bottom w:val="single" w:sz="6" w:space="0" w:color="auto"/>
            </w:tcBorders>
            <w:shd w:val="clear" w:color="auto" w:fill="auto"/>
          </w:tcPr>
          <w:p w14:paraId="55CE63B9" w14:textId="77777777" w:rsidR="000E73F4" w:rsidRPr="000E73F4" w:rsidRDefault="000E73F4" w:rsidP="000E73F4">
            <w:pPr>
              <w:spacing w:after="0" w:line="360" w:lineRule="auto"/>
              <w:jc w:val="center"/>
              <w:rPr>
                <w:rFonts w:asciiTheme="majorHAnsi" w:eastAsia="MS Mincho" w:hAnsiTheme="majorHAnsi" w:cs="Times New Roman"/>
                <w:b/>
                <w:color w:val="0070C0"/>
                <w:sz w:val="20"/>
                <w:szCs w:val="20"/>
                <w:lang w:eastAsia="ja-JP"/>
              </w:rPr>
            </w:pPr>
            <w:r w:rsidRPr="000E73F4">
              <w:rPr>
                <w:rFonts w:asciiTheme="majorHAnsi" w:eastAsia="MS Mincho" w:hAnsiTheme="majorHAnsi" w:cs="Times New Roman"/>
                <w:b/>
                <w:color w:val="0070C0"/>
                <w:sz w:val="20"/>
                <w:szCs w:val="20"/>
                <w:lang w:eastAsia="ja-JP"/>
              </w:rPr>
              <w:t>Overall (n=1,043,759)</w:t>
            </w:r>
          </w:p>
        </w:tc>
        <w:tc>
          <w:tcPr>
            <w:tcW w:w="1530" w:type="dxa"/>
            <w:tcBorders>
              <w:top w:val="single" w:sz="12" w:space="0" w:color="auto"/>
              <w:bottom w:val="single" w:sz="6" w:space="0" w:color="auto"/>
            </w:tcBorders>
            <w:shd w:val="clear" w:color="auto" w:fill="auto"/>
          </w:tcPr>
          <w:p w14:paraId="69D499C7" w14:textId="77777777" w:rsidR="000E73F4" w:rsidRPr="000E73F4" w:rsidRDefault="000E73F4" w:rsidP="000E73F4">
            <w:pPr>
              <w:spacing w:after="0" w:line="360" w:lineRule="auto"/>
              <w:jc w:val="center"/>
              <w:rPr>
                <w:rFonts w:asciiTheme="majorHAnsi" w:eastAsia="MS Mincho" w:hAnsiTheme="majorHAnsi" w:cs="Times New Roman"/>
                <w:b/>
                <w:color w:val="0070C0"/>
                <w:sz w:val="20"/>
                <w:szCs w:val="20"/>
                <w:lang w:eastAsia="ja-JP"/>
              </w:rPr>
            </w:pPr>
            <w:r w:rsidRPr="000E73F4">
              <w:rPr>
                <w:rFonts w:asciiTheme="majorHAnsi" w:eastAsia="MS Mincho" w:hAnsiTheme="majorHAnsi" w:cs="Times New Roman"/>
                <w:b/>
                <w:color w:val="0070C0"/>
                <w:sz w:val="20"/>
                <w:szCs w:val="20"/>
                <w:lang w:eastAsia="ja-JP"/>
              </w:rPr>
              <w:t>Development (n=834,696)</w:t>
            </w:r>
          </w:p>
        </w:tc>
        <w:tc>
          <w:tcPr>
            <w:tcW w:w="1499" w:type="dxa"/>
            <w:tcBorders>
              <w:top w:val="single" w:sz="12" w:space="0" w:color="auto"/>
              <w:bottom w:val="single" w:sz="6" w:space="0" w:color="auto"/>
            </w:tcBorders>
            <w:shd w:val="clear" w:color="auto" w:fill="auto"/>
          </w:tcPr>
          <w:p w14:paraId="1C1C64E0" w14:textId="77777777" w:rsidR="000E73F4" w:rsidRPr="000E73F4" w:rsidRDefault="000E73F4" w:rsidP="000E73F4">
            <w:pPr>
              <w:spacing w:after="0" w:line="360" w:lineRule="auto"/>
              <w:jc w:val="center"/>
              <w:rPr>
                <w:rFonts w:asciiTheme="majorHAnsi" w:eastAsia="MS Mincho" w:hAnsiTheme="majorHAnsi" w:cs="Times New Roman"/>
                <w:b/>
                <w:color w:val="0070C0"/>
                <w:sz w:val="20"/>
                <w:szCs w:val="20"/>
                <w:lang w:eastAsia="ja-JP"/>
              </w:rPr>
            </w:pPr>
            <w:r w:rsidRPr="000E73F4">
              <w:rPr>
                <w:rFonts w:asciiTheme="majorHAnsi" w:eastAsia="MS Mincho" w:hAnsiTheme="majorHAnsi" w:cs="Times New Roman"/>
                <w:b/>
                <w:color w:val="0070C0"/>
                <w:sz w:val="20"/>
                <w:szCs w:val="20"/>
                <w:lang w:eastAsia="ja-JP"/>
              </w:rPr>
              <w:t>Validation</w:t>
            </w:r>
          </w:p>
          <w:p w14:paraId="0856A957" w14:textId="77777777" w:rsidR="000E73F4" w:rsidRPr="000E73F4" w:rsidRDefault="000E73F4" w:rsidP="000E73F4">
            <w:pPr>
              <w:spacing w:after="0" w:line="360" w:lineRule="auto"/>
              <w:jc w:val="center"/>
              <w:rPr>
                <w:rFonts w:asciiTheme="majorHAnsi" w:eastAsia="MS Mincho" w:hAnsiTheme="majorHAnsi" w:cs="Times New Roman"/>
                <w:b/>
                <w:color w:val="0070C0"/>
                <w:sz w:val="20"/>
                <w:szCs w:val="20"/>
                <w:lang w:eastAsia="ja-JP"/>
              </w:rPr>
            </w:pPr>
            <w:r w:rsidRPr="000E73F4">
              <w:rPr>
                <w:rFonts w:asciiTheme="majorHAnsi" w:eastAsia="MS Mincho" w:hAnsiTheme="majorHAnsi" w:cs="Times New Roman"/>
                <w:b/>
                <w:color w:val="0070C0"/>
                <w:sz w:val="20"/>
                <w:szCs w:val="20"/>
                <w:lang w:eastAsia="ja-JP"/>
              </w:rPr>
              <w:t xml:space="preserve"> (n=209,063)</w:t>
            </w:r>
          </w:p>
        </w:tc>
      </w:tr>
      <w:tr w:rsidR="000E73F4" w:rsidRPr="000E73F4" w14:paraId="42DC87CB" w14:textId="77777777" w:rsidTr="000E73F4">
        <w:trPr>
          <w:tblHeader/>
        </w:trPr>
        <w:tc>
          <w:tcPr>
            <w:tcW w:w="3974" w:type="dxa"/>
            <w:tcBorders>
              <w:top w:val="single" w:sz="6" w:space="0" w:color="auto"/>
            </w:tcBorders>
            <w:shd w:val="clear" w:color="auto" w:fill="auto"/>
          </w:tcPr>
          <w:p w14:paraId="61D481FB" w14:textId="77777777" w:rsidR="000E73F4" w:rsidRPr="000E73F4" w:rsidRDefault="000E73F4" w:rsidP="000E73F4">
            <w:pPr>
              <w:spacing w:after="0" w:line="360" w:lineRule="auto"/>
              <w:rPr>
                <w:rFonts w:asciiTheme="majorHAnsi" w:eastAsia="MS Mincho" w:hAnsiTheme="majorHAnsi" w:cs="Times New Roman"/>
                <w:bCs/>
                <w:color w:val="0070C0"/>
                <w:sz w:val="20"/>
                <w:szCs w:val="20"/>
                <w:lang w:eastAsia="ja-JP"/>
              </w:rPr>
            </w:pPr>
            <w:r w:rsidRPr="000E73F4">
              <w:rPr>
                <w:rFonts w:asciiTheme="majorHAnsi" w:eastAsia="MS Mincho" w:hAnsiTheme="majorHAnsi" w:cs="Times New Roman"/>
                <w:bCs/>
                <w:color w:val="0070C0"/>
                <w:sz w:val="20"/>
                <w:szCs w:val="20"/>
                <w:lang w:eastAsia="ja-JP"/>
              </w:rPr>
              <w:t>Demographics</w:t>
            </w:r>
          </w:p>
        </w:tc>
        <w:tc>
          <w:tcPr>
            <w:tcW w:w="1530" w:type="dxa"/>
            <w:tcBorders>
              <w:top w:val="single" w:sz="6" w:space="0" w:color="auto"/>
            </w:tcBorders>
            <w:shd w:val="clear" w:color="auto" w:fill="auto"/>
          </w:tcPr>
          <w:p w14:paraId="308B748B"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530" w:type="dxa"/>
            <w:tcBorders>
              <w:top w:val="single" w:sz="6" w:space="0" w:color="auto"/>
            </w:tcBorders>
            <w:shd w:val="clear" w:color="auto" w:fill="auto"/>
          </w:tcPr>
          <w:p w14:paraId="7102C3B9"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499" w:type="dxa"/>
            <w:tcBorders>
              <w:top w:val="single" w:sz="6" w:space="0" w:color="auto"/>
            </w:tcBorders>
            <w:shd w:val="clear" w:color="auto" w:fill="auto"/>
          </w:tcPr>
          <w:p w14:paraId="121B7823"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r>
      <w:tr w:rsidR="000E73F4" w:rsidRPr="000E73F4" w14:paraId="7DC34BB5" w14:textId="77777777" w:rsidTr="000E73F4">
        <w:trPr>
          <w:tblHeader/>
        </w:trPr>
        <w:tc>
          <w:tcPr>
            <w:tcW w:w="3974" w:type="dxa"/>
            <w:shd w:val="clear" w:color="auto" w:fill="auto"/>
          </w:tcPr>
          <w:p w14:paraId="21524F9D"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Median age, y (25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75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xml:space="preserve"> percentiles)</w:t>
            </w:r>
          </w:p>
        </w:tc>
        <w:tc>
          <w:tcPr>
            <w:tcW w:w="1530" w:type="dxa"/>
            <w:shd w:val="clear" w:color="auto" w:fill="auto"/>
          </w:tcPr>
          <w:p w14:paraId="6DC4FDD8"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65.0 </w:t>
            </w:r>
          </w:p>
          <w:p w14:paraId="394B301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(56.0, 74.0)</w:t>
            </w:r>
          </w:p>
        </w:tc>
        <w:tc>
          <w:tcPr>
            <w:tcW w:w="1530" w:type="dxa"/>
            <w:shd w:val="clear" w:color="auto" w:fill="auto"/>
          </w:tcPr>
          <w:p w14:paraId="147FEBE6"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64.0 </w:t>
            </w:r>
          </w:p>
          <w:p w14:paraId="0A89835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(56.0, 74.0)</w:t>
            </w:r>
          </w:p>
        </w:tc>
        <w:tc>
          <w:tcPr>
            <w:tcW w:w="1499" w:type="dxa"/>
            <w:shd w:val="clear" w:color="auto" w:fill="auto"/>
          </w:tcPr>
          <w:p w14:paraId="58815216"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65.0 </w:t>
            </w:r>
          </w:p>
          <w:p w14:paraId="743704E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(56.0, 74.0)</w:t>
            </w:r>
          </w:p>
        </w:tc>
      </w:tr>
      <w:tr w:rsidR="000E73F4" w:rsidRPr="000E73F4" w14:paraId="216A9706" w14:textId="77777777" w:rsidTr="000E73F4">
        <w:trPr>
          <w:tblHeader/>
        </w:trPr>
        <w:tc>
          <w:tcPr>
            <w:tcW w:w="3974" w:type="dxa"/>
            <w:shd w:val="clear" w:color="auto" w:fill="auto"/>
          </w:tcPr>
          <w:p w14:paraId="483C5777"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Female sex</w:t>
            </w:r>
          </w:p>
        </w:tc>
        <w:tc>
          <w:tcPr>
            <w:tcW w:w="1530" w:type="dxa"/>
            <w:shd w:val="clear" w:color="auto" w:fill="auto"/>
          </w:tcPr>
          <w:p w14:paraId="4DF43BAF"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32.7</w:t>
            </w:r>
          </w:p>
        </w:tc>
        <w:tc>
          <w:tcPr>
            <w:tcW w:w="1530" w:type="dxa"/>
            <w:shd w:val="clear" w:color="auto" w:fill="auto"/>
          </w:tcPr>
          <w:p w14:paraId="2DA27F0B"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32.6</w:t>
            </w:r>
          </w:p>
        </w:tc>
        <w:tc>
          <w:tcPr>
            <w:tcW w:w="1499" w:type="dxa"/>
            <w:shd w:val="clear" w:color="auto" w:fill="auto"/>
          </w:tcPr>
          <w:p w14:paraId="4DF09400"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32.8</w:t>
            </w:r>
          </w:p>
        </w:tc>
      </w:tr>
      <w:tr w:rsidR="000E73F4" w:rsidRPr="000E73F4" w14:paraId="16405F66" w14:textId="77777777" w:rsidTr="000E73F4">
        <w:trPr>
          <w:tblHeader/>
        </w:trPr>
        <w:tc>
          <w:tcPr>
            <w:tcW w:w="3974" w:type="dxa"/>
            <w:shd w:val="clear" w:color="auto" w:fill="auto"/>
          </w:tcPr>
          <w:p w14:paraId="11307E8D" w14:textId="77777777" w:rsidR="000E73F4" w:rsidRPr="000E73F4" w:rsidRDefault="000E73F4" w:rsidP="000E73F4">
            <w:pPr>
              <w:spacing w:after="0" w:line="360" w:lineRule="auto"/>
              <w:ind w:left="360"/>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Median BMI, kg/m</w:t>
            </w:r>
            <w:r w:rsidRPr="000E73F4">
              <w:rPr>
                <w:rFonts w:asciiTheme="majorHAnsi" w:eastAsia="MS Mincho" w:hAnsiTheme="majorHAnsi" w:cs="Times New Roman"/>
                <w:color w:val="0070C0"/>
                <w:sz w:val="20"/>
                <w:szCs w:val="20"/>
                <w:vertAlign w:val="superscript"/>
                <w:lang w:eastAsia="ja-JP"/>
              </w:rPr>
              <w:t>2</w:t>
            </w:r>
            <w:r w:rsidRPr="000E73F4">
              <w:rPr>
                <w:rFonts w:asciiTheme="majorHAnsi" w:eastAsia="MS Mincho" w:hAnsiTheme="majorHAnsi" w:cs="Times New Roman"/>
                <w:color w:val="0070C0"/>
                <w:sz w:val="20"/>
                <w:szCs w:val="20"/>
                <w:lang w:eastAsia="ja-JP"/>
              </w:rPr>
              <w:t xml:space="preserve"> </w:t>
            </w:r>
          </w:p>
          <w:p w14:paraId="0C7391A3"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75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xml:space="preserve"> percentiles)</w:t>
            </w:r>
          </w:p>
        </w:tc>
        <w:tc>
          <w:tcPr>
            <w:tcW w:w="1530" w:type="dxa"/>
            <w:shd w:val="clear" w:color="auto" w:fill="auto"/>
          </w:tcPr>
          <w:p w14:paraId="48A6C659"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29.1 </w:t>
            </w:r>
          </w:p>
          <w:p w14:paraId="41141DA6"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(25.7, 33.3)</w:t>
            </w:r>
          </w:p>
        </w:tc>
        <w:tc>
          <w:tcPr>
            <w:tcW w:w="1530" w:type="dxa"/>
            <w:shd w:val="clear" w:color="auto" w:fill="auto"/>
          </w:tcPr>
          <w:p w14:paraId="3BC23090"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29.1 </w:t>
            </w:r>
          </w:p>
          <w:p w14:paraId="23CDD430"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(25.7, 33.3)</w:t>
            </w:r>
          </w:p>
        </w:tc>
        <w:tc>
          <w:tcPr>
            <w:tcW w:w="1499" w:type="dxa"/>
            <w:shd w:val="clear" w:color="auto" w:fill="auto"/>
          </w:tcPr>
          <w:p w14:paraId="2A52010B"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29.1 </w:t>
            </w:r>
          </w:p>
          <w:p w14:paraId="26FEC10A"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(25.7, 33.3)</w:t>
            </w:r>
          </w:p>
        </w:tc>
      </w:tr>
      <w:tr w:rsidR="000E73F4" w:rsidRPr="000E73F4" w14:paraId="723FFFEA" w14:textId="77777777" w:rsidTr="000E73F4">
        <w:trPr>
          <w:tblHeader/>
        </w:trPr>
        <w:tc>
          <w:tcPr>
            <w:tcW w:w="3974" w:type="dxa"/>
            <w:shd w:val="clear" w:color="auto" w:fill="auto"/>
          </w:tcPr>
          <w:p w14:paraId="3E987976" w14:textId="77777777" w:rsidR="000E73F4" w:rsidRPr="000E73F4" w:rsidRDefault="000E73F4" w:rsidP="000E73F4">
            <w:pPr>
              <w:spacing w:after="0" w:line="360" w:lineRule="auto"/>
              <w:rPr>
                <w:rFonts w:asciiTheme="majorHAnsi" w:eastAsia="MS Mincho" w:hAnsiTheme="majorHAnsi" w:cs="Times New Roman"/>
                <w:bCs/>
                <w:color w:val="0070C0"/>
                <w:sz w:val="20"/>
                <w:szCs w:val="20"/>
                <w:lang w:eastAsia="ja-JP"/>
              </w:rPr>
            </w:pPr>
            <w:r w:rsidRPr="000E73F4">
              <w:rPr>
                <w:rFonts w:asciiTheme="majorHAnsi" w:eastAsia="MS Mincho" w:hAnsiTheme="majorHAnsi" w:cs="Times New Roman"/>
                <w:bCs/>
                <w:color w:val="0070C0"/>
                <w:sz w:val="20"/>
                <w:szCs w:val="20"/>
                <w:lang w:eastAsia="ja-JP"/>
              </w:rPr>
              <w:t>Medical conditions</w:t>
            </w:r>
          </w:p>
        </w:tc>
        <w:tc>
          <w:tcPr>
            <w:tcW w:w="1530" w:type="dxa"/>
            <w:shd w:val="clear" w:color="auto" w:fill="auto"/>
          </w:tcPr>
          <w:p w14:paraId="7A78808D"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530" w:type="dxa"/>
            <w:shd w:val="clear" w:color="auto" w:fill="auto"/>
          </w:tcPr>
          <w:p w14:paraId="7BE89582"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499" w:type="dxa"/>
            <w:shd w:val="clear" w:color="auto" w:fill="auto"/>
          </w:tcPr>
          <w:p w14:paraId="24BC98D6"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r>
      <w:tr w:rsidR="000E73F4" w:rsidRPr="000E73F4" w14:paraId="22FFEA7B" w14:textId="77777777" w:rsidTr="000E73F4">
        <w:trPr>
          <w:tblHeader/>
        </w:trPr>
        <w:tc>
          <w:tcPr>
            <w:tcW w:w="3974" w:type="dxa"/>
            <w:shd w:val="clear" w:color="auto" w:fill="auto"/>
          </w:tcPr>
          <w:p w14:paraId="1C499A5D"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Diabetes mellitus</w:t>
            </w:r>
          </w:p>
        </w:tc>
        <w:tc>
          <w:tcPr>
            <w:tcW w:w="1530" w:type="dxa"/>
            <w:shd w:val="clear" w:color="auto" w:fill="auto"/>
          </w:tcPr>
          <w:p w14:paraId="4EB399E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35.9</w:t>
            </w:r>
          </w:p>
        </w:tc>
        <w:tc>
          <w:tcPr>
            <w:tcW w:w="1530" w:type="dxa"/>
            <w:shd w:val="clear" w:color="auto" w:fill="auto"/>
          </w:tcPr>
          <w:p w14:paraId="5B2434F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35.9</w:t>
            </w:r>
          </w:p>
        </w:tc>
        <w:tc>
          <w:tcPr>
            <w:tcW w:w="1499" w:type="dxa"/>
            <w:shd w:val="clear" w:color="auto" w:fill="auto"/>
          </w:tcPr>
          <w:p w14:paraId="1711DAB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35.9</w:t>
            </w:r>
          </w:p>
        </w:tc>
      </w:tr>
      <w:tr w:rsidR="000E73F4" w:rsidRPr="000E73F4" w14:paraId="5AB6D306" w14:textId="77777777" w:rsidTr="000E73F4">
        <w:trPr>
          <w:tblHeader/>
        </w:trPr>
        <w:tc>
          <w:tcPr>
            <w:tcW w:w="3974" w:type="dxa"/>
            <w:shd w:val="clear" w:color="auto" w:fill="auto"/>
          </w:tcPr>
          <w:p w14:paraId="4ED34846"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Hypertension</w:t>
            </w:r>
          </w:p>
        </w:tc>
        <w:tc>
          <w:tcPr>
            <w:tcW w:w="1530" w:type="dxa"/>
            <w:shd w:val="clear" w:color="auto" w:fill="auto"/>
          </w:tcPr>
          <w:p w14:paraId="1A888C3C"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81.8</w:t>
            </w:r>
          </w:p>
        </w:tc>
        <w:tc>
          <w:tcPr>
            <w:tcW w:w="1530" w:type="dxa"/>
            <w:shd w:val="clear" w:color="auto" w:fill="auto"/>
          </w:tcPr>
          <w:p w14:paraId="0378955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81.8</w:t>
            </w:r>
          </w:p>
        </w:tc>
        <w:tc>
          <w:tcPr>
            <w:tcW w:w="1499" w:type="dxa"/>
            <w:shd w:val="clear" w:color="auto" w:fill="auto"/>
          </w:tcPr>
          <w:p w14:paraId="4406FA2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81.9</w:t>
            </w:r>
          </w:p>
        </w:tc>
      </w:tr>
      <w:tr w:rsidR="000E73F4" w:rsidRPr="000E73F4" w14:paraId="5A0951EB" w14:textId="77777777" w:rsidTr="000E73F4">
        <w:trPr>
          <w:tblHeader/>
        </w:trPr>
        <w:tc>
          <w:tcPr>
            <w:tcW w:w="3974" w:type="dxa"/>
            <w:shd w:val="clear" w:color="auto" w:fill="auto"/>
          </w:tcPr>
          <w:p w14:paraId="32CA83DE"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Peripheral vascular disease</w:t>
            </w:r>
          </w:p>
        </w:tc>
        <w:tc>
          <w:tcPr>
            <w:tcW w:w="1530" w:type="dxa"/>
            <w:shd w:val="clear" w:color="auto" w:fill="auto"/>
          </w:tcPr>
          <w:p w14:paraId="1E31AAB3"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w:t>
            </w:r>
          </w:p>
        </w:tc>
        <w:tc>
          <w:tcPr>
            <w:tcW w:w="1530" w:type="dxa"/>
            <w:shd w:val="clear" w:color="auto" w:fill="auto"/>
          </w:tcPr>
          <w:p w14:paraId="726E60B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w:t>
            </w:r>
          </w:p>
        </w:tc>
        <w:tc>
          <w:tcPr>
            <w:tcW w:w="1499" w:type="dxa"/>
            <w:shd w:val="clear" w:color="auto" w:fill="auto"/>
          </w:tcPr>
          <w:p w14:paraId="0F80C4C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w:t>
            </w:r>
          </w:p>
        </w:tc>
      </w:tr>
      <w:tr w:rsidR="000E73F4" w:rsidRPr="000E73F4" w14:paraId="2C09600F" w14:textId="77777777" w:rsidTr="000E73F4">
        <w:trPr>
          <w:tblHeader/>
        </w:trPr>
        <w:tc>
          <w:tcPr>
            <w:tcW w:w="3974" w:type="dxa"/>
            <w:shd w:val="clear" w:color="auto" w:fill="auto"/>
          </w:tcPr>
          <w:p w14:paraId="32987F7C"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Chronic kidney disease</w:t>
            </w:r>
          </w:p>
        </w:tc>
        <w:tc>
          <w:tcPr>
            <w:tcW w:w="1530" w:type="dxa"/>
            <w:shd w:val="clear" w:color="auto" w:fill="auto"/>
          </w:tcPr>
          <w:p w14:paraId="1F5F8D1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3.6</w:t>
            </w:r>
          </w:p>
        </w:tc>
        <w:tc>
          <w:tcPr>
            <w:tcW w:w="1530" w:type="dxa"/>
            <w:shd w:val="clear" w:color="auto" w:fill="auto"/>
          </w:tcPr>
          <w:p w14:paraId="2FB48B6A"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3.6</w:t>
            </w:r>
          </w:p>
        </w:tc>
        <w:tc>
          <w:tcPr>
            <w:tcW w:w="1499" w:type="dxa"/>
            <w:shd w:val="clear" w:color="auto" w:fill="auto"/>
          </w:tcPr>
          <w:p w14:paraId="3C55361A"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3.6</w:t>
            </w:r>
          </w:p>
        </w:tc>
      </w:tr>
      <w:tr w:rsidR="000E73F4" w:rsidRPr="000E73F4" w14:paraId="69EE991F" w14:textId="77777777" w:rsidTr="000E73F4">
        <w:trPr>
          <w:tblHeader/>
        </w:trPr>
        <w:tc>
          <w:tcPr>
            <w:tcW w:w="3974" w:type="dxa"/>
            <w:shd w:val="clear" w:color="auto" w:fill="auto"/>
          </w:tcPr>
          <w:p w14:paraId="7EB6E667"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Prior PCI</w:t>
            </w:r>
          </w:p>
        </w:tc>
        <w:tc>
          <w:tcPr>
            <w:tcW w:w="1530" w:type="dxa"/>
            <w:shd w:val="clear" w:color="auto" w:fill="auto"/>
          </w:tcPr>
          <w:p w14:paraId="49B1FE25"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40.3</w:t>
            </w:r>
          </w:p>
        </w:tc>
        <w:tc>
          <w:tcPr>
            <w:tcW w:w="1530" w:type="dxa"/>
            <w:shd w:val="clear" w:color="auto" w:fill="auto"/>
          </w:tcPr>
          <w:p w14:paraId="4C6FAD87"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40.3</w:t>
            </w:r>
          </w:p>
        </w:tc>
        <w:tc>
          <w:tcPr>
            <w:tcW w:w="1499" w:type="dxa"/>
            <w:shd w:val="clear" w:color="auto" w:fill="auto"/>
          </w:tcPr>
          <w:p w14:paraId="7360F6F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40.3</w:t>
            </w:r>
          </w:p>
        </w:tc>
      </w:tr>
      <w:tr w:rsidR="000E73F4" w:rsidRPr="000E73F4" w14:paraId="1524C990" w14:textId="77777777" w:rsidTr="000E73F4">
        <w:trPr>
          <w:tblHeader/>
        </w:trPr>
        <w:tc>
          <w:tcPr>
            <w:tcW w:w="3974" w:type="dxa"/>
            <w:shd w:val="clear" w:color="auto" w:fill="auto"/>
          </w:tcPr>
          <w:p w14:paraId="01753A2B"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Prior CABG</w:t>
            </w:r>
          </w:p>
        </w:tc>
        <w:tc>
          <w:tcPr>
            <w:tcW w:w="1530" w:type="dxa"/>
            <w:shd w:val="clear" w:color="auto" w:fill="auto"/>
          </w:tcPr>
          <w:p w14:paraId="0945396C"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18.8</w:t>
            </w:r>
          </w:p>
        </w:tc>
        <w:tc>
          <w:tcPr>
            <w:tcW w:w="1530" w:type="dxa"/>
            <w:shd w:val="clear" w:color="auto" w:fill="auto"/>
          </w:tcPr>
          <w:p w14:paraId="3FB8A7BF"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18.9</w:t>
            </w:r>
          </w:p>
        </w:tc>
        <w:tc>
          <w:tcPr>
            <w:tcW w:w="1499" w:type="dxa"/>
            <w:shd w:val="clear" w:color="auto" w:fill="auto"/>
          </w:tcPr>
          <w:p w14:paraId="2A08229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18.7</w:t>
            </w:r>
          </w:p>
        </w:tc>
      </w:tr>
      <w:tr w:rsidR="000E73F4" w:rsidRPr="000E73F4" w14:paraId="5A8BF899" w14:textId="77777777" w:rsidTr="000E73F4">
        <w:trPr>
          <w:tblHeader/>
        </w:trPr>
        <w:tc>
          <w:tcPr>
            <w:tcW w:w="3974" w:type="dxa"/>
            <w:shd w:val="clear" w:color="auto" w:fill="auto"/>
          </w:tcPr>
          <w:p w14:paraId="3F555BB3" w14:textId="77777777" w:rsidR="000E73F4" w:rsidRPr="000E73F4" w:rsidRDefault="000E73F4" w:rsidP="000E73F4">
            <w:pPr>
              <w:spacing w:after="0" w:line="360" w:lineRule="auto"/>
              <w:ind w:left="360"/>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lastRenderedPageBreak/>
              <w:t xml:space="preserve">Median pre-procedure Hgb, g/dl </w:t>
            </w:r>
          </w:p>
          <w:p w14:paraId="48ABB952"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75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xml:space="preserve"> percentiles)</w:t>
            </w:r>
          </w:p>
        </w:tc>
        <w:tc>
          <w:tcPr>
            <w:tcW w:w="1530" w:type="dxa"/>
            <w:shd w:val="clear" w:color="auto" w:fill="auto"/>
          </w:tcPr>
          <w:p w14:paraId="7EF149B7"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13.7 </w:t>
            </w:r>
          </w:p>
          <w:p w14:paraId="09A5E3E6"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(12.4, 14.9)</w:t>
            </w:r>
          </w:p>
        </w:tc>
        <w:tc>
          <w:tcPr>
            <w:tcW w:w="1530" w:type="dxa"/>
            <w:shd w:val="clear" w:color="auto" w:fill="auto"/>
          </w:tcPr>
          <w:p w14:paraId="3C24B01E"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13.7 </w:t>
            </w:r>
          </w:p>
          <w:p w14:paraId="66854643"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(12.4, 14.9)</w:t>
            </w:r>
          </w:p>
        </w:tc>
        <w:tc>
          <w:tcPr>
            <w:tcW w:w="1499" w:type="dxa"/>
            <w:shd w:val="clear" w:color="auto" w:fill="auto"/>
          </w:tcPr>
          <w:p w14:paraId="21E5709A"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13.7 </w:t>
            </w:r>
          </w:p>
          <w:p w14:paraId="7A1D8BE0"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(12.4, 14.9)</w:t>
            </w:r>
          </w:p>
        </w:tc>
      </w:tr>
      <w:tr w:rsidR="000E73F4" w:rsidRPr="000E73F4" w14:paraId="6C993353" w14:textId="77777777" w:rsidTr="000E73F4">
        <w:trPr>
          <w:tblHeader/>
        </w:trPr>
        <w:tc>
          <w:tcPr>
            <w:tcW w:w="3974" w:type="dxa"/>
            <w:shd w:val="clear" w:color="auto" w:fill="auto"/>
          </w:tcPr>
          <w:p w14:paraId="46CCF8E6" w14:textId="77777777" w:rsidR="000E73F4" w:rsidRPr="000E73F4" w:rsidRDefault="000E73F4" w:rsidP="000E73F4">
            <w:pPr>
              <w:spacing w:after="0" w:line="360" w:lineRule="auto"/>
              <w:rPr>
                <w:rFonts w:asciiTheme="majorHAnsi" w:eastAsia="MS Mincho" w:hAnsiTheme="majorHAnsi" w:cs="Times New Roman"/>
                <w:bCs/>
                <w:color w:val="0070C0"/>
                <w:sz w:val="20"/>
                <w:szCs w:val="20"/>
                <w:lang w:eastAsia="ja-JP"/>
              </w:rPr>
            </w:pPr>
            <w:r w:rsidRPr="000E73F4">
              <w:rPr>
                <w:rFonts w:asciiTheme="majorHAnsi" w:eastAsia="MS Mincho" w:hAnsiTheme="majorHAnsi" w:cs="Times New Roman"/>
                <w:bCs/>
                <w:color w:val="0070C0"/>
                <w:sz w:val="20"/>
                <w:szCs w:val="20"/>
                <w:lang w:eastAsia="ja-JP"/>
              </w:rPr>
              <w:t>Procedural characteristics</w:t>
            </w:r>
          </w:p>
        </w:tc>
        <w:tc>
          <w:tcPr>
            <w:tcW w:w="1530" w:type="dxa"/>
            <w:shd w:val="clear" w:color="auto" w:fill="auto"/>
          </w:tcPr>
          <w:p w14:paraId="407557F0"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530" w:type="dxa"/>
            <w:shd w:val="clear" w:color="auto" w:fill="auto"/>
          </w:tcPr>
          <w:p w14:paraId="70BB577E"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499" w:type="dxa"/>
            <w:shd w:val="clear" w:color="auto" w:fill="auto"/>
          </w:tcPr>
          <w:p w14:paraId="5E187DA6"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p>
        </w:tc>
      </w:tr>
      <w:tr w:rsidR="000E73F4" w:rsidRPr="000E73F4" w14:paraId="3B5F1E0D" w14:textId="77777777" w:rsidTr="000E73F4">
        <w:trPr>
          <w:tblHeader/>
        </w:trPr>
        <w:tc>
          <w:tcPr>
            <w:tcW w:w="3974" w:type="dxa"/>
            <w:shd w:val="clear" w:color="auto" w:fill="auto"/>
          </w:tcPr>
          <w:p w14:paraId="4C52F82E"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Procedure status</w:t>
            </w:r>
          </w:p>
        </w:tc>
        <w:tc>
          <w:tcPr>
            <w:tcW w:w="1530" w:type="dxa"/>
            <w:shd w:val="clear" w:color="auto" w:fill="auto"/>
          </w:tcPr>
          <w:p w14:paraId="2607CE4F"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530" w:type="dxa"/>
            <w:shd w:val="clear" w:color="auto" w:fill="auto"/>
          </w:tcPr>
          <w:p w14:paraId="14827F20"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499" w:type="dxa"/>
            <w:shd w:val="clear" w:color="auto" w:fill="auto"/>
          </w:tcPr>
          <w:p w14:paraId="6D539A9B"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r>
      <w:tr w:rsidR="000E73F4" w:rsidRPr="000E73F4" w14:paraId="2819ED57" w14:textId="77777777" w:rsidTr="000E73F4">
        <w:trPr>
          <w:tblHeader/>
        </w:trPr>
        <w:tc>
          <w:tcPr>
            <w:tcW w:w="3974" w:type="dxa"/>
            <w:shd w:val="clear" w:color="auto" w:fill="auto"/>
          </w:tcPr>
          <w:p w14:paraId="4B10A839" w14:textId="77777777" w:rsidR="000E73F4" w:rsidRPr="000E73F4" w:rsidRDefault="000E73F4" w:rsidP="000E73F4">
            <w:pPr>
              <w:spacing w:after="0" w:line="360" w:lineRule="auto"/>
              <w:ind w:left="72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Elective</w:t>
            </w:r>
          </w:p>
        </w:tc>
        <w:tc>
          <w:tcPr>
            <w:tcW w:w="1530" w:type="dxa"/>
            <w:shd w:val="clear" w:color="auto" w:fill="auto"/>
          </w:tcPr>
          <w:p w14:paraId="591261D5"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45.2</w:t>
            </w:r>
          </w:p>
        </w:tc>
        <w:tc>
          <w:tcPr>
            <w:tcW w:w="1530" w:type="dxa"/>
            <w:shd w:val="clear" w:color="auto" w:fill="auto"/>
          </w:tcPr>
          <w:p w14:paraId="313FFB07"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45.2</w:t>
            </w:r>
          </w:p>
        </w:tc>
        <w:tc>
          <w:tcPr>
            <w:tcW w:w="1499" w:type="dxa"/>
            <w:shd w:val="clear" w:color="auto" w:fill="auto"/>
          </w:tcPr>
          <w:p w14:paraId="7E8DFC6D"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45.1</w:t>
            </w:r>
          </w:p>
        </w:tc>
      </w:tr>
      <w:tr w:rsidR="000E73F4" w:rsidRPr="000E73F4" w14:paraId="199FA2C1" w14:textId="77777777" w:rsidTr="000E73F4">
        <w:trPr>
          <w:tblHeader/>
        </w:trPr>
        <w:tc>
          <w:tcPr>
            <w:tcW w:w="3974" w:type="dxa"/>
            <w:shd w:val="clear" w:color="auto" w:fill="auto"/>
          </w:tcPr>
          <w:p w14:paraId="05B2F34F" w14:textId="77777777" w:rsidR="000E73F4" w:rsidRPr="000E73F4" w:rsidRDefault="000E73F4" w:rsidP="000E73F4">
            <w:pPr>
              <w:spacing w:after="0" w:line="360" w:lineRule="auto"/>
              <w:ind w:left="72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Urgent</w:t>
            </w:r>
          </w:p>
        </w:tc>
        <w:tc>
          <w:tcPr>
            <w:tcW w:w="1530" w:type="dxa"/>
            <w:shd w:val="clear" w:color="auto" w:fill="auto"/>
          </w:tcPr>
          <w:p w14:paraId="3D2CC2DD"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37.5</w:t>
            </w:r>
          </w:p>
        </w:tc>
        <w:tc>
          <w:tcPr>
            <w:tcW w:w="1530" w:type="dxa"/>
            <w:shd w:val="clear" w:color="auto" w:fill="auto"/>
          </w:tcPr>
          <w:p w14:paraId="793C75B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37.5</w:t>
            </w:r>
          </w:p>
        </w:tc>
        <w:tc>
          <w:tcPr>
            <w:tcW w:w="1499" w:type="dxa"/>
            <w:shd w:val="clear" w:color="auto" w:fill="auto"/>
          </w:tcPr>
          <w:p w14:paraId="1F7D0117"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37.7</w:t>
            </w:r>
          </w:p>
        </w:tc>
      </w:tr>
      <w:tr w:rsidR="000E73F4" w:rsidRPr="000E73F4" w14:paraId="360DD657" w14:textId="77777777" w:rsidTr="000E73F4">
        <w:trPr>
          <w:tblHeader/>
        </w:trPr>
        <w:tc>
          <w:tcPr>
            <w:tcW w:w="3974" w:type="dxa"/>
            <w:shd w:val="clear" w:color="auto" w:fill="auto"/>
          </w:tcPr>
          <w:p w14:paraId="1C337FF6" w14:textId="77777777" w:rsidR="000E73F4" w:rsidRPr="000E73F4" w:rsidRDefault="000E73F4" w:rsidP="000E73F4">
            <w:pPr>
              <w:spacing w:after="0" w:line="360" w:lineRule="auto"/>
              <w:ind w:left="72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Emergent</w:t>
            </w:r>
          </w:p>
        </w:tc>
        <w:tc>
          <w:tcPr>
            <w:tcW w:w="1530" w:type="dxa"/>
            <w:shd w:val="clear" w:color="auto" w:fill="auto"/>
          </w:tcPr>
          <w:p w14:paraId="7EC0BC8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17.0</w:t>
            </w:r>
          </w:p>
        </w:tc>
        <w:tc>
          <w:tcPr>
            <w:tcW w:w="1530" w:type="dxa"/>
            <w:shd w:val="clear" w:color="auto" w:fill="auto"/>
          </w:tcPr>
          <w:p w14:paraId="430DA82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17.0</w:t>
            </w:r>
          </w:p>
        </w:tc>
        <w:tc>
          <w:tcPr>
            <w:tcW w:w="1499" w:type="dxa"/>
            <w:shd w:val="clear" w:color="auto" w:fill="auto"/>
          </w:tcPr>
          <w:p w14:paraId="7DF834C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16.9</w:t>
            </w:r>
          </w:p>
        </w:tc>
      </w:tr>
      <w:tr w:rsidR="000E73F4" w:rsidRPr="000E73F4" w14:paraId="752A3FD0" w14:textId="77777777" w:rsidTr="000E73F4">
        <w:trPr>
          <w:tblHeader/>
        </w:trPr>
        <w:tc>
          <w:tcPr>
            <w:tcW w:w="3974" w:type="dxa"/>
            <w:shd w:val="clear" w:color="auto" w:fill="auto"/>
          </w:tcPr>
          <w:p w14:paraId="4BE4A0D8" w14:textId="77777777" w:rsidR="000E73F4" w:rsidRPr="000E73F4" w:rsidRDefault="000E73F4" w:rsidP="000E73F4">
            <w:pPr>
              <w:spacing w:after="0" w:line="360" w:lineRule="auto"/>
              <w:ind w:left="72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Salvage</w:t>
            </w:r>
          </w:p>
        </w:tc>
        <w:tc>
          <w:tcPr>
            <w:tcW w:w="1530" w:type="dxa"/>
            <w:shd w:val="clear" w:color="auto" w:fill="auto"/>
          </w:tcPr>
          <w:p w14:paraId="1CFB651F"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0.3</w:t>
            </w:r>
          </w:p>
        </w:tc>
        <w:tc>
          <w:tcPr>
            <w:tcW w:w="1530" w:type="dxa"/>
            <w:shd w:val="clear" w:color="auto" w:fill="auto"/>
          </w:tcPr>
          <w:p w14:paraId="73632A41"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0.3</w:t>
            </w:r>
          </w:p>
        </w:tc>
        <w:tc>
          <w:tcPr>
            <w:tcW w:w="1499" w:type="dxa"/>
            <w:shd w:val="clear" w:color="auto" w:fill="auto"/>
          </w:tcPr>
          <w:p w14:paraId="3E58F13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0.3</w:t>
            </w:r>
          </w:p>
        </w:tc>
      </w:tr>
      <w:tr w:rsidR="000E73F4" w:rsidRPr="000E73F4" w14:paraId="336ADF6E" w14:textId="77777777" w:rsidTr="000E73F4">
        <w:trPr>
          <w:tblHeader/>
        </w:trPr>
        <w:tc>
          <w:tcPr>
            <w:tcW w:w="3974" w:type="dxa"/>
            <w:shd w:val="clear" w:color="auto" w:fill="auto"/>
          </w:tcPr>
          <w:p w14:paraId="70DF0C4A"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STEMI</w:t>
            </w:r>
          </w:p>
        </w:tc>
        <w:tc>
          <w:tcPr>
            <w:tcW w:w="1530" w:type="dxa"/>
            <w:shd w:val="clear" w:color="auto" w:fill="auto"/>
          </w:tcPr>
          <w:p w14:paraId="37E76B25"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16.0</w:t>
            </w:r>
          </w:p>
        </w:tc>
        <w:tc>
          <w:tcPr>
            <w:tcW w:w="1530" w:type="dxa"/>
            <w:shd w:val="clear" w:color="auto" w:fill="auto"/>
          </w:tcPr>
          <w:p w14:paraId="44063273"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16.0</w:t>
            </w:r>
          </w:p>
        </w:tc>
        <w:tc>
          <w:tcPr>
            <w:tcW w:w="1499" w:type="dxa"/>
            <w:shd w:val="clear" w:color="auto" w:fill="auto"/>
          </w:tcPr>
          <w:p w14:paraId="3CCA2E9C"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15.9</w:t>
            </w:r>
          </w:p>
        </w:tc>
      </w:tr>
      <w:tr w:rsidR="000E73F4" w:rsidRPr="000E73F4" w14:paraId="40F33B9D" w14:textId="77777777" w:rsidTr="000E73F4">
        <w:trPr>
          <w:tblHeader/>
        </w:trPr>
        <w:tc>
          <w:tcPr>
            <w:tcW w:w="3974" w:type="dxa"/>
            <w:shd w:val="clear" w:color="auto" w:fill="auto"/>
          </w:tcPr>
          <w:p w14:paraId="260A40C0"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proofErr w:type="spellStart"/>
            <w:r w:rsidRPr="000E73F4">
              <w:rPr>
                <w:rFonts w:asciiTheme="majorHAnsi" w:eastAsia="MS Mincho" w:hAnsiTheme="majorHAnsi" w:cs="Times New Roman"/>
                <w:color w:val="0070C0"/>
                <w:sz w:val="20"/>
                <w:szCs w:val="20"/>
                <w:lang w:eastAsia="ja-JP"/>
              </w:rPr>
              <w:t>Lytics</w:t>
            </w:r>
            <w:proofErr w:type="spellEnd"/>
            <w:r w:rsidRPr="000E73F4">
              <w:rPr>
                <w:rFonts w:asciiTheme="majorHAnsi" w:eastAsia="MS Mincho" w:hAnsiTheme="majorHAnsi" w:cs="Times New Roman"/>
                <w:color w:val="0070C0"/>
                <w:sz w:val="20"/>
                <w:szCs w:val="20"/>
                <w:lang w:eastAsia="ja-JP"/>
              </w:rPr>
              <w:t xml:space="preserve"> prior to PCI for STEMI</w:t>
            </w:r>
          </w:p>
        </w:tc>
        <w:tc>
          <w:tcPr>
            <w:tcW w:w="1530" w:type="dxa"/>
            <w:shd w:val="clear" w:color="auto" w:fill="auto"/>
          </w:tcPr>
          <w:p w14:paraId="7262CBA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8.1</w:t>
            </w:r>
          </w:p>
        </w:tc>
        <w:tc>
          <w:tcPr>
            <w:tcW w:w="1530" w:type="dxa"/>
            <w:shd w:val="clear" w:color="auto" w:fill="auto"/>
          </w:tcPr>
          <w:p w14:paraId="532BD7ED"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8.0</w:t>
            </w:r>
          </w:p>
        </w:tc>
        <w:tc>
          <w:tcPr>
            <w:tcW w:w="1499" w:type="dxa"/>
            <w:shd w:val="clear" w:color="auto" w:fill="auto"/>
          </w:tcPr>
          <w:p w14:paraId="54078E84"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8.2</w:t>
            </w:r>
          </w:p>
        </w:tc>
      </w:tr>
      <w:tr w:rsidR="000E73F4" w:rsidRPr="000E73F4" w14:paraId="7EDBE409" w14:textId="77777777" w:rsidTr="000E73F4">
        <w:trPr>
          <w:tblHeader/>
        </w:trPr>
        <w:tc>
          <w:tcPr>
            <w:tcW w:w="3974" w:type="dxa"/>
            <w:shd w:val="clear" w:color="auto" w:fill="auto"/>
          </w:tcPr>
          <w:p w14:paraId="4E42D1D2"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 xml:space="preserve">Shock </w:t>
            </w:r>
          </w:p>
        </w:tc>
        <w:tc>
          <w:tcPr>
            <w:tcW w:w="1530" w:type="dxa"/>
            <w:shd w:val="clear" w:color="auto" w:fill="auto"/>
          </w:tcPr>
          <w:p w14:paraId="747852A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p>
        </w:tc>
        <w:tc>
          <w:tcPr>
            <w:tcW w:w="1530" w:type="dxa"/>
            <w:shd w:val="clear" w:color="auto" w:fill="auto"/>
          </w:tcPr>
          <w:p w14:paraId="4708E4E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p>
        </w:tc>
        <w:tc>
          <w:tcPr>
            <w:tcW w:w="1499" w:type="dxa"/>
            <w:shd w:val="clear" w:color="auto" w:fill="auto"/>
          </w:tcPr>
          <w:p w14:paraId="3B427053"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2.4</w:t>
            </w:r>
          </w:p>
        </w:tc>
      </w:tr>
      <w:tr w:rsidR="000E73F4" w:rsidRPr="000E73F4" w14:paraId="697EA9C4" w14:textId="77777777" w:rsidTr="000E73F4">
        <w:trPr>
          <w:tblHeader/>
        </w:trPr>
        <w:tc>
          <w:tcPr>
            <w:tcW w:w="3974" w:type="dxa"/>
            <w:shd w:val="clear" w:color="auto" w:fill="auto"/>
          </w:tcPr>
          <w:p w14:paraId="54C81CD6"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 xml:space="preserve">Cardiac arrest within 24 </w:t>
            </w:r>
            <w:proofErr w:type="spellStart"/>
            <w:r w:rsidRPr="000E73F4">
              <w:rPr>
                <w:rFonts w:asciiTheme="majorHAnsi" w:eastAsia="MS Mincho" w:hAnsiTheme="majorHAnsi" w:cs="Times New Roman"/>
                <w:color w:val="0070C0"/>
                <w:sz w:val="20"/>
                <w:szCs w:val="20"/>
                <w:lang w:eastAsia="ja-JP"/>
              </w:rPr>
              <w:t>hrs</w:t>
            </w:r>
            <w:proofErr w:type="spellEnd"/>
            <w:r w:rsidRPr="000E73F4">
              <w:rPr>
                <w:rFonts w:asciiTheme="majorHAnsi" w:eastAsia="MS Mincho" w:hAnsiTheme="majorHAnsi" w:cs="Times New Roman"/>
                <w:color w:val="0070C0"/>
                <w:sz w:val="20"/>
                <w:szCs w:val="20"/>
                <w:lang w:eastAsia="ja-JP"/>
              </w:rPr>
              <w:t xml:space="preserve"> of PCI</w:t>
            </w:r>
          </w:p>
        </w:tc>
        <w:tc>
          <w:tcPr>
            <w:tcW w:w="1530" w:type="dxa"/>
            <w:shd w:val="clear" w:color="auto" w:fill="auto"/>
          </w:tcPr>
          <w:p w14:paraId="1C07296B"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1.7</w:t>
            </w:r>
          </w:p>
        </w:tc>
        <w:tc>
          <w:tcPr>
            <w:tcW w:w="1530" w:type="dxa"/>
            <w:shd w:val="clear" w:color="auto" w:fill="auto"/>
          </w:tcPr>
          <w:p w14:paraId="59CCA205"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1.7</w:t>
            </w:r>
          </w:p>
        </w:tc>
        <w:tc>
          <w:tcPr>
            <w:tcW w:w="1499" w:type="dxa"/>
            <w:shd w:val="clear" w:color="auto" w:fill="auto"/>
          </w:tcPr>
          <w:p w14:paraId="1A7083D8"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1.7</w:t>
            </w:r>
          </w:p>
        </w:tc>
      </w:tr>
      <w:tr w:rsidR="000E73F4" w:rsidRPr="000E73F4" w14:paraId="6E90F503" w14:textId="77777777" w:rsidTr="000E73F4">
        <w:trPr>
          <w:tblHeader/>
        </w:trPr>
        <w:tc>
          <w:tcPr>
            <w:tcW w:w="3974" w:type="dxa"/>
            <w:shd w:val="clear" w:color="auto" w:fill="auto"/>
          </w:tcPr>
          <w:p w14:paraId="3B43BC2A" w14:textId="77777777" w:rsidR="000E73F4" w:rsidRPr="000E73F4" w:rsidRDefault="000E73F4" w:rsidP="000E73F4">
            <w:pPr>
              <w:spacing w:after="0" w:line="360" w:lineRule="auto"/>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Hospital characteristics</w:t>
            </w:r>
          </w:p>
        </w:tc>
        <w:tc>
          <w:tcPr>
            <w:tcW w:w="1530" w:type="dxa"/>
            <w:shd w:val="clear" w:color="auto" w:fill="auto"/>
          </w:tcPr>
          <w:p w14:paraId="309669AE"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530" w:type="dxa"/>
            <w:shd w:val="clear" w:color="auto" w:fill="auto"/>
          </w:tcPr>
          <w:p w14:paraId="15610A8F"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c>
          <w:tcPr>
            <w:tcW w:w="1499" w:type="dxa"/>
            <w:shd w:val="clear" w:color="auto" w:fill="auto"/>
          </w:tcPr>
          <w:p w14:paraId="46DEDB54" w14:textId="77777777" w:rsidR="000E73F4" w:rsidRPr="000E73F4" w:rsidRDefault="000E73F4" w:rsidP="000E73F4">
            <w:pPr>
              <w:tabs>
                <w:tab w:val="center" w:pos="4680"/>
                <w:tab w:val="right" w:pos="9360"/>
              </w:tabs>
              <w:spacing w:after="0" w:line="360" w:lineRule="auto"/>
              <w:jc w:val="center"/>
              <w:rPr>
                <w:rFonts w:asciiTheme="majorHAnsi" w:eastAsia="MS Mincho" w:hAnsiTheme="majorHAnsi" w:cs="Times New Roman"/>
                <w:color w:val="0070C0"/>
                <w:sz w:val="20"/>
                <w:szCs w:val="20"/>
                <w:lang w:eastAsia="ja-JP"/>
              </w:rPr>
            </w:pPr>
          </w:p>
        </w:tc>
      </w:tr>
      <w:tr w:rsidR="000E73F4" w:rsidRPr="000E73F4" w14:paraId="2E35D294" w14:textId="77777777" w:rsidTr="000E73F4">
        <w:trPr>
          <w:tblHeader/>
        </w:trPr>
        <w:tc>
          <w:tcPr>
            <w:tcW w:w="3974" w:type="dxa"/>
            <w:shd w:val="clear" w:color="auto" w:fill="auto"/>
          </w:tcPr>
          <w:p w14:paraId="4A146994" w14:textId="77777777" w:rsidR="000E73F4" w:rsidRPr="000E73F4" w:rsidRDefault="000E73F4" w:rsidP="000E73F4">
            <w:pPr>
              <w:spacing w:after="0" w:line="360" w:lineRule="auto"/>
              <w:ind w:left="360"/>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Number of beds, median </w:t>
            </w:r>
          </w:p>
          <w:p w14:paraId="0C23256A"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75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xml:space="preserve"> percentiles)</w:t>
            </w:r>
          </w:p>
        </w:tc>
        <w:tc>
          <w:tcPr>
            <w:tcW w:w="1530" w:type="dxa"/>
            <w:shd w:val="clear" w:color="auto" w:fill="auto"/>
          </w:tcPr>
          <w:p w14:paraId="3B5F1465"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410.0 </w:t>
            </w:r>
          </w:p>
          <w:p w14:paraId="499E4C1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(283.0-571.0)</w:t>
            </w:r>
          </w:p>
        </w:tc>
        <w:tc>
          <w:tcPr>
            <w:tcW w:w="1530" w:type="dxa"/>
            <w:shd w:val="clear" w:color="auto" w:fill="auto"/>
          </w:tcPr>
          <w:p w14:paraId="58D91F29"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410.0 </w:t>
            </w:r>
          </w:p>
          <w:p w14:paraId="1C8D52D2"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(283.0-571.0)</w:t>
            </w:r>
          </w:p>
        </w:tc>
        <w:tc>
          <w:tcPr>
            <w:tcW w:w="1499" w:type="dxa"/>
            <w:shd w:val="clear" w:color="auto" w:fill="auto"/>
          </w:tcPr>
          <w:p w14:paraId="74AEFD7B"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409.0 </w:t>
            </w:r>
          </w:p>
          <w:p w14:paraId="783F448D"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(282.0-569.0)</w:t>
            </w:r>
          </w:p>
        </w:tc>
      </w:tr>
      <w:tr w:rsidR="000E73F4" w:rsidRPr="000E73F4" w14:paraId="32777FD7" w14:textId="77777777" w:rsidTr="000E73F4">
        <w:trPr>
          <w:tblHeader/>
        </w:trPr>
        <w:tc>
          <w:tcPr>
            <w:tcW w:w="3974" w:type="dxa"/>
            <w:shd w:val="clear" w:color="auto" w:fill="auto"/>
          </w:tcPr>
          <w:p w14:paraId="61DC4D42"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University hospital (%)</w:t>
            </w:r>
          </w:p>
        </w:tc>
        <w:tc>
          <w:tcPr>
            <w:tcW w:w="1530" w:type="dxa"/>
            <w:shd w:val="clear" w:color="auto" w:fill="auto"/>
          </w:tcPr>
          <w:p w14:paraId="5B8CC07B"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11.3</w:t>
            </w:r>
          </w:p>
        </w:tc>
        <w:tc>
          <w:tcPr>
            <w:tcW w:w="1530" w:type="dxa"/>
            <w:shd w:val="clear" w:color="auto" w:fill="auto"/>
          </w:tcPr>
          <w:p w14:paraId="41C110EA"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11.3</w:t>
            </w:r>
          </w:p>
        </w:tc>
        <w:tc>
          <w:tcPr>
            <w:tcW w:w="1499" w:type="dxa"/>
            <w:shd w:val="clear" w:color="auto" w:fill="auto"/>
          </w:tcPr>
          <w:p w14:paraId="26B2BFDE"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11.3</w:t>
            </w:r>
          </w:p>
        </w:tc>
      </w:tr>
      <w:tr w:rsidR="000E73F4" w:rsidRPr="000E73F4" w14:paraId="3F836753" w14:textId="77777777" w:rsidTr="000E73F4">
        <w:trPr>
          <w:tblHeader/>
        </w:trPr>
        <w:tc>
          <w:tcPr>
            <w:tcW w:w="3974" w:type="dxa"/>
            <w:tcBorders>
              <w:bottom w:val="single" w:sz="12" w:space="0" w:color="auto"/>
            </w:tcBorders>
            <w:shd w:val="clear" w:color="auto" w:fill="auto"/>
          </w:tcPr>
          <w:p w14:paraId="2D702CEE" w14:textId="77777777" w:rsidR="000E73F4" w:rsidRPr="000E73F4" w:rsidRDefault="000E73F4" w:rsidP="000E73F4">
            <w:pPr>
              <w:spacing w:after="0" w:line="360" w:lineRule="auto"/>
              <w:ind w:left="360"/>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Number of annual PCI cases, median </w:t>
            </w:r>
          </w:p>
          <w:p w14:paraId="4378676D" w14:textId="77777777" w:rsidR="000E73F4" w:rsidRPr="000E73F4" w:rsidRDefault="000E73F4" w:rsidP="000E73F4">
            <w:pPr>
              <w:spacing w:after="0" w:line="360" w:lineRule="auto"/>
              <w:ind w:left="360"/>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(25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75</w:t>
            </w:r>
            <w:r w:rsidRPr="000E73F4">
              <w:rPr>
                <w:rFonts w:asciiTheme="majorHAnsi" w:eastAsia="MS Mincho" w:hAnsiTheme="majorHAnsi" w:cs="Times New Roman"/>
                <w:color w:val="0070C0"/>
                <w:sz w:val="20"/>
                <w:szCs w:val="20"/>
                <w:vertAlign w:val="superscript"/>
                <w:lang w:eastAsia="ja-JP"/>
              </w:rPr>
              <w:t>th</w:t>
            </w:r>
            <w:r w:rsidRPr="000E73F4">
              <w:rPr>
                <w:rFonts w:asciiTheme="majorHAnsi" w:eastAsia="MS Mincho" w:hAnsiTheme="majorHAnsi" w:cs="Times New Roman"/>
                <w:color w:val="0070C0"/>
                <w:sz w:val="20"/>
                <w:szCs w:val="20"/>
                <w:lang w:eastAsia="ja-JP"/>
              </w:rPr>
              <w:t xml:space="preserve"> percentiles)</w:t>
            </w:r>
          </w:p>
        </w:tc>
        <w:tc>
          <w:tcPr>
            <w:tcW w:w="1530" w:type="dxa"/>
            <w:tcBorders>
              <w:bottom w:val="single" w:sz="12" w:space="0" w:color="auto"/>
            </w:tcBorders>
            <w:shd w:val="clear" w:color="auto" w:fill="auto"/>
          </w:tcPr>
          <w:p w14:paraId="7D248694"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726.0 </w:t>
            </w:r>
          </w:p>
          <w:p w14:paraId="7D4BCEA1"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(445.1-1177.9)</w:t>
            </w:r>
          </w:p>
        </w:tc>
        <w:tc>
          <w:tcPr>
            <w:tcW w:w="1530" w:type="dxa"/>
            <w:tcBorders>
              <w:bottom w:val="single" w:sz="12" w:space="0" w:color="auto"/>
            </w:tcBorders>
            <w:shd w:val="clear" w:color="auto" w:fill="auto"/>
          </w:tcPr>
          <w:p w14:paraId="6042E1DC"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726.6 </w:t>
            </w:r>
          </w:p>
          <w:p w14:paraId="00DF9A01"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(445.1-1183.1)</w:t>
            </w:r>
          </w:p>
        </w:tc>
        <w:tc>
          <w:tcPr>
            <w:tcW w:w="1499" w:type="dxa"/>
            <w:tcBorders>
              <w:bottom w:val="single" w:sz="12" w:space="0" w:color="auto"/>
            </w:tcBorders>
            <w:shd w:val="clear" w:color="auto" w:fill="auto"/>
          </w:tcPr>
          <w:p w14:paraId="1D23CD1E" w14:textId="77777777" w:rsidR="000E73F4" w:rsidRPr="000E73F4" w:rsidRDefault="000E73F4" w:rsidP="000E73F4">
            <w:pPr>
              <w:spacing w:after="0" w:line="360" w:lineRule="auto"/>
              <w:jc w:val="center"/>
              <w:rPr>
                <w:rFonts w:asciiTheme="majorHAnsi" w:eastAsia="MS Gothic" w:hAnsiTheme="majorHAnsi" w:cs="Times New Roman"/>
                <w:i/>
                <w:iCs/>
                <w:color w:val="0070C0"/>
                <w:sz w:val="20"/>
                <w:szCs w:val="20"/>
                <w:lang w:eastAsia="ja-JP"/>
              </w:rPr>
            </w:pPr>
            <w:r w:rsidRPr="000E73F4">
              <w:rPr>
                <w:rFonts w:asciiTheme="majorHAnsi" w:eastAsia="MS Mincho" w:hAnsiTheme="majorHAnsi" w:cs="Times New Roman"/>
                <w:color w:val="0070C0"/>
                <w:sz w:val="20"/>
                <w:szCs w:val="20"/>
                <w:lang w:eastAsia="ja-JP"/>
              </w:rPr>
              <w:t xml:space="preserve">726.6 </w:t>
            </w:r>
          </w:p>
          <w:p w14:paraId="0180A696" w14:textId="77777777" w:rsidR="000E73F4" w:rsidRPr="000E73F4" w:rsidRDefault="000E73F4" w:rsidP="000E73F4">
            <w:pPr>
              <w:spacing w:after="0" w:line="360" w:lineRule="auto"/>
              <w:jc w:val="center"/>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(448.0-1177.9)</w:t>
            </w:r>
          </w:p>
        </w:tc>
      </w:tr>
      <w:tr w:rsidR="000E73F4" w:rsidRPr="000E73F4" w14:paraId="4F1953BB" w14:textId="77777777" w:rsidTr="000E73F4">
        <w:trPr>
          <w:tblHeader/>
        </w:trPr>
        <w:tc>
          <w:tcPr>
            <w:tcW w:w="8533" w:type="dxa"/>
            <w:gridSpan w:val="4"/>
            <w:tcBorders>
              <w:top w:val="single" w:sz="12" w:space="0" w:color="auto"/>
            </w:tcBorders>
            <w:shd w:val="clear" w:color="auto" w:fill="auto"/>
          </w:tcPr>
          <w:p w14:paraId="2F1FBE66" w14:textId="77777777" w:rsidR="000E73F4" w:rsidRPr="000E73F4" w:rsidRDefault="000E73F4" w:rsidP="000E73F4">
            <w:pPr>
              <w:spacing w:after="0" w:line="360" w:lineRule="auto"/>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All p-values &gt;0.05</w:t>
            </w:r>
          </w:p>
          <w:p w14:paraId="6FD81137" w14:textId="77777777" w:rsidR="000E73F4" w:rsidRPr="000E73F4" w:rsidRDefault="000E73F4" w:rsidP="000E73F4">
            <w:pPr>
              <w:spacing w:after="0" w:line="360" w:lineRule="auto"/>
              <w:rPr>
                <w:rFonts w:asciiTheme="majorHAnsi" w:eastAsia="MS Mincho" w:hAnsiTheme="majorHAnsi" w:cs="Times New Roman"/>
                <w:color w:val="0070C0"/>
                <w:sz w:val="20"/>
                <w:szCs w:val="20"/>
                <w:lang w:eastAsia="ja-JP"/>
              </w:rPr>
            </w:pPr>
            <w:r w:rsidRPr="000E73F4">
              <w:rPr>
                <w:rFonts w:asciiTheme="majorHAnsi" w:eastAsia="MS Mincho" w:hAnsiTheme="majorHAnsi" w:cs="Times New Roman"/>
                <w:color w:val="0070C0"/>
                <w:sz w:val="20"/>
                <w:szCs w:val="20"/>
                <w:lang w:eastAsia="ja-JP"/>
              </w:rPr>
              <w:t>BMI = body mass index; CABG = coronary artery bypass grafting; Hgb = hemoglobin; PCI = percutaneous coronary intervention; STEMI = ST-segment elevation myocardial infarction</w:t>
            </w:r>
          </w:p>
        </w:tc>
      </w:tr>
    </w:tbl>
    <w:p w14:paraId="19AE043A" w14:textId="77777777" w:rsidR="000E73F4" w:rsidRDefault="000E73F4" w:rsidP="000E73F4">
      <w:pPr>
        <w:autoSpaceDE w:val="0"/>
        <w:autoSpaceDN w:val="0"/>
        <w:adjustRightInd w:val="0"/>
        <w:spacing w:after="0" w:line="240" w:lineRule="auto"/>
        <w:rPr>
          <w:rFonts w:asciiTheme="majorHAnsi" w:eastAsia="MS Mincho" w:hAnsiTheme="majorHAnsi" w:cs="Times New Roman"/>
          <w:color w:val="0070C0"/>
          <w:sz w:val="20"/>
          <w:szCs w:val="20"/>
          <w:lang w:eastAsia="ja-JP"/>
        </w:rPr>
      </w:pPr>
    </w:p>
    <w:p w14:paraId="066654B6" w14:textId="77777777" w:rsidR="00DE6325" w:rsidRDefault="00DE6325" w:rsidP="000E73F4">
      <w:pPr>
        <w:autoSpaceDE w:val="0"/>
        <w:autoSpaceDN w:val="0"/>
        <w:adjustRightInd w:val="0"/>
        <w:spacing w:after="0" w:line="240" w:lineRule="auto"/>
        <w:rPr>
          <w:rFonts w:asciiTheme="majorHAnsi" w:eastAsia="MS Mincho" w:hAnsiTheme="majorHAnsi" w:cs="Times New Roman"/>
          <w:color w:val="0070C0"/>
          <w:sz w:val="20"/>
          <w:szCs w:val="20"/>
          <w:lang w:eastAsia="ja-JP"/>
        </w:rPr>
      </w:pPr>
    </w:p>
    <w:p w14:paraId="1ECC7295" w14:textId="245474E7" w:rsidR="00DE6325" w:rsidRPr="00366680" w:rsidRDefault="00DE6325" w:rsidP="000E73F4">
      <w:pPr>
        <w:autoSpaceDE w:val="0"/>
        <w:autoSpaceDN w:val="0"/>
        <w:adjustRightInd w:val="0"/>
        <w:spacing w:after="0" w:line="240" w:lineRule="auto"/>
        <w:rPr>
          <w:rFonts w:asciiTheme="majorHAnsi" w:eastAsia="MS Mincho" w:hAnsiTheme="majorHAnsi" w:cs="Times New Roman"/>
          <w:i/>
          <w:color w:val="FF0000"/>
          <w:sz w:val="20"/>
          <w:szCs w:val="20"/>
          <w:lang w:eastAsia="ja-JP"/>
        </w:rPr>
      </w:pPr>
      <w:r w:rsidRPr="00366680">
        <w:rPr>
          <w:rFonts w:asciiTheme="majorHAnsi" w:eastAsia="MS Mincho" w:hAnsiTheme="majorHAnsi" w:cs="Times New Roman"/>
          <w:i/>
          <w:color w:val="FF0000"/>
          <w:sz w:val="20"/>
          <w:szCs w:val="20"/>
          <w:lang w:eastAsia="ja-JP"/>
        </w:rPr>
        <w:t>Test-Retest</w:t>
      </w:r>
    </w:p>
    <w:p w14:paraId="43E4F000" w14:textId="0F594940" w:rsidR="000E73F4" w:rsidRPr="000E73F4" w:rsidRDefault="00305F8C" w:rsidP="000E73F4">
      <w:pPr>
        <w:autoSpaceDE w:val="0"/>
        <w:autoSpaceDN w:val="0"/>
        <w:adjustRightInd w:val="0"/>
        <w:spacing w:after="0" w:line="240" w:lineRule="auto"/>
        <w:rPr>
          <w:rFonts w:asciiTheme="majorHAnsi" w:hAnsiTheme="majorHAnsi" w:cs="Times New Roman"/>
          <w:bCs/>
          <w:color w:val="0070C0"/>
          <w:sz w:val="20"/>
          <w:szCs w:val="20"/>
        </w:rPr>
      </w:pPr>
      <w:r w:rsidRPr="00366680">
        <w:rPr>
          <w:rFonts w:asciiTheme="majorHAnsi" w:hAnsiTheme="majorHAnsi" w:cs="Times New Roman"/>
          <w:bCs/>
          <w:color w:val="FF0000"/>
          <w:sz w:val="20"/>
          <w:szCs w:val="20"/>
        </w:rPr>
        <w:t>To test the</w:t>
      </w:r>
      <w:r w:rsidR="000E73F4" w:rsidRPr="00366680">
        <w:rPr>
          <w:rFonts w:asciiTheme="majorHAnsi" w:hAnsiTheme="majorHAnsi" w:cs="Times New Roman"/>
          <w:bCs/>
          <w:color w:val="FF0000"/>
          <w:sz w:val="20"/>
          <w:szCs w:val="20"/>
        </w:rPr>
        <w:t xml:space="preserve"> predictive validity, calibration and test-retest reliability, we used </w:t>
      </w:r>
      <w:r w:rsidR="00366680" w:rsidRPr="00366680">
        <w:rPr>
          <w:rFonts w:asciiTheme="majorHAnsi" w:hAnsiTheme="majorHAnsi" w:cs="Times New Roman"/>
          <w:bCs/>
          <w:color w:val="FF0000"/>
          <w:sz w:val="20"/>
          <w:szCs w:val="20"/>
        </w:rPr>
        <w:t xml:space="preserve">data from </w:t>
      </w:r>
      <w:r w:rsidR="008F41A6" w:rsidRPr="00366680">
        <w:rPr>
          <w:rFonts w:asciiTheme="majorHAnsi" w:hAnsiTheme="majorHAnsi" w:cs="Times New Roman"/>
          <w:bCs/>
          <w:color w:val="FF0000"/>
          <w:sz w:val="20"/>
          <w:szCs w:val="20"/>
        </w:rPr>
        <w:t>717,510</w:t>
      </w:r>
      <w:r w:rsidR="000E73F4" w:rsidRPr="00366680">
        <w:rPr>
          <w:rFonts w:asciiTheme="majorHAnsi" w:hAnsiTheme="majorHAnsi" w:cs="Times New Roman"/>
          <w:bCs/>
          <w:color w:val="FF0000"/>
          <w:sz w:val="20"/>
          <w:szCs w:val="20"/>
        </w:rPr>
        <w:t xml:space="preserve"> patients undergoing PCI between 1/201</w:t>
      </w:r>
      <w:r w:rsidR="008F41A6" w:rsidRPr="00366680">
        <w:rPr>
          <w:rFonts w:asciiTheme="majorHAnsi" w:hAnsiTheme="majorHAnsi" w:cs="Times New Roman"/>
          <w:bCs/>
          <w:color w:val="FF0000"/>
          <w:sz w:val="20"/>
          <w:szCs w:val="20"/>
        </w:rPr>
        <w:t>6-</w:t>
      </w:r>
      <w:r w:rsidR="000E73F4" w:rsidRPr="00366680">
        <w:rPr>
          <w:rFonts w:asciiTheme="majorHAnsi" w:hAnsiTheme="majorHAnsi" w:cs="Times New Roman"/>
          <w:bCs/>
          <w:color w:val="FF0000"/>
          <w:sz w:val="20"/>
          <w:szCs w:val="20"/>
        </w:rPr>
        <w:t>12/201</w:t>
      </w:r>
      <w:r w:rsidR="008F41A6" w:rsidRPr="00366680">
        <w:rPr>
          <w:rFonts w:asciiTheme="majorHAnsi" w:hAnsiTheme="majorHAnsi" w:cs="Times New Roman"/>
          <w:bCs/>
          <w:color w:val="FF0000"/>
          <w:sz w:val="20"/>
          <w:szCs w:val="20"/>
        </w:rPr>
        <w:t>6</w:t>
      </w:r>
      <w:r w:rsidR="000E73F4" w:rsidRPr="00366680">
        <w:rPr>
          <w:rFonts w:asciiTheme="majorHAnsi" w:hAnsiTheme="majorHAnsi" w:cs="Times New Roman"/>
          <w:bCs/>
          <w:color w:val="FF0000"/>
          <w:sz w:val="20"/>
          <w:szCs w:val="20"/>
        </w:rPr>
        <w:t xml:space="preserve">, of whom </w:t>
      </w:r>
      <w:r w:rsidR="008F41A6" w:rsidRPr="00366680">
        <w:rPr>
          <w:rFonts w:asciiTheme="majorHAnsi" w:hAnsiTheme="majorHAnsi" w:cs="Times New Roman"/>
          <w:bCs/>
          <w:color w:val="FF0000"/>
          <w:sz w:val="20"/>
          <w:szCs w:val="20"/>
        </w:rPr>
        <w:t>23</w:t>
      </w:r>
      <w:r w:rsidR="000E73F4" w:rsidRPr="00366680">
        <w:rPr>
          <w:rFonts w:asciiTheme="majorHAnsi" w:hAnsiTheme="majorHAnsi" w:cs="Times New Roman"/>
          <w:bCs/>
          <w:color w:val="FF0000"/>
          <w:sz w:val="20"/>
          <w:szCs w:val="20"/>
        </w:rPr>
        <w:t>,</w:t>
      </w:r>
      <w:r w:rsidR="008F41A6" w:rsidRPr="00366680">
        <w:rPr>
          <w:rFonts w:asciiTheme="majorHAnsi" w:hAnsiTheme="majorHAnsi" w:cs="Times New Roman"/>
          <w:bCs/>
          <w:color w:val="FF0000"/>
          <w:sz w:val="20"/>
          <w:szCs w:val="20"/>
        </w:rPr>
        <w:t>874</w:t>
      </w:r>
      <w:r w:rsidR="000E73F4" w:rsidRPr="00366680">
        <w:rPr>
          <w:rFonts w:asciiTheme="majorHAnsi" w:hAnsiTheme="majorHAnsi" w:cs="Times New Roman"/>
          <w:bCs/>
          <w:color w:val="FF0000"/>
          <w:sz w:val="20"/>
          <w:szCs w:val="20"/>
        </w:rPr>
        <w:t xml:space="preserve"> (</w:t>
      </w:r>
      <w:r w:rsidR="008F41A6" w:rsidRPr="00366680">
        <w:rPr>
          <w:rFonts w:asciiTheme="majorHAnsi" w:hAnsiTheme="majorHAnsi" w:cs="Times New Roman"/>
          <w:bCs/>
          <w:color w:val="FF0000"/>
          <w:sz w:val="20"/>
          <w:szCs w:val="20"/>
        </w:rPr>
        <w:t>3</w:t>
      </w:r>
      <w:r w:rsidR="000E73F4" w:rsidRPr="00366680">
        <w:rPr>
          <w:rFonts w:asciiTheme="majorHAnsi" w:hAnsiTheme="majorHAnsi" w:cs="Times New Roman"/>
          <w:bCs/>
          <w:color w:val="FF0000"/>
          <w:sz w:val="20"/>
          <w:szCs w:val="20"/>
        </w:rPr>
        <w:t>.3%) had a bleeding event.</w:t>
      </w:r>
      <w:r w:rsidR="000E73F4" w:rsidRPr="00366680">
        <w:rPr>
          <w:rFonts w:asciiTheme="majorHAnsi" w:eastAsia="MS Mincho" w:hAnsiTheme="majorHAnsi" w:cs="Times New Roman"/>
          <w:color w:val="FF0000"/>
          <w:sz w:val="20"/>
          <w:szCs w:val="20"/>
          <w:lang w:eastAsia="ja-JP"/>
        </w:rPr>
        <w:t xml:space="preserve"> A summary of these patients’ clinical characteristics are provided </w:t>
      </w:r>
      <w:r w:rsidRPr="00366680">
        <w:rPr>
          <w:rFonts w:asciiTheme="majorHAnsi" w:eastAsia="MS Mincho" w:hAnsiTheme="majorHAnsi" w:cs="Times New Roman"/>
          <w:color w:val="FF0000"/>
          <w:sz w:val="20"/>
          <w:szCs w:val="20"/>
          <w:lang w:eastAsia="ja-JP"/>
        </w:rPr>
        <w:t xml:space="preserve">in </w:t>
      </w:r>
      <w:r w:rsidR="000E73F4" w:rsidRPr="00366680">
        <w:rPr>
          <w:rFonts w:asciiTheme="majorHAnsi" w:eastAsia="MS Mincho" w:hAnsiTheme="majorHAnsi" w:cs="Times New Roman"/>
          <w:color w:val="FF0000"/>
          <w:sz w:val="20"/>
          <w:szCs w:val="20"/>
          <w:lang w:eastAsia="ja-JP"/>
        </w:rPr>
        <w:t>Table 2 below</w:t>
      </w:r>
      <w:r w:rsidR="000E73F4" w:rsidRPr="000E73F4">
        <w:rPr>
          <w:rFonts w:asciiTheme="majorHAnsi" w:eastAsia="MS Mincho" w:hAnsiTheme="majorHAnsi" w:cs="Times New Roman"/>
          <w:color w:val="0070C0"/>
          <w:sz w:val="20"/>
          <w:szCs w:val="20"/>
          <w:lang w:eastAsia="ja-JP"/>
        </w:rPr>
        <w:t>:</w:t>
      </w:r>
    </w:p>
    <w:p w14:paraId="40D7FC0D" w14:textId="77777777" w:rsidR="000E73F4" w:rsidRPr="000E73F4" w:rsidRDefault="000E73F4" w:rsidP="000E73F4">
      <w:pPr>
        <w:autoSpaceDE w:val="0"/>
        <w:autoSpaceDN w:val="0"/>
        <w:adjustRightInd w:val="0"/>
        <w:spacing w:after="0" w:line="240" w:lineRule="auto"/>
        <w:rPr>
          <w:rFonts w:asciiTheme="majorHAnsi" w:hAnsiTheme="majorHAnsi" w:cs="Arial"/>
          <w:bCs/>
          <w:color w:val="0070C0"/>
          <w:sz w:val="20"/>
          <w:szCs w:val="20"/>
        </w:rPr>
      </w:pPr>
    </w:p>
    <w:p w14:paraId="38ED6693" w14:textId="293C83A8" w:rsidR="000E73F4" w:rsidRPr="00134ACF" w:rsidRDefault="000E73F4" w:rsidP="00923D12">
      <w:pPr>
        <w:pStyle w:val="Caption"/>
        <w:keepNext/>
        <w:outlineLvl w:val="0"/>
        <w:rPr>
          <w:rFonts w:asciiTheme="majorHAnsi" w:hAnsiTheme="majorHAnsi"/>
          <w:color w:val="FF0000"/>
          <w:sz w:val="20"/>
          <w:szCs w:val="20"/>
        </w:rPr>
      </w:pPr>
      <w:r w:rsidRPr="00134ACF">
        <w:rPr>
          <w:rFonts w:asciiTheme="majorHAnsi" w:hAnsiTheme="majorHAnsi"/>
          <w:color w:val="FF0000"/>
          <w:sz w:val="20"/>
          <w:szCs w:val="20"/>
        </w:rPr>
        <w:t xml:space="preserve">Table </w:t>
      </w:r>
      <w:r w:rsidRPr="00134ACF">
        <w:rPr>
          <w:rFonts w:asciiTheme="majorHAnsi" w:hAnsiTheme="majorHAnsi"/>
          <w:color w:val="FF0000"/>
          <w:sz w:val="20"/>
          <w:szCs w:val="20"/>
        </w:rPr>
        <w:fldChar w:fldCharType="begin"/>
      </w:r>
      <w:r w:rsidRPr="00134ACF">
        <w:rPr>
          <w:rFonts w:asciiTheme="majorHAnsi" w:hAnsiTheme="majorHAnsi"/>
          <w:color w:val="FF0000"/>
          <w:sz w:val="20"/>
          <w:szCs w:val="20"/>
        </w:rPr>
        <w:instrText xml:space="preserve"> SEQ Table \* ARABIC </w:instrText>
      </w:r>
      <w:r w:rsidRPr="00134ACF">
        <w:rPr>
          <w:rFonts w:asciiTheme="majorHAnsi" w:hAnsiTheme="majorHAnsi"/>
          <w:color w:val="FF0000"/>
          <w:sz w:val="20"/>
          <w:szCs w:val="20"/>
        </w:rPr>
        <w:fldChar w:fldCharType="separate"/>
      </w:r>
      <w:r w:rsidR="00452FB8">
        <w:rPr>
          <w:rFonts w:asciiTheme="majorHAnsi" w:hAnsiTheme="majorHAnsi"/>
          <w:noProof/>
          <w:color w:val="FF0000"/>
          <w:sz w:val="20"/>
          <w:szCs w:val="20"/>
        </w:rPr>
        <w:t>2</w:t>
      </w:r>
      <w:r w:rsidRPr="00134ACF">
        <w:rPr>
          <w:rFonts w:asciiTheme="majorHAnsi" w:hAnsiTheme="majorHAnsi"/>
          <w:color w:val="FF0000"/>
          <w:sz w:val="20"/>
          <w:szCs w:val="20"/>
        </w:rPr>
        <w:fldChar w:fldCharType="end"/>
      </w:r>
      <w:r w:rsidRPr="00134ACF">
        <w:rPr>
          <w:rFonts w:asciiTheme="majorHAnsi" w:hAnsiTheme="majorHAnsi"/>
          <w:color w:val="FF0000"/>
          <w:sz w:val="20"/>
          <w:szCs w:val="20"/>
        </w:rPr>
        <w:t>. Predicted Probability of Bleeding</w:t>
      </w:r>
      <w:r w:rsidR="008F41A6" w:rsidRPr="00134ACF">
        <w:rPr>
          <w:rFonts w:asciiTheme="majorHAnsi" w:hAnsiTheme="majorHAnsi"/>
          <w:color w:val="FF0000"/>
          <w:sz w:val="20"/>
          <w:szCs w:val="20"/>
        </w:rPr>
        <w:t xml:space="preserve"> (2016)</w:t>
      </w:r>
    </w:p>
    <w:tbl>
      <w:tblPr>
        <w:tblW w:w="9535" w:type="dxa"/>
        <w:jc w:val="center"/>
        <w:tblLayout w:type="fixed"/>
        <w:tblCellMar>
          <w:left w:w="0" w:type="dxa"/>
          <w:right w:w="0" w:type="dxa"/>
        </w:tblCellMar>
        <w:tblLook w:val="04A0" w:firstRow="1" w:lastRow="0" w:firstColumn="1" w:lastColumn="0" w:noHBand="0" w:noVBand="1"/>
      </w:tblPr>
      <w:tblGrid>
        <w:gridCol w:w="5104"/>
        <w:gridCol w:w="1484"/>
        <w:gridCol w:w="1484"/>
        <w:gridCol w:w="1463"/>
      </w:tblGrid>
      <w:tr w:rsidR="008D1EFE" w:rsidRPr="00332544" w14:paraId="2A4F6B2F" w14:textId="77777777" w:rsidTr="006203D8">
        <w:trPr>
          <w:cantSplit/>
          <w:tblHeader/>
          <w:jc w:val="center"/>
        </w:trPr>
        <w:tc>
          <w:tcPr>
            <w:tcW w:w="9535" w:type="dxa"/>
            <w:gridSpan w:val="4"/>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3AF6D4D3" w14:textId="77777777" w:rsidR="008D1EFE" w:rsidRPr="00332544" w:rsidRDefault="008D1EFE" w:rsidP="006203D8">
            <w:pPr>
              <w:keepNext/>
              <w:adjustRightInd w:val="0"/>
              <w:spacing w:before="60" w:after="60"/>
              <w:rPr>
                <w:rFonts w:ascii="Arial" w:hAnsi="Arial" w:cs="Arial"/>
                <w:color w:val="FF0000"/>
                <w:sz w:val="16"/>
                <w:szCs w:val="16"/>
              </w:rPr>
            </w:pPr>
            <w:bookmarkStart w:id="11" w:name="IDX"/>
            <w:bookmarkEnd w:id="11"/>
            <w:r w:rsidRPr="00332544">
              <w:rPr>
                <w:rFonts w:ascii="Arial" w:hAnsi="Arial" w:cs="Arial"/>
                <w:color w:val="FF0000"/>
                <w:sz w:val="16"/>
                <w:szCs w:val="16"/>
              </w:rPr>
              <w:t>Bleeding</w:t>
            </w:r>
          </w:p>
        </w:tc>
      </w:tr>
      <w:tr w:rsidR="008D1EFE" w:rsidRPr="00332544" w14:paraId="49ED4D54" w14:textId="77777777" w:rsidTr="006203D8">
        <w:trPr>
          <w:cantSplit/>
          <w:tblHeader/>
          <w:jc w:val="center"/>
        </w:trPr>
        <w:tc>
          <w:tcPr>
            <w:tcW w:w="5104" w:type="dxa"/>
            <w:vMerge w:val="restart"/>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43CFBD52" w14:textId="77777777" w:rsidR="008D1EFE" w:rsidRPr="00332544" w:rsidRDefault="008D1EFE" w:rsidP="006203D8">
            <w:pPr>
              <w:keepNext/>
              <w:adjustRightInd w:val="0"/>
              <w:spacing w:before="60" w:after="60"/>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139EC510"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olor w:val="FF0000"/>
                <w:sz w:val="16"/>
              </w:rPr>
              <w:t>Total</w:t>
            </w:r>
          </w:p>
        </w:tc>
        <w:tc>
          <w:tcPr>
            <w:tcW w:w="2947" w:type="dxa"/>
            <w:gridSpan w:val="2"/>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4CFABB39"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olor w:val="FF0000"/>
                <w:sz w:val="16"/>
              </w:rPr>
              <w:t>Observed Bleed</w:t>
            </w:r>
          </w:p>
        </w:tc>
      </w:tr>
      <w:tr w:rsidR="008D1EFE" w:rsidRPr="00332544" w14:paraId="736D6C60" w14:textId="77777777" w:rsidTr="006203D8">
        <w:trPr>
          <w:cantSplit/>
          <w:tblHeader/>
          <w:jc w:val="center"/>
        </w:trPr>
        <w:tc>
          <w:tcPr>
            <w:tcW w:w="5104" w:type="dxa"/>
            <w:vMerge/>
            <w:tcBorders>
              <w:top w:val="single" w:sz="4" w:space="0" w:color="auto"/>
              <w:left w:val="single" w:sz="4" w:space="0" w:color="auto"/>
              <w:bottom w:val="single" w:sz="4" w:space="0" w:color="auto"/>
              <w:right w:val="single" w:sz="4" w:space="0" w:color="auto"/>
            </w:tcBorders>
            <w:vAlign w:val="center"/>
            <w:hideMark/>
          </w:tcPr>
          <w:p w14:paraId="2FBC5E44" w14:textId="77777777" w:rsidR="008D1EFE" w:rsidRPr="00332544" w:rsidRDefault="008D1EFE" w:rsidP="006203D8">
            <w:pPr>
              <w:rPr>
                <w:rFonts w:ascii="Arial" w:hAnsi="Arial"/>
                <w:color w:val="FF0000"/>
                <w:sz w:val="16"/>
              </w:rPr>
            </w:pPr>
          </w:p>
        </w:tc>
        <w:tc>
          <w:tcPr>
            <w:tcW w:w="1484" w:type="dxa"/>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68792CDE"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olor w:val="FF0000"/>
                <w:sz w:val="16"/>
              </w:rPr>
              <w:t>n = </w:t>
            </w:r>
            <w:r w:rsidRPr="00332544">
              <w:rPr>
                <w:rFonts w:ascii="Arial" w:hAnsi="Arial" w:cs="Arial"/>
                <w:color w:val="FF0000"/>
                <w:sz w:val="16"/>
                <w:szCs w:val="16"/>
              </w:rPr>
              <w:t>717510</w:t>
            </w:r>
          </w:p>
        </w:tc>
        <w:tc>
          <w:tcPr>
            <w:tcW w:w="1484" w:type="dxa"/>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0BBB3C82"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s="Arial"/>
                <w:color w:val="FF0000"/>
                <w:sz w:val="16"/>
                <w:szCs w:val="16"/>
              </w:rPr>
              <w:t>Bleed</w:t>
            </w:r>
            <w:r w:rsidRPr="00332544">
              <w:rPr>
                <w:rFonts w:ascii="Arial" w:hAnsi="Arial"/>
                <w:color w:val="FF0000"/>
                <w:sz w:val="16"/>
              </w:rPr>
              <w:br/>
              <w:t>n = </w:t>
            </w:r>
            <w:r w:rsidRPr="00332544">
              <w:rPr>
                <w:rFonts w:ascii="Arial" w:hAnsi="Arial" w:cs="Arial"/>
                <w:color w:val="FF0000"/>
                <w:sz w:val="16"/>
                <w:szCs w:val="16"/>
              </w:rPr>
              <w:t>23874</w:t>
            </w:r>
          </w:p>
        </w:tc>
        <w:tc>
          <w:tcPr>
            <w:tcW w:w="1463" w:type="dxa"/>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290D045F"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s="Arial"/>
                <w:color w:val="FF0000"/>
                <w:sz w:val="16"/>
                <w:szCs w:val="16"/>
              </w:rPr>
              <w:t>No Bleed</w:t>
            </w:r>
            <w:r w:rsidRPr="00332544">
              <w:rPr>
                <w:rFonts w:ascii="Arial" w:hAnsi="Arial"/>
                <w:color w:val="FF0000"/>
                <w:sz w:val="16"/>
              </w:rPr>
              <w:br/>
              <w:t>n = </w:t>
            </w:r>
            <w:r w:rsidRPr="00332544">
              <w:rPr>
                <w:rFonts w:ascii="Arial" w:hAnsi="Arial" w:cs="Arial"/>
                <w:color w:val="FF0000"/>
                <w:sz w:val="16"/>
                <w:szCs w:val="16"/>
              </w:rPr>
              <w:t>693636</w:t>
            </w:r>
          </w:p>
        </w:tc>
      </w:tr>
      <w:tr w:rsidR="008D1EFE" w:rsidRPr="00332544" w14:paraId="755B4F27"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7E3A419" w14:textId="77777777" w:rsidR="008D1EFE" w:rsidRPr="00332544" w:rsidRDefault="008D1EFE" w:rsidP="006203D8">
            <w:pPr>
              <w:adjustRightInd w:val="0"/>
              <w:spacing w:before="60" w:after="60"/>
              <w:rPr>
                <w:rFonts w:ascii="Arial" w:hAnsi="Arial"/>
                <w:color w:val="FF0000"/>
                <w:sz w:val="16"/>
              </w:rPr>
            </w:pPr>
            <w:r w:rsidRPr="00332544">
              <w:rPr>
                <w:rFonts w:ascii="Arial" w:hAnsi="Arial" w:cs="Arial"/>
                <w:color w:val="FF0000"/>
                <w:sz w:val="16"/>
                <w:szCs w:val="16"/>
              </w:rPr>
              <w:t>     Predicted Bleeding Risk using the proposed risk-adjustment model (multiply by 100 to get % bleeding risk)</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31B2B6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0.</w:t>
            </w:r>
            <w:r w:rsidRPr="00332544">
              <w:rPr>
                <w:rFonts w:ascii="Arial" w:hAnsi="Arial" w:cs="Arial"/>
                <w:color w:val="FF0000"/>
                <w:sz w:val="16"/>
                <w:szCs w:val="16"/>
              </w:rPr>
              <w:t>03707</w:t>
            </w:r>
            <w:r w:rsidRPr="00332544">
              <w:rPr>
                <w:rFonts w:ascii="Arial" w:hAnsi="Arial"/>
                <w:color w:val="FF0000"/>
                <w:sz w:val="16"/>
              </w:rPr>
              <w:t> ± 0.</w:t>
            </w:r>
            <w:r w:rsidRPr="00332544">
              <w:rPr>
                <w:rFonts w:ascii="Arial" w:hAnsi="Arial" w:cs="Arial"/>
                <w:color w:val="FF0000"/>
                <w:sz w:val="16"/>
                <w:szCs w:val="16"/>
              </w:rPr>
              <w:t>05064</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45DADF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0.</w:t>
            </w:r>
            <w:r w:rsidRPr="00332544">
              <w:rPr>
                <w:rFonts w:ascii="Arial" w:hAnsi="Arial" w:cs="Arial"/>
                <w:color w:val="FF0000"/>
                <w:sz w:val="16"/>
                <w:szCs w:val="16"/>
              </w:rPr>
              <w:t>10379</w:t>
            </w:r>
            <w:r w:rsidRPr="00332544">
              <w:rPr>
                <w:rFonts w:ascii="Arial" w:hAnsi="Arial"/>
                <w:color w:val="FF0000"/>
                <w:sz w:val="16"/>
              </w:rPr>
              <w:t> ± 0.</w:t>
            </w:r>
            <w:r w:rsidRPr="00332544">
              <w:rPr>
                <w:rFonts w:ascii="Arial" w:hAnsi="Arial" w:cs="Arial"/>
                <w:color w:val="FF0000"/>
                <w:sz w:val="16"/>
                <w:szCs w:val="16"/>
              </w:rPr>
              <w:t>11061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8E8C85C"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0.</w:t>
            </w:r>
            <w:r w:rsidRPr="00332544">
              <w:rPr>
                <w:rFonts w:ascii="Arial" w:hAnsi="Arial" w:cs="Arial"/>
                <w:color w:val="FF0000"/>
                <w:sz w:val="16"/>
                <w:szCs w:val="16"/>
              </w:rPr>
              <w:t>03477</w:t>
            </w:r>
            <w:r w:rsidRPr="00332544">
              <w:rPr>
                <w:rFonts w:ascii="Arial" w:hAnsi="Arial"/>
                <w:color w:val="FF0000"/>
                <w:sz w:val="16"/>
              </w:rPr>
              <w:t> ± 0.</w:t>
            </w:r>
            <w:r w:rsidRPr="00332544">
              <w:rPr>
                <w:rFonts w:ascii="Arial" w:hAnsi="Arial" w:cs="Arial"/>
                <w:color w:val="FF0000"/>
                <w:sz w:val="16"/>
                <w:szCs w:val="16"/>
              </w:rPr>
              <w:t>04553</w:t>
            </w:r>
          </w:p>
        </w:tc>
      </w:tr>
      <w:tr w:rsidR="008D1EFE" w:rsidRPr="00332544" w14:paraId="740E0D92"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AF89449" w14:textId="77777777" w:rsidR="008D1EFE" w:rsidRPr="00332544" w:rsidRDefault="008D1EFE" w:rsidP="006203D8">
            <w:pPr>
              <w:adjustRightInd w:val="0"/>
              <w:spacing w:before="60" w:after="60"/>
              <w:rPr>
                <w:rFonts w:ascii="Arial" w:hAnsi="Arial"/>
                <w:b/>
                <w:i/>
                <w:color w:val="FF0000"/>
                <w:sz w:val="18"/>
              </w:rPr>
            </w:pPr>
            <w:r w:rsidRPr="00332544">
              <w:rPr>
                <w:rFonts w:ascii="Arial" w:hAnsi="Arial"/>
                <w:b/>
                <w:i/>
                <w:color w:val="FF0000"/>
                <w:sz w:val="18"/>
              </w:rPr>
              <w:t>Bleeding Variables</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D5D9DF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B81163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23D485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r>
      <w:tr w:rsidR="008D1EFE" w:rsidRPr="00332544" w14:paraId="66C1F282"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A2B888F"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w:t>
            </w:r>
            <w:r>
              <w:rPr>
                <w:rFonts w:ascii="Arial" w:hAnsi="Arial" w:cs="Arial"/>
                <w:color w:val="FF0000"/>
                <w:sz w:val="16"/>
                <w:szCs w:val="16"/>
              </w:rPr>
              <w:t>STEMI</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322ACC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121466 (16.9</w:t>
            </w:r>
            <w:r w:rsidRPr="00332544">
              <w:rPr>
                <w:rFonts w:ascii="Arial" w:hAnsi="Arial"/>
                <w:color w:val="FF0000"/>
                <w:sz w:val="16"/>
              </w:rPr>
              <w:t>%)</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44BAF3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9699 (40.6</w:t>
            </w:r>
            <w:r w:rsidRPr="00332544">
              <w:rPr>
                <w:rFonts w:ascii="Arial" w:hAnsi="Arial"/>
                <w:color w:val="FF0000"/>
                <w:sz w:val="16"/>
              </w:rPr>
              <w:t>%)</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68E28D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111767</w:t>
            </w:r>
            <w:r w:rsidRPr="00332544">
              <w:rPr>
                <w:rFonts w:ascii="Arial" w:hAnsi="Arial"/>
                <w:color w:val="FF0000"/>
                <w:sz w:val="16"/>
              </w:rPr>
              <w:t> (16.</w:t>
            </w:r>
            <w:r w:rsidRPr="00332544">
              <w:rPr>
                <w:rFonts w:ascii="Arial" w:hAnsi="Arial" w:cs="Arial"/>
                <w:color w:val="FF0000"/>
                <w:sz w:val="16"/>
                <w:szCs w:val="16"/>
              </w:rPr>
              <w:t>1</w:t>
            </w:r>
            <w:r w:rsidRPr="00332544">
              <w:rPr>
                <w:rFonts w:ascii="Arial" w:hAnsi="Arial"/>
                <w:color w:val="FF0000"/>
                <w:sz w:val="16"/>
              </w:rPr>
              <w:t>%)</w:t>
            </w:r>
          </w:p>
        </w:tc>
      </w:tr>
      <w:tr w:rsidR="008D1EFE" w:rsidRPr="00332544" w14:paraId="084A1D76"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98151B9"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Age</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12900A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65.6 ± 11.9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D0A9D0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68</w:t>
            </w:r>
            <w:r w:rsidRPr="00332544">
              <w:rPr>
                <w:rFonts w:ascii="Arial" w:hAnsi="Arial"/>
                <w:color w:val="FF0000"/>
                <w:sz w:val="16"/>
              </w:rPr>
              <w:t>.4 ± 12.</w:t>
            </w:r>
            <w:r w:rsidRPr="00332544">
              <w:rPr>
                <w:rFonts w:ascii="Arial" w:hAnsi="Arial" w:cs="Arial"/>
                <w:color w:val="FF0000"/>
                <w:sz w:val="16"/>
                <w:szCs w:val="16"/>
              </w:rPr>
              <w:t>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B35C16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65.5 ± 11.9</w:t>
            </w:r>
          </w:p>
        </w:tc>
      </w:tr>
      <w:tr w:rsidR="008D1EFE" w:rsidRPr="00332544" w14:paraId="2BF11A5B"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E58E773"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w:t>
            </w:r>
            <w:r>
              <w:rPr>
                <w:rFonts w:ascii="Arial" w:hAnsi="Arial" w:cs="Arial"/>
                <w:color w:val="FF0000"/>
                <w:sz w:val="16"/>
                <w:szCs w:val="16"/>
              </w:rPr>
              <w:t>BMI</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3B3E75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30.2 ± </w:t>
            </w:r>
            <w:r w:rsidRPr="00332544">
              <w:rPr>
                <w:rFonts w:ascii="Arial" w:hAnsi="Arial"/>
                <w:color w:val="FF0000"/>
                <w:sz w:val="16"/>
              </w:rPr>
              <w:t>6</w:t>
            </w:r>
            <w:r w:rsidRPr="00332544">
              <w:rPr>
                <w:rFonts w:ascii="Arial" w:hAnsi="Arial" w:cs="Arial"/>
                <w:color w:val="FF0000"/>
                <w:sz w:val="16"/>
                <w:szCs w:val="16"/>
              </w:rPr>
              <w:t>.5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7BFCAA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28.9 ± 6</w:t>
            </w:r>
            <w:r w:rsidRPr="00332544">
              <w:rPr>
                <w:rFonts w:ascii="Arial" w:hAnsi="Arial"/>
                <w:color w:val="FF0000"/>
                <w:sz w:val="16"/>
              </w:rPr>
              <w:t>.8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3CE49C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30.2 ± </w:t>
            </w:r>
            <w:r w:rsidRPr="00332544">
              <w:rPr>
                <w:rFonts w:ascii="Arial" w:hAnsi="Arial"/>
                <w:color w:val="FF0000"/>
                <w:sz w:val="16"/>
              </w:rPr>
              <w:t>6</w:t>
            </w:r>
            <w:r w:rsidRPr="00332544">
              <w:rPr>
                <w:rFonts w:ascii="Arial" w:hAnsi="Arial" w:cs="Arial"/>
                <w:color w:val="FF0000"/>
                <w:sz w:val="16"/>
                <w:szCs w:val="16"/>
              </w:rPr>
              <w:t>.5</w:t>
            </w:r>
          </w:p>
        </w:tc>
      </w:tr>
      <w:tr w:rsidR="008D1EFE" w:rsidRPr="00332544" w14:paraId="3967F5ED"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B8CDE56"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lastRenderedPageBreak/>
              <w:t>     CVD</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63A7BCF"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96012 (13.4%)</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CAC839F"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4300 (18.0%)</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1425949"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91712 (13.2%)</w:t>
            </w:r>
          </w:p>
        </w:tc>
      </w:tr>
      <w:tr w:rsidR="008D1EFE" w:rsidRPr="00332544" w14:paraId="416A05EA"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452459C"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PVD</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3455A9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88106 (12.3%)</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6B07844"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4008 (16.8%)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B02B1C1"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84098 (12.1%)</w:t>
            </w:r>
          </w:p>
        </w:tc>
      </w:tr>
      <w:tr w:rsidR="008D1EFE" w:rsidRPr="00332544" w14:paraId="72D6F6EA"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B71C2D1"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CLD</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64B9979"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111555 (15.5%)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D4BB71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4956 (20.8%)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CBB91D8"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106599 (15.4%)</w:t>
            </w:r>
          </w:p>
        </w:tc>
      </w:tr>
      <w:tr w:rsidR="008D1EFE" w:rsidRPr="00332544" w14:paraId="6FD3AD1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BCB5B21"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Prior PCI</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373DF07"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295177 (41.1%)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F3FC173"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7482 (31.3%)</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BED0B3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287695 (41.5%)</w:t>
            </w:r>
          </w:p>
        </w:tc>
      </w:tr>
      <w:tr w:rsidR="008D1EFE" w:rsidRPr="00332544" w14:paraId="71DCD8A2"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6A45E71"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Insulin Diabetes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AC7DE1C"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116320 (16.2%)</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0A08F78"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4540 (19.0%)</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AACCA6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111780 (16.1%)</w:t>
            </w:r>
          </w:p>
        </w:tc>
      </w:tr>
      <w:tr w:rsidR="008D1EFE" w:rsidRPr="00332544" w14:paraId="429F9F4E"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06FA02F"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Dialysis</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561031E"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21673 (3.0%)</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5C159C9"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1591 (6.7%)</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59E3D3A"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20082 (2.9%)</w:t>
            </w:r>
          </w:p>
        </w:tc>
      </w:tr>
      <w:tr w:rsidR="008D1EFE" w:rsidRPr="00332544" w14:paraId="00908CA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0AF46E3"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xml:space="preserve">     GFR 45-60 (Mild)</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F3F13E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102839 (14.3%)</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1EA9F6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4592 (19.2%)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0F19FE8"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98247 (14.2%)</w:t>
            </w:r>
          </w:p>
        </w:tc>
      </w:tr>
      <w:tr w:rsidR="008D1EFE" w:rsidRPr="00332544" w14:paraId="0495C49F"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470C8CC"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GFR 30-45 (Moderate)</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5D403B1"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58134 (8.1%)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19E6A7B"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4779 (20.0%)</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567A79B"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53355 (7.7%)</w:t>
            </w:r>
          </w:p>
        </w:tc>
      </w:tr>
      <w:tr w:rsidR="008D1EFE" w:rsidRPr="00332544" w14:paraId="4D12B391"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0A4BD0A"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w:t>
            </w:r>
            <w:proofErr w:type="spellStart"/>
            <w:r w:rsidRPr="008D1EFE">
              <w:rPr>
                <w:rFonts w:ascii="Arial" w:hAnsi="Arial" w:cs="Arial"/>
                <w:color w:val="FF0000"/>
                <w:sz w:val="16"/>
                <w:szCs w:val="16"/>
              </w:rPr>
              <w:t>Lytics</w:t>
            </w:r>
            <w:proofErr w:type="spellEnd"/>
            <w:r w:rsidRPr="008D1EFE">
              <w:rPr>
                <w:rFonts w:ascii="Arial" w:hAnsi="Arial" w:cs="Arial"/>
                <w:color w:val="FF0000"/>
                <w:sz w:val="16"/>
                <w:szCs w:val="16"/>
              </w:rPr>
              <w:t> Prior to PCI for STEMI</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AF4E1BA"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5041 (0.7%)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F848626"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366 (1.5%)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A1B1C20"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4675 (0.7%)</w:t>
            </w:r>
          </w:p>
        </w:tc>
      </w:tr>
      <w:tr w:rsidR="008D1EFE" w:rsidRPr="00332544" w14:paraId="481DDC60"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17FA780"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Cardiogenic Shock at Start of PCI</w:t>
            </w:r>
            <w:r w:rsidRPr="008D1EFE">
              <w:rPr>
                <w:rFonts w:ascii="Arial" w:hAnsi="Arial" w:cs="Arial"/>
                <w:color w:val="FF0000"/>
                <w:sz w:val="16"/>
                <w:szCs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949D3EE"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16695 (2.3%)</w:t>
            </w:r>
            <w:r w:rsidRPr="008D1EFE">
              <w:rPr>
                <w:rFonts w:ascii="Arial" w:hAnsi="Arial" w:cs="Arial"/>
                <w:color w:val="FF0000"/>
                <w:sz w:val="16"/>
                <w:szCs w:val="16"/>
              </w:rPr>
              <w:br/>
              <w:t>332</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0544A06"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4227 (17.7%)</w:t>
            </w:r>
            <w:r w:rsidRPr="008D1EFE">
              <w:rPr>
                <w:rFonts w:ascii="Arial" w:hAnsi="Arial" w:cs="Arial"/>
                <w:color w:val="FF0000"/>
                <w:sz w:val="16"/>
                <w:szCs w:val="16"/>
              </w:rPr>
              <w:br/>
              <w:t>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CA885B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12468 (1.8%)</w:t>
            </w:r>
            <w:r w:rsidRPr="008D1EFE">
              <w:rPr>
                <w:rFonts w:ascii="Arial" w:hAnsi="Arial" w:cs="Arial"/>
                <w:color w:val="FF0000"/>
                <w:sz w:val="16"/>
                <w:szCs w:val="16"/>
              </w:rPr>
              <w:br/>
              <w:t>324</w:t>
            </w:r>
          </w:p>
        </w:tc>
      </w:tr>
      <w:tr w:rsidR="008D1EFE" w:rsidRPr="00332544" w14:paraId="27E4305A"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C9C1921"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Cardiogenic Shock w/in 24 Hours</w:t>
            </w:r>
            <w:r w:rsidRPr="008D1EFE">
              <w:rPr>
                <w:rFonts w:ascii="Arial" w:hAnsi="Arial" w:cs="Arial"/>
                <w:color w:val="FF0000"/>
                <w:sz w:val="16"/>
                <w:szCs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B7CE10D"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14743 (2.1%)</w:t>
            </w:r>
            <w:r w:rsidRPr="008D1EFE">
              <w:rPr>
                <w:rFonts w:ascii="Arial" w:hAnsi="Arial" w:cs="Arial"/>
                <w:color w:val="FF0000"/>
                <w:sz w:val="16"/>
                <w:szCs w:val="16"/>
              </w:rPr>
              <w:br/>
              <w:t>85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0D2964D"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4080 (17.1%)</w:t>
            </w:r>
            <w:r w:rsidRPr="008D1EFE">
              <w:rPr>
                <w:rFonts w:ascii="Arial" w:hAnsi="Arial" w:cs="Arial"/>
                <w:color w:val="FF0000"/>
                <w:sz w:val="16"/>
                <w:szCs w:val="16"/>
              </w:rPr>
              <w:br/>
              <w:t>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9DCD4FF"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10663 (1.5%)</w:t>
            </w:r>
            <w:r w:rsidRPr="008D1EFE">
              <w:rPr>
                <w:rFonts w:ascii="Arial" w:hAnsi="Arial" w:cs="Arial"/>
                <w:color w:val="FF0000"/>
                <w:sz w:val="16"/>
                <w:szCs w:val="16"/>
              </w:rPr>
              <w:br/>
              <w:t>83</w:t>
            </w:r>
          </w:p>
        </w:tc>
      </w:tr>
      <w:tr w:rsidR="008D1EFE" w:rsidRPr="00332544" w14:paraId="4742462B"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81FADF4"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PCI Status</w:t>
            </w:r>
            <w:r w:rsidRPr="008D1EFE">
              <w:rPr>
                <w:rFonts w:ascii="Arial" w:hAnsi="Arial" w:cs="Arial"/>
                <w:color w:val="FF0000"/>
                <w:sz w:val="16"/>
                <w:szCs w:val="16"/>
              </w:rPr>
              <w:br/>
              <w:t>                     Elective</w:t>
            </w:r>
            <w:r w:rsidRPr="008D1EFE">
              <w:rPr>
                <w:rFonts w:ascii="Arial" w:hAnsi="Arial" w:cs="Arial"/>
                <w:color w:val="FF0000"/>
                <w:sz w:val="16"/>
                <w:szCs w:val="16"/>
              </w:rPr>
              <w:br/>
              <w:t>                     Urgent</w:t>
            </w:r>
            <w:r w:rsidRPr="008D1EFE">
              <w:rPr>
                <w:rFonts w:ascii="Arial" w:hAnsi="Arial" w:cs="Arial"/>
                <w:color w:val="FF0000"/>
                <w:sz w:val="16"/>
                <w:szCs w:val="16"/>
              </w:rPr>
              <w:br/>
              <w:t>                     Emergent</w:t>
            </w:r>
            <w:r w:rsidRPr="008D1EFE">
              <w:rPr>
                <w:rFonts w:ascii="Arial" w:hAnsi="Arial" w:cs="Arial"/>
                <w:color w:val="FF0000"/>
                <w:sz w:val="16"/>
                <w:szCs w:val="16"/>
              </w:rPr>
              <w:br/>
              <w:t>                     Salvage</w:t>
            </w:r>
            <w:r w:rsidRPr="008D1EFE">
              <w:rPr>
                <w:rFonts w:ascii="Arial" w:hAnsi="Arial" w:cs="Arial"/>
                <w:color w:val="FF0000"/>
                <w:sz w:val="16"/>
                <w:szCs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26171DC"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 </w:t>
            </w:r>
            <w:r w:rsidRPr="008D1EFE">
              <w:rPr>
                <w:rFonts w:ascii="Arial" w:hAnsi="Arial" w:cs="Arial"/>
                <w:color w:val="FF0000"/>
                <w:sz w:val="16"/>
                <w:szCs w:val="16"/>
              </w:rPr>
              <w:br/>
              <w:t>251808 (35.1%)</w:t>
            </w:r>
            <w:r w:rsidRPr="008D1EFE">
              <w:rPr>
                <w:rFonts w:ascii="Arial" w:hAnsi="Arial" w:cs="Arial"/>
                <w:color w:val="FF0000"/>
                <w:sz w:val="16"/>
                <w:szCs w:val="16"/>
              </w:rPr>
              <w:br/>
              <w:t>331775 (46.3%)</w:t>
            </w:r>
            <w:r w:rsidRPr="008D1EFE">
              <w:rPr>
                <w:rFonts w:ascii="Arial" w:hAnsi="Arial" w:cs="Arial"/>
                <w:color w:val="FF0000"/>
                <w:sz w:val="16"/>
                <w:szCs w:val="16"/>
              </w:rPr>
              <w:br/>
              <w:t>131388 (18.3%)</w:t>
            </w:r>
            <w:r w:rsidRPr="008D1EFE">
              <w:rPr>
                <w:rFonts w:ascii="Arial" w:hAnsi="Arial" w:cs="Arial"/>
                <w:color w:val="FF0000"/>
                <w:sz w:val="16"/>
                <w:szCs w:val="16"/>
              </w:rPr>
              <w:br/>
              <w:t>2359 (0.3%)</w:t>
            </w:r>
            <w:r w:rsidRPr="008D1EFE">
              <w:rPr>
                <w:rFonts w:ascii="Arial" w:hAnsi="Arial" w:cs="Arial"/>
                <w:color w:val="FF0000"/>
                <w:sz w:val="16"/>
                <w:szCs w:val="16"/>
              </w:rPr>
              <w:br/>
              <w:t>180</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F59E774"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 </w:t>
            </w:r>
            <w:r w:rsidRPr="008D1EFE">
              <w:rPr>
                <w:rFonts w:ascii="Arial" w:hAnsi="Arial" w:cs="Arial"/>
                <w:color w:val="FF0000"/>
                <w:sz w:val="16"/>
                <w:szCs w:val="16"/>
              </w:rPr>
              <w:br/>
              <w:t>3572 (15.0%)</w:t>
            </w:r>
            <w:r w:rsidRPr="008D1EFE">
              <w:rPr>
                <w:rFonts w:ascii="Arial" w:hAnsi="Arial" w:cs="Arial"/>
                <w:color w:val="FF0000"/>
                <w:sz w:val="16"/>
                <w:szCs w:val="16"/>
              </w:rPr>
              <w:br/>
              <w:t>9161 (38.4%)</w:t>
            </w:r>
            <w:r w:rsidRPr="008D1EFE">
              <w:rPr>
                <w:rFonts w:ascii="Arial" w:hAnsi="Arial" w:cs="Arial"/>
                <w:color w:val="FF0000"/>
                <w:sz w:val="16"/>
                <w:szCs w:val="16"/>
              </w:rPr>
              <w:br/>
              <w:t>10331 (43.3%)</w:t>
            </w:r>
            <w:r w:rsidRPr="008D1EFE">
              <w:rPr>
                <w:rFonts w:ascii="Arial" w:hAnsi="Arial" w:cs="Arial"/>
                <w:color w:val="FF0000"/>
                <w:sz w:val="16"/>
                <w:szCs w:val="16"/>
              </w:rPr>
              <w:br/>
              <w:t>806 (3.4%)</w:t>
            </w:r>
            <w:r w:rsidRPr="008D1EFE">
              <w:rPr>
                <w:rFonts w:ascii="Arial" w:hAnsi="Arial" w:cs="Arial"/>
                <w:color w:val="FF0000"/>
                <w:sz w:val="16"/>
                <w:szCs w:val="16"/>
              </w:rPr>
              <w:br/>
              <w:t>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711219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 </w:t>
            </w:r>
            <w:r w:rsidRPr="008D1EFE">
              <w:rPr>
                <w:rFonts w:ascii="Arial" w:hAnsi="Arial" w:cs="Arial"/>
                <w:color w:val="FF0000"/>
                <w:sz w:val="16"/>
                <w:szCs w:val="16"/>
              </w:rPr>
              <w:br/>
              <w:t>248236 (35.8%)</w:t>
            </w:r>
            <w:r w:rsidRPr="008D1EFE">
              <w:rPr>
                <w:rFonts w:ascii="Arial" w:hAnsi="Arial" w:cs="Arial"/>
                <w:color w:val="FF0000"/>
                <w:sz w:val="16"/>
                <w:szCs w:val="16"/>
              </w:rPr>
              <w:br/>
              <w:t>322614 (46.5%)</w:t>
            </w:r>
            <w:r w:rsidRPr="008D1EFE">
              <w:rPr>
                <w:rFonts w:ascii="Arial" w:hAnsi="Arial" w:cs="Arial"/>
                <w:color w:val="FF0000"/>
                <w:sz w:val="16"/>
                <w:szCs w:val="16"/>
              </w:rPr>
              <w:br/>
              <w:t>121057 (17.5%)</w:t>
            </w:r>
            <w:r w:rsidRPr="008D1EFE">
              <w:rPr>
                <w:rFonts w:ascii="Arial" w:hAnsi="Arial" w:cs="Arial"/>
                <w:color w:val="FF0000"/>
                <w:sz w:val="16"/>
                <w:szCs w:val="16"/>
              </w:rPr>
              <w:br/>
              <w:t>1553 (0.2%)</w:t>
            </w:r>
            <w:r w:rsidRPr="008D1EFE">
              <w:rPr>
                <w:rFonts w:ascii="Arial" w:hAnsi="Arial" w:cs="Arial"/>
                <w:color w:val="FF0000"/>
                <w:sz w:val="16"/>
                <w:szCs w:val="16"/>
              </w:rPr>
              <w:br/>
              <w:t>176</w:t>
            </w:r>
          </w:p>
        </w:tc>
      </w:tr>
      <w:tr w:rsidR="008D1EFE" w:rsidRPr="00332544" w14:paraId="42BCBBA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48AAED2"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In-stent Thrombosis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76187E7"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2420 (0.3%)</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3A78C0D"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245 (1.0%)</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DB48E1C"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2175 (0.3%)</w:t>
            </w:r>
          </w:p>
        </w:tc>
      </w:tr>
      <w:tr w:rsidR="008D1EFE" w:rsidRPr="00332544" w14:paraId="4D405F27"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D77329B"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Lesion SCAI Class II/III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0DD4EB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352960 (49.2%)</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5214CE6"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11240 (47.1%)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98FD08B"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341720 (49.3%)</w:t>
            </w:r>
          </w:p>
        </w:tc>
      </w:tr>
      <w:tr w:rsidR="008D1EFE" w:rsidRPr="00332544" w14:paraId="23074BA5"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98F4245"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Lesion SCAI Class IV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EE288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107008 (14.9%)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694DC18"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7304 (30.6%)</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7CC4887"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99704 (14.4%)</w:t>
            </w:r>
          </w:p>
        </w:tc>
      </w:tr>
      <w:tr w:rsidR="008D1EFE" w:rsidRPr="00332544" w14:paraId="1612C6CE"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9EDC24B"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w:t>
            </w:r>
            <w:proofErr w:type="spellStart"/>
            <w:r w:rsidRPr="008D1EFE">
              <w:rPr>
                <w:rFonts w:ascii="Arial" w:hAnsi="Arial" w:cs="Arial"/>
                <w:color w:val="FF0000"/>
                <w:sz w:val="16"/>
                <w:szCs w:val="16"/>
              </w:rPr>
              <w:t>Prox</w:t>
            </w:r>
            <w:proofErr w:type="spellEnd"/>
            <w:r w:rsidRPr="008D1EFE">
              <w:rPr>
                <w:rFonts w:ascii="Arial" w:hAnsi="Arial" w:cs="Arial"/>
                <w:color w:val="FF0000"/>
                <w:sz w:val="16"/>
                <w:szCs w:val="16"/>
              </w:rPr>
              <w:t xml:space="preserve"> LAD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143B0C7"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129513 (18.1%)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CE1B3F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5251 (22.0%)</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9C1ACE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124262 (17.9%)</w:t>
            </w:r>
          </w:p>
        </w:tc>
      </w:tr>
      <w:tr w:rsidR="008D1EFE" w:rsidRPr="00332544" w14:paraId="7EBA1F1B"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96178D1"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Left Main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B64DBAA"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20218 (2.8%)</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4BFE9F"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1780 (7.5%)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973E8E3"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18438 (2.7%)</w:t>
            </w:r>
          </w:p>
        </w:tc>
      </w:tr>
      <w:tr w:rsidR="008D1EFE" w:rsidRPr="00332544" w14:paraId="1B163C9B"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5485C6C"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HF NYHA Class IV</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40E80C4"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24810 (3.5%)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B6E9766"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3171 (13.3%)</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CB306BD"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21639 (3.1%)</w:t>
            </w:r>
          </w:p>
        </w:tc>
      </w:tr>
      <w:tr w:rsidR="008D1EFE" w:rsidRPr="00332544" w14:paraId="072175D7"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F1FC5C6"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HF NYHA Class I/II/III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0F31100"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75463 (10.5%)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DFFF32"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3456 (14.5%)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774E04F7"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72007 (10.4%)</w:t>
            </w:r>
          </w:p>
        </w:tc>
      </w:tr>
      <w:tr w:rsidR="008D1EFE" w:rsidRPr="00332544" w14:paraId="5A4F0741"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9B26132"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Cardiac arrest w/in 24 </w:t>
            </w:r>
            <w:proofErr w:type="spellStart"/>
            <w:r w:rsidRPr="008D1EFE">
              <w:rPr>
                <w:rFonts w:ascii="Arial" w:hAnsi="Arial" w:cs="Arial"/>
                <w:color w:val="FF0000"/>
                <w:sz w:val="16"/>
                <w:szCs w:val="16"/>
              </w:rPr>
              <w:t>hrs</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B477575"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15060 (2.1%)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F71EF7B"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3190 (13.4%)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0FD23B1"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11870 (1.7%)</w:t>
            </w:r>
          </w:p>
        </w:tc>
      </w:tr>
      <w:tr w:rsidR="008D1EFE" w:rsidRPr="00332544" w14:paraId="775B693D"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24D62D2B" w14:textId="77777777" w:rsidR="008D1EFE" w:rsidRPr="008D1EFE" w:rsidRDefault="008D1EFE" w:rsidP="006203D8">
            <w:pPr>
              <w:keepNext/>
              <w:adjustRightInd w:val="0"/>
              <w:spacing w:before="60" w:after="60"/>
              <w:rPr>
                <w:rFonts w:ascii="Arial" w:hAnsi="Arial" w:cs="Arial"/>
                <w:color w:val="FF0000"/>
                <w:sz w:val="16"/>
                <w:szCs w:val="16"/>
              </w:rPr>
            </w:pPr>
            <w:r w:rsidRPr="008D1EFE">
              <w:rPr>
                <w:rFonts w:ascii="Arial" w:hAnsi="Arial" w:cs="Arial"/>
                <w:color w:val="FF0000"/>
                <w:sz w:val="16"/>
                <w:szCs w:val="16"/>
              </w:rPr>
              <w:t>     Lesion: </w:t>
            </w:r>
            <w:proofErr w:type="spellStart"/>
            <w:r w:rsidRPr="008D1EFE">
              <w:rPr>
                <w:rFonts w:ascii="Arial" w:hAnsi="Arial" w:cs="Arial"/>
                <w:color w:val="FF0000"/>
                <w:sz w:val="16"/>
                <w:szCs w:val="16"/>
              </w:rPr>
              <w:t>Preprocedure</w:t>
            </w:r>
            <w:proofErr w:type="spellEnd"/>
            <w:r w:rsidRPr="008D1EFE">
              <w:rPr>
                <w:rFonts w:ascii="Arial" w:hAnsi="Arial" w:cs="Arial"/>
                <w:color w:val="FF0000"/>
                <w:sz w:val="16"/>
                <w:szCs w:val="16"/>
              </w:rPr>
              <w:t> TIMI Flow = NO</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78F9B52" w14:textId="77777777" w:rsidR="008D1EFE" w:rsidRPr="008D1EFE" w:rsidRDefault="008D1EFE" w:rsidP="006203D8">
            <w:pPr>
              <w:keepNext/>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141133 (19.7%)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B466451" w14:textId="77777777" w:rsidR="008D1EFE" w:rsidRPr="008D1EFE" w:rsidRDefault="008D1EFE" w:rsidP="006203D8">
            <w:pPr>
              <w:keepNext/>
              <w:adjustRightInd w:val="0"/>
              <w:spacing w:before="60" w:after="60"/>
              <w:jc w:val="center"/>
              <w:rPr>
                <w:rFonts w:ascii="Arial" w:hAnsi="Arial" w:cs="Arial"/>
                <w:color w:val="FF0000"/>
                <w:sz w:val="16"/>
                <w:szCs w:val="16"/>
              </w:rPr>
            </w:pPr>
            <w:r w:rsidRPr="008D1EFE">
              <w:rPr>
                <w:rFonts w:ascii="Arial" w:hAnsi="Arial" w:cs="Arial"/>
                <w:color w:val="FF0000"/>
                <w:sz w:val="16"/>
                <w:szCs w:val="16"/>
              </w:rPr>
              <w:t>9191 (38.5%)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68354DD" w14:textId="77777777" w:rsidR="008D1EFE" w:rsidRPr="008D1EFE" w:rsidRDefault="008D1EFE" w:rsidP="006203D8">
            <w:pPr>
              <w:keepNext/>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131942 (19.0%)</w:t>
            </w:r>
          </w:p>
        </w:tc>
      </w:tr>
      <w:tr w:rsidR="008D1EFE" w:rsidRPr="00332544" w14:paraId="4BE4229D"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08E149E4" w14:textId="77777777" w:rsidR="008D1EFE" w:rsidRPr="008D1EFE" w:rsidRDefault="008D1EFE" w:rsidP="006203D8">
            <w:pPr>
              <w:adjustRightInd w:val="0"/>
              <w:spacing w:before="60" w:after="60"/>
              <w:rPr>
                <w:rFonts w:ascii="Arial" w:hAnsi="Arial" w:cs="Arial"/>
                <w:color w:val="FF0000"/>
                <w:sz w:val="16"/>
                <w:szCs w:val="16"/>
              </w:rPr>
            </w:pPr>
            <w:r w:rsidRPr="008D1EFE">
              <w:rPr>
                <w:rFonts w:ascii="Arial" w:hAnsi="Arial" w:cs="Arial"/>
                <w:color w:val="FF0000"/>
                <w:sz w:val="16"/>
                <w:szCs w:val="16"/>
              </w:rPr>
              <w:t xml:space="preserve">     Multivessel Disease</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5DC65B4"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297871 (41.5%)</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33674DF"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12302 (51.5%)</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4B2E579E" w14:textId="77777777" w:rsidR="008D1EFE" w:rsidRPr="008D1EFE" w:rsidRDefault="008D1EFE" w:rsidP="006203D8">
            <w:pPr>
              <w:adjustRightInd w:val="0"/>
              <w:spacing w:before="60" w:after="60"/>
              <w:jc w:val="center"/>
              <w:rPr>
                <w:rFonts w:ascii="Arial" w:hAnsi="Arial" w:cs="Arial"/>
                <w:color w:val="FF0000"/>
                <w:sz w:val="16"/>
                <w:szCs w:val="16"/>
              </w:rPr>
            </w:pPr>
            <w:r w:rsidRPr="008D1EFE">
              <w:rPr>
                <w:rFonts w:ascii="Arial" w:hAnsi="Arial" w:cs="Arial"/>
                <w:color w:val="FF0000"/>
                <w:sz w:val="16"/>
                <w:szCs w:val="16"/>
              </w:rPr>
              <w:t>285569 (41.2%)</w:t>
            </w:r>
          </w:p>
        </w:tc>
      </w:tr>
      <w:tr w:rsidR="008D1EFE" w:rsidRPr="00332544" w14:paraId="5529C202"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A10AF30"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w:t>
            </w:r>
            <w:proofErr w:type="spellStart"/>
            <w:r w:rsidRPr="00332544">
              <w:rPr>
                <w:rFonts w:ascii="Arial" w:hAnsi="Arial" w:cs="Arial"/>
                <w:color w:val="FF0000"/>
                <w:sz w:val="16"/>
                <w:szCs w:val="16"/>
              </w:rPr>
              <w:t>PreHGB</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D1D893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w:t>
            </w:r>
            <w:r w:rsidRPr="00332544">
              <w:rPr>
                <w:rFonts w:ascii="Arial" w:hAnsi="Arial"/>
                <w:color w:val="FF0000"/>
                <w:sz w:val="16"/>
              </w:rPr>
              <w:t>.5</w:t>
            </w:r>
            <w:r w:rsidRPr="00332544">
              <w:rPr>
                <w:rFonts w:ascii="Arial" w:hAnsi="Arial" w:cs="Arial"/>
                <w:color w:val="FF0000"/>
                <w:sz w:val="16"/>
                <w:szCs w:val="16"/>
              </w:rPr>
              <w:t> ± 2.0</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1261FC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12.7 ± </w:t>
            </w:r>
            <w:r w:rsidRPr="00332544">
              <w:rPr>
                <w:rFonts w:ascii="Arial" w:hAnsi="Arial"/>
                <w:color w:val="FF0000"/>
                <w:sz w:val="16"/>
              </w:rPr>
              <w:t>2</w:t>
            </w:r>
            <w:r w:rsidRPr="00332544">
              <w:rPr>
                <w:rFonts w:ascii="Arial" w:hAnsi="Arial" w:cs="Arial"/>
                <w:color w:val="FF0000"/>
                <w:sz w:val="16"/>
                <w:szCs w:val="16"/>
              </w:rPr>
              <w:t>.6</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E9F025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13.5 ± 2.0</w:t>
            </w:r>
          </w:p>
        </w:tc>
      </w:tr>
      <w:tr w:rsidR="008D1EFE" w:rsidRPr="00332544" w14:paraId="3CEDF9E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3E04B0FA"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w:t>
            </w:r>
            <w:r>
              <w:rPr>
                <w:rFonts w:ascii="Arial" w:hAnsi="Arial" w:cs="Arial"/>
                <w:color w:val="FF0000"/>
                <w:sz w:val="16"/>
                <w:szCs w:val="16"/>
              </w:rPr>
              <w:t>F</w:t>
            </w:r>
            <w:r w:rsidRPr="00332544">
              <w:rPr>
                <w:rFonts w:ascii="Arial" w:hAnsi="Arial" w:cs="Arial"/>
                <w:color w:val="FF0000"/>
                <w:sz w:val="16"/>
                <w:szCs w:val="16"/>
              </w:rPr>
              <w:t>emale</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5506300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223562 (31.2</w:t>
            </w:r>
            <w:r w:rsidRPr="00332544">
              <w:rPr>
                <w:rFonts w:ascii="Arial" w:hAnsi="Arial"/>
                <w:color w:val="FF0000"/>
                <w:sz w:val="16"/>
              </w:rPr>
              <w:t>%)</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696D41C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10961 (45.9</w:t>
            </w:r>
            <w:r w:rsidRPr="00332544">
              <w:rPr>
                <w:rFonts w:ascii="Arial" w:hAnsi="Arial"/>
                <w:color w:val="FF0000"/>
                <w:sz w:val="16"/>
              </w:rPr>
              <w:t>%)</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tcPr>
          <w:p w14:paraId="1F8142D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212601 (30.7</w:t>
            </w:r>
            <w:r w:rsidRPr="00332544">
              <w:rPr>
                <w:rFonts w:ascii="Arial" w:hAnsi="Arial"/>
                <w:color w:val="FF0000"/>
                <w:sz w:val="16"/>
              </w:rPr>
              <w:t>%)</w:t>
            </w:r>
          </w:p>
        </w:tc>
      </w:tr>
      <w:tr w:rsidR="008D1EFE" w:rsidRPr="00332544" w14:paraId="7EB9BF97"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09853C2" w14:textId="77777777" w:rsidR="008D1EFE" w:rsidRPr="00332544" w:rsidRDefault="008D1EFE" w:rsidP="006203D8">
            <w:pPr>
              <w:adjustRightInd w:val="0"/>
              <w:spacing w:before="60" w:after="60"/>
              <w:rPr>
                <w:rFonts w:ascii="Arial" w:hAnsi="Arial"/>
                <w:b/>
                <w:i/>
                <w:color w:val="FF0000"/>
                <w:sz w:val="18"/>
              </w:rPr>
            </w:pPr>
            <w:r w:rsidRPr="00332544">
              <w:rPr>
                <w:rFonts w:ascii="Arial" w:hAnsi="Arial"/>
                <w:b/>
                <w:i/>
                <w:color w:val="FF0000"/>
                <w:sz w:val="18"/>
              </w:rPr>
              <w:t>History</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ED1E83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5C7067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F4FAD5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r>
      <w:tr w:rsidR="008D1EFE" w:rsidRPr="00332544" w14:paraId="7DF61C9C"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6F7EDA8"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w:t>
            </w:r>
            <w:r w:rsidRPr="00332544">
              <w:rPr>
                <w:rFonts w:ascii="Arial" w:hAnsi="Arial" w:cs="Arial"/>
                <w:color w:val="FF0000"/>
                <w:sz w:val="16"/>
                <w:szCs w:val="16"/>
              </w:rPr>
              <w:t>IABP</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0650BC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12563 (1.8%)</w:t>
            </w:r>
            <w:r w:rsidRPr="00332544">
              <w:rPr>
                <w:rFonts w:ascii="Arial" w:hAnsi="Arial" w:cs="Arial"/>
                <w:color w:val="FF0000"/>
                <w:sz w:val="16"/>
                <w:szCs w:val="16"/>
              </w:rPr>
              <w:br/>
              <w:t>194</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F82225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3207 (13.4%)</w:t>
            </w:r>
            <w:r w:rsidRPr="00332544">
              <w:rPr>
                <w:rFonts w:ascii="Arial" w:hAnsi="Arial" w:cs="Arial"/>
                <w:color w:val="FF0000"/>
                <w:sz w:val="16"/>
                <w:szCs w:val="16"/>
              </w:rPr>
              <w:br/>
              <w:t>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E6C5B4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9356</w:t>
            </w:r>
            <w:r w:rsidRPr="00332544">
              <w:rPr>
                <w:rFonts w:ascii="Arial" w:hAnsi="Arial"/>
                <w:color w:val="FF0000"/>
                <w:sz w:val="16"/>
              </w:rPr>
              <w:t> (1.</w:t>
            </w:r>
            <w:r w:rsidRPr="00332544">
              <w:rPr>
                <w:rFonts w:ascii="Arial" w:hAnsi="Arial" w:cs="Arial"/>
                <w:color w:val="FF0000"/>
                <w:sz w:val="16"/>
                <w:szCs w:val="16"/>
              </w:rPr>
              <w:t>3%)</w:t>
            </w:r>
            <w:r w:rsidRPr="00332544">
              <w:rPr>
                <w:rFonts w:ascii="Arial" w:hAnsi="Arial" w:cs="Arial"/>
                <w:color w:val="FF0000"/>
                <w:sz w:val="16"/>
                <w:szCs w:val="16"/>
              </w:rPr>
              <w:br/>
              <w:t>190</w:t>
            </w:r>
          </w:p>
        </w:tc>
      </w:tr>
      <w:tr w:rsidR="008D1EFE" w:rsidRPr="00332544" w14:paraId="781AB60D"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5B495DD"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Current/Recent Smoker (w/in 1 year)</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BE62F9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182938 (25.5%)</w:t>
            </w:r>
            <w:r w:rsidRPr="00332544">
              <w:rPr>
                <w:rFonts w:ascii="Arial" w:hAnsi="Arial" w:cs="Arial"/>
                <w:color w:val="FF0000"/>
                <w:sz w:val="16"/>
                <w:szCs w:val="16"/>
              </w:rPr>
              <w:br/>
              <w:t>309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8BD0B8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6401 (26.8%)</w:t>
            </w:r>
            <w:r w:rsidRPr="00332544">
              <w:rPr>
                <w:rFonts w:ascii="Arial" w:hAnsi="Arial" w:cs="Arial"/>
                <w:color w:val="FF0000"/>
                <w:sz w:val="16"/>
                <w:szCs w:val="16"/>
              </w:rPr>
              <w:br/>
              <w:t>16</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76EFE3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176537 (25.5%)</w:t>
            </w:r>
            <w:r w:rsidRPr="00332544">
              <w:rPr>
                <w:rFonts w:ascii="Arial" w:hAnsi="Arial" w:cs="Arial"/>
                <w:color w:val="FF0000"/>
                <w:sz w:val="16"/>
                <w:szCs w:val="16"/>
              </w:rPr>
              <w:br/>
              <w:t>293</w:t>
            </w:r>
          </w:p>
        </w:tc>
      </w:tr>
      <w:tr w:rsidR="008D1EFE" w:rsidRPr="00332544" w14:paraId="0B42ECD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3C71486"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Hypertension</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76B1FA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598736 (83.5%)</w:t>
            </w:r>
            <w:r w:rsidRPr="00332544">
              <w:rPr>
                <w:rFonts w:ascii="Arial" w:hAnsi="Arial" w:cs="Arial"/>
                <w:color w:val="FF0000"/>
                <w:sz w:val="16"/>
                <w:szCs w:val="16"/>
              </w:rPr>
              <w:br/>
              <w:t>136</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3A98A9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19532 (81.8%)</w:t>
            </w:r>
            <w:r w:rsidRPr="00332544">
              <w:rPr>
                <w:rFonts w:ascii="Arial" w:hAnsi="Arial" w:cs="Arial"/>
                <w:color w:val="FF0000"/>
                <w:sz w:val="16"/>
                <w:szCs w:val="16"/>
              </w:rPr>
              <w:br/>
              <w:t>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A362C0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579204 (83.5%)</w:t>
            </w:r>
            <w:r w:rsidRPr="00332544">
              <w:rPr>
                <w:rFonts w:ascii="Arial" w:hAnsi="Arial" w:cs="Arial"/>
                <w:color w:val="FF0000"/>
                <w:sz w:val="16"/>
                <w:szCs w:val="16"/>
              </w:rPr>
              <w:br/>
              <w:t>128</w:t>
            </w:r>
          </w:p>
        </w:tc>
      </w:tr>
      <w:tr w:rsidR="008D1EFE" w:rsidRPr="00332544" w14:paraId="2E4BD324"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184E33A"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lastRenderedPageBreak/>
              <w:t>     Dyslipidemia</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20DE9D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558972</w:t>
            </w:r>
            <w:r w:rsidRPr="00332544">
              <w:rPr>
                <w:rFonts w:ascii="Arial" w:hAnsi="Arial"/>
                <w:color w:val="FF0000"/>
                <w:sz w:val="16"/>
              </w:rPr>
              <w:t> (78.</w:t>
            </w:r>
            <w:r w:rsidRPr="00332544">
              <w:rPr>
                <w:rFonts w:ascii="Arial" w:hAnsi="Arial" w:cs="Arial"/>
                <w:color w:val="FF0000"/>
                <w:sz w:val="16"/>
                <w:szCs w:val="16"/>
              </w:rPr>
              <w:t>0%)</w:t>
            </w:r>
            <w:r w:rsidRPr="00332544">
              <w:rPr>
                <w:rFonts w:ascii="Arial" w:hAnsi="Arial" w:cs="Arial"/>
                <w:color w:val="FF0000"/>
                <w:sz w:val="16"/>
                <w:szCs w:val="16"/>
              </w:rPr>
              <w:br/>
              <w:t>449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AD162D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16761</w:t>
            </w:r>
            <w:r w:rsidRPr="00332544">
              <w:rPr>
                <w:rFonts w:ascii="Arial" w:hAnsi="Arial"/>
                <w:color w:val="FF0000"/>
                <w:sz w:val="16"/>
              </w:rPr>
              <w:t> (70.</w:t>
            </w:r>
            <w:r w:rsidRPr="00332544">
              <w:rPr>
                <w:rFonts w:ascii="Arial" w:hAnsi="Arial" w:cs="Arial"/>
                <w:color w:val="FF0000"/>
                <w:sz w:val="16"/>
                <w:szCs w:val="16"/>
              </w:rPr>
              <w:t>3%)</w:t>
            </w:r>
            <w:r w:rsidRPr="00332544">
              <w:rPr>
                <w:rFonts w:ascii="Arial" w:hAnsi="Arial" w:cs="Arial"/>
                <w:color w:val="FF0000"/>
                <w:sz w:val="16"/>
                <w:szCs w:val="16"/>
              </w:rPr>
              <w:br/>
              <w:t>28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DC94AE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542211</w:t>
            </w:r>
            <w:r w:rsidRPr="00332544">
              <w:rPr>
                <w:rFonts w:ascii="Arial" w:hAnsi="Arial"/>
                <w:color w:val="FF0000"/>
                <w:sz w:val="16"/>
              </w:rPr>
              <w:t> (78.</w:t>
            </w:r>
            <w:r w:rsidRPr="00332544">
              <w:rPr>
                <w:rFonts w:ascii="Arial" w:hAnsi="Arial" w:cs="Arial"/>
                <w:color w:val="FF0000"/>
                <w:sz w:val="16"/>
                <w:szCs w:val="16"/>
              </w:rPr>
              <w:t>2%)</w:t>
            </w:r>
            <w:r w:rsidRPr="00332544">
              <w:rPr>
                <w:rFonts w:ascii="Arial" w:hAnsi="Arial" w:cs="Arial"/>
                <w:color w:val="FF0000"/>
                <w:sz w:val="16"/>
                <w:szCs w:val="16"/>
              </w:rPr>
              <w:br/>
              <w:t>421</w:t>
            </w:r>
          </w:p>
        </w:tc>
      </w:tr>
      <w:tr w:rsidR="008D1EFE" w:rsidRPr="00332544" w14:paraId="00A4C16A"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DEFE7B8"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Family History of Premature CAD</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79936F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133606 (18.6%)</w:t>
            </w:r>
            <w:r w:rsidRPr="00332544">
              <w:rPr>
                <w:rFonts w:ascii="Arial" w:hAnsi="Arial" w:cs="Arial"/>
                <w:color w:val="FF0000"/>
                <w:sz w:val="16"/>
                <w:szCs w:val="16"/>
              </w:rPr>
              <w:br/>
              <w:t>330</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BDD7EC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3101 (13.0%)</w:t>
            </w:r>
            <w:r w:rsidRPr="00332544">
              <w:rPr>
                <w:rFonts w:ascii="Arial" w:hAnsi="Arial" w:cs="Arial"/>
                <w:color w:val="FF0000"/>
                <w:sz w:val="16"/>
                <w:szCs w:val="16"/>
              </w:rPr>
              <w:br/>
              <w:t>21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B54D60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130505 (18.8%)</w:t>
            </w:r>
            <w:r w:rsidRPr="00332544">
              <w:rPr>
                <w:rFonts w:ascii="Arial" w:hAnsi="Arial" w:cs="Arial"/>
                <w:color w:val="FF0000"/>
                <w:sz w:val="16"/>
                <w:szCs w:val="16"/>
              </w:rPr>
              <w:br/>
              <w:t>309</w:t>
            </w:r>
          </w:p>
        </w:tc>
      </w:tr>
      <w:tr w:rsidR="008D1EFE" w:rsidRPr="00332544" w14:paraId="7C6F6C7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B9CA964"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Prior MI</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41B4FC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218401</w:t>
            </w:r>
            <w:r w:rsidRPr="00332544">
              <w:rPr>
                <w:rFonts w:ascii="Arial" w:hAnsi="Arial"/>
                <w:color w:val="FF0000"/>
                <w:sz w:val="16"/>
              </w:rPr>
              <w:t> (30.</w:t>
            </w:r>
            <w:r w:rsidRPr="00332544">
              <w:rPr>
                <w:rFonts w:ascii="Arial" w:hAnsi="Arial" w:cs="Arial"/>
                <w:color w:val="FF0000"/>
                <w:sz w:val="16"/>
                <w:szCs w:val="16"/>
              </w:rPr>
              <w:t>4%)</w:t>
            </w:r>
            <w:r w:rsidRPr="00332544">
              <w:rPr>
                <w:rFonts w:ascii="Arial" w:hAnsi="Arial" w:cs="Arial"/>
                <w:color w:val="FF0000"/>
                <w:sz w:val="16"/>
                <w:szCs w:val="16"/>
              </w:rPr>
              <w:br/>
              <w:t>171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6D03A31"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6888 (28.9%)</w:t>
            </w:r>
            <w:r w:rsidRPr="00332544">
              <w:rPr>
                <w:rFonts w:ascii="Arial" w:hAnsi="Arial" w:cs="Arial"/>
                <w:color w:val="FF0000"/>
                <w:sz w:val="16"/>
                <w:szCs w:val="16"/>
              </w:rPr>
              <w:br/>
              <w:t>9</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D554CC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211513</w:t>
            </w:r>
            <w:r w:rsidRPr="00332544">
              <w:rPr>
                <w:rFonts w:ascii="Arial" w:hAnsi="Arial"/>
                <w:color w:val="FF0000"/>
                <w:sz w:val="16"/>
              </w:rPr>
              <w:t> (30.</w:t>
            </w:r>
            <w:r w:rsidRPr="00332544">
              <w:rPr>
                <w:rFonts w:ascii="Arial" w:hAnsi="Arial" w:cs="Arial"/>
                <w:color w:val="FF0000"/>
                <w:sz w:val="16"/>
                <w:szCs w:val="16"/>
              </w:rPr>
              <w:t>5%)</w:t>
            </w:r>
            <w:r w:rsidRPr="00332544">
              <w:rPr>
                <w:rFonts w:ascii="Arial" w:hAnsi="Arial" w:cs="Arial"/>
                <w:color w:val="FF0000"/>
                <w:sz w:val="16"/>
                <w:szCs w:val="16"/>
              </w:rPr>
              <w:br/>
              <w:t>162</w:t>
            </w:r>
          </w:p>
        </w:tc>
      </w:tr>
      <w:tr w:rsidR="008D1EFE" w:rsidRPr="00332544" w14:paraId="1F7FC650"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9A1334D"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Prior Heart Failure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839E69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111292 (15.5%)</w:t>
            </w:r>
            <w:r w:rsidRPr="00332544">
              <w:rPr>
                <w:rFonts w:ascii="Arial" w:hAnsi="Arial" w:cs="Arial"/>
                <w:color w:val="FF0000"/>
                <w:sz w:val="16"/>
                <w:szCs w:val="16"/>
              </w:rPr>
              <w:br/>
              <w:t>206</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051067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5641 (23.6%)</w:t>
            </w:r>
            <w:r w:rsidRPr="00332544">
              <w:rPr>
                <w:rFonts w:ascii="Arial" w:hAnsi="Arial" w:cs="Arial"/>
                <w:color w:val="FF0000"/>
                <w:sz w:val="16"/>
                <w:szCs w:val="16"/>
              </w:rPr>
              <w:br/>
              <w:t>12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F72504F"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105651 (15</w:t>
            </w:r>
            <w:r w:rsidRPr="00332544">
              <w:rPr>
                <w:rFonts w:ascii="Arial" w:hAnsi="Arial"/>
                <w:color w:val="FF0000"/>
                <w:sz w:val="16"/>
              </w:rPr>
              <w:t>.2%)</w:t>
            </w:r>
            <w:r w:rsidRPr="00332544">
              <w:rPr>
                <w:rFonts w:ascii="Arial" w:hAnsi="Arial"/>
                <w:color w:val="FF0000"/>
                <w:sz w:val="16"/>
              </w:rPr>
              <w:br/>
            </w:r>
            <w:r w:rsidRPr="00332544">
              <w:rPr>
                <w:rFonts w:ascii="Arial" w:hAnsi="Arial" w:cs="Arial"/>
                <w:color w:val="FF0000"/>
                <w:sz w:val="16"/>
                <w:szCs w:val="16"/>
              </w:rPr>
              <w:t>194</w:t>
            </w:r>
          </w:p>
        </w:tc>
      </w:tr>
      <w:tr w:rsidR="008D1EFE" w:rsidRPr="00332544" w14:paraId="7F363367"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3E7A43D"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Prior Valve Surgery/Procedure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8945BF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13268</w:t>
            </w:r>
            <w:r w:rsidRPr="00332544">
              <w:rPr>
                <w:rFonts w:ascii="Arial" w:hAnsi="Arial"/>
                <w:color w:val="FF0000"/>
                <w:sz w:val="16"/>
              </w:rPr>
              <w:t> (1.</w:t>
            </w:r>
            <w:r w:rsidRPr="00332544">
              <w:rPr>
                <w:rFonts w:ascii="Arial" w:hAnsi="Arial" w:cs="Arial"/>
                <w:color w:val="FF0000"/>
                <w:sz w:val="16"/>
                <w:szCs w:val="16"/>
              </w:rPr>
              <w:t>8%)</w:t>
            </w:r>
            <w:r w:rsidRPr="00332544">
              <w:rPr>
                <w:rFonts w:ascii="Arial" w:hAnsi="Arial" w:cs="Arial"/>
                <w:color w:val="FF0000"/>
                <w:sz w:val="16"/>
                <w:szCs w:val="16"/>
              </w:rPr>
              <w:br/>
              <w:t>279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E9958E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620 (2.6%)</w:t>
            </w:r>
            <w:r w:rsidRPr="00332544">
              <w:rPr>
                <w:rFonts w:ascii="Arial" w:hAnsi="Arial" w:cs="Arial"/>
                <w:color w:val="FF0000"/>
                <w:sz w:val="16"/>
                <w:szCs w:val="16"/>
              </w:rPr>
              <w:br/>
              <w:t>14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BF4F3B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12648</w:t>
            </w:r>
            <w:r w:rsidRPr="00332544">
              <w:rPr>
                <w:rFonts w:ascii="Arial" w:hAnsi="Arial"/>
                <w:color w:val="FF0000"/>
                <w:sz w:val="16"/>
              </w:rPr>
              <w:t> (1.</w:t>
            </w:r>
            <w:r w:rsidRPr="00332544">
              <w:rPr>
                <w:rFonts w:ascii="Arial" w:hAnsi="Arial" w:cs="Arial"/>
                <w:color w:val="FF0000"/>
                <w:sz w:val="16"/>
                <w:szCs w:val="16"/>
              </w:rPr>
              <w:t>8%)</w:t>
            </w:r>
            <w:r w:rsidRPr="00332544">
              <w:rPr>
                <w:rFonts w:ascii="Arial" w:hAnsi="Arial" w:cs="Arial"/>
                <w:color w:val="FF0000"/>
                <w:sz w:val="16"/>
                <w:szCs w:val="16"/>
              </w:rPr>
              <w:br/>
              <w:t>265</w:t>
            </w:r>
          </w:p>
        </w:tc>
      </w:tr>
      <w:tr w:rsidR="008D1EFE" w:rsidRPr="00332544" w14:paraId="3CF489C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D5EEFBA"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Prior CABG</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E1F8F6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124219 (17.3%)</w:t>
            </w:r>
            <w:r w:rsidRPr="00332544">
              <w:rPr>
                <w:rFonts w:ascii="Arial" w:hAnsi="Arial" w:cs="Arial"/>
                <w:color w:val="FF0000"/>
                <w:sz w:val="16"/>
                <w:szCs w:val="16"/>
              </w:rPr>
              <w:br/>
              <w:t>79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BCD64A5"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3451</w:t>
            </w:r>
            <w:r w:rsidRPr="00332544">
              <w:rPr>
                <w:rFonts w:ascii="Arial" w:hAnsi="Arial"/>
                <w:color w:val="FF0000"/>
                <w:sz w:val="16"/>
              </w:rPr>
              <w:t> (14.</w:t>
            </w:r>
            <w:r w:rsidRPr="00332544">
              <w:rPr>
                <w:rFonts w:ascii="Arial" w:hAnsi="Arial" w:cs="Arial"/>
                <w:color w:val="FF0000"/>
                <w:sz w:val="16"/>
                <w:szCs w:val="16"/>
              </w:rPr>
              <w:t>5%)</w:t>
            </w:r>
            <w:r w:rsidRPr="00332544">
              <w:rPr>
                <w:rFonts w:ascii="Arial" w:hAnsi="Arial" w:cs="Arial"/>
                <w:color w:val="FF0000"/>
                <w:sz w:val="16"/>
                <w:szCs w:val="16"/>
              </w:rPr>
              <w:br/>
            </w:r>
            <w:r w:rsidRPr="00332544">
              <w:rPr>
                <w:rFonts w:ascii="Arial" w:hAnsi="Arial"/>
                <w:color w:val="FF0000"/>
                <w:sz w:val="16"/>
              </w:rPr>
              <w:t>3</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19ADBF1"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120768 (17.4%)</w:t>
            </w:r>
            <w:r w:rsidRPr="00332544">
              <w:rPr>
                <w:rFonts w:ascii="Arial" w:hAnsi="Arial" w:cs="Arial"/>
                <w:color w:val="FF0000"/>
                <w:sz w:val="16"/>
                <w:szCs w:val="16"/>
              </w:rPr>
              <w:br/>
              <w:t>76</w:t>
            </w:r>
          </w:p>
        </w:tc>
      </w:tr>
      <w:tr w:rsidR="008D1EFE" w:rsidRPr="00332544" w14:paraId="545F925F"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C55D62F" w14:textId="77777777" w:rsidR="008D1EFE" w:rsidRPr="00332544" w:rsidRDefault="008D1EFE" w:rsidP="006203D8">
            <w:pPr>
              <w:adjustRightInd w:val="0"/>
              <w:spacing w:before="60" w:after="60"/>
              <w:rPr>
                <w:rFonts w:ascii="Arial" w:hAnsi="Arial"/>
                <w:b/>
                <w:i/>
                <w:color w:val="FF0000"/>
                <w:sz w:val="18"/>
              </w:rPr>
            </w:pPr>
            <w:r w:rsidRPr="00332544">
              <w:rPr>
                <w:rFonts w:ascii="Arial" w:hAnsi="Arial"/>
                <w:b/>
                <w:i/>
                <w:color w:val="FF0000"/>
                <w:sz w:val="18"/>
              </w:rPr>
              <w:t>Cath Lab Visit</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406827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8C814A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ECE1DF1"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r>
      <w:tr w:rsidR="008D1EFE" w:rsidRPr="00332544" w14:paraId="122C6506"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17F2EF6"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PCI Indication</w:t>
            </w:r>
            <w:r w:rsidRPr="00332544">
              <w:rPr>
                <w:rFonts w:ascii="Arial" w:hAnsi="Arial"/>
                <w:color w:val="FF0000"/>
                <w:sz w:val="16"/>
              </w:rPr>
              <w:br/>
              <w:t>          Immediate PCI for STEMI</w:t>
            </w:r>
            <w:r w:rsidRPr="00332544">
              <w:rPr>
                <w:rFonts w:ascii="Arial" w:hAnsi="Arial"/>
                <w:color w:val="FF0000"/>
                <w:sz w:val="16"/>
              </w:rPr>
              <w:br/>
              <w:t>          PCI for STEMI (Unstable, &gt;12 </w:t>
            </w:r>
            <w:proofErr w:type="spellStart"/>
            <w:r w:rsidRPr="00332544">
              <w:rPr>
                <w:rFonts w:ascii="Arial" w:hAnsi="Arial"/>
                <w:color w:val="FF0000"/>
                <w:sz w:val="16"/>
              </w:rPr>
              <w:t>hrs</w:t>
            </w:r>
            <w:proofErr w:type="spellEnd"/>
            <w:r w:rsidRPr="00332544">
              <w:rPr>
                <w:rFonts w:ascii="Arial" w:hAnsi="Arial"/>
                <w:color w:val="FF0000"/>
                <w:sz w:val="16"/>
              </w:rPr>
              <w:t> from </w:t>
            </w:r>
            <w:proofErr w:type="spellStart"/>
            <w:r w:rsidRPr="00332544">
              <w:rPr>
                <w:rFonts w:ascii="Arial" w:hAnsi="Arial"/>
                <w:color w:val="FF0000"/>
                <w:sz w:val="16"/>
              </w:rPr>
              <w:t>Sx</w:t>
            </w:r>
            <w:proofErr w:type="spellEnd"/>
            <w:r w:rsidRPr="00332544">
              <w:rPr>
                <w:rFonts w:ascii="Arial" w:hAnsi="Arial"/>
                <w:color w:val="FF0000"/>
                <w:sz w:val="16"/>
              </w:rPr>
              <w:t> onset)</w:t>
            </w:r>
            <w:r w:rsidRPr="00332544">
              <w:rPr>
                <w:rFonts w:ascii="Arial" w:hAnsi="Arial"/>
                <w:color w:val="FF0000"/>
                <w:sz w:val="16"/>
              </w:rPr>
              <w:br/>
              <w:t>          PCI for STEMI (Stable, &gt;12 </w:t>
            </w:r>
            <w:proofErr w:type="spellStart"/>
            <w:r w:rsidRPr="00332544">
              <w:rPr>
                <w:rFonts w:ascii="Arial" w:hAnsi="Arial"/>
                <w:color w:val="FF0000"/>
                <w:sz w:val="16"/>
              </w:rPr>
              <w:t>hrs</w:t>
            </w:r>
            <w:proofErr w:type="spellEnd"/>
            <w:r w:rsidRPr="00332544">
              <w:rPr>
                <w:rFonts w:ascii="Arial" w:hAnsi="Arial"/>
                <w:color w:val="FF0000"/>
                <w:sz w:val="16"/>
              </w:rPr>
              <w:t> from </w:t>
            </w:r>
            <w:proofErr w:type="spellStart"/>
            <w:r w:rsidRPr="00332544">
              <w:rPr>
                <w:rFonts w:ascii="Arial" w:hAnsi="Arial"/>
                <w:color w:val="FF0000"/>
                <w:sz w:val="16"/>
              </w:rPr>
              <w:t>Sx</w:t>
            </w:r>
            <w:proofErr w:type="spellEnd"/>
            <w:r w:rsidRPr="00332544">
              <w:rPr>
                <w:rFonts w:ascii="Arial" w:hAnsi="Arial"/>
                <w:color w:val="FF0000"/>
                <w:sz w:val="16"/>
              </w:rPr>
              <w:t> onset)</w:t>
            </w:r>
            <w:r w:rsidRPr="00332544">
              <w:rPr>
                <w:rFonts w:ascii="Arial" w:hAnsi="Arial"/>
                <w:color w:val="FF0000"/>
                <w:sz w:val="16"/>
              </w:rPr>
              <w:br/>
              <w:t>          PCI for STEMI (Stable after successful full-dose Thrombolysis)</w:t>
            </w:r>
            <w:r w:rsidRPr="00332544">
              <w:rPr>
                <w:rFonts w:ascii="Arial" w:hAnsi="Arial"/>
                <w:color w:val="FF0000"/>
                <w:sz w:val="16"/>
              </w:rPr>
              <w:br/>
              <w:t>          Rescue PCI for STEMI (after failed full-dose </w:t>
            </w:r>
            <w:proofErr w:type="spellStart"/>
            <w:r w:rsidRPr="00332544">
              <w:rPr>
                <w:rFonts w:ascii="Arial" w:hAnsi="Arial"/>
                <w:color w:val="FF0000"/>
                <w:sz w:val="16"/>
              </w:rPr>
              <w:t>lytics</w:t>
            </w:r>
            <w:proofErr w:type="spellEnd"/>
            <w:r w:rsidRPr="00332544">
              <w:rPr>
                <w:rFonts w:ascii="Arial" w:hAnsi="Arial"/>
                <w:color w:val="FF0000"/>
                <w:sz w:val="16"/>
              </w:rPr>
              <w:t>)</w:t>
            </w:r>
            <w:r w:rsidRPr="00332544">
              <w:rPr>
                <w:rFonts w:ascii="Arial" w:hAnsi="Arial"/>
                <w:color w:val="FF0000"/>
                <w:sz w:val="16"/>
              </w:rPr>
              <w:br/>
              <w:t>          PCI for high risk Non-STEMI or unstable angina</w:t>
            </w:r>
            <w:r w:rsidRPr="00332544">
              <w:rPr>
                <w:rFonts w:ascii="Arial" w:hAnsi="Arial"/>
                <w:color w:val="FF0000"/>
                <w:sz w:val="16"/>
              </w:rPr>
              <w:br/>
              <w:t>          Staged PCI</w:t>
            </w:r>
            <w:r w:rsidRPr="00332544">
              <w:rPr>
                <w:rFonts w:ascii="Arial" w:hAnsi="Arial"/>
                <w:color w:val="FF0000"/>
                <w:sz w:val="16"/>
              </w:rPr>
              <w:br/>
              <w:t>          Other</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739752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110008</w:t>
            </w:r>
            <w:r w:rsidRPr="00332544">
              <w:rPr>
                <w:rFonts w:ascii="Arial" w:hAnsi="Arial"/>
                <w:color w:val="FF0000"/>
                <w:sz w:val="16"/>
              </w:rPr>
              <w:t> (15.</w:t>
            </w:r>
            <w:r w:rsidRPr="00332544">
              <w:rPr>
                <w:rFonts w:ascii="Arial" w:hAnsi="Arial" w:cs="Arial"/>
                <w:color w:val="FF0000"/>
                <w:sz w:val="16"/>
                <w:szCs w:val="16"/>
              </w:rPr>
              <w:t>3%)</w:t>
            </w:r>
            <w:r w:rsidRPr="00332544">
              <w:rPr>
                <w:rFonts w:ascii="Arial" w:hAnsi="Arial" w:cs="Arial"/>
                <w:color w:val="FF0000"/>
                <w:sz w:val="16"/>
                <w:szCs w:val="16"/>
              </w:rPr>
              <w:br/>
              <w:t>7334 (1.0%)</w:t>
            </w:r>
            <w:r w:rsidRPr="00332544">
              <w:rPr>
                <w:rFonts w:ascii="Arial" w:hAnsi="Arial" w:cs="Arial"/>
                <w:color w:val="FF0000"/>
                <w:sz w:val="16"/>
                <w:szCs w:val="16"/>
              </w:rPr>
              <w:br/>
              <w:t>1556 (0.2%)</w:t>
            </w:r>
            <w:r w:rsidRPr="00332544">
              <w:rPr>
                <w:rFonts w:ascii="Arial" w:hAnsi="Arial" w:cs="Arial"/>
                <w:color w:val="FF0000"/>
                <w:sz w:val="16"/>
                <w:szCs w:val="16"/>
              </w:rPr>
              <w:br/>
              <w:t>1556 (0.2%)</w:t>
            </w:r>
            <w:r w:rsidRPr="00332544">
              <w:rPr>
                <w:rFonts w:ascii="Arial" w:hAnsi="Arial" w:cs="Arial"/>
                <w:color w:val="FF0000"/>
                <w:sz w:val="16"/>
                <w:szCs w:val="16"/>
              </w:rPr>
              <w:br/>
              <w:t>3060</w:t>
            </w:r>
            <w:r w:rsidRPr="00332544">
              <w:rPr>
                <w:rFonts w:ascii="Arial" w:hAnsi="Arial"/>
                <w:color w:val="FF0000"/>
                <w:sz w:val="16"/>
              </w:rPr>
              <w:t> (0.4%)</w:t>
            </w:r>
            <w:r w:rsidRPr="00332544">
              <w:rPr>
                <w:rFonts w:ascii="Arial" w:hAnsi="Arial"/>
                <w:color w:val="FF0000"/>
                <w:sz w:val="16"/>
              </w:rPr>
              <w:br/>
            </w:r>
            <w:r w:rsidRPr="00332544">
              <w:rPr>
                <w:rFonts w:ascii="Arial" w:hAnsi="Arial" w:cs="Arial"/>
                <w:color w:val="FF0000"/>
                <w:sz w:val="16"/>
                <w:szCs w:val="16"/>
              </w:rPr>
              <w:t>426385 (59</w:t>
            </w:r>
            <w:r w:rsidRPr="00332544">
              <w:rPr>
                <w:rFonts w:ascii="Arial" w:hAnsi="Arial"/>
                <w:color w:val="FF0000"/>
                <w:sz w:val="16"/>
              </w:rPr>
              <w:t>.4%)</w:t>
            </w:r>
            <w:r w:rsidRPr="00332544">
              <w:rPr>
                <w:rFonts w:ascii="Arial" w:hAnsi="Arial"/>
                <w:color w:val="FF0000"/>
                <w:sz w:val="16"/>
              </w:rPr>
              <w:br/>
            </w:r>
            <w:r w:rsidRPr="00332544">
              <w:rPr>
                <w:rFonts w:ascii="Arial" w:hAnsi="Arial" w:cs="Arial"/>
                <w:color w:val="FF0000"/>
                <w:sz w:val="16"/>
                <w:szCs w:val="16"/>
              </w:rPr>
              <w:t>34899 (4.9%)</w:t>
            </w:r>
            <w:r w:rsidRPr="00332544">
              <w:rPr>
                <w:rFonts w:ascii="Arial" w:hAnsi="Arial" w:cs="Arial"/>
                <w:color w:val="FF0000"/>
                <w:sz w:val="16"/>
                <w:szCs w:val="16"/>
              </w:rPr>
              <w:br/>
              <w:t>132555 (18.5%)</w:t>
            </w:r>
            <w:r w:rsidRPr="00332544">
              <w:rPr>
                <w:rFonts w:ascii="Arial" w:hAnsi="Arial" w:cs="Arial"/>
                <w:color w:val="FF0000"/>
                <w:sz w:val="16"/>
                <w:szCs w:val="16"/>
              </w:rPr>
              <w:br/>
              <w:t>157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2500E4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8588 (36</w:t>
            </w:r>
            <w:r w:rsidRPr="00332544">
              <w:rPr>
                <w:rFonts w:ascii="Arial" w:hAnsi="Arial"/>
                <w:color w:val="FF0000"/>
                <w:sz w:val="16"/>
              </w:rPr>
              <w:t>.0%)</w:t>
            </w:r>
            <w:r w:rsidRPr="00332544">
              <w:rPr>
                <w:rFonts w:ascii="Arial" w:hAnsi="Arial"/>
                <w:color w:val="FF0000"/>
                <w:sz w:val="16"/>
              </w:rPr>
              <w:br/>
            </w:r>
            <w:r w:rsidRPr="00332544">
              <w:rPr>
                <w:rFonts w:ascii="Arial" w:hAnsi="Arial" w:cs="Arial"/>
                <w:color w:val="FF0000"/>
                <w:sz w:val="16"/>
                <w:szCs w:val="16"/>
              </w:rPr>
              <w:t>820</w:t>
            </w:r>
            <w:r w:rsidRPr="00332544">
              <w:rPr>
                <w:rFonts w:ascii="Arial" w:hAnsi="Arial"/>
                <w:color w:val="FF0000"/>
                <w:sz w:val="16"/>
              </w:rPr>
              <w:t> (3.4%)</w:t>
            </w:r>
            <w:r w:rsidRPr="00332544">
              <w:rPr>
                <w:rFonts w:ascii="Arial" w:hAnsi="Arial"/>
                <w:color w:val="FF0000"/>
                <w:sz w:val="16"/>
              </w:rPr>
              <w:br/>
            </w:r>
            <w:r w:rsidRPr="00332544">
              <w:rPr>
                <w:rFonts w:ascii="Arial" w:hAnsi="Arial" w:cs="Arial"/>
                <w:color w:val="FF0000"/>
                <w:sz w:val="16"/>
                <w:szCs w:val="16"/>
              </w:rPr>
              <w:t>103 (0.4%)</w:t>
            </w:r>
            <w:r w:rsidRPr="00332544">
              <w:rPr>
                <w:rFonts w:ascii="Arial" w:hAnsi="Arial" w:cs="Arial"/>
                <w:color w:val="FF0000"/>
                <w:sz w:val="16"/>
                <w:szCs w:val="16"/>
              </w:rPr>
              <w:br/>
            </w:r>
            <w:r w:rsidRPr="00332544">
              <w:rPr>
                <w:rFonts w:ascii="Arial" w:hAnsi="Arial"/>
                <w:color w:val="FF0000"/>
                <w:sz w:val="16"/>
              </w:rPr>
              <w:t>43</w:t>
            </w:r>
            <w:r w:rsidRPr="00332544">
              <w:rPr>
                <w:rFonts w:ascii="Arial" w:hAnsi="Arial" w:cs="Arial"/>
                <w:color w:val="FF0000"/>
                <w:sz w:val="16"/>
                <w:szCs w:val="16"/>
              </w:rPr>
              <w:t> (0</w:t>
            </w:r>
            <w:r w:rsidRPr="00332544">
              <w:rPr>
                <w:rFonts w:ascii="Arial" w:hAnsi="Arial"/>
                <w:color w:val="FF0000"/>
                <w:sz w:val="16"/>
              </w:rPr>
              <w:t>.2%)</w:t>
            </w:r>
            <w:r w:rsidRPr="00332544">
              <w:rPr>
                <w:rFonts w:ascii="Arial" w:hAnsi="Arial"/>
                <w:color w:val="FF0000"/>
                <w:sz w:val="16"/>
              </w:rPr>
              <w:br/>
            </w:r>
            <w:r w:rsidRPr="00332544">
              <w:rPr>
                <w:rFonts w:ascii="Arial" w:hAnsi="Arial" w:cs="Arial"/>
                <w:color w:val="FF0000"/>
                <w:sz w:val="16"/>
                <w:szCs w:val="16"/>
              </w:rPr>
              <w:t>261 (1.1%)</w:t>
            </w:r>
            <w:r w:rsidRPr="00332544">
              <w:rPr>
                <w:rFonts w:ascii="Arial" w:hAnsi="Arial" w:cs="Arial"/>
                <w:color w:val="FF0000"/>
                <w:sz w:val="16"/>
                <w:szCs w:val="16"/>
              </w:rPr>
              <w:br/>
              <w:t>11019 (46.</w:t>
            </w:r>
            <w:r w:rsidRPr="00332544">
              <w:rPr>
                <w:rFonts w:ascii="Arial" w:hAnsi="Arial"/>
                <w:color w:val="FF0000"/>
                <w:sz w:val="16"/>
              </w:rPr>
              <w:t>2</w:t>
            </w:r>
            <w:r w:rsidRPr="00332544">
              <w:rPr>
                <w:rFonts w:ascii="Arial" w:hAnsi="Arial" w:cs="Arial"/>
                <w:color w:val="FF0000"/>
                <w:sz w:val="16"/>
                <w:szCs w:val="16"/>
              </w:rPr>
              <w:t>%)</w:t>
            </w:r>
            <w:r w:rsidRPr="00332544">
              <w:rPr>
                <w:rFonts w:ascii="Arial" w:hAnsi="Arial" w:cs="Arial"/>
                <w:color w:val="FF0000"/>
                <w:sz w:val="16"/>
                <w:szCs w:val="16"/>
              </w:rPr>
              <w:br/>
              <w:t>744 (3.1%)</w:t>
            </w:r>
            <w:r w:rsidRPr="00332544">
              <w:rPr>
                <w:rFonts w:ascii="Arial" w:hAnsi="Arial" w:cs="Arial"/>
                <w:color w:val="FF0000"/>
                <w:sz w:val="16"/>
                <w:szCs w:val="16"/>
              </w:rPr>
              <w:br/>
              <w:t>2295 (9</w:t>
            </w:r>
            <w:r w:rsidRPr="00332544">
              <w:rPr>
                <w:rFonts w:ascii="Arial" w:hAnsi="Arial"/>
                <w:color w:val="FF0000"/>
                <w:sz w:val="16"/>
              </w:rPr>
              <w:t>.6%)</w:t>
            </w:r>
            <w:r w:rsidRPr="00332544">
              <w:rPr>
                <w:rFonts w:ascii="Arial" w:hAnsi="Arial"/>
                <w:color w:val="FF0000"/>
                <w:sz w:val="16"/>
              </w:rPr>
              <w:br/>
            </w:r>
            <w:r w:rsidRPr="00332544">
              <w:rPr>
                <w:rFonts w:ascii="Arial" w:hAnsi="Arial" w:cs="Arial"/>
                <w:color w:val="FF0000"/>
                <w:sz w:val="16"/>
                <w:szCs w:val="16"/>
              </w:rPr>
              <w:t>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44124C5"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101420</w:t>
            </w:r>
            <w:r w:rsidRPr="00332544">
              <w:rPr>
                <w:rFonts w:ascii="Arial" w:hAnsi="Arial"/>
                <w:color w:val="FF0000"/>
                <w:sz w:val="16"/>
              </w:rPr>
              <w:t> (14.</w:t>
            </w:r>
            <w:r w:rsidRPr="00332544">
              <w:rPr>
                <w:rFonts w:ascii="Arial" w:hAnsi="Arial" w:cs="Arial"/>
                <w:color w:val="FF0000"/>
                <w:sz w:val="16"/>
                <w:szCs w:val="16"/>
              </w:rPr>
              <w:t>6%)</w:t>
            </w:r>
            <w:r w:rsidRPr="00332544">
              <w:rPr>
                <w:rFonts w:ascii="Arial" w:hAnsi="Arial" w:cs="Arial"/>
                <w:color w:val="FF0000"/>
                <w:sz w:val="16"/>
                <w:szCs w:val="16"/>
              </w:rPr>
              <w:br/>
              <w:t>6514</w:t>
            </w:r>
            <w:r w:rsidRPr="00332544">
              <w:rPr>
                <w:rFonts w:ascii="Arial" w:hAnsi="Arial"/>
                <w:color w:val="FF0000"/>
                <w:sz w:val="16"/>
              </w:rPr>
              <w:t> (0.</w:t>
            </w:r>
            <w:r w:rsidRPr="00332544">
              <w:rPr>
                <w:rFonts w:ascii="Arial" w:hAnsi="Arial" w:cs="Arial"/>
                <w:color w:val="FF0000"/>
                <w:sz w:val="16"/>
                <w:szCs w:val="16"/>
              </w:rPr>
              <w:t>9%)</w:t>
            </w:r>
            <w:r w:rsidRPr="00332544">
              <w:rPr>
                <w:rFonts w:ascii="Arial" w:hAnsi="Arial" w:cs="Arial"/>
                <w:color w:val="FF0000"/>
                <w:sz w:val="16"/>
                <w:szCs w:val="16"/>
              </w:rPr>
              <w:br/>
              <w:t>1453 (0.2%)</w:t>
            </w:r>
            <w:r w:rsidRPr="00332544">
              <w:rPr>
                <w:rFonts w:ascii="Arial" w:hAnsi="Arial" w:cs="Arial"/>
                <w:color w:val="FF0000"/>
                <w:sz w:val="16"/>
                <w:szCs w:val="16"/>
              </w:rPr>
              <w:br/>
              <w:t>1513 (0.2%)</w:t>
            </w:r>
            <w:r w:rsidRPr="00332544">
              <w:rPr>
                <w:rFonts w:ascii="Arial" w:hAnsi="Arial" w:cs="Arial"/>
                <w:color w:val="FF0000"/>
                <w:sz w:val="16"/>
                <w:szCs w:val="16"/>
              </w:rPr>
              <w:br/>
              <w:t>2799</w:t>
            </w:r>
            <w:r w:rsidRPr="00332544">
              <w:rPr>
                <w:rFonts w:ascii="Arial" w:hAnsi="Arial"/>
                <w:color w:val="FF0000"/>
                <w:sz w:val="16"/>
              </w:rPr>
              <w:t> (0.4%)</w:t>
            </w:r>
            <w:r w:rsidRPr="00332544">
              <w:rPr>
                <w:rFonts w:ascii="Arial" w:hAnsi="Arial"/>
                <w:color w:val="FF0000"/>
                <w:sz w:val="16"/>
              </w:rPr>
              <w:br/>
            </w:r>
            <w:r w:rsidRPr="00332544">
              <w:rPr>
                <w:rFonts w:ascii="Arial" w:hAnsi="Arial" w:cs="Arial"/>
                <w:color w:val="FF0000"/>
                <w:sz w:val="16"/>
                <w:szCs w:val="16"/>
              </w:rPr>
              <w:t>415366 (59.9%)</w:t>
            </w:r>
            <w:r w:rsidRPr="00332544">
              <w:rPr>
                <w:rFonts w:ascii="Arial" w:hAnsi="Arial" w:cs="Arial"/>
                <w:color w:val="FF0000"/>
                <w:sz w:val="16"/>
                <w:szCs w:val="16"/>
              </w:rPr>
              <w:br/>
              <w:t>34155 (4.9%)</w:t>
            </w:r>
            <w:r w:rsidRPr="00332544">
              <w:rPr>
                <w:rFonts w:ascii="Arial" w:hAnsi="Arial" w:cs="Arial"/>
                <w:color w:val="FF0000"/>
                <w:sz w:val="16"/>
                <w:szCs w:val="16"/>
              </w:rPr>
              <w:br/>
              <w:t>130260 (18.8%)</w:t>
            </w:r>
            <w:r w:rsidRPr="00332544">
              <w:rPr>
                <w:rFonts w:ascii="Arial" w:hAnsi="Arial" w:cs="Arial"/>
                <w:color w:val="FF0000"/>
                <w:sz w:val="16"/>
                <w:szCs w:val="16"/>
              </w:rPr>
              <w:br/>
              <w:t>156</w:t>
            </w:r>
          </w:p>
        </w:tc>
      </w:tr>
      <w:tr w:rsidR="008D1EFE" w:rsidRPr="00332544" w14:paraId="6140FE5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C2C4749"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CAD Presentation</w:t>
            </w:r>
            <w:r w:rsidRPr="00332544">
              <w:rPr>
                <w:rFonts w:ascii="Arial" w:hAnsi="Arial"/>
                <w:color w:val="FF0000"/>
                <w:sz w:val="16"/>
              </w:rPr>
              <w:br/>
              <w:t>          No symptom, no angina</w:t>
            </w:r>
            <w:r w:rsidRPr="00332544">
              <w:rPr>
                <w:rFonts w:ascii="Arial" w:hAnsi="Arial"/>
                <w:color w:val="FF0000"/>
                <w:sz w:val="16"/>
              </w:rPr>
              <w:br/>
              <w:t>          Symptom unlikely to be ischemic</w:t>
            </w:r>
            <w:r w:rsidRPr="00332544">
              <w:rPr>
                <w:rFonts w:ascii="Arial" w:hAnsi="Arial"/>
                <w:color w:val="FF0000"/>
                <w:sz w:val="16"/>
              </w:rPr>
              <w:br/>
              <w:t>          Stable angina</w:t>
            </w:r>
            <w:r w:rsidRPr="00332544">
              <w:rPr>
                <w:rFonts w:ascii="Arial" w:hAnsi="Arial"/>
                <w:color w:val="FF0000"/>
                <w:sz w:val="16"/>
              </w:rPr>
              <w:br/>
              <w:t>          Unstable angina</w:t>
            </w:r>
            <w:r w:rsidRPr="00332544">
              <w:rPr>
                <w:rFonts w:ascii="Arial" w:hAnsi="Arial"/>
                <w:color w:val="FF0000"/>
                <w:sz w:val="16"/>
              </w:rPr>
              <w:br/>
              <w:t>          Non-STEMI</w:t>
            </w:r>
            <w:r w:rsidRPr="00332544">
              <w:rPr>
                <w:rFonts w:ascii="Arial" w:hAnsi="Arial"/>
                <w:color w:val="FF0000"/>
                <w:sz w:val="16"/>
              </w:rPr>
              <w:br/>
              <w:t>          ST-Elevation MI (STEMI) or equivalent</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9B78686"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26571 (</w:t>
            </w:r>
            <w:r w:rsidRPr="00332544">
              <w:rPr>
                <w:rFonts w:ascii="Arial" w:hAnsi="Arial"/>
                <w:color w:val="FF0000"/>
                <w:sz w:val="16"/>
              </w:rPr>
              <w:t>3</w:t>
            </w:r>
            <w:r w:rsidRPr="00332544">
              <w:rPr>
                <w:rFonts w:ascii="Arial" w:hAnsi="Arial" w:cs="Arial"/>
                <w:color w:val="FF0000"/>
                <w:sz w:val="16"/>
                <w:szCs w:val="16"/>
              </w:rPr>
              <w:t>.7%)</w:t>
            </w:r>
            <w:r w:rsidRPr="00332544">
              <w:rPr>
                <w:rFonts w:ascii="Arial" w:hAnsi="Arial" w:cs="Arial"/>
                <w:color w:val="FF0000"/>
                <w:sz w:val="16"/>
                <w:szCs w:val="16"/>
              </w:rPr>
              <w:br/>
              <w:t>13214 (</w:t>
            </w:r>
            <w:r w:rsidRPr="00332544">
              <w:rPr>
                <w:rFonts w:ascii="Arial" w:hAnsi="Arial"/>
                <w:color w:val="FF0000"/>
                <w:sz w:val="16"/>
              </w:rPr>
              <w:t>1</w:t>
            </w:r>
            <w:r w:rsidRPr="00332544">
              <w:rPr>
                <w:rFonts w:ascii="Arial" w:hAnsi="Arial" w:cs="Arial"/>
                <w:color w:val="FF0000"/>
                <w:sz w:val="16"/>
                <w:szCs w:val="16"/>
              </w:rPr>
              <w:t>.8%)</w:t>
            </w:r>
            <w:r w:rsidRPr="00332544">
              <w:rPr>
                <w:rFonts w:ascii="Arial" w:hAnsi="Arial" w:cs="Arial"/>
                <w:color w:val="FF0000"/>
                <w:sz w:val="16"/>
                <w:szCs w:val="16"/>
              </w:rPr>
              <w:br/>
              <w:t>91567 (12.8%)</w:t>
            </w:r>
            <w:r w:rsidRPr="00332544">
              <w:rPr>
                <w:rFonts w:ascii="Arial" w:hAnsi="Arial" w:cs="Arial"/>
                <w:color w:val="FF0000"/>
                <w:sz w:val="16"/>
                <w:szCs w:val="16"/>
              </w:rPr>
              <w:br/>
              <w:t>283204</w:t>
            </w:r>
            <w:r w:rsidRPr="00332544">
              <w:rPr>
                <w:rFonts w:ascii="Arial" w:hAnsi="Arial"/>
                <w:color w:val="FF0000"/>
                <w:sz w:val="16"/>
              </w:rPr>
              <w:t> (39.</w:t>
            </w:r>
            <w:r w:rsidRPr="00332544">
              <w:rPr>
                <w:rFonts w:ascii="Arial" w:hAnsi="Arial" w:cs="Arial"/>
                <w:color w:val="FF0000"/>
                <w:sz w:val="16"/>
                <w:szCs w:val="16"/>
              </w:rPr>
              <w:t>5%)</w:t>
            </w:r>
            <w:r w:rsidRPr="00332544">
              <w:rPr>
                <w:rFonts w:ascii="Arial" w:hAnsi="Arial" w:cs="Arial"/>
                <w:color w:val="FF0000"/>
                <w:sz w:val="16"/>
                <w:szCs w:val="16"/>
              </w:rPr>
              <w:br/>
              <w:t>181336 (25.</w:t>
            </w:r>
            <w:r w:rsidRPr="00332544">
              <w:rPr>
                <w:rFonts w:ascii="Arial" w:hAnsi="Arial"/>
                <w:color w:val="FF0000"/>
                <w:sz w:val="16"/>
              </w:rPr>
              <w:t>3%)</w:t>
            </w:r>
            <w:r w:rsidRPr="00332544">
              <w:rPr>
                <w:rFonts w:ascii="Arial" w:hAnsi="Arial"/>
                <w:color w:val="FF0000"/>
                <w:sz w:val="16"/>
              </w:rPr>
              <w:br/>
            </w:r>
            <w:r w:rsidRPr="00332544">
              <w:rPr>
                <w:rFonts w:ascii="Arial" w:hAnsi="Arial" w:cs="Arial"/>
                <w:color w:val="FF0000"/>
                <w:sz w:val="16"/>
                <w:szCs w:val="16"/>
              </w:rPr>
              <w:t>121466 (16.9%)</w:t>
            </w:r>
            <w:r w:rsidRPr="00332544">
              <w:rPr>
                <w:rFonts w:ascii="Arial" w:hAnsi="Arial" w:cs="Arial"/>
                <w:color w:val="FF0000"/>
                <w:sz w:val="16"/>
                <w:szCs w:val="16"/>
              </w:rPr>
              <w:br/>
              <w:t>152</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0B095B3"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755</w:t>
            </w:r>
            <w:r w:rsidRPr="00332544">
              <w:rPr>
                <w:rFonts w:ascii="Arial" w:hAnsi="Arial"/>
                <w:color w:val="FF0000"/>
                <w:sz w:val="16"/>
              </w:rPr>
              <w:t> (3.</w:t>
            </w:r>
            <w:r w:rsidRPr="00332544">
              <w:rPr>
                <w:rFonts w:ascii="Arial" w:hAnsi="Arial" w:cs="Arial"/>
                <w:color w:val="FF0000"/>
                <w:sz w:val="16"/>
                <w:szCs w:val="16"/>
              </w:rPr>
              <w:t>2%)</w:t>
            </w:r>
            <w:r w:rsidRPr="00332544">
              <w:rPr>
                <w:rFonts w:ascii="Arial" w:hAnsi="Arial" w:cs="Arial"/>
                <w:color w:val="FF0000"/>
                <w:sz w:val="16"/>
                <w:szCs w:val="16"/>
              </w:rPr>
              <w:br/>
              <w:t>424</w:t>
            </w:r>
            <w:r w:rsidRPr="00332544">
              <w:rPr>
                <w:rFonts w:ascii="Arial" w:hAnsi="Arial"/>
                <w:color w:val="FF0000"/>
                <w:sz w:val="16"/>
              </w:rPr>
              <w:t> (1.</w:t>
            </w:r>
            <w:r w:rsidRPr="00332544">
              <w:rPr>
                <w:rFonts w:ascii="Arial" w:hAnsi="Arial" w:cs="Arial"/>
                <w:color w:val="FF0000"/>
                <w:sz w:val="16"/>
                <w:szCs w:val="16"/>
              </w:rPr>
              <w:t>8%)</w:t>
            </w:r>
            <w:r w:rsidRPr="00332544">
              <w:rPr>
                <w:rFonts w:ascii="Arial" w:hAnsi="Arial" w:cs="Arial"/>
                <w:color w:val="FF0000"/>
                <w:sz w:val="16"/>
                <w:szCs w:val="16"/>
              </w:rPr>
              <w:br/>
              <w:t>1291 (</w:t>
            </w:r>
            <w:r w:rsidRPr="00332544">
              <w:rPr>
                <w:rFonts w:ascii="Arial" w:hAnsi="Arial"/>
                <w:color w:val="FF0000"/>
                <w:sz w:val="16"/>
              </w:rPr>
              <w:t>5</w:t>
            </w:r>
            <w:r w:rsidRPr="00332544">
              <w:rPr>
                <w:rFonts w:ascii="Arial" w:hAnsi="Arial" w:cs="Arial"/>
                <w:color w:val="FF0000"/>
                <w:sz w:val="16"/>
                <w:szCs w:val="16"/>
              </w:rPr>
              <w:t>.4%)</w:t>
            </w:r>
            <w:r w:rsidRPr="00332544">
              <w:rPr>
                <w:rFonts w:ascii="Arial" w:hAnsi="Arial" w:cs="Arial"/>
                <w:color w:val="FF0000"/>
                <w:sz w:val="16"/>
                <w:szCs w:val="16"/>
              </w:rPr>
              <w:br/>
              <w:t>4932</w:t>
            </w:r>
            <w:r w:rsidRPr="00332544">
              <w:rPr>
                <w:rFonts w:ascii="Arial" w:hAnsi="Arial"/>
                <w:color w:val="FF0000"/>
                <w:sz w:val="16"/>
              </w:rPr>
              <w:t> (20.</w:t>
            </w:r>
            <w:r w:rsidRPr="00332544">
              <w:rPr>
                <w:rFonts w:ascii="Arial" w:hAnsi="Arial" w:cs="Arial"/>
                <w:color w:val="FF0000"/>
                <w:sz w:val="16"/>
                <w:szCs w:val="16"/>
              </w:rPr>
              <w:t>7%)</w:t>
            </w:r>
            <w:r w:rsidRPr="00332544">
              <w:rPr>
                <w:rFonts w:ascii="Arial" w:hAnsi="Arial" w:cs="Arial"/>
                <w:color w:val="FF0000"/>
                <w:sz w:val="16"/>
                <w:szCs w:val="16"/>
              </w:rPr>
              <w:br/>
              <w:t>6767 (28.4%)</w:t>
            </w:r>
            <w:r w:rsidRPr="00332544">
              <w:rPr>
                <w:rFonts w:ascii="Arial" w:hAnsi="Arial" w:cs="Arial"/>
                <w:color w:val="FF0000"/>
                <w:sz w:val="16"/>
                <w:szCs w:val="16"/>
              </w:rPr>
              <w:br/>
              <w:t>9699 (40.6%)</w:t>
            </w:r>
            <w:r w:rsidRPr="00332544">
              <w:rPr>
                <w:rFonts w:ascii="Arial" w:hAnsi="Arial" w:cs="Arial"/>
                <w:color w:val="FF0000"/>
                <w:sz w:val="16"/>
                <w:szCs w:val="16"/>
              </w:rPr>
              <w:br/>
              <w:t>6</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16BD7C2"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 </w:t>
            </w:r>
            <w:r w:rsidRPr="00332544">
              <w:rPr>
                <w:rFonts w:ascii="Arial" w:hAnsi="Arial" w:cs="Arial"/>
                <w:color w:val="FF0000"/>
                <w:sz w:val="16"/>
                <w:szCs w:val="16"/>
              </w:rPr>
              <w:br/>
              <w:t>25816 (3.7%)</w:t>
            </w:r>
            <w:r w:rsidRPr="00332544">
              <w:rPr>
                <w:rFonts w:ascii="Arial" w:hAnsi="Arial" w:cs="Arial"/>
                <w:color w:val="FF0000"/>
                <w:sz w:val="16"/>
                <w:szCs w:val="16"/>
              </w:rPr>
              <w:br/>
              <w:t>12790 (1.8%)</w:t>
            </w:r>
            <w:r w:rsidRPr="00332544">
              <w:rPr>
                <w:rFonts w:ascii="Arial" w:hAnsi="Arial" w:cs="Arial"/>
                <w:color w:val="FF0000"/>
                <w:sz w:val="16"/>
                <w:szCs w:val="16"/>
              </w:rPr>
              <w:br/>
              <w:t>90276 (13.0%)</w:t>
            </w:r>
            <w:r w:rsidRPr="00332544">
              <w:rPr>
                <w:rFonts w:ascii="Arial" w:hAnsi="Arial" w:cs="Arial"/>
                <w:color w:val="FF0000"/>
                <w:sz w:val="16"/>
                <w:szCs w:val="16"/>
              </w:rPr>
              <w:br/>
              <w:t>278272 (40.1%)</w:t>
            </w:r>
            <w:r w:rsidRPr="00332544">
              <w:rPr>
                <w:rFonts w:ascii="Arial" w:hAnsi="Arial" w:cs="Arial"/>
                <w:color w:val="FF0000"/>
                <w:sz w:val="16"/>
                <w:szCs w:val="16"/>
              </w:rPr>
              <w:br/>
              <w:t>174569 (25.2%)</w:t>
            </w:r>
            <w:r w:rsidRPr="00332544">
              <w:rPr>
                <w:rFonts w:ascii="Arial" w:hAnsi="Arial" w:cs="Arial"/>
                <w:color w:val="FF0000"/>
                <w:sz w:val="16"/>
                <w:szCs w:val="16"/>
              </w:rPr>
              <w:br/>
              <w:t>111767 (16.1%)</w:t>
            </w:r>
            <w:r w:rsidRPr="00332544">
              <w:rPr>
                <w:rFonts w:ascii="Arial" w:hAnsi="Arial" w:cs="Arial"/>
                <w:color w:val="FF0000"/>
                <w:sz w:val="16"/>
                <w:szCs w:val="16"/>
              </w:rPr>
              <w:br/>
              <w:t>146</w:t>
            </w:r>
          </w:p>
        </w:tc>
      </w:tr>
      <w:tr w:rsidR="008D1EFE" w:rsidRPr="00332544" w14:paraId="420DDA3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5698F9F"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Anginal Classification w/in 2 Weeks</w:t>
            </w:r>
            <w:r w:rsidRPr="00332544">
              <w:rPr>
                <w:rFonts w:ascii="Arial" w:hAnsi="Arial"/>
                <w:color w:val="FF0000"/>
                <w:sz w:val="16"/>
              </w:rPr>
              <w:br/>
              <w:t>          No symptoms</w:t>
            </w:r>
            <w:r w:rsidRPr="00332544">
              <w:rPr>
                <w:rFonts w:ascii="Arial" w:hAnsi="Arial"/>
                <w:color w:val="FF0000"/>
                <w:sz w:val="16"/>
              </w:rPr>
              <w:br/>
              <w:t>          CCS I</w:t>
            </w:r>
            <w:r w:rsidRPr="00332544">
              <w:rPr>
                <w:rFonts w:ascii="Arial" w:hAnsi="Arial"/>
                <w:color w:val="FF0000"/>
                <w:sz w:val="16"/>
              </w:rPr>
              <w:br/>
              <w:t>          CCS II</w:t>
            </w:r>
            <w:r w:rsidRPr="00332544">
              <w:rPr>
                <w:rFonts w:ascii="Arial" w:hAnsi="Arial"/>
                <w:color w:val="FF0000"/>
                <w:sz w:val="16"/>
              </w:rPr>
              <w:br/>
              <w:t>          CCS III</w:t>
            </w:r>
            <w:r w:rsidRPr="00332544">
              <w:rPr>
                <w:rFonts w:ascii="Arial" w:hAnsi="Arial"/>
                <w:color w:val="FF0000"/>
                <w:sz w:val="16"/>
              </w:rPr>
              <w:br/>
              <w:t>          CCS IV</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DB7759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 </w:t>
            </w:r>
            <w:r w:rsidRPr="00332544">
              <w:rPr>
                <w:rFonts w:ascii="Arial" w:hAnsi="Arial" w:cs="Arial"/>
                <w:color w:val="FF0000"/>
                <w:sz w:val="16"/>
                <w:szCs w:val="16"/>
              </w:rPr>
              <w:br/>
              <w:t>51063 (7.1%)</w:t>
            </w:r>
            <w:r w:rsidRPr="00332544">
              <w:rPr>
                <w:rFonts w:ascii="Arial" w:hAnsi="Arial" w:cs="Arial"/>
                <w:color w:val="FF0000"/>
                <w:sz w:val="16"/>
                <w:szCs w:val="16"/>
              </w:rPr>
              <w:br/>
              <w:t>13240 (1.8%)</w:t>
            </w:r>
            <w:r w:rsidRPr="00332544">
              <w:rPr>
                <w:rFonts w:ascii="Arial" w:hAnsi="Arial" w:cs="Arial"/>
                <w:color w:val="FF0000"/>
                <w:sz w:val="16"/>
                <w:szCs w:val="16"/>
              </w:rPr>
              <w:br/>
              <w:t>74955 (10.5%)</w:t>
            </w:r>
            <w:r w:rsidRPr="00332544">
              <w:rPr>
                <w:rFonts w:ascii="Arial" w:hAnsi="Arial" w:cs="Arial"/>
                <w:color w:val="FF0000"/>
                <w:sz w:val="16"/>
                <w:szCs w:val="16"/>
              </w:rPr>
              <w:br/>
              <w:t>275908 (38.5%)</w:t>
            </w:r>
            <w:r w:rsidRPr="00332544">
              <w:rPr>
                <w:rFonts w:ascii="Arial" w:hAnsi="Arial" w:cs="Arial"/>
                <w:color w:val="FF0000"/>
                <w:sz w:val="16"/>
                <w:szCs w:val="16"/>
              </w:rPr>
              <w:br/>
              <w:t>300897 (42.0%)</w:t>
            </w:r>
            <w:r w:rsidRPr="00332544">
              <w:rPr>
                <w:rFonts w:ascii="Arial" w:hAnsi="Arial" w:cs="Arial"/>
                <w:color w:val="FF0000"/>
                <w:sz w:val="16"/>
                <w:szCs w:val="16"/>
              </w:rPr>
              <w:br/>
              <w:t>1447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2270FD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 </w:t>
            </w:r>
            <w:r w:rsidRPr="00332544">
              <w:rPr>
                <w:rFonts w:ascii="Arial" w:hAnsi="Arial" w:cs="Arial"/>
                <w:color w:val="FF0000"/>
                <w:sz w:val="16"/>
                <w:szCs w:val="16"/>
              </w:rPr>
              <w:br/>
              <w:t>2651 (11.1%)</w:t>
            </w:r>
            <w:r w:rsidRPr="00332544">
              <w:rPr>
                <w:rFonts w:ascii="Arial" w:hAnsi="Arial" w:cs="Arial"/>
                <w:color w:val="FF0000"/>
                <w:sz w:val="16"/>
                <w:szCs w:val="16"/>
              </w:rPr>
              <w:br/>
              <w:t>274 (1.2%)</w:t>
            </w:r>
            <w:r w:rsidRPr="00332544">
              <w:rPr>
                <w:rFonts w:ascii="Arial" w:hAnsi="Arial" w:cs="Arial"/>
                <w:color w:val="FF0000"/>
                <w:sz w:val="16"/>
                <w:szCs w:val="16"/>
              </w:rPr>
              <w:br/>
              <w:t>1214 (5.1%)</w:t>
            </w:r>
            <w:r w:rsidRPr="00332544">
              <w:rPr>
                <w:rFonts w:ascii="Arial" w:hAnsi="Arial" w:cs="Arial"/>
                <w:color w:val="FF0000"/>
                <w:sz w:val="16"/>
                <w:szCs w:val="16"/>
              </w:rPr>
              <w:br/>
              <w:t>5622 (23.6%)</w:t>
            </w:r>
            <w:r w:rsidRPr="00332544">
              <w:rPr>
                <w:rFonts w:ascii="Arial" w:hAnsi="Arial" w:cs="Arial"/>
                <w:color w:val="FF0000"/>
                <w:sz w:val="16"/>
                <w:szCs w:val="16"/>
              </w:rPr>
              <w:br/>
              <w:t>14049 (59.0%)</w:t>
            </w:r>
            <w:r w:rsidRPr="00332544">
              <w:rPr>
                <w:rFonts w:ascii="Arial" w:hAnsi="Arial" w:cs="Arial"/>
                <w:color w:val="FF0000"/>
                <w:sz w:val="16"/>
                <w:szCs w:val="16"/>
              </w:rPr>
              <w:br/>
              <w:t>64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F97EA8C"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48412 (7.0%)</w:t>
            </w:r>
            <w:r w:rsidRPr="00332544">
              <w:rPr>
                <w:rFonts w:ascii="Arial" w:hAnsi="Arial" w:cs="Arial"/>
                <w:color w:val="FF0000"/>
                <w:sz w:val="16"/>
                <w:szCs w:val="16"/>
              </w:rPr>
              <w:br/>
              <w:t>12966 (1.</w:t>
            </w:r>
            <w:r w:rsidRPr="00332544">
              <w:rPr>
                <w:rFonts w:ascii="Arial" w:hAnsi="Arial"/>
                <w:color w:val="FF0000"/>
                <w:sz w:val="16"/>
              </w:rPr>
              <w:t>9</w:t>
            </w:r>
            <w:r w:rsidRPr="00332544">
              <w:rPr>
                <w:rFonts w:ascii="Arial" w:hAnsi="Arial" w:cs="Arial"/>
                <w:color w:val="FF0000"/>
                <w:sz w:val="16"/>
                <w:szCs w:val="16"/>
              </w:rPr>
              <w:t>%)</w:t>
            </w:r>
            <w:r w:rsidRPr="00332544">
              <w:rPr>
                <w:rFonts w:ascii="Arial" w:hAnsi="Arial" w:cs="Arial"/>
                <w:color w:val="FF0000"/>
                <w:sz w:val="16"/>
                <w:szCs w:val="16"/>
              </w:rPr>
              <w:br/>
              <w:t>73741 (10</w:t>
            </w:r>
            <w:r w:rsidRPr="00332544">
              <w:rPr>
                <w:rFonts w:ascii="Arial" w:hAnsi="Arial"/>
                <w:color w:val="FF0000"/>
                <w:sz w:val="16"/>
              </w:rPr>
              <w:t>.7%)</w:t>
            </w:r>
            <w:r w:rsidRPr="00332544">
              <w:rPr>
                <w:rFonts w:ascii="Arial" w:hAnsi="Arial"/>
                <w:color w:val="FF0000"/>
                <w:sz w:val="16"/>
              </w:rPr>
              <w:br/>
            </w:r>
            <w:r w:rsidRPr="00332544">
              <w:rPr>
                <w:rFonts w:ascii="Arial" w:hAnsi="Arial" w:cs="Arial"/>
                <w:color w:val="FF0000"/>
                <w:sz w:val="16"/>
                <w:szCs w:val="16"/>
              </w:rPr>
              <w:t>270286 (39.0%)</w:t>
            </w:r>
            <w:r w:rsidRPr="00332544">
              <w:rPr>
                <w:rFonts w:ascii="Arial" w:hAnsi="Arial" w:cs="Arial"/>
                <w:color w:val="FF0000"/>
                <w:sz w:val="16"/>
                <w:szCs w:val="16"/>
              </w:rPr>
              <w:br/>
              <w:t>286848 (41</w:t>
            </w:r>
            <w:r w:rsidRPr="00332544">
              <w:rPr>
                <w:rFonts w:ascii="Arial" w:hAnsi="Arial"/>
                <w:color w:val="FF0000"/>
                <w:sz w:val="16"/>
              </w:rPr>
              <w:t>.4%)</w:t>
            </w:r>
            <w:r w:rsidRPr="00332544">
              <w:rPr>
                <w:rFonts w:ascii="Arial" w:hAnsi="Arial"/>
                <w:color w:val="FF0000"/>
                <w:sz w:val="16"/>
              </w:rPr>
              <w:br/>
            </w:r>
            <w:r w:rsidRPr="00332544">
              <w:rPr>
                <w:rFonts w:ascii="Arial" w:hAnsi="Arial" w:cs="Arial"/>
                <w:color w:val="FF0000"/>
                <w:sz w:val="16"/>
                <w:szCs w:val="16"/>
              </w:rPr>
              <w:t>1383</w:t>
            </w:r>
          </w:p>
        </w:tc>
      </w:tr>
      <w:tr w:rsidR="008D1EFE" w:rsidRPr="00332544" w14:paraId="59477552"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8797C9F"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Anti-Anginal Medication w/in 2 Weeks</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7AEB74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532589 (74.2%)</w:t>
            </w:r>
            <w:r w:rsidRPr="00332544">
              <w:rPr>
                <w:rFonts w:ascii="Arial" w:hAnsi="Arial" w:cs="Arial"/>
                <w:color w:val="FF0000"/>
                <w:sz w:val="16"/>
                <w:szCs w:val="16"/>
              </w:rPr>
              <w:br/>
              <w:t>213</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4B9FEA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15753 (66.0%)</w:t>
            </w:r>
            <w:r w:rsidRPr="00332544">
              <w:rPr>
                <w:rFonts w:ascii="Arial" w:hAnsi="Arial" w:cs="Arial"/>
                <w:color w:val="FF0000"/>
                <w:sz w:val="16"/>
                <w:szCs w:val="16"/>
              </w:rPr>
              <w:br/>
              <w:t>11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E6A262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516836 (74.5%)</w:t>
            </w:r>
            <w:r w:rsidRPr="00332544">
              <w:rPr>
                <w:rFonts w:ascii="Arial" w:hAnsi="Arial" w:cs="Arial"/>
                <w:color w:val="FF0000"/>
                <w:sz w:val="16"/>
                <w:szCs w:val="16"/>
              </w:rPr>
              <w:br/>
              <w:t>202</w:t>
            </w:r>
          </w:p>
        </w:tc>
      </w:tr>
      <w:tr w:rsidR="008D1EFE" w:rsidRPr="00332544" w14:paraId="38D19A9E"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56CB6FD"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Heart Failure w/in 2 Weeks</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6B4C67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100273 (14.0%)</w:t>
            </w:r>
            <w:r w:rsidRPr="00332544">
              <w:rPr>
                <w:rFonts w:ascii="Arial" w:hAnsi="Arial" w:cs="Arial"/>
                <w:color w:val="FF0000"/>
                <w:sz w:val="16"/>
                <w:szCs w:val="16"/>
              </w:rPr>
              <w:br/>
              <w:t>290</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02F037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6627 (27.8%)</w:t>
            </w:r>
            <w:r w:rsidRPr="00332544">
              <w:rPr>
                <w:rFonts w:ascii="Arial" w:hAnsi="Arial" w:cs="Arial"/>
                <w:color w:val="FF0000"/>
                <w:sz w:val="16"/>
                <w:szCs w:val="16"/>
              </w:rPr>
              <w:br/>
              <w:t>7</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6A5FC6C"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93646 (13.5%)</w:t>
            </w:r>
            <w:r w:rsidRPr="00332544">
              <w:rPr>
                <w:rFonts w:ascii="Arial" w:hAnsi="Arial" w:cs="Arial"/>
                <w:color w:val="FF0000"/>
                <w:sz w:val="16"/>
                <w:szCs w:val="16"/>
              </w:rPr>
              <w:br/>
              <w:t>283</w:t>
            </w:r>
          </w:p>
        </w:tc>
      </w:tr>
      <w:tr w:rsidR="008D1EFE" w:rsidRPr="00332544" w14:paraId="745642AB"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C258201"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Cardiomyopathy or Left Ventricular Systolic Dysfunction</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5F93BB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91302 (12.7%)</w:t>
            </w:r>
            <w:r w:rsidRPr="00332544">
              <w:rPr>
                <w:rFonts w:ascii="Arial" w:hAnsi="Arial" w:cs="Arial"/>
                <w:color w:val="FF0000"/>
                <w:sz w:val="16"/>
                <w:szCs w:val="16"/>
              </w:rPr>
              <w:br/>
              <w:t>111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5742BF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4704 (19.7</w:t>
            </w:r>
            <w:r w:rsidRPr="00332544">
              <w:rPr>
                <w:rFonts w:ascii="Arial" w:hAnsi="Arial"/>
                <w:color w:val="FF0000"/>
                <w:sz w:val="16"/>
              </w:rPr>
              <w:t>%)</w:t>
            </w:r>
            <w:r w:rsidRPr="00332544">
              <w:rPr>
                <w:rFonts w:ascii="Arial" w:hAnsi="Arial"/>
                <w:color w:val="FF0000"/>
                <w:sz w:val="16"/>
              </w:rPr>
              <w:br/>
              <w:t>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4C7E98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86598 (12.5%)</w:t>
            </w:r>
            <w:r w:rsidRPr="00332544">
              <w:rPr>
                <w:rFonts w:ascii="Arial" w:hAnsi="Arial" w:cs="Arial"/>
                <w:color w:val="FF0000"/>
                <w:sz w:val="16"/>
                <w:szCs w:val="16"/>
              </w:rPr>
              <w:br/>
              <w:t>109</w:t>
            </w:r>
          </w:p>
        </w:tc>
      </w:tr>
      <w:tr w:rsidR="008D1EFE" w:rsidRPr="00332544" w14:paraId="0B8C4308"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C489288"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Pre-operative Evaluation Before Non-Cardiac Surgery</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72A415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13398</w:t>
            </w:r>
            <w:r w:rsidRPr="00332544">
              <w:rPr>
                <w:rFonts w:ascii="Arial" w:hAnsi="Arial"/>
                <w:color w:val="FF0000"/>
                <w:sz w:val="16"/>
              </w:rPr>
              <w:t> (1.9%)</w:t>
            </w:r>
            <w:r w:rsidRPr="00332544">
              <w:rPr>
                <w:rFonts w:ascii="Arial" w:hAnsi="Arial"/>
                <w:color w:val="FF0000"/>
                <w:sz w:val="16"/>
              </w:rPr>
              <w:br/>
            </w:r>
            <w:r w:rsidRPr="00332544">
              <w:rPr>
                <w:rFonts w:ascii="Arial" w:hAnsi="Arial" w:cs="Arial"/>
                <w:color w:val="FF0000"/>
                <w:sz w:val="16"/>
                <w:szCs w:val="16"/>
              </w:rPr>
              <w:t>107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B19DA4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386</w:t>
            </w:r>
            <w:r w:rsidRPr="00332544">
              <w:rPr>
                <w:rFonts w:ascii="Arial" w:hAnsi="Arial"/>
                <w:color w:val="FF0000"/>
                <w:sz w:val="16"/>
              </w:rPr>
              <w:t> (1.6%)</w:t>
            </w:r>
            <w:r w:rsidRPr="00332544">
              <w:rPr>
                <w:rFonts w:ascii="Arial" w:hAnsi="Arial"/>
                <w:color w:val="FF0000"/>
                <w:sz w:val="16"/>
              </w:rPr>
              <w:br/>
            </w:r>
            <w:r w:rsidRPr="00332544">
              <w:rPr>
                <w:rFonts w:ascii="Arial" w:hAnsi="Arial" w:cs="Arial"/>
                <w:color w:val="FF0000"/>
                <w:sz w:val="16"/>
                <w:szCs w:val="16"/>
              </w:rPr>
              <w:t>3</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9D7EC2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13012</w:t>
            </w:r>
            <w:r w:rsidRPr="00332544">
              <w:rPr>
                <w:rFonts w:ascii="Arial" w:hAnsi="Arial"/>
                <w:color w:val="FF0000"/>
                <w:sz w:val="16"/>
              </w:rPr>
              <w:t> (1.9%)</w:t>
            </w:r>
            <w:r w:rsidRPr="00332544">
              <w:rPr>
                <w:rFonts w:ascii="Arial" w:hAnsi="Arial"/>
                <w:color w:val="FF0000"/>
                <w:sz w:val="16"/>
              </w:rPr>
              <w:br/>
            </w:r>
            <w:r w:rsidRPr="00332544">
              <w:rPr>
                <w:rFonts w:ascii="Arial" w:hAnsi="Arial" w:cs="Arial"/>
                <w:color w:val="FF0000"/>
                <w:sz w:val="16"/>
                <w:szCs w:val="16"/>
              </w:rPr>
              <w:t>104</w:t>
            </w:r>
          </w:p>
        </w:tc>
      </w:tr>
      <w:tr w:rsidR="008D1EFE" w:rsidRPr="00332544" w14:paraId="413F4BDE"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EF444BA"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lastRenderedPageBreak/>
              <w:t>     Pre-PCI Left Ventricular Ejection Fraction</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BFD5D9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52.</w:t>
            </w:r>
            <w:r w:rsidRPr="00332544">
              <w:rPr>
                <w:rFonts w:ascii="Arial" w:hAnsi="Arial" w:cs="Arial"/>
                <w:color w:val="FF0000"/>
                <w:sz w:val="16"/>
                <w:szCs w:val="16"/>
              </w:rPr>
              <w:t>0</w:t>
            </w:r>
            <w:r w:rsidRPr="00332544">
              <w:rPr>
                <w:rFonts w:ascii="Arial" w:hAnsi="Arial"/>
                <w:color w:val="FF0000"/>
                <w:sz w:val="16"/>
              </w:rPr>
              <w:t> ± 12.</w:t>
            </w:r>
            <w:r w:rsidRPr="00332544">
              <w:rPr>
                <w:rFonts w:ascii="Arial" w:hAnsi="Arial" w:cs="Arial"/>
                <w:color w:val="FF0000"/>
                <w:sz w:val="16"/>
                <w:szCs w:val="16"/>
              </w:rPr>
              <w:t>8</w:t>
            </w:r>
            <w:r w:rsidRPr="00332544">
              <w:rPr>
                <w:rFonts w:ascii="Arial" w:hAnsi="Arial" w:cs="Arial"/>
                <w:color w:val="FF0000"/>
                <w:sz w:val="16"/>
                <w:szCs w:val="16"/>
              </w:rPr>
              <w:br/>
              <w:t>216496</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1FCA21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45.5 ± 15.7</w:t>
            </w:r>
            <w:r w:rsidRPr="00332544">
              <w:rPr>
                <w:rFonts w:ascii="Arial" w:hAnsi="Arial" w:cs="Arial"/>
                <w:color w:val="FF0000"/>
                <w:sz w:val="16"/>
                <w:szCs w:val="16"/>
              </w:rPr>
              <w:br/>
              <w:t>9862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3E3B263"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52.</w:t>
            </w:r>
            <w:r w:rsidRPr="00332544">
              <w:rPr>
                <w:rFonts w:ascii="Arial" w:hAnsi="Arial" w:cs="Arial"/>
                <w:color w:val="FF0000"/>
                <w:sz w:val="16"/>
                <w:szCs w:val="16"/>
              </w:rPr>
              <w:t>2</w:t>
            </w:r>
            <w:r w:rsidRPr="00332544">
              <w:rPr>
                <w:rFonts w:ascii="Arial" w:hAnsi="Arial"/>
                <w:color w:val="FF0000"/>
                <w:sz w:val="16"/>
              </w:rPr>
              <w:t> ± 12.</w:t>
            </w:r>
            <w:r w:rsidRPr="00332544">
              <w:rPr>
                <w:rFonts w:ascii="Arial" w:hAnsi="Arial" w:cs="Arial"/>
                <w:color w:val="FF0000"/>
                <w:sz w:val="16"/>
                <w:szCs w:val="16"/>
              </w:rPr>
              <w:t>6</w:t>
            </w:r>
            <w:r w:rsidRPr="00332544">
              <w:rPr>
                <w:rFonts w:ascii="Arial" w:hAnsi="Arial" w:cs="Arial"/>
                <w:color w:val="FF0000"/>
                <w:sz w:val="16"/>
                <w:szCs w:val="16"/>
              </w:rPr>
              <w:br/>
              <w:t>206634</w:t>
            </w:r>
          </w:p>
        </w:tc>
      </w:tr>
      <w:tr w:rsidR="008D1EFE" w:rsidRPr="00332544" w14:paraId="08ACC41F"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44E5D90" w14:textId="77777777" w:rsidR="008D1EFE" w:rsidRPr="00332544" w:rsidRDefault="008D1EFE" w:rsidP="006203D8">
            <w:pPr>
              <w:adjustRightInd w:val="0"/>
              <w:spacing w:before="60" w:after="60"/>
              <w:rPr>
                <w:rFonts w:ascii="Arial" w:hAnsi="Arial"/>
                <w:b/>
                <w:i/>
                <w:color w:val="FF0000"/>
                <w:sz w:val="18"/>
              </w:rPr>
            </w:pPr>
            <w:r w:rsidRPr="00332544">
              <w:rPr>
                <w:rFonts w:ascii="Arial" w:hAnsi="Arial"/>
                <w:b/>
                <w:i/>
                <w:color w:val="FF0000"/>
                <w:sz w:val="18"/>
              </w:rPr>
              <w:t>Procedure Information</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D6835F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1EAA6E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212074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r>
      <w:tr w:rsidR="008D1EFE" w:rsidRPr="00332544" w14:paraId="559F3BB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6EC90A2"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Contrast Volume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C75909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179</w:t>
            </w:r>
            <w:r w:rsidRPr="00332544">
              <w:rPr>
                <w:rFonts w:ascii="Arial" w:hAnsi="Arial"/>
                <w:color w:val="FF0000"/>
                <w:sz w:val="16"/>
              </w:rPr>
              <w:t>.9</w:t>
            </w:r>
            <w:r w:rsidRPr="00332544">
              <w:rPr>
                <w:rFonts w:ascii="Arial" w:hAnsi="Arial" w:cs="Arial"/>
                <w:color w:val="FF0000"/>
                <w:sz w:val="16"/>
                <w:szCs w:val="16"/>
              </w:rPr>
              <w:t> ± 81.4</w:t>
            </w:r>
            <w:r w:rsidRPr="00332544">
              <w:rPr>
                <w:rFonts w:ascii="Arial" w:hAnsi="Arial" w:cs="Arial"/>
                <w:color w:val="FF0000"/>
                <w:sz w:val="16"/>
                <w:szCs w:val="16"/>
              </w:rPr>
              <w:br/>
              <w:t>3382</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53934D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198.7 ± 99.2</w:t>
            </w:r>
            <w:r w:rsidRPr="00332544">
              <w:rPr>
                <w:rFonts w:ascii="Arial" w:hAnsi="Arial" w:cs="Arial"/>
                <w:color w:val="FF0000"/>
                <w:sz w:val="16"/>
                <w:szCs w:val="16"/>
              </w:rPr>
              <w:br/>
              <w:t>149</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EAE091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179.2 ± 80.6</w:t>
            </w:r>
            <w:r w:rsidRPr="00332544">
              <w:rPr>
                <w:rFonts w:ascii="Arial" w:hAnsi="Arial" w:cs="Arial"/>
                <w:color w:val="FF0000"/>
                <w:sz w:val="16"/>
                <w:szCs w:val="16"/>
              </w:rPr>
              <w:br/>
              <w:t>3233</w:t>
            </w:r>
          </w:p>
        </w:tc>
      </w:tr>
      <w:tr w:rsidR="008D1EFE" w:rsidRPr="00332544" w14:paraId="02E9E43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8C23065"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Fluoroscopy Time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CC781E3"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15.8 ± 12.4</w:t>
            </w:r>
            <w:r w:rsidRPr="00332544">
              <w:rPr>
                <w:rFonts w:ascii="Arial" w:hAnsi="Arial" w:cs="Arial"/>
                <w:color w:val="FF0000"/>
                <w:sz w:val="16"/>
                <w:szCs w:val="16"/>
              </w:rPr>
              <w:br/>
              <w:t>15939</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CCEAA3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21.4 ± </w:t>
            </w:r>
            <w:r w:rsidRPr="00332544">
              <w:rPr>
                <w:rFonts w:ascii="Arial" w:hAnsi="Arial"/>
                <w:color w:val="FF0000"/>
                <w:sz w:val="16"/>
              </w:rPr>
              <w:t>18.</w:t>
            </w:r>
            <w:r w:rsidRPr="00332544">
              <w:rPr>
                <w:rFonts w:ascii="Arial" w:hAnsi="Arial" w:cs="Arial"/>
                <w:color w:val="FF0000"/>
                <w:sz w:val="16"/>
                <w:szCs w:val="16"/>
              </w:rPr>
              <w:t>8</w:t>
            </w:r>
            <w:r w:rsidRPr="00332544">
              <w:rPr>
                <w:rFonts w:ascii="Arial" w:hAnsi="Arial" w:cs="Arial"/>
                <w:color w:val="FF0000"/>
                <w:sz w:val="16"/>
                <w:szCs w:val="16"/>
              </w:rPr>
              <w:br/>
              <w:t>644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F650E7F"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15.6 ± 12.0</w:t>
            </w:r>
            <w:r w:rsidRPr="00332544">
              <w:rPr>
                <w:rFonts w:ascii="Arial" w:hAnsi="Arial" w:cs="Arial"/>
                <w:color w:val="FF0000"/>
                <w:sz w:val="16"/>
                <w:szCs w:val="16"/>
              </w:rPr>
              <w:br/>
              <w:t>15295</w:t>
            </w:r>
          </w:p>
        </w:tc>
      </w:tr>
      <w:tr w:rsidR="008D1EFE" w:rsidRPr="00332544" w14:paraId="7CFA1C94"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1E425A2" w14:textId="77777777" w:rsidR="008D1EFE" w:rsidRPr="00332544" w:rsidRDefault="008D1EFE" w:rsidP="006203D8">
            <w:pPr>
              <w:adjustRightInd w:val="0"/>
              <w:spacing w:before="60" w:after="60"/>
              <w:rPr>
                <w:rFonts w:ascii="Arial" w:hAnsi="Arial"/>
                <w:b/>
                <w:i/>
                <w:color w:val="FF0000"/>
                <w:sz w:val="18"/>
              </w:rPr>
            </w:pPr>
            <w:r w:rsidRPr="00332544">
              <w:rPr>
                <w:rFonts w:ascii="Arial" w:hAnsi="Arial"/>
                <w:b/>
                <w:i/>
                <w:color w:val="FF0000"/>
                <w:sz w:val="18"/>
              </w:rPr>
              <w:t>Outcomes</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8849F0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2D5C4F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DF1B6AF"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p>
        </w:tc>
      </w:tr>
      <w:tr w:rsidR="008D1EFE" w:rsidRPr="00332544" w14:paraId="2E44E426"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2276522"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Discharge Status</w:t>
            </w:r>
            <w:r w:rsidRPr="00332544">
              <w:rPr>
                <w:rFonts w:ascii="Arial" w:hAnsi="Arial"/>
                <w:color w:val="FF0000"/>
                <w:sz w:val="16"/>
              </w:rPr>
              <w:br/>
              <w:t>          Alive</w:t>
            </w:r>
            <w:r w:rsidRPr="00332544">
              <w:rPr>
                <w:rFonts w:ascii="Arial" w:hAnsi="Arial"/>
                <w:color w:val="FF0000"/>
                <w:sz w:val="16"/>
              </w:rPr>
              <w:br/>
              <w:t>          Deceased</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C5F9D7F"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707874</w:t>
            </w:r>
            <w:r w:rsidRPr="00332544">
              <w:rPr>
                <w:rFonts w:ascii="Arial" w:hAnsi="Arial"/>
                <w:color w:val="FF0000"/>
                <w:sz w:val="16"/>
              </w:rPr>
              <w:t> (98.</w:t>
            </w:r>
            <w:r w:rsidRPr="00332544">
              <w:rPr>
                <w:rFonts w:ascii="Arial" w:hAnsi="Arial" w:cs="Arial"/>
                <w:color w:val="FF0000"/>
                <w:sz w:val="16"/>
                <w:szCs w:val="16"/>
              </w:rPr>
              <w:t>7%)</w:t>
            </w:r>
            <w:r w:rsidRPr="00332544">
              <w:rPr>
                <w:rFonts w:ascii="Arial" w:hAnsi="Arial" w:cs="Arial"/>
                <w:color w:val="FF0000"/>
                <w:sz w:val="16"/>
                <w:szCs w:val="16"/>
              </w:rPr>
              <w:br/>
              <w:t>9636</w:t>
            </w:r>
            <w:r w:rsidRPr="00332544">
              <w:rPr>
                <w:rFonts w:ascii="Arial" w:hAnsi="Arial"/>
                <w:color w:val="FF0000"/>
                <w:sz w:val="16"/>
              </w:rPr>
              <w:t> (1.</w:t>
            </w:r>
            <w:r w:rsidRPr="00332544">
              <w:rPr>
                <w:rFonts w:ascii="Arial" w:hAnsi="Arial" w:cs="Arial"/>
                <w:color w:val="FF0000"/>
                <w:sz w:val="16"/>
                <w:szCs w:val="16"/>
              </w:rPr>
              <w:t>3</w:t>
            </w:r>
            <w:r w:rsidRPr="00332544">
              <w:rPr>
                <w:rFonts w:ascii="Arial" w:hAnsi="Arial"/>
                <w:color w:val="FF0000"/>
                <w:sz w:val="16"/>
              </w:rPr>
              <w:t>%)</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B29EA4D"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20522 (86.0%)</w:t>
            </w:r>
            <w:r w:rsidRPr="00332544">
              <w:rPr>
                <w:rFonts w:ascii="Arial" w:hAnsi="Arial" w:cs="Arial"/>
                <w:color w:val="FF0000"/>
                <w:sz w:val="16"/>
                <w:szCs w:val="16"/>
              </w:rPr>
              <w:br/>
              <w:t>3352 (14.0</w:t>
            </w:r>
            <w:r w:rsidRPr="00332544">
              <w:rPr>
                <w:rFonts w:ascii="Arial" w:hAnsi="Arial"/>
                <w:color w:val="FF0000"/>
                <w:sz w:val="16"/>
              </w:rPr>
              <w:t>%)</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20E6BA7"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olor w:val="FF0000"/>
                <w:sz w:val="16"/>
              </w:rPr>
              <w:t> </w:t>
            </w:r>
            <w:r w:rsidRPr="00332544">
              <w:rPr>
                <w:rFonts w:ascii="Arial" w:hAnsi="Arial"/>
                <w:color w:val="FF0000"/>
                <w:sz w:val="16"/>
              </w:rPr>
              <w:br/>
            </w:r>
            <w:r w:rsidRPr="00332544">
              <w:rPr>
                <w:rFonts w:ascii="Arial" w:hAnsi="Arial" w:cs="Arial"/>
                <w:color w:val="FF0000"/>
                <w:sz w:val="16"/>
                <w:szCs w:val="16"/>
              </w:rPr>
              <w:t>687352</w:t>
            </w:r>
            <w:r w:rsidRPr="00332544">
              <w:rPr>
                <w:rFonts w:ascii="Arial" w:hAnsi="Arial"/>
                <w:color w:val="FF0000"/>
                <w:sz w:val="16"/>
              </w:rPr>
              <w:t> (99.</w:t>
            </w:r>
            <w:r w:rsidRPr="00332544">
              <w:rPr>
                <w:rFonts w:ascii="Arial" w:hAnsi="Arial" w:cs="Arial"/>
                <w:color w:val="FF0000"/>
                <w:sz w:val="16"/>
                <w:szCs w:val="16"/>
              </w:rPr>
              <w:t>1%)</w:t>
            </w:r>
            <w:r w:rsidRPr="00332544">
              <w:rPr>
                <w:rFonts w:ascii="Arial" w:hAnsi="Arial" w:cs="Arial"/>
                <w:color w:val="FF0000"/>
                <w:sz w:val="16"/>
                <w:szCs w:val="16"/>
              </w:rPr>
              <w:br/>
              <w:t>6284</w:t>
            </w:r>
            <w:r w:rsidRPr="00332544">
              <w:rPr>
                <w:rFonts w:ascii="Arial" w:hAnsi="Arial"/>
                <w:color w:val="FF0000"/>
                <w:sz w:val="16"/>
              </w:rPr>
              <w:t> (0.</w:t>
            </w:r>
            <w:r w:rsidRPr="00332544">
              <w:rPr>
                <w:rFonts w:ascii="Arial" w:hAnsi="Arial" w:cs="Arial"/>
                <w:color w:val="FF0000"/>
                <w:sz w:val="16"/>
                <w:szCs w:val="16"/>
              </w:rPr>
              <w:t>9</w:t>
            </w:r>
            <w:r w:rsidRPr="00332544">
              <w:rPr>
                <w:rFonts w:ascii="Arial" w:hAnsi="Arial"/>
                <w:color w:val="FF0000"/>
                <w:sz w:val="16"/>
              </w:rPr>
              <w:t>%)</w:t>
            </w:r>
          </w:p>
        </w:tc>
      </w:tr>
      <w:tr w:rsidR="008D1EFE" w:rsidRPr="00332544" w14:paraId="2759657A"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3F150A9" w14:textId="77777777" w:rsidR="008D1EFE" w:rsidRPr="00332544" w:rsidRDefault="008D1EFE" w:rsidP="006203D8">
            <w:pPr>
              <w:adjustRightInd w:val="0"/>
              <w:spacing w:before="60" w:after="60"/>
              <w:rPr>
                <w:rFonts w:ascii="Arial" w:hAnsi="Arial" w:cs="Arial"/>
                <w:color w:val="FF0000"/>
                <w:sz w:val="16"/>
                <w:szCs w:val="16"/>
              </w:rPr>
            </w:pPr>
            <w:r w:rsidRPr="00332544">
              <w:rPr>
                <w:rFonts w:ascii="Arial" w:hAnsi="Arial" w:cs="Arial"/>
                <w:color w:val="FF0000"/>
                <w:sz w:val="16"/>
                <w:szCs w:val="16"/>
              </w:rPr>
              <w:t>     Primary Cause of Death</w:t>
            </w:r>
            <w:r w:rsidRPr="00332544">
              <w:rPr>
                <w:rFonts w:ascii="Arial" w:hAnsi="Arial" w:cs="Arial"/>
                <w:color w:val="FF0000"/>
                <w:sz w:val="16"/>
                <w:szCs w:val="16"/>
              </w:rPr>
              <w:br/>
              <w:t>          Cardiac</w:t>
            </w:r>
            <w:r w:rsidRPr="00332544">
              <w:rPr>
                <w:rFonts w:ascii="Arial" w:hAnsi="Arial" w:cs="Arial"/>
                <w:color w:val="FF0000"/>
                <w:sz w:val="16"/>
                <w:szCs w:val="16"/>
              </w:rPr>
              <w:br/>
              <w:t>          Neurologic</w:t>
            </w:r>
            <w:r w:rsidRPr="00332544">
              <w:rPr>
                <w:rFonts w:ascii="Arial" w:hAnsi="Arial" w:cs="Arial"/>
                <w:color w:val="FF0000"/>
                <w:sz w:val="16"/>
                <w:szCs w:val="16"/>
              </w:rPr>
              <w:br/>
              <w:t>          Renal</w:t>
            </w:r>
            <w:r w:rsidRPr="00332544">
              <w:rPr>
                <w:rFonts w:ascii="Arial" w:hAnsi="Arial" w:cs="Arial"/>
                <w:color w:val="FF0000"/>
                <w:sz w:val="16"/>
                <w:szCs w:val="16"/>
              </w:rPr>
              <w:br/>
              <w:t>          Vascular</w:t>
            </w:r>
            <w:r w:rsidRPr="00332544">
              <w:rPr>
                <w:rFonts w:ascii="Arial" w:hAnsi="Arial" w:cs="Arial"/>
                <w:color w:val="FF0000"/>
                <w:sz w:val="16"/>
                <w:szCs w:val="16"/>
              </w:rPr>
              <w:br/>
              <w:t>          Infection</w:t>
            </w:r>
            <w:r w:rsidRPr="00332544">
              <w:rPr>
                <w:rFonts w:ascii="Arial" w:hAnsi="Arial" w:cs="Arial"/>
                <w:color w:val="FF0000"/>
                <w:sz w:val="16"/>
                <w:szCs w:val="16"/>
              </w:rPr>
              <w:br/>
              <w:t>          Valvular</w:t>
            </w:r>
            <w:r w:rsidRPr="00332544">
              <w:rPr>
                <w:rFonts w:ascii="Arial" w:hAnsi="Arial" w:cs="Arial"/>
                <w:color w:val="FF0000"/>
                <w:sz w:val="16"/>
                <w:szCs w:val="16"/>
              </w:rPr>
              <w:br/>
              <w:t>          Pulmonary</w:t>
            </w:r>
            <w:r w:rsidRPr="00332544">
              <w:rPr>
                <w:rFonts w:ascii="Arial" w:hAnsi="Arial" w:cs="Arial"/>
                <w:color w:val="FF0000"/>
                <w:sz w:val="16"/>
                <w:szCs w:val="16"/>
              </w:rPr>
              <w:br/>
              <w:t>          Unknown</w:t>
            </w:r>
            <w:r w:rsidRPr="00332544">
              <w:rPr>
                <w:rFonts w:ascii="Arial" w:hAnsi="Arial" w:cs="Arial"/>
                <w:color w:val="FF0000"/>
                <w:sz w:val="16"/>
                <w:szCs w:val="16"/>
              </w:rPr>
              <w:br/>
              <w:t>          Other</w:t>
            </w:r>
            <w:r w:rsidRPr="00332544">
              <w:rPr>
                <w:rFonts w:ascii="Arial" w:hAnsi="Arial" w:cs="Arial"/>
                <w:color w:val="FF0000"/>
                <w:sz w:val="16"/>
                <w:szCs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BB0287A" w14:textId="211B6698" w:rsidR="0067575D" w:rsidRPr="00F441BE" w:rsidRDefault="008D1EFE" w:rsidP="00F441BE">
            <w:pPr>
              <w:adjustRightInd w:val="0"/>
              <w:spacing w:before="60" w:after="60"/>
              <w:jc w:val="center"/>
              <w:rPr>
                <w:rFonts w:ascii="Arial" w:hAnsi="Arial" w:cs="Arial"/>
                <w:color w:val="FF0000"/>
                <w:sz w:val="16"/>
                <w:szCs w:val="16"/>
              </w:rPr>
            </w:pPr>
            <w:r w:rsidRPr="00F441BE">
              <w:rPr>
                <w:rFonts w:ascii="Arial" w:hAnsi="Arial" w:cs="Arial"/>
                <w:color w:val="FF0000"/>
                <w:sz w:val="16"/>
                <w:szCs w:val="16"/>
              </w:rPr>
              <w:t> </w:t>
            </w:r>
            <w:r w:rsidRPr="00F441BE">
              <w:rPr>
                <w:rFonts w:ascii="Arial" w:hAnsi="Arial" w:cs="Arial"/>
                <w:color w:val="FF0000"/>
                <w:sz w:val="16"/>
                <w:szCs w:val="16"/>
              </w:rPr>
              <w:br/>
              <w:t>6948 (72.2%)</w:t>
            </w:r>
            <w:r w:rsidRPr="00F441BE">
              <w:rPr>
                <w:rFonts w:ascii="Arial" w:hAnsi="Arial" w:cs="Arial"/>
                <w:color w:val="FF0000"/>
                <w:sz w:val="16"/>
                <w:szCs w:val="16"/>
              </w:rPr>
              <w:br/>
              <w:t>642 (6.7%)</w:t>
            </w:r>
            <w:r w:rsidRPr="00F441BE">
              <w:rPr>
                <w:rFonts w:ascii="Arial" w:hAnsi="Arial" w:cs="Arial"/>
                <w:color w:val="FF0000"/>
                <w:sz w:val="16"/>
                <w:szCs w:val="16"/>
              </w:rPr>
              <w:br/>
              <w:t>79 (0.8%)</w:t>
            </w:r>
            <w:r w:rsidRPr="00F441BE">
              <w:rPr>
                <w:rFonts w:ascii="Arial" w:hAnsi="Arial" w:cs="Arial"/>
                <w:color w:val="FF0000"/>
                <w:sz w:val="16"/>
                <w:szCs w:val="16"/>
              </w:rPr>
              <w:br/>
              <w:t>93 (1.0%)</w:t>
            </w:r>
            <w:r w:rsidRPr="00F441BE">
              <w:rPr>
                <w:rFonts w:ascii="Arial" w:hAnsi="Arial" w:cs="Arial"/>
                <w:color w:val="FF0000"/>
                <w:sz w:val="16"/>
                <w:szCs w:val="16"/>
              </w:rPr>
              <w:br/>
              <w:t>274 (2.8%)</w:t>
            </w:r>
            <w:r w:rsidRPr="00F441BE">
              <w:rPr>
                <w:rFonts w:ascii="Arial" w:hAnsi="Arial" w:cs="Arial"/>
                <w:color w:val="FF0000"/>
                <w:sz w:val="16"/>
                <w:szCs w:val="16"/>
              </w:rPr>
              <w:br/>
              <w:t>206 (2.1%)</w:t>
            </w:r>
            <w:r w:rsidRPr="00F441BE">
              <w:rPr>
                <w:rFonts w:ascii="Arial" w:hAnsi="Arial" w:cs="Arial"/>
                <w:color w:val="FF0000"/>
                <w:sz w:val="16"/>
                <w:szCs w:val="16"/>
              </w:rPr>
              <w:br/>
              <w:t>535 (5.6%)</w:t>
            </w:r>
            <w:r w:rsidRPr="00F441BE">
              <w:rPr>
                <w:rFonts w:ascii="Arial" w:hAnsi="Arial" w:cs="Arial"/>
                <w:color w:val="FF0000"/>
                <w:sz w:val="16"/>
                <w:szCs w:val="16"/>
              </w:rPr>
              <w:br/>
              <w:t>366 (3.8%)</w:t>
            </w:r>
            <w:r w:rsidRPr="00F441BE">
              <w:rPr>
                <w:rFonts w:ascii="Arial" w:hAnsi="Arial" w:cs="Arial"/>
                <w:color w:val="FF0000"/>
                <w:sz w:val="16"/>
                <w:szCs w:val="16"/>
              </w:rPr>
              <w:br/>
              <w:t>477 (5.0%)</w:t>
            </w:r>
            <w:r w:rsidRPr="00F441BE">
              <w:rPr>
                <w:rFonts w:ascii="Arial" w:hAnsi="Arial" w:cs="Arial"/>
                <w:color w:val="FF0000"/>
                <w:sz w:val="16"/>
                <w:szCs w:val="16"/>
              </w:rPr>
              <w:br/>
            </w:r>
            <w:r w:rsidR="0067575D" w:rsidRPr="00F441BE">
              <w:rPr>
                <w:rFonts w:ascii="Arial" w:hAnsi="Arial" w:cs="Arial"/>
                <w:color w:val="FF0000"/>
                <w:sz w:val="16"/>
                <w:szCs w:val="16"/>
              </w:rPr>
              <w:t>16</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00DBC4B" w14:textId="333BA851" w:rsidR="0067575D" w:rsidRPr="00F441BE" w:rsidRDefault="008D1EFE" w:rsidP="00F441BE">
            <w:pPr>
              <w:adjustRightInd w:val="0"/>
              <w:spacing w:before="60" w:after="60"/>
              <w:jc w:val="center"/>
              <w:rPr>
                <w:rFonts w:ascii="Arial" w:hAnsi="Arial" w:cs="Arial"/>
                <w:color w:val="FF0000"/>
                <w:sz w:val="16"/>
                <w:szCs w:val="16"/>
              </w:rPr>
            </w:pPr>
            <w:r w:rsidRPr="00F441BE">
              <w:rPr>
                <w:rFonts w:ascii="Arial" w:hAnsi="Arial" w:cs="Arial"/>
                <w:color w:val="FF0000"/>
                <w:sz w:val="16"/>
                <w:szCs w:val="16"/>
              </w:rPr>
              <w:t> </w:t>
            </w:r>
            <w:r w:rsidRPr="00F441BE">
              <w:rPr>
                <w:rFonts w:ascii="Arial" w:hAnsi="Arial" w:cs="Arial"/>
                <w:color w:val="FF0000"/>
                <w:sz w:val="16"/>
                <w:szCs w:val="16"/>
              </w:rPr>
              <w:br/>
              <w:t>2323 (69.5%)</w:t>
            </w:r>
            <w:r w:rsidRPr="00F441BE">
              <w:rPr>
                <w:rFonts w:ascii="Arial" w:hAnsi="Arial" w:cs="Arial"/>
                <w:color w:val="FF0000"/>
                <w:sz w:val="16"/>
                <w:szCs w:val="16"/>
              </w:rPr>
              <w:br/>
              <w:t>241 (7.2%)</w:t>
            </w:r>
            <w:r w:rsidRPr="00F441BE">
              <w:rPr>
                <w:rFonts w:ascii="Arial" w:hAnsi="Arial" w:cs="Arial"/>
                <w:color w:val="FF0000"/>
                <w:sz w:val="16"/>
                <w:szCs w:val="16"/>
              </w:rPr>
              <w:br/>
              <w:t>23 (0.7%)</w:t>
            </w:r>
            <w:r w:rsidRPr="00F441BE">
              <w:rPr>
                <w:rFonts w:ascii="Arial" w:hAnsi="Arial" w:cs="Arial"/>
                <w:color w:val="FF0000"/>
                <w:sz w:val="16"/>
                <w:szCs w:val="16"/>
              </w:rPr>
              <w:br/>
              <w:t>61 (1.8%)</w:t>
            </w:r>
            <w:r w:rsidRPr="00F441BE">
              <w:rPr>
                <w:rFonts w:ascii="Arial" w:hAnsi="Arial" w:cs="Arial"/>
                <w:color w:val="FF0000"/>
                <w:sz w:val="16"/>
                <w:szCs w:val="16"/>
              </w:rPr>
              <w:br/>
              <w:t>122 (3.6%)</w:t>
            </w:r>
            <w:r w:rsidRPr="00F441BE">
              <w:rPr>
                <w:rFonts w:ascii="Arial" w:hAnsi="Arial" w:cs="Arial"/>
                <w:color w:val="FF0000"/>
                <w:sz w:val="16"/>
                <w:szCs w:val="16"/>
              </w:rPr>
              <w:br/>
              <w:t>73 (2.2%)</w:t>
            </w:r>
            <w:r w:rsidRPr="00F441BE">
              <w:rPr>
                <w:rFonts w:ascii="Arial" w:hAnsi="Arial" w:cs="Arial"/>
                <w:color w:val="FF0000"/>
                <w:sz w:val="16"/>
                <w:szCs w:val="16"/>
              </w:rPr>
              <w:br/>
              <w:t>149 (4.5%)</w:t>
            </w:r>
            <w:r w:rsidRPr="00F441BE">
              <w:rPr>
                <w:rFonts w:ascii="Arial" w:hAnsi="Arial" w:cs="Arial"/>
                <w:color w:val="FF0000"/>
                <w:sz w:val="16"/>
                <w:szCs w:val="16"/>
              </w:rPr>
              <w:br/>
              <w:t>122 (3.6%)</w:t>
            </w:r>
            <w:r w:rsidRPr="00F441BE">
              <w:rPr>
                <w:rFonts w:ascii="Arial" w:hAnsi="Arial" w:cs="Arial"/>
                <w:color w:val="FF0000"/>
                <w:sz w:val="16"/>
                <w:szCs w:val="16"/>
              </w:rPr>
              <w:br/>
              <w:t>230 (6.9%)</w:t>
            </w:r>
            <w:r w:rsidRPr="00F441BE">
              <w:rPr>
                <w:rFonts w:ascii="Arial" w:hAnsi="Arial" w:cs="Arial"/>
                <w:color w:val="FF0000"/>
                <w:sz w:val="16"/>
                <w:szCs w:val="16"/>
              </w:rPr>
              <w:br/>
            </w:r>
            <w:r w:rsidR="0067575D" w:rsidRPr="00F441BE">
              <w:rPr>
                <w:rFonts w:ascii="Arial" w:hAnsi="Arial" w:cs="Arial"/>
                <w:color w:val="FF0000"/>
                <w:sz w:val="16"/>
                <w:szCs w:val="16"/>
              </w:rPr>
              <w:t>8</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9FD5959" w14:textId="12B4EFC3" w:rsidR="0067575D" w:rsidRPr="00F441BE" w:rsidRDefault="008D1EFE" w:rsidP="00F441BE">
            <w:pPr>
              <w:adjustRightInd w:val="0"/>
              <w:spacing w:before="60" w:after="60"/>
              <w:jc w:val="center"/>
              <w:rPr>
                <w:rFonts w:ascii="Arial" w:hAnsi="Arial" w:cs="Arial"/>
                <w:color w:val="FF0000"/>
                <w:sz w:val="16"/>
                <w:szCs w:val="16"/>
              </w:rPr>
            </w:pPr>
            <w:r w:rsidRPr="00F441BE">
              <w:rPr>
                <w:rFonts w:ascii="Arial" w:hAnsi="Arial" w:cs="Arial"/>
                <w:color w:val="FF0000"/>
                <w:sz w:val="16"/>
                <w:szCs w:val="16"/>
              </w:rPr>
              <w:t> </w:t>
            </w:r>
            <w:r w:rsidRPr="00F441BE">
              <w:rPr>
                <w:rFonts w:ascii="Arial" w:hAnsi="Arial" w:cs="Arial"/>
                <w:color w:val="FF0000"/>
                <w:sz w:val="16"/>
                <w:szCs w:val="16"/>
              </w:rPr>
              <w:br/>
              <w:t>4625 (73.7%)</w:t>
            </w:r>
            <w:r w:rsidRPr="00F441BE">
              <w:rPr>
                <w:rFonts w:ascii="Arial" w:hAnsi="Arial" w:cs="Arial"/>
                <w:color w:val="FF0000"/>
                <w:sz w:val="16"/>
                <w:szCs w:val="16"/>
              </w:rPr>
              <w:br/>
              <w:t>401 (6.4%)</w:t>
            </w:r>
            <w:r w:rsidRPr="00F441BE">
              <w:rPr>
                <w:rFonts w:ascii="Arial" w:hAnsi="Arial" w:cs="Arial"/>
                <w:color w:val="FF0000"/>
                <w:sz w:val="16"/>
                <w:szCs w:val="16"/>
              </w:rPr>
              <w:br/>
              <w:t>56 (0.9%)</w:t>
            </w:r>
            <w:r w:rsidRPr="00F441BE">
              <w:rPr>
                <w:rFonts w:ascii="Arial" w:hAnsi="Arial" w:cs="Arial"/>
                <w:color w:val="FF0000"/>
                <w:sz w:val="16"/>
                <w:szCs w:val="16"/>
              </w:rPr>
              <w:br/>
              <w:t>32 (0.5%)</w:t>
            </w:r>
            <w:r w:rsidRPr="00F441BE">
              <w:rPr>
                <w:rFonts w:ascii="Arial" w:hAnsi="Arial" w:cs="Arial"/>
                <w:color w:val="FF0000"/>
                <w:sz w:val="16"/>
                <w:szCs w:val="16"/>
              </w:rPr>
              <w:br/>
              <w:t>152 (2.4%)</w:t>
            </w:r>
            <w:r w:rsidRPr="00F441BE">
              <w:rPr>
                <w:rFonts w:ascii="Arial" w:hAnsi="Arial" w:cs="Arial"/>
                <w:color w:val="FF0000"/>
                <w:sz w:val="16"/>
                <w:szCs w:val="16"/>
              </w:rPr>
              <w:br/>
              <w:t>133 (2.1%)</w:t>
            </w:r>
            <w:r w:rsidRPr="00F441BE">
              <w:rPr>
                <w:rFonts w:ascii="Arial" w:hAnsi="Arial" w:cs="Arial"/>
                <w:color w:val="FF0000"/>
                <w:sz w:val="16"/>
                <w:szCs w:val="16"/>
              </w:rPr>
              <w:br/>
              <w:t>386 (6.2%)</w:t>
            </w:r>
            <w:r w:rsidRPr="00F441BE">
              <w:rPr>
                <w:rFonts w:ascii="Arial" w:hAnsi="Arial" w:cs="Arial"/>
                <w:color w:val="FF0000"/>
                <w:sz w:val="16"/>
                <w:szCs w:val="16"/>
              </w:rPr>
              <w:br/>
              <w:t>244 (3.9%)</w:t>
            </w:r>
            <w:r w:rsidRPr="00F441BE">
              <w:rPr>
                <w:rFonts w:ascii="Arial" w:hAnsi="Arial" w:cs="Arial"/>
                <w:color w:val="FF0000"/>
                <w:sz w:val="16"/>
                <w:szCs w:val="16"/>
              </w:rPr>
              <w:br/>
              <w:t>247 (3.9%)</w:t>
            </w:r>
            <w:r w:rsidRPr="00F441BE">
              <w:rPr>
                <w:rFonts w:ascii="Arial" w:hAnsi="Arial" w:cs="Arial"/>
                <w:color w:val="FF0000"/>
                <w:sz w:val="16"/>
                <w:szCs w:val="16"/>
              </w:rPr>
              <w:br/>
            </w:r>
            <w:r w:rsidR="0067575D" w:rsidRPr="00F441BE">
              <w:rPr>
                <w:rFonts w:ascii="Arial" w:hAnsi="Arial" w:cs="Arial"/>
                <w:color w:val="FF0000"/>
                <w:sz w:val="16"/>
                <w:szCs w:val="16"/>
              </w:rPr>
              <w:t>8</w:t>
            </w:r>
          </w:p>
        </w:tc>
      </w:tr>
      <w:tr w:rsidR="008D1EFE" w:rsidRPr="00332544" w14:paraId="17F80151"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B96D15D"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Myocardial Infarction (Biomarker Positive)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3EAA0A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10766 (1.5</w:t>
            </w:r>
            <w:r w:rsidRPr="00332544">
              <w:rPr>
                <w:rFonts w:ascii="Arial" w:hAnsi="Arial"/>
                <w:color w:val="FF0000"/>
                <w:sz w:val="16"/>
              </w:rPr>
              <w:t>%)</w:t>
            </w:r>
            <w:r w:rsidRPr="00332544">
              <w:rPr>
                <w:rFonts w:ascii="Arial" w:hAnsi="Arial"/>
                <w:color w:val="FF0000"/>
                <w:sz w:val="16"/>
              </w:rPr>
              <w:br/>
              <w:t>26</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B22AFB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1016</w:t>
            </w:r>
            <w:r w:rsidRPr="00332544">
              <w:rPr>
                <w:rFonts w:ascii="Arial" w:hAnsi="Arial"/>
                <w:color w:val="FF0000"/>
                <w:sz w:val="16"/>
              </w:rPr>
              <w:t> (4.</w:t>
            </w:r>
            <w:r w:rsidRPr="00332544">
              <w:rPr>
                <w:rFonts w:ascii="Arial" w:hAnsi="Arial" w:cs="Arial"/>
                <w:color w:val="FF0000"/>
                <w:sz w:val="16"/>
                <w:szCs w:val="16"/>
              </w:rPr>
              <w:t>3</w:t>
            </w:r>
            <w:r w:rsidRPr="00332544">
              <w:rPr>
                <w:rFonts w:ascii="Arial" w:hAnsi="Arial"/>
                <w:color w:val="FF0000"/>
                <w:sz w:val="16"/>
              </w:rPr>
              <w:t>%)</w:t>
            </w:r>
            <w:r w:rsidRPr="00332544">
              <w:rPr>
                <w:rFonts w:ascii="Arial" w:hAnsi="Arial"/>
                <w:color w:val="FF0000"/>
                <w:sz w:val="16"/>
              </w:rPr>
              <w:br/>
              <w:t>6</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CBADE8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9750</w:t>
            </w:r>
            <w:r w:rsidRPr="00332544">
              <w:rPr>
                <w:rFonts w:ascii="Arial" w:hAnsi="Arial"/>
                <w:color w:val="FF0000"/>
                <w:sz w:val="16"/>
              </w:rPr>
              <w:t> (1.</w:t>
            </w:r>
            <w:r w:rsidRPr="00332544">
              <w:rPr>
                <w:rFonts w:ascii="Arial" w:hAnsi="Arial" w:cs="Arial"/>
                <w:color w:val="FF0000"/>
                <w:sz w:val="16"/>
                <w:szCs w:val="16"/>
              </w:rPr>
              <w:t>4</w:t>
            </w:r>
            <w:r w:rsidRPr="00332544">
              <w:rPr>
                <w:rFonts w:ascii="Arial" w:hAnsi="Arial"/>
                <w:color w:val="FF0000"/>
                <w:sz w:val="16"/>
              </w:rPr>
              <w:t>%)</w:t>
            </w:r>
            <w:r w:rsidRPr="00332544">
              <w:rPr>
                <w:rFonts w:ascii="Arial" w:hAnsi="Arial"/>
                <w:color w:val="FF0000"/>
                <w:sz w:val="16"/>
              </w:rPr>
              <w:br/>
              <w:t>20</w:t>
            </w:r>
          </w:p>
        </w:tc>
      </w:tr>
      <w:tr w:rsidR="008D1EFE" w:rsidRPr="00332544" w14:paraId="3A0B9C49"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0574836"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Cardiogenic Shock</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4F79F38B"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9697</w:t>
            </w:r>
            <w:r w:rsidRPr="00332544">
              <w:rPr>
                <w:rFonts w:ascii="Arial" w:hAnsi="Arial"/>
                <w:color w:val="FF0000"/>
                <w:sz w:val="16"/>
              </w:rPr>
              <w:t> (1.</w:t>
            </w:r>
            <w:r w:rsidRPr="00332544">
              <w:rPr>
                <w:rFonts w:ascii="Arial" w:hAnsi="Arial" w:cs="Arial"/>
                <w:color w:val="FF0000"/>
                <w:sz w:val="16"/>
                <w:szCs w:val="16"/>
              </w:rPr>
              <w:t>4%)</w:t>
            </w:r>
            <w:r w:rsidRPr="00332544">
              <w:rPr>
                <w:rFonts w:ascii="Arial" w:hAnsi="Arial" w:cs="Arial"/>
                <w:color w:val="FF0000"/>
                <w:sz w:val="16"/>
                <w:szCs w:val="16"/>
              </w:rPr>
              <w:br/>
              <w:t>7</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480F09E"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3414 (14.3%)</w:t>
            </w:r>
            <w:r w:rsidRPr="00332544">
              <w:rPr>
                <w:rFonts w:ascii="Arial" w:hAnsi="Arial" w:cs="Arial"/>
                <w:color w:val="FF0000"/>
                <w:sz w:val="16"/>
                <w:szCs w:val="16"/>
              </w:rPr>
              <w:br/>
              <w:t>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19B9E10"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6283</w:t>
            </w:r>
            <w:r w:rsidRPr="00332544">
              <w:rPr>
                <w:rFonts w:ascii="Arial" w:hAnsi="Arial"/>
                <w:color w:val="FF0000"/>
                <w:sz w:val="16"/>
              </w:rPr>
              <w:t> (0.</w:t>
            </w:r>
            <w:r w:rsidRPr="00332544">
              <w:rPr>
                <w:rFonts w:ascii="Arial" w:hAnsi="Arial" w:cs="Arial"/>
                <w:color w:val="FF0000"/>
                <w:sz w:val="16"/>
                <w:szCs w:val="16"/>
              </w:rPr>
              <w:t>9%)</w:t>
            </w:r>
            <w:r w:rsidRPr="00332544">
              <w:rPr>
                <w:rFonts w:ascii="Arial" w:hAnsi="Arial" w:cs="Arial"/>
                <w:color w:val="FF0000"/>
                <w:sz w:val="16"/>
                <w:szCs w:val="16"/>
              </w:rPr>
              <w:br/>
              <w:t>6</w:t>
            </w:r>
          </w:p>
        </w:tc>
      </w:tr>
      <w:tr w:rsidR="008D1EFE" w:rsidRPr="00332544" w14:paraId="4C5E494E"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A777981"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Heart Failure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047D33A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10082</w:t>
            </w:r>
            <w:r w:rsidRPr="00332544">
              <w:rPr>
                <w:rFonts w:ascii="Arial" w:hAnsi="Arial"/>
                <w:color w:val="FF0000"/>
                <w:sz w:val="16"/>
              </w:rPr>
              <w:t> (1.</w:t>
            </w:r>
            <w:r w:rsidRPr="00332544">
              <w:rPr>
                <w:rFonts w:ascii="Arial" w:hAnsi="Arial" w:cs="Arial"/>
                <w:color w:val="FF0000"/>
                <w:sz w:val="16"/>
                <w:szCs w:val="16"/>
              </w:rPr>
              <w:t>4%)</w:t>
            </w:r>
            <w:r w:rsidRPr="00332544">
              <w:rPr>
                <w:rFonts w:ascii="Arial" w:hAnsi="Arial" w:cs="Arial"/>
                <w:color w:val="FF0000"/>
                <w:sz w:val="16"/>
                <w:szCs w:val="16"/>
              </w:rPr>
              <w:br/>
              <w:t>8</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233C684"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2304 (9.</w:t>
            </w:r>
            <w:r w:rsidRPr="00332544">
              <w:rPr>
                <w:rFonts w:ascii="Arial" w:hAnsi="Arial"/>
                <w:color w:val="FF0000"/>
                <w:sz w:val="16"/>
              </w:rPr>
              <w:t>7</w:t>
            </w:r>
            <w:r w:rsidRPr="00332544">
              <w:rPr>
                <w:rFonts w:ascii="Arial" w:hAnsi="Arial" w:cs="Arial"/>
                <w:color w:val="FF0000"/>
                <w:sz w:val="16"/>
                <w:szCs w:val="16"/>
              </w:rPr>
              <w:t>%)</w:t>
            </w:r>
            <w:r w:rsidRPr="00332544">
              <w:rPr>
                <w:rFonts w:ascii="Arial" w:hAnsi="Arial" w:cs="Arial"/>
                <w:color w:val="FF0000"/>
                <w:sz w:val="16"/>
                <w:szCs w:val="16"/>
              </w:rPr>
              <w:br/>
              <w:t>2</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75393E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7778 (1.1%)</w:t>
            </w:r>
            <w:r w:rsidRPr="00332544">
              <w:rPr>
                <w:rFonts w:ascii="Arial" w:hAnsi="Arial" w:cs="Arial"/>
                <w:color w:val="FF0000"/>
                <w:sz w:val="16"/>
                <w:szCs w:val="16"/>
              </w:rPr>
              <w:br/>
              <w:t>6</w:t>
            </w:r>
          </w:p>
        </w:tc>
      </w:tr>
      <w:tr w:rsidR="008D1EFE" w:rsidRPr="00332544" w14:paraId="51BD4B90"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582F123F"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CVA/Stroke</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0DBDDB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2164</w:t>
            </w:r>
            <w:r w:rsidRPr="00332544">
              <w:rPr>
                <w:rFonts w:ascii="Arial" w:hAnsi="Arial"/>
                <w:color w:val="FF0000"/>
                <w:sz w:val="16"/>
              </w:rPr>
              <w:t> (0.</w:t>
            </w:r>
            <w:r w:rsidRPr="00332544">
              <w:rPr>
                <w:rFonts w:ascii="Arial" w:hAnsi="Arial" w:cs="Arial"/>
                <w:color w:val="FF0000"/>
                <w:sz w:val="16"/>
                <w:szCs w:val="16"/>
              </w:rPr>
              <w:t>3%)</w:t>
            </w:r>
            <w:r w:rsidRPr="00332544">
              <w:rPr>
                <w:rFonts w:ascii="Arial" w:hAnsi="Arial" w:cs="Arial"/>
                <w:color w:val="FF0000"/>
                <w:sz w:val="16"/>
                <w:szCs w:val="16"/>
              </w:rPr>
              <w:br/>
              <w:t>11</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2DD5A5B9"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759 (3.</w:t>
            </w:r>
            <w:r w:rsidRPr="00332544">
              <w:rPr>
                <w:rFonts w:ascii="Arial" w:hAnsi="Arial"/>
                <w:color w:val="FF0000"/>
                <w:sz w:val="16"/>
              </w:rPr>
              <w:t>2</w:t>
            </w:r>
            <w:r w:rsidRPr="00332544">
              <w:rPr>
                <w:rFonts w:ascii="Arial" w:hAnsi="Arial" w:cs="Arial"/>
                <w:color w:val="FF0000"/>
                <w:sz w:val="16"/>
                <w:szCs w:val="16"/>
              </w:rPr>
              <w:t>%)</w:t>
            </w:r>
            <w:r w:rsidRPr="00332544">
              <w:rPr>
                <w:rFonts w:ascii="Arial" w:hAnsi="Arial" w:cs="Arial"/>
                <w:color w:val="FF0000"/>
                <w:sz w:val="16"/>
                <w:szCs w:val="16"/>
              </w:rPr>
              <w:br/>
              <w:t>4</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84387CA"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1405</w:t>
            </w:r>
            <w:r w:rsidRPr="00332544">
              <w:rPr>
                <w:rFonts w:ascii="Arial" w:hAnsi="Arial"/>
                <w:color w:val="FF0000"/>
                <w:sz w:val="16"/>
              </w:rPr>
              <w:t> (0.</w:t>
            </w:r>
            <w:r w:rsidRPr="00332544">
              <w:rPr>
                <w:rFonts w:ascii="Arial" w:hAnsi="Arial" w:cs="Arial"/>
                <w:color w:val="FF0000"/>
                <w:sz w:val="16"/>
                <w:szCs w:val="16"/>
              </w:rPr>
              <w:t>2%)</w:t>
            </w:r>
            <w:r w:rsidRPr="00332544">
              <w:rPr>
                <w:rFonts w:ascii="Arial" w:hAnsi="Arial" w:cs="Arial"/>
                <w:color w:val="FF0000"/>
                <w:sz w:val="16"/>
                <w:szCs w:val="16"/>
              </w:rPr>
              <w:br/>
              <w:t>7</w:t>
            </w:r>
          </w:p>
        </w:tc>
      </w:tr>
      <w:tr w:rsidR="008D1EFE" w:rsidRPr="00332544" w14:paraId="7A011515"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608C4D4" w14:textId="77777777" w:rsidR="008D1EFE" w:rsidRPr="00332544" w:rsidRDefault="008D1EFE" w:rsidP="006203D8">
            <w:pPr>
              <w:adjustRightInd w:val="0"/>
              <w:spacing w:before="60" w:after="60"/>
              <w:rPr>
                <w:rFonts w:ascii="Arial" w:hAnsi="Arial"/>
                <w:color w:val="FF0000"/>
                <w:sz w:val="16"/>
              </w:rPr>
            </w:pPr>
            <w:r w:rsidRPr="00332544">
              <w:rPr>
                <w:rFonts w:ascii="Arial" w:hAnsi="Arial"/>
                <w:color w:val="FF0000"/>
                <w:sz w:val="16"/>
              </w:rPr>
              <w:t>     Other Vascular Complications Requiring Treatment</w:t>
            </w:r>
            <w:r w:rsidRPr="00332544">
              <w:rPr>
                <w:rFonts w:ascii="Arial" w:hAnsi="Arial"/>
                <w:color w:val="FF0000"/>
                <w:sz w:val="16"/>
              </w:rPr>
              <w:br/>
              <w:t>          Missing</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7973D9F8"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2285</w:t>
            </w:r>
            <w:r w:rsidRPr="00332544">
              <w:rPr>
                <w:rFonts w:ascii="Arial" w:hAnsi="Arial"/>
                <w:color w:val="FF0000"/>
                <w:sz w:val="16"/>
              </w:rPr>
              <w:t> (0.</w:t>
            </w:r>
            <w:r w:rsidRPr="00332544">
              <w:rPr>
                <w:rFonts w:ascii="Arial" w:hAnsi="Arial" w:cs="Arial"/>
                <w:color w:val="FF0000"/>
                <w:sz w:val="16"/>
                <w:szCs w:val="16"/>
              </w:rPr>
              <w:t>3%)</w:t>
            </w:r>
            <w:r w:rsidRPr="00332544">
              <w:rPr>
                <w:rFonts w:ascii="Arial" w:hAnsi="Arial" w:cs="Arial"/>
                <w:color w:val="FF0000"/>
                <w:sz w:val="16"/>
                <w:szCs w:val="16"/>
              </w:rPr>
              <w:br/>
              <w:t>14</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C7E00F1"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1143 (4</w:t>
            </w:r>
            <w:r w:rsidRPr="00332544">
              <w:rPr>
                <w:rFonts w:ascii="Arial" w:hAnsi="Arial"/>
                <w:color w:val="FF0000"/>
                <w:sz w:val="16"/>
              </w:rPr>
              <w:t>.8%)</w:t>
            </w:r>
            <w:r w:rsidRPr="00332544">
              <w:rPr>
                <w:rFonts w:ascii="Arial" w:hAnsi="Arial"/>
                <w:color w:val="FF0000"/>
                <w:sz w:val="16"/>
              </w:rPr>
              <w:br/>
            </w:r>
            <w:r w:rsidRPr="00332544">
              <w:rPr>
                <w:rFonts w:ascii="Arial" w:hAnsi="Arial" w:cs="Arial"/>
                <w:color w:val="FF0000"/>
                <w:sz w:val="16"/>
                <w:szCs w:val="16"/>
              </w:rPr>
              <w:t>1</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8F71583" w14:textId="77777777" w:rsidR="008D1EFE" w:rsidRPr="00332544" w:rsidRDefault="008D1EFE" w:rsidP="006203D8">
            <w:pPr>
              <w:adjustRightInd w:val="0"/>
              <w:spacing w:before="60" w:after="60"/>
              <w:jc w:val="center"/>
              <w:rPr>
                <w:rFonts w:ascii="Arial" w:hAnsi="Arial"/>
                <w:color w:val="FF0000"/>
                <w:sz w:val="16"/>
              </w:rPr>
            </w:pPr>
            <w:r w:rsidRPr="00332544">
              <w:rPr>
                <w:rFonts w:ascii="Arial" w:hAnsi="Arial" w:cs="Arial"/>
                <w:color w:val="FF0000"/>
                <w:sz w:val="16"/>
                <w:szCs w:val="16"/>
              </w:rPr>
              <w:t>1142</w:t>
            </w:r>
            <w:r w:rsidRPr="00332544">
              <w:rPr>
                <w:rFonts w:ascii="Arial" w:hAnsi="Arial"/>
                <w:color w:val="FF0000"/>
                <w:sz w:val="16"/>
              </w:rPr>
              <w:t> (0.2%)</w:t>
            </w:r>
            <w:r w:rsidRPr="00332544">
              <w:rPr>
                <w:rFonts w:ascii="Arial" w:hAnsi="Arial"/>
                <w:color w:val="FF0000"/>
                <w:sz w:val="16"/>
              </w:rPr>
              <w:br/>
            </w:r>
            <w:r w:rsidRPr="00332544">
              <w:rPr>
                <w:rFonts w:ascii="Arial" w:hAnsi="Arial" w:cs="Arial"/>
                <w:color w:val="FF0000"/>
                <w:sz w:val="16"/>
                <w:szCs w:val="16"/>
              </w:rPr>
              <w:t>13</w:t>
            </w:r>
          </w:p>
        </w:tc>
      </w:tr>
      <w:tr w:rsidR="008D1EFE" w:rsidRPr="00332544" w14:paraId="2AE27203" w14:textId="77777777" w:rsidTr="006203D8">
        <w:trPr>
          <w:cantSplit/>
          <w:jc w:val="center"/>
        </w:trPr>
        <w:tc>
          <w:tcPr>
            <w:tcW w:w="510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692C64F" w14:textId="77777777" w:rsidR="008D1EFE" w:rsidRPr="00332544" w:rsidRDefault="008D1EFE" w:rsidP="006203D8">
            <w:pPr>
              <w:keepNext/>
              <w:adjustRightInd w:val="0"/>
              <w:spacing w:before="60" w:after="60"/>
              <w:rPr>
                <w:rFonts w:ascii="Arial" w:hAnsi="Arial"/>
                <w:color w:val="FF0000"/>
                <w:sz w:val="16"/>
              </w:rPr>
            </w:pPr>
            <w:r w:rsidRPr="00332544">
              <w:rPr>
                <w:rFonts w:ascii="Arial" w:hAnsi="Arial"/>
                <w:color w:val="FF0000"/>
                <w:sz w:val="16"/>
              </w:rPr>
              <w:t>     RBC/Whole Blood Transfusion</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17CE8BF5"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s="Arial"/>
                <w:color w:val="FF0000"/>
                <w:sz w:val="16"/>
                <w:szCs w:val="16"/>
              </w:rPr>
              <w:t>12641 (1.8</w:t>
            </w:r>
            <w:r w:rsidRPr="00332544">
              <w:rPr>
                <w:rFonts w:ascii="Arial" w:hAnsi="Arial"/>
                <w:color w:val="FF0000"/>
                <w:sz w:val="16"/>
              </w:rPr>
              <w:t>%)</w:t>
            </w:r>
          </w:p>
        </w:tc>
        <w:tc>
          <w:tcPr>
            <w:tcW w:w="1484"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69DC05E0"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s="Arial"/>
                <w:color w:val="FF0000"/>
                <w:sz w:val="16"/>
                <w:szCs w:val="16"/>
              </w:rPr>
              <w:t>11297 (47.3</w:t>
            </w:r>
            <w:r w:rsidRPr="00332544">
              <w:rPr>
                <w:rFonts w:ascii="Arial" w:hAnsi="Arial"/>
                <w:color w:val="FF0000"/>
                <w:sz w:val="16"/>
              </w:rPr>
              <w:t>%)</w:t>
            </w:r>
          </w:p>
        </w:tc>
        <w:tc>
          <w:tcPr>
            <w:tcW w:w="1463" w:type="dxa"/>
            <w:tcBorders>
              <w:top w:val="single" w:sz="4" w:space="0" w:color="auto"/>
              <w:left w:val="single" w:sz="4" w:space="0" w:color="auto"/>
              <w:bottom w:val="single" w:sz="4" w:space="0" w:color="auto"/>
              <w:right w:val="single" w:sz="4" w:space="0" w:color="auto"/>
            </w:tcBorders>
            <w:shd w:val="clear" w:color="auto" w:fill="FFFFFF"/>
            <w:tcMar>
              <w:top w:w="0" w:type="dxa"/>
              <w:left w:w="60" w:type="dxa"/>
              <w:bottom w:w="0" w:type="dxa"/>
              <w:right w:w="60" w:type="dxa"/>
            </w:tcMar>
            <w:hideMark/>
          </w:tcPr>
          <w:p w14:paraId="38DA5457" w14:textId="77777777" w:rsidR="008D1EFE" w:rsidRPr="00332544" w:rsidRDefault="008D1EFE" w:rsidP="006203D8">
            <w:pPr>
              <w:keepNext/>
              <w:adjustRightInd w:val="0"/>
              <w:spacing w:before="60" w:after="60"/>
              <w:jc w:val="center"/>
              <w:rPr>
                <w:rFonts w:ascii="Arial" w:hAnsi="Arial"/>
                <w:color w:val="FF0000"/>
                <w:sz w:val="16"/>
              </w:rPr>
            </w:pPr>
            <w:r w:rsidRPr="00332544">
              <w:rPr>
                <w:rFonts w:ascii="Arial" w:hAnsi="Arial" w:cs="Arial"/>
                <w:color w:val="FF0000"/>
                <w:sz w:val="16"/>
                <w:szCs w:val="16"/>
              </w:rPr>
              <w:t>1344</w:t>
            </w:r>
            <w:r w:rsidRPr="00332544">
              <w:rPr>
                <w:rFonts w:ascii="Arial" w:hAnsi="Arial"/>
                <w:color w:val="FF0000"/>
                <w:sz w:val="16"/>
              </w:rPr>
              <w:t> (0.</w:t>
            </w:r>
            <w:r w:rsidRPr="00332544">
              <w:rPr>
                <w:rFonts w:ascii="Arial" w:hAnsi="Arial" w:cs="Arial"/>
                <w:color w:val="FF0000"/>
                <w:sz w:val="16"/>
                <w:szCs w:val="16"/>
              </w:rPr>
              <w:t>2</w:t>
            </w:r>
            <w:r w:rsidRPr="00332544">
              <w:rPr>
                <w:rFonts w:ascii="Arial" w:hAnsi="Arial"/>
                <w:color w:val="FF0000"/>
                <w:sz w:val="16"/>
              </w:rPr>
              <w:t>%)</w:t>
            </w:r>
          </w:p>
        </w:tc>
      </w:tr>
      <w:tr w:rsidR="008D1EFE" w:rsidRPr="00332544" w14:paraId="79687D6A" w14:textId="77777777" w:rsidTr="006203D8">
        <w:trPr>
          <w:cantSplit/>
          <w:jc w:val="center"/>
        </w:trPr>
        <w:tc>
          <w:tcPr>
            <w:tcW w:w="9535" w:type="dxa"/>
            <w:gridSpan w:val="4"/>
            <w:tcBorders>
              <w:top w:val="single" w:sz="4" w:space="0" w:color="auto"/>
              <w:left w:val="single" w:sz="4" w:space="0" w:color="auto"/>
              <w:bottom w:val="single" w:sz="4" w:space="0" w:color="auto"/>
              <w:right w:val="single" w:sz="4" w:space="0" w:color="auto"/>
            </w:tcBorders>
            <w:shd w:val="clear" w:color="auto" w:fill="BBBBBB"/>
            <w:tcMar>
              <w:top w:w="0" w:type="dxa"/>
              <w:left w:w="60" w:type="dxa"/>
              <w:bottom w:w="0" w:type="dxa"/>
              <w:right w:w="60" w:type="dxa"/>
            </w:tcMar>
            <w:vAlign w:val="bottom"/>
            <w:hideMark/>
          </w:tcPr>
          <w:p w14:paraId="4C3C9FDA" w14:textId="77777777" w:rsidR="008D1EFE" w:rsidRDefault="008D1EFE" w:rsidP="006203D8">
            <w:pPr>
              <w:keepNext/>
              <w:adjustRightInd w:val="0"/>
              <w:spacing w:before="60" w:after="60"/>
              <w:rPr>
                <w:rFonts w:ascii="Arial" w:hAnsi="Arial"/>
                <w:color w:val="FF0000"/>
                <w:sz w:val="16"/>
              </w:rPr>
            </w:pPr>
            <w:r w:rsidRPr="00332544">
              <w:rPr>
                <w:rFonts w:ascii="Arial" w:hAnsi="Arial"/>
                <w:color w:val="FF0000"/>
                <w:sz w:val="16"/>
              </w:rPr>
              <w:t>Continuous variables compared using Student's T-test.</w:t>
            </w:r>
            <w:r w:rsidRPr="00332544">
              <w:rPr>
                <w:rFonts w:ascii="Arial" w:hAnsi="Arial"/>
                <w:color w:val="FF0000"/>
                <w:sz w:val="16"/>
              </w:rPr>
              <w:br/>
              <w:t>Categorical variables compared using chi-square or Fisher's exact test.</w:t>
            </w:r>
          </w:p>
          <w:p w14:paraId="4CCD41F7" w14:textId="77777777" w:rsidR="008D1EFE" w:rsidRPr="00305F8C" w:rsidRDefault="008D1EFE" w:rsidP="006203D8">
            <w:pPr>
              <w:keepNext/>
              <w:adjustRightInd w:val="0"/>
              <w:spacing w:before="60" w:after="60"/>
              <w:rPr>
                <w:rFonts w:ascii="Arial" w:hAnsi="Arial"/>
                <w:b/>
                <w:color w:val="FF0000"/>
                <w:sz w:val="16"/>
              </w:rPr>
            </w:pPr>
            <w:r w:rsidRPr="00305F8C">
              <w:rPr>
                <w:rFonts w:ascii="Arial" w:hAnsi="Arial"/>
                <w:b/>
                <w:color w:val="FF0000"/>
                <w:sz w:val="16"/>
              </w:rPr>
              <w:t>All p-values were &lt;0.001</w:t>
            </w:r>
          </w:p>
        </w:tc>
      </w:tr>
    </w:tbl>
    <w:p w14:paraId="7BDB78FE" w14:textId="77777777" w:rsidR="000E73F4" w:rsidRPr="000E73F4" w:rsidRDefault="000E73F4" w:rsidP="000E73F4">
      <w:pPr>
        <w:autoSpaceDE w:val="0"/>
        <w:autoSpaceDN w:val="0"/>
        <w:adjustRightInd w:val="0"/>
        <w:spacing w:after="0" w:line="240" w:lineRule="auto"/>
        <w:rPr>
          <w:rFonts w:asciiTheme="majorHAnsi" w:hAnsiTheme="majorHAnsi" w:cs="Times New Roman"/>
          <w:bCs/>
          <w:color w:val="0070C0"/>
          <w:sz w:val="20"/>
          <w:szCs w:val="20"/>
        </w:rPr>
      </w:pPr>
    </w:p>
    <w:p w14:paraId="53CD86EE" w14:textId="77777777" w:rsidR="00DB0E3E" w:rsidRDefault="00DB0E3E" w:rsidP="000E73F4">
      <w:pPr>
        <w:autoSpaceDE w:val="0"/>
        <w:autoSpaceDN w:val="0"/>
        <w:adjustRightInd w:val="0"/>
        <w:spacing w:after="0" w:line="240" w:lineRule="auto"/>
        <w:rPr>
          <w:rFonts w:asciiTheme="majorHAnsi" w:hAnsiTheme="majorHAnsi"/>
          <w:color w:val="0070C0"/>
          <w:sz w:val="20"/>
        </w:rPr>
      </w:pPr>
    </w:p>
    <w:p w14:paraId="0EBE31C7" w14:textId="77777777" w:rsidR="00DB0E3E" w:rsidRPr="000E73F4" w:rsidRDefault="00DB0E3E" w:rsidP="000E73F4">
      <w:pPr>
        <w:autoSpaceDE w:val="0"/>
        <w:autoSpaceDN w:val="0"/>
        <w:adjustRightInd w:val="0"/>
        <w:spacing w:after="0" w:line="240" w:lineRule="auto"/>
        <w:rPr>
          <w:rFonts w:asciiTheme="majorHAnsi" w:hAnsiTheme="majorHAnsi" w:cs="Times New Roman"/>
          <w:bCs/>
          <w:color w:val="0070C0"/>
          <w:sz w:val="20"/>
          <w:szCs w:val="20"/>
        </w:rPr>
      </w:pPr>
    </w:p>
    <w:p w14:paraId="0CABCFC9" w14:textId="7E00B591"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77777777" w:rsidR="0021054A" w:rsidRDefault="002B5016" w:rsidP="00E37E1B">
      <w:pPr>
        <w:autoSpaceDE w:val="0"/>
        <w:autoSpaceDN w:val="0"/>
        <w:adjustRightInd w:val="0"/>
        <w:spacing w:after="0" w:line="240" w:lineRule="auto"/>
        <w:rPr>
          <w:rFonts w:cstheme="minorHAnsi"/>
          <w:bCs/>
        </w:rPr>
      </w:pPr>
      <w:r w:rsidRPr="00332544">
        <w:rPr>
          <w:rFonts w:cstheme="minorHAnsi"/>
          <w:b/>
          <w:bCs/>
        </w:rPr>
        <w:t>1.</w:t>
      </w:r>
      <w:r w:rsidR="00E310B9" w:rsidRPr="00332544">
        <w:rPr>
          <w:rFonts w:cstheme="minorHAnsi"/>
          <w:b/>
          <w:bCs/>
        </w:rPr>
        <w:t xml:space="preserve">7. </w:t>
      </w:r>
      <w:r w:rsidR="000574AB" w:rsidRPr="00332544">
        <w:rPr>
          <w:rFonts w:cstheme="minorHAnsi"/>
          <w:b/>
          <w:bCs/>
        </w:rPr>
        <w:t>If there are differences in the data</w:t>
      </w:r>
      <w:r w:rsidR="009726E1" w:rsidRPr="00332544">
        <w:rPr>
          <w:rFonts w:cstheme="minorHAnsi"/>
          <w:b/>
          <w:bCs/>
        </w:rPr>
        <w:t xml:space="preserve"> or sample</w:t>
      </w:r>
      <w:r w:rsidR="000574AB" w:rsidRPr="00332544">
        <w:rPr>
          <w:rFonts w:cstheme="minorHAnsi"/>
          <w:b/>
          <w:bCs/>
        </w:rPr>
        <w:t xml:space="preserve"> used for different </w:t>
      </w:r>
      <w:r w:rsidR="000968F8" w:rsidRPr="00332544">
        <w:rPr>
          <w:rFonts w:cstheme="minorHAnsi"/>
          <w:b/>
          <w:bCs/>
        </w:rPr>
        <w:t>aspects</w:t>
      </w:r>
      <w:r w:rsidR="000574AB" w:rsidRPr="00332544">
        <w:rPr>
          <w:rFonts w:cstheme="minorHAnsi"/>
          <w:b/>
          <w:bCs/>
        </w:rPr>
        <w:t xml:space="preserve"> of testing (e.g., reliability, validi</w:t>
      </w:r>
      <w:r w:rsidR="007422FD" w:rsidRPr="00332544">
        <w:rPr>
          <w:rFonts w:cstheme="minorHAnsi"/>
          <w:b/>
          <w:bCs/>
        </w:rPr>
        <w:t>ty, exclusions, risk adjustment</w:t>
      </w:r>
      <w:r w:rsidR="000574AB" w:rsidRPr="00332544">
        <w:rPr>
          <w:rFonts w:cstheme="minorHAnsi"/>
          <w:b/>
          <w:bCs/>
        </w:rPr>
        <w:t xml:space="preserve">), identify </w:t>
      </w:r>
      <w:r w:rsidR="005A7634" w:rsidRPr="00332544">
        <w:rPr>
          <w:rFonts w:cstheme="minorHAnsi"/>
          <w:b/>
          <w:bCs/>
        </w:rPr>
        <w:t xml:space="preserve">how the data or sample are different for </w:t>
      </w:r>
      <w:r w:rsidR="000574AB" w:rsidRPr="00332544">
        <w:rPr>
          <w:rFonts w:cstheme="minorHAnsi"/>
          <w:b/>
          <w:bCs/>
        </w:rPr>
        <w:t xml:space="preserve">each </w:t>
      </w:r>
      <w:r w:rsidR="000968F8" w:rsidRPr="00332544">
        <w:rPr>
          <w:rFonts w:cstheme="minorHAnsi"/>
          <w:b/>
          <w:bCs/>
        </w:rPr>
        <w:t>aspect</w:t>
      </w:r>
      <w:r w:rsidR="000574AB" w:rsidRPr="00332544">
        <w:rPr>
          <w:rFonts w:cstheme="minorHAnsi"/>
          <w:b/>
          <w:bCs/>
        </w:rPr>
        <w:t xml:space="preserve"> of testing reported </w:t>
      </w:r>
      <w:r w:rsidR="00857EE8" w:rsidRPr="00332544">
        <w:rPr>
          <w:rFonts w:cstheme="minorHAnsi"/>
          <w:b/>
          <w:bCs/>
        </w:rPr>
        <w:t>below</w:t>
      </w:r>
      <w:r w:rsidR="00E37E1B" w:rsidRPr="00332544">
        <w:rPr>
          <w:rFonts w:cstheme="minorHAnsi"/>
          <w:bCs/>
        </w:rPr>
        <w:t>.</w:t>
      </w:r>
    </w:p>
    <w:p w14:paraId="55B69752" w14:textId="77777777" w:rsidR="000E73F4" w:rsidRDefault="000E73F4" w:rsidP="00E37E1B">
      <w:pPr>
        <w:autoSpaceDE w:val="0"/>
        <w:autoSpaceDN w:val="0"/>
        <w:adjustRightInd w:val="0"/>
        <w:spacing w:after="0" w:line="240" w:lineRule="auto"/>
        <w:rPr>
          <w:rFonts w:cstheme="minorHAnsi"/>
          <w:bCs/>
        </w:rPr>
      </w:pPr>
    </w:p>
    <w:p w14:paraId="58D7FEB4" w14:textId="77777777" w:rsidR="000E73F4" w:rsidRDefault="000E73F4" w:rsidP="00E37E1B">
      <w:pPr>
        <w:autoSpaceDE w:val="0"/>
        <w:autoSpaceDN w:val="0"/>
        <w:adjustRightInd w:val="0"/>
        <w:spacing w:after="0" w:line="240" w:lineRule="auto"/>
        <w:rPr>
          <w:rFonts w:cstheme="minorHAnsi"/>
          <w:bCs/>
        </w:rPr>
      </w:pPr>
    </w:p>
    <w:p w14:paraId="0A978249" w14:textId="77777777" w:rsidR="00452FB8" w:rsidRDefault="000E73F4" w:rsidP="000E73F4">
      <w:pPr>
        <w:autoSpaceDE w:val="0"/>
        <w:autoSpaceDN w:val="0"/>
        <w:adjustRightInd w:val="0"/>
        <w:spacing w:after="0" w:line="240" w:lineRule="auto"/>
        <w:rPr>
          <w:rFonts w:asciiTheme="majorHAnsi" w:hAnsiTheme="majorHAnsi" w:cstheme="minorHAnsi"/>
          <w:bCs/>
          <w:color w:val="0070C0"/>
          <w:sz w:val="20"/>
          <w:szCs w:val="20"/>
        </w:rPr>
      </w:pPr>
      <w:r w:rsidRPr="000E73F4">
        <w:rPr>
          <w:rFonts w:asciiTheme="majorHAnsi" w:hAnsiTheme="majorHAnsi" w:cstheme="minorHAnsi"/>
          <w:bCs/>
          <w:color w:val="0070C0"/>
          <w:sz w:val="20"/>
          <w:szCs w:val="20"/>
        </w:rPr>
        <w:t xml:space="preserve">As noted above, the ACCF used different data sources for different analyses. The original model was developed and validated using data from 1,043,759 patients undergoing PCI between 2/2008-4/2011 at 1,142 hospitals. </w:t>
      </w:r>
    </w:p>
    <w:p w14:paraId="1D12E685" w14:textId="77777777" w:rsidR="00452FB8" w:rsidRDefault="00452FB8" w:rsidP="000E73F4">
      <w:pPr>
        <w:autoSpaceDE w:val="0"/>
        <w:autoSpaceDN w:val="0"/>
        <w:adjustRightInd w:val="0"/>
        <w:spacing w:after="0" w:line="240" w:lineRule="auto"/>
        <w:rPr>
          <w:rFonts w:asciiTheme="majorHAnsi" w:hAnsiTheme="majorHAnsi" w:cstheme="minorHAnsi"/>
          <w:bCs/>
          <w:color w:val="0070C0"/>
          <w:sz w:val="20"/>
          <w:szCs w:val="20"/>
        </w:rPr>
      </w:pPr>
    </w:p>
    <w:p w14:paraId="1BCDC02D" w14:textId="2D520E56" w:rsidR="000E73F4" w:rsidRPr="000E73F4" w:rsidRDefault="000E73F4" w:rsidP="000E73F4">
      <w:pPr>
        <w:autoSpaceDE w:val="0"/>
        <w:autoSpaceDN w:val="0"/>
        <w:adjustRightInd w:val="0"/>
        <w:spacing w:after="0" w:line="240" w:lineRule="auto"/>
        <w:rPr>
          <w:rFonts w:asciiTheme="majorHAnsi" w:hAnsiTheme="majorHAnsi" w:cstheme="minorHAnsi"/>
          <w:noProof/>
          <w:color w:val="0070C0"/>
          <w:sz w:val="20"/>
          <w:szCs w:val="20"/>
        </w:rPr>
      </w:pPr>
      <w:r w:rsidRPr="00366680">
        <w:rPr>
          <w:rFonts w:asciiTheme="majorHAnsi" w:hAnsiTheme="majorHAnsi" w:cstheme="minorHAnsi"/>
          <w:bCs/>
          <w:color w:val="FF0000"/>
          <w:sz w:val="20"/>
          <w:szCs w:val="20"/>
        </w:rPr>
        <w:t>A reassessment of model performance was performed using all PCI patients enrolled (n=</w:t>
      </w:r>
      <w:r w:rsidR="008F41A6" w:rsidRPr="00366680">
        <w:rPr>
          <w:rFonts w:asciiTheme="majorHAnsi" w:hAnsiTheme="majorHAnsi" w:cstheme="minorHAnsi"/>
          <w:bCs/>
          <w:color w:val="FF0000"/>
          <w:sz w:val="20"/>
          <w:szCs w:val="20"/>
        </w:rPr>
        <w:t>715,510</w:t>
      </w:r>
      <w:r w:rsidRPr="00366680">
        <w:rPr>
          <w:rFonts w:asciiTheme="majorHAnsi" w:hAnsiTheme="majorHAnsi" w:cstheme="minorHAnsi"/>
          <w:bCs/>
          <w:color w:val="FF0000"/>
          <w:sz w:val="20"/>
          <w:szCs w:val="20"/>
        </w:rPr>
        <w:t xml:space="preserve">) in the NCDR </w:t>
      </w:r>
      <w:proofErr w:type="spellStart"/>
      <w:r w:rsidRPr="00366680">
        <w:rPr>
          <w:rFonts w:asciiTheme="majorHAnsi" w:hAnsiTheme="majorHAnsi" w:cstheme="minorHAnsi"/>
          <w:bCs/>
          <w:color w:val="FF0000"/>
          <w:sz w:val="20"/>
          <w:szCs w:val="20"/>
        </w:rPr>
        <w:t>CathPCI</w:t>
      </w:r>
      <w:proofErr w:type="spellEnd"/>
      <w:r w:rsidRPr="00366680">
        <w:rPr>
          <w:rFonts w:asciiTheme="majorHAnsi" w:hAnsiTheme="majorHAnsi" w:cstheme="minorHAnsi"/>
          <w:bCs/>
          <w:color w:val="FF0000"/>
          <w:sz w:val="20"/>
          <w:szCs w:val="20"/>
        </w:rPr>
        <w:t xml:space="preserve"> registry in calendar year </w:t>
      </w:r>
      <w:r w:rsidR="008F41A6" w:rsidRPr="00366680">
        <w:rPr>
          <w:rFonts w:asciiTheme="majorHAnsi" w:hAnsiTheme="majorHAnsi" w:cstheme="minorHAnsi"/>
          <w:bCs/>
          <w:color w:val="FF0000"/>
          <w:sz w:val="20"/>
          <w:szCs w:val="20"/>
        </w:rPr>
        <w:t>2016</w:t>
      </w:r>
      <w:r w:rsidRPr="00366680">
        <w:rPr>
          <w:rFonts w:asciiTheme="majorHAnsi" w:hAnsiTheme="majorHAnsi" w:cstheme="minorHAnsi"/>
          <w:bCs/>
          <w:color w:val="FF0000"/>
          <w:sz w:val="20"/>
          <w:szCs w:val="20"/>
        </w:rPr>
        <w:t xml:space="preserve">. </w:t>
      </w:r>
      <w:r w:rsidR="00F26AD7">
        <w:rPr>
          <w:rFonts w:asciiTheme="majorHAnsi" w:hAnsiTheme="majorHAnsi" w:cstheme="minorHAnsi"/>
          <w:bCs/>
          <w:color w:val="FF0000"/>
          <w:sz w:val="20"/>
          <w:szCs w:val="20"/>
        </w:rPr>
        <w:t>Separately</w:t>
      </w:r>
      <w:r w:rsidR="00366680" w:rsidRPr="00366680">
        <w:rPr>
          <w:rFonts w:asciiTheme="majorHAnsi" w:hAnsiTheme="majorHAnsi" w:cstheme="minorHAnsi"/>
          <w:bCs/>
          <w:color w:val="FF0000"/>
          <w:sz w:val="20"/>
          <w:szCs w:val="20"/>
        </w:rPr>
        <w:t xml:space="preserve">, we identified </w:t>
      </w:r>
      <w:r w:rsidR="00D46D92" w:rsidRPr="00366680">
        <w:rPr>
          <w:rFonts w:asciiTheme="majorHAnsi" w:hAnsiTheme="majorHAnsi" w:cstheme="minorHAnsi"/>
          <w:bCs/>
          <w:color w:val="FF0000"/>
          <w:sz w:val="20"/>
          <w:szCs w:val="20"/>
        </w:rPr>
        <w:t>42,637</w:t>
      </w:r>
      <w:r w:rsidRPr="00366680">
        <w:rPr>
          <w:rFonts w:asciiTheme="majorHAnsi" w:hAnsiTheme="majorHAnsi" w:cstheme="minorHAnsi"/>
          <w:bCs/>
          <w:color w:val="FF0000"/>
          <w:sz w:val="20"/>
          <w:szCs w:val="20"/>
        </w:rPr>
        <w:t xml:space="preserve">patients who underwent 2 PCIs within the </w:t>
      </w:r>
      <w:r w:rsidR="006D2B48" w:rsidRPr="00366680">
        <w:rPr>
          <w:rFonts w:asciiTheme="majorHAnsi" w:hAnsiTheme="majorHAnsi" w:cstheme="minorHAnsi"/>
          <w:bCs/>
          <w:color w:val="FF0000"/>
          <w:sz w:val="20"/>
          <w:szCs w:val="20"/>
        </w:rPr>
        <w:t xml:space="preserve">2016 </w:t>
      </w:r>
      <w:r w:rsidRPr="00366680">
        <w:rPr>
          <w:rFonts w:asciiTheme="majorHAnsi" w:hAnsiTheme="majorHAnsi" w:cstheme="minorHAnsi"/>
          <w:bCs/>
          <w:color w:val="FF0000"/>
          <w:sz w:val="20"/>
          <w:szCs w:val="20"/>
        </w:rPr>
        <w:t xml:space="preserve">calendar year in whom we were able to assess the test-retest reliability of the data elements used to predict patients’ bleeding risks. </w:t>
      </w:r>
    </w:p>
    <w:p w14:paraId="71531807" w14:textId="77777777" w:rsidR="000E73F4" w:rsidRDefault="000E73F4" w:rsidP="00E37E1B">
      <w:pPr>
        <w:autoSpaceDE w:val="0"/>
        <w:autoSpaceDN w:val="0"/>
        <w:adjustRightInd w:val="0"/>
        <w:spacing w:after="0" w:line="240" w:lineRule="auto"/>
        <w:rPr>
          <w:rFonts w:cstheme="minorHAnsi"/>
          <w:bCs/>
        </w:rPr>
      </w:pP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332544">
        <w:rPr>
          <w:rFonts w:cstheme="minorHAnsi"/>
          <w:b/>
          <w:bCs/>
        </w:rPr>
        <w:t>1.8</w:t>
      </w:r>
      <w:r w:rsidRPr="00332544">
        <w:rPr>
          <w:rFonts w:cstheme="minorHAnsi"/>
          <w:bCs/>
        </w:rPr>
        <w:t xml:space="preserve"> </w:t>
      </w:r>
      <w:r w:rsidRPr="00332544">
        <w:rPr>
          <w:rFonts w:cstheme="minorHAnsi"/>
          <w:b/>
          <w:bCs/>
        </w:rPr>
        <w:t xml:space="preserve">What were the </w:t>
      </w:r>
      <w:r w:rsidR="009C7513" w:rsidRPr="00332544">
        <w:rPr>
          <w:rFonts w:cstheme="minorHAnsi"/>
          <w:b/>
          <w:bCs/>
        </w:rPr>
        <w:t>social risk factors</w:t>
      </w:r>
      <w:r w:rsidRPr="00332544">
        <w:rPr>
          <w:rFonts w:cstheme="minorHAnsi"/>
          <w:b/>
          <w:bCs/>
        </w:rPr>
        <w:t xml:space="preserve"> that were available and analyzed</w:t>
      </w:r>
      <w:r w:rsidRPr="00332544">
        <w:rPr>
          <w:rFonts w:cstheme="minorHAnsi"/>
          <w:bCs/>
        </w:rPr>
        <w:t xml:space="preserve">? For example, patient-reported data (e.g., income, education, language), proxy variables when </w:t>
      </w:r>
      <w:r w:rsidR="009C7513" w:rsidRPr="00332544">
        <w:rPr>
          <w:rFonts w:cstheme="minorHAnsi"/>
          <w:bCs/>
        </w:rPr>
        <w:t>social risk</w:t>
      </w:r>
      <w:r w:rsidRPr="00332544">
        <w:rPr>
          <w:rFonts w:cstheme="minorHAnsi"/>
          <w:bCs/>
        </w:rPr>
        <w:t xml:space="preserve"> data are not collected from each patient (e.g. census tract), or patient community characteristics (e.g. percent vacant housing, crime rate)</w:t>
      </w:r>
      <w:r w:rsidR="009C7513" w:rsidRPr="00332544">
        <w:rPr>
          <w:rFonts w:cstheme="minorHAnsi"/>
          <w:bCs/>
        </w:rPr>
        <w:t xml:space="preserve"> which do not have to be a proxy for patient-level data</w:t>
      </w:r>
      <w:r w:rsidRPr="00332544">
        <w:rPr>
          <w:rFonts w:cstheme="minorHAnsi"/>
          <w:bCs/>
        </w:rPr>
        <w:t>.</w:t>
      </w:r>
      <w:r>
        <w:rPr>
          <w:rFonts w:cstheme="minorHAnsi"/>
          <w:bCs/>
        </w:rPr>
        <w:t xml:space="preserve"> </w:t>
      </w:r>
    </w:p>
    <w:p w14:paraId="6DF772DB" w14:textId="77777777" w:rsidR="003049A3" w:rsidRDefault="003049A3" w:rsidP="00E37E1B">
      <w:pPr>
        <w:autoSpaceDE w:val="0"/>
        <w:autoSpaceDN w:val="0"/>
        <w:adjustRightInd w:val="0"/>
        <w:spacing w:after="0" w:line="240" w:lineRule="auto"/>
        <w:rPr>
          <w:rFonts w:cstheme="minorHAnsi"/>
          <w:bCs/>
        </w:rPr>
      </w:pPr>
    </w:p>
    <w:p w14:paraId="48FE4055" w14:textId="77777777" w:rsidR="003049A3" w:rsidRDefault="003049A3" w:rsidP="00E37E1B">
      <w:pPr>
        <w:autoSpaceDE w:val="0"/>
        <w:autoSpaceDN w:val="0"/>
        <w:adjustRightInd w:val="0"/>
        <w:spacing w:after="0" w:line="240" w:lineRule="auto"/>
        <w:rPr>
          <w:rFonts w:cstheme="minorHAnsi"/>
          <w:bCs/>
        </w:rPr>
      </w:pPr>
    </w:p>
    <w:p w14:paraId="217617B6" w14:textId="22CA5C60" w:rsidR="003049A3" w:rsidRPr="00E71029" w:rsidRDefault="003049A3" w:rsidP="003049A3">
      <w:pPr>
        <w:autoSpaceDE w:val="0"/>
        <w:autoSpaceDN w:val="0"/>
        <w:adjustRightInd w:val="0"/>
        <w:spacing w:after="0" w:line="240" w:lineRule="auto"/>
        <w:rPr>
          <w:rFonts w:asciiTheme="majorHAnsi" w:hAnsiTheme="majorHAnsi" w:cstheme="minorHAnsi"/>
          <w:noProof/>
          <w:color w:val="FF0000"/>
          <w:sz w:val="20"/>
          <w:szCs w:val="20"/>
        </w:rPr>
      </w:pPr>
      <w:r w:rsidRPr="00E71029">
        <w:rPr>
          <w:rFonts w:asciiTheme="majorHAnsi" w:hAnsiTheme="majorHAnsi" w:cstheme="minorHAnsi"/>
          <w:noProof/>
          <w:color w:val="FF0000"/>
          <w:sz w:val="20"/>
          <w:szCs w:val="20"/>
        </w:rPr>
        <w:t>Social risk factors were not used in this risk model for the following reasons. First, as a clincial registry used for quality assessment and improvement,</w:t>
      </w:r>
      <w:r w:rsidR="00D27EC5" w:rsidRPr="00E71029">
        <w:rPr>
          <w:rFonts w:asciiTheme="majorHAnsi" w:hAnsiTheme="majorHAnsi" w:cstheme="minorHAnsi"/>
          <w:noProof/>
          <w:color w:val="FF0000"/>
          <w:sz w:val="20"/>
          <w:szCs w:val="20"/>
        </w:rPr>
        <w:t xml:space="preserve"> detailed socioeconomic variables are not available</w:t>
      </w:r>
      <w:r w:rsidRPr="00E71029">
        <w:rPr>
          <w:rFonts w:asciiTheme="majorHAnsi" w:hAnsiTheme="majorHAnsi" w:cstheme="minorHAnsi"/>
          <w:noProof/>
          <w:color w:val="FF0000"/>
          <w:sz w:val="20"/>
          <w:szCs w:val="20"/>
        </w:rPr>
        <w:t xml:space="preserve">. Second, while proxy variables could be considered, these were not felt to be relevant to an inpatient bleeding model, in contrast to a longer-term outcome model where difficulties with access to care, affording medications or cardiac rehabilitation would be more important. Moreover, while it may be true that worse social risk factors might be associated with more severe illness at the time of presentation, we had direct access to detailed clinical variables describing the severity of illness and feel that incorporating such factors (e.g. </w:t>
      </w:r>
      <w:r w:rsidR="007E5541" w:rsidRPr="00E71029">
        <w:rPr>
          <w:rFonts w:asciiTheme="majorHAnsi" w:hAnsiTheme="majorHAnsi" w:cstheme="minorHAnsi"/>
          <w:noProof/>
          <w:color w:val="FF0000"/>
          <w:sz w:val="20"/>
          <w:szCs w:val="20"/>
        </w:rPr>
        <w:t>clinical indication for PCI</w:t>
      </w:r>
      <w:r w:rsidRPr="00E71029">
        <w:rPr>
          <w:rFonts w:asciiTheme="majorHAnsi" w:hAnsiTheme="majorHAnsi" w:cstheme="minorHAnsi"/>
          <w:noProof/>
          <w:color w:val="FF0000"/>
          <w:sz w:val="20"/>
          <w:szCs w:val="20"/>
        </w:rPr>
        <w:t xml:space="preserve">, </w:t>
      </w:r>
      <w:r w:rsidR="007E5541" w:rsidRPr="00E71029">
        <w:rPr>
          <w:rFonts w:asciiTheme="majorHAnsi" w:hAnsiTheme="majorHAnsi" w:cstheme="minorHAnsi"/>
          <w:noProof/>
          <w:color w:val="FF0000"/>
          <w:sz w:val="20"/>
          <w:szCs w:val="20"/>
        </w:rPr>
        <w:t>Hb</w:t>
      </w:r>
      <w:r w:rsidRPr="00E71029">
        <w:rPr>
          <w:rFonts w:asciiTheme="majorHAnsi" w:hAnsiTheme="majorHAnsi" w:cstheme="minorHAnsi"/>
          <w:noProof/>
          <w:color w:val="FF0000"/>
          <w:sz w:val="20"/>
          <w:szCs w:val="20"/>
        </w:rPr>
        <w:t xml:space="preserve">, </w:t>
      </w:r>
      <w:r w:rsidR="007E5541" w:rsidRPr="00E71029">
        <w:rPr>
          <w:rFonts w:asciiTheme="majorHAnsi" w:hAnsiTheme="majorHAnsi" w:cstheme="minorHAnsi"/>
          <w:noProof/>
          <w:color w:val="FF0000"/>
          <w:sz w:val="20"/>
          <w:szCs w:val="20"/>
        </w:rPr>
        <w:t>etc.</w:t>
      </w:r>
      <w:r w:rsidRPr="00E71029">
        <w:rPr>
          <w:rFonts w:asciiTheme="majorHAnsi" w:hAnsiTheme="majorHAnsi" w:cstheme="minorHAnsi"/>
          <w:noProof/>
          <w:color w:val="FF0000"/>
          <w:sz w:val="20"/>
          <w:szCs w:val="20"/>
        </w:rPr>
        <w:t>) is a much more accurate means of stratifying risk. Accordingly, we feel that in this model of in-hospital risk</w:t>
      </w:r>
      <w:r w:rsidR="007E5541" w:rsidRPr="00E71029">
        <w:rPr>
          <w:rFonts w:asciiTheme="majorHAnsi" w:hAnsiTheme="majorHAnsi" w:cstheme="minorHAnsi"/>
          <w:noProof/>
          <w:color w:val="FF0000"/>
          <w:sz w:val="20"/>
          <w:szCs w:val="20"/>
        </w:rPr>
        <w:t>-</w:t>
      </w:r>
      <w:r w:rsidRPr="00E71029">
        <w:rPr>
          <w:rFonts w:asciiTheme="majorHAnsi" w:hAnsiTheme="majorHAnsi" w:cstheme="minorHAnsi"/>
          <w:noProof/>
          <w:color w:val="FF0000"/>
          <w:sz w:val="20"/>
          <w:szCs w:val="20"/>
        </w:rPr>
        <w:t>adj</w:t>
      </w:r>
      <w:r w:rsidR="007E5541" w:rsidRPr="00E71029">
        <w:rPr>
          <w:rFonts w:asciiTheme="majorHAnsi" w:hAnsiTheme="majorHAnsi" w:cstheme="minorHAnsi"/>
          <w:noProof/>
          <w:color w:val="FF0000"/>
          <w:sz w:val="20"/>
          <w:szCs w:val="20"/>
        </w:rPr>
        <w:t>us</w:t>
      </w:r>
      <w:r w:rsidRPr="00E71029">
        <w:rPr>
          <w:rFonts w:asciiTheme="majorHAnsi" w:hAnsiTheme="majorHAnsi" w:cstheme="minorHAnsi"/>
          <w:noProof/>
          <w:color w:val="FF0000"/>
          <w:sz w:val="20"/>
          <w:szCs w:val="20"/>
        </w:rPr>
        <w:t xml:space="preserve">ted bleeding rate, given the rich clinical data available through the NCDR CathPCI registry, that social risk factors, which are not readily available, would not likely </w:t>
      </w:r>
      <w:r w:rsidR="00366680" w:rsidRPr="00E71029">
        <w:rPr>
          <w:rFonts w:asciiTheme="majorHAnsi" w:hAnsiTheme="majorHAnsi" w:cstheme="minorHAnsi"/>
          <w:noProof/>
          <w:color w:val="FF0000"/>
          <w:sz w:val="20"/>
          <w:szCs w:val="20"/>
        </w:rPr>
        <w:t xml:space="preserve"> improve this </w:t>
      </w:r>
      <w:r w:rsidRPr="00E71029">
        <w:rPr>
          <w:rFonts w:asciiTheme="majorHAnsi" w:hAnsiTheme="majorHAnsi" w:cstheme="minorHAnsi"/>
          <w:noProof/>
          <w:color w:val="FF0000"/>
          <w:sz w:val="20"/>
          <w:szCs w:val="20"/>
        </w:rPr>
        <w:t>particular risk model.</w:t>
      </w:r>
      <w:bookmarkStart w:id="12" w:name="_GoBack"/>
      <w:bookmarkEnd w:id="12"/>
    </w:p>
    <w:p w14:paraId="5CF6D19F" w14:textId="77777777" w:rsidR="003049A3" w:rsidRDefault="003049A3"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D7E14EF" w:rsidR="001969C5" w:rsidRDefault="00092566" w:rsidP="008C54A9">
      <w:pPr>
        <w:autoSpaceDE w:val="0"/>
        <w:autoSpaceDN w:val="0"/>
        <w:adjustRightInd w:val="0"/>
        <w:spacing w:after="0" w:line="240" w:lineRule="auto"/>
        <w:rPr>
          <w:rFonts w:cstheme="minorHAnsi"/>
          <w:bCs/>
        </w:rPr>
      </w:pPr>
      <w:r w:rsidRPr="00332544">
        <w:rPr>
          <w:rFonts w:cstheme="minorHAnsi"/>
          <w:b/>
          <w:bCs/>
        </w:rPr>
        <w:t>2a2.1</w:t>
      </w:r>
      <w:r w:rsidR="008C54A9" w:rsidRPr="00332544">
        <w:rPr>
          <w:rFonts w:cstheme="minorHAnsi"/>
          <w:b/>
          <w:bCs/>
        </w:rPr>
        <w:t xml:space="preserve">. </w:t>
      </w:r>
      <w:r w:rsidR="000968F8" w:rsidRPr="00332544">
        <w:rPr>
          <w:rFonts w:cstheme="minorHAnsi"/>
          <w:b/>
          <w:bCs/>
        </w:rPr>
        <w:t>What level of reliability testing was conducted</w:t>
      </w:r>
      <w:r w:rsidR="000574AB" w:rsidRPr="0033254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CB00EE">
        <w:rPr>
          <w:rFonts w:cstheme="minorHAnsi"/>
          <w:b/>
          <w:bCs/>
        </w:rPr>
        <w:t xml:space="preserve">2a2.2. </w:t>
      </w:r>
      <w:r w:rsidR="008C54A9" w:rsidRPr="00CB00EE">
        <w:rPr>
          <w:rFonts w:cstheme="minorHAnsi"/>
          <w:b/>
          <w:bCs/>
        </w:rPr>
        <w:t xml:space="preserve">For each level checked above, describe the method of </w:t>
      </w:r>
      <w:r w:rsidR="000968F8" w:rsidRPr="00CB00EE">
        <w:rPr>
          <w:rFonts w:cstheme="minorHAnsi"/>
          <w:b/>
          <w:bCs/>
        </w:rPr>
        <w:t xml:space="preserve">reliability </w:t>
      </w:r>
      <w:r w:rsidR="008C54A9" w:rsidRPr="00CB00EE">
        <w:rPr>
          <w:rFonts w:cstheme="minorHAnsi"/>
          <w:b/>
          <w:bCs/>
        </w:rPr>
        <w:t>testing and what it tests</w:t>
      </w:r>
      <w:r w:rsidR="008C54A9" w:rsidRPr="00CB00EE">
        <w:rPr>
          <w:rFonts w:cstheme="minorHAnsi"/>
          <w:bCs/>
        </w:rPr>
        <w:t xml:space="preserve"> (</w:t>
      </w:r>
      <w:r w:rsidR="008C54A9" w:rsidRPr="00CB00EE">
        <w:rPr>
          <w:rFonts w:cstheme="minorHAnsi"/>
          <w:bCs/>
          <w:i/>
        </w:rPr>
        <w:t xml:space="preserve">describe the steps―do not just name a method; what </w:t>
      </w:r>
      <w:r w:rsidR="002408E4" w:rsidRPr="00CB00EE">
        <w:rPr>
          <w:rFonts w:cstheme="minorHAnsi"/>
          <w:bCs/>
          <w:i/>
        </w:rPr>
        <w:t>type of erro</w:t>
      </w:r>
      <w:r w:rsidR="007D7019" w:rsidRPr="00CB00EE">
        <w:rPr>
          <w:rFonts w:cstheme="minorHAnsi"/>
          <w:bCs/>
          <w:i/>
        </w:rPr>
        <w:t>r</w:t>
      </w:r>
      <w:r w:rsidR="002408E4" w:rsidRPr="00CB00EE">
        <w:rPr>
          <w:rFonts w:cstheme="minorHAnsi"/>
          <w:bCs/>
          <w:i/>
        </w:rPr>
        <w:t xml:space="preserve"> </w:t>
      </w:r>
      <w:r w:rsidR="008C54A9" w:rsidRPr="00CB00EE">
        <w:rPr>
          <w:rFonts w:cstheme="minorHAnsi"/>
          <w:bCs/>
          <w:i/>
        </w:rPr>
        <w:t>does it test</w:t>
      </w:r>
      <w:r w:rsidR="0022691B" w:rsidRPr="00CB00EE">
        <w:rPr>
          <w:rFonts w:cstheme="minorHAnsi"/>
          <w:bCs/>
          <w:i/>
        </w:rPr>
        <w:t>; what statistical analysis was used</w:t>
      </w:r>
      <w:r w:rsidR="007757CE" w:rsidRPr="00CB00EE">
        <w:rPr>
          <w:rFonts w:cstheme="minorHAnsi"/>
          <w:bCs/>
        </w:rPr>
        <w:t>)</w:t>
      </w:r>
    </w:p>
    <w:p w14:paraId="358B3DBD" w14:textId="77777777" w:rsidR="000E73F4" w:rsidRDefault="000E73F4" w:rsidP="008C54A9">
      <w:pPr>
        <w:autoSpaceDE w:val="0"/>
        <w:autoSpaceDN w:val="0"/>
        <w:adjustRightInd w:val="0"/>
        <w:spacing w:after="0" w:line="240" w:lineRule="auto"/>
        <w:rPr>
          <w:rFonts w:cstheme="minorHAnsi"/>
          <w:bCs/>
        </w:rPr>
      </w:pPr>
    </w:p>
    <w:p w14:paraId="4F91226A" w14:textId="77777777" w:rsidR="006B7C47" w:rsidRDefault="006B7C47" w:rsidP="000E73F4">
      <w:pPr>
        <w:autoSpaceDE w:val="0"/>
        <w:autoSpaceDN w:val="0"/>
        <w:adjustRightInd w:val="0"/>
        <w:spacing w:after="0" w:line="240" w:lineRule="auto"/>
        <w:rPr>
          <w:rFonts w:asciiTheme="majorHAnsi" w:hAnsiTheme="majorHAnsi" w:cstheme="minorHAnsi"/>
          <w:bCs/>
          <w:color w:val="0070C0"/>
          <w:sz w:val="20"/>
          <w:szCs w:val="20"/>
          <w:highlight w:val="yellow"/>
          <w:u w:val="single"/>
        </w:rPr>
      </w:pPr>
    </w:p>
    <w:p w14:paraId="3726B2FE" w14:textId="77777777" w:rsidR="006B7C47" w:rsidRDefault="006B7C47" w:rsidP="000E73F4">
      <w:pPr>
        <w:autoSpaceDE w:val="0"/>
        <w:autoSpaceDN w:val="0"/>
        <w:adjustRightInd w:val="0"/>
        <w:spacing w:after="0" w:line="240" w:lineRule="auto"/>
        <w:rPr>
          <w:rFonts w:asciiTheme="majorHAnsi" w:hAnsiTheme="majorHAnsi" w:cstheme="minorHAnsi"/>
          <w:bCs/>
          <w:color w:val="0070C0"/>
          <w:sz w:val="20"/>
          <w:szCs w:val="20"/>
          <w:highlight w:val="yellow"/>
          <w:u w:val="single"/>
        </w:rPr>
      </w:pPr>
    </w:p>
    <w:p w14:paraId="6BD2E914" w14:textId="760FAB91" w:rsidR="000E73F4" w:rsidRPr="00EA30F4" w:rsidRDefault="006B7C47" w:rsidP="00923D12">
      <w:pPr>
        <w:autoSpaceDE w:val="0"/>
        <w:autoSpaceDN w:val="0"/>
        <w:adjustRightInd w:val="0"/>
        <w:spacing w:after="0" w:line="240" w:lineRule="auto"/>
        <w:outlineLvl w:val="0"/>
        <w:rPr>
          <w:rFonts w:asciiTheme="majorHAnsi" w:hAnsiTheme="majorHAnsi" w:cstheme="minorHAnsi"/>
          <w:bCs/>
          <w:color w:val="FF0000"/>
          <w:sz w:val="20"/>
          <w:szCs w:val="20"/>
          <w:u w:val="single"/>
        </w:rPr>
      </w:pPr>
      <w:r w:rsidRPr="00EA30F4">
        <w:rPr>
          <w:rFonts w:asciiTheme="majorHAnsi" w:hAnsiTheme="majorHAnsi" w:cstheme="minorHAnsi"/>
          <w:bCs/>
          <w:color w:val="FF0000"/>
          <w:sz w:val="20"/>
          <w:szCs w:val="20"/>
          <w:u w:val="single"/>
        </w:rPr>
        <w:t xml:space="preserve">Performance </w:t>
      </w:r>
      <w:r w:rsidR="000E73F4" w:rsidRPr="00EA30F4">
        <w:rPr>
          <w:rFonts w:asciiTheme="majorHAnsi" w:hAnsiTheme="majorHAnsi" w:cstheme="minorHAnsi"/>
          <w:bCs/>
          <w:color w:val="FF0000"/>
          <w:sz w:val="20"/>
          <w:szCs w:val="20"/>
          <w:u w:val="single"/>
        </w:rPr>
        <w:t>Measure Score</w:t>
      </w:r>
      <w:r w:rsidR="009C1193" w:rsidRPr="00EA30F4">
        <w:rPr>
          <w:rFonts w:asciiTheme="majorHAnsi" w:hAnsiTheme="majorHAnsi" w:cstheme="minorHAnsi"/>
          <w:bCs/>
          <w:color w:val="FF0000"/>
          <w:sz w:val="20"/>
          <w:szCs w:val="20"/>
          <w:u w:val="single"/>
        </w:rPr>
        <w:t xml:space="preserve"> (Signal-to-Noise)</w:t>
      </w:r>
      <w:r w:rsidR="000E73F4" w:rsidRPr="00EA30F4">
        <w:rPr>
          <w:rFonts w:asciiTheme="majorHAnsi" w:hAnsiTheme="majorHAnsi" w:cstheme="minorHAnsi"/>
          <w:bCs/>
          <w:color w:val="FF0000"/>
          <w:sz w:val="20"/>
          <w:szCs w:val="20"/>
          <w:u w:val="single"/>
        </w:rPr>
        <w:t>:</w:t>
      </w:r>
    </w:p>
    <w:p w14:paraId="79BB2895" w14:textId="5D2D3F42" w:rsidR="00B90286" w:rsidRDefault="000E73F4" w:rsidP="00B90286">
      <w:pPr>
        <w:rPr>
          <w:color w:val="7030A0"/>
        </w:rPr>
      </w:pPr>
      <w:r w:rsidRPr="00EA30F4">
        <w:rPr>
          <w:rFonts w:asciiTheme="majorHAnsi" w:hAnsiTheme="majorHAnsi"/>
          <w:color w:val="FF0000"/>
          <w:sz w:val="20"/>
          <w:szCs w:val="20"/>
        </w:rPr>
        <w:lastRenderedPageBreak/>
        <w:t xml:space="preserve">ACCF performed </w:t>
      </w:r>
      <w:r w:rsidRPr="00F30A49">
        <w:rPr>
          <w:rFonts w:asciiTheme="majorHAnsi" w:hAnsiTheme="majorHAnsi"/>
          <w:color w:val="FF0000"/>
          <w:sz w:val="20"/>
          <w:szCs w:val="20"/>
        </w:rPr>
        <w:t>the signal-to-noise analysis on the same cohort of individuals as noted under Section 1.3. (</w:t>
      </w:r>
      <w:r w:rsidR="00823822" w:rsidRPr="00F30A49">
        <w:rPr>
          <w:rFonts w:asciiTheme="majorHAnsi" w:hAnsiTheme="majorHAnsi"/>
          <w:color w:val="FF0000"/>
          <w:sz w:val="20"/>
          <w:szCs w:val="20"/>
        </w:rPr>
        <w:t>t</w:t>
      </w:r>
      <w:r w:rsidR="00F26AD7" w:rsidRPr="00443C0C">
        <w:rPr>
          <w:rFonts w:asciiTheme="majorHAnsi" w:hAnsiTheme="majorHAnsi"/>
          <w:color w:val="FF0000"/>
          <w:sz w:val="20"/>
          <w:szCs w:val="20"/>
        </w:rPr>
        <w:t>esting</w:t>
      </w:r>
      <w:r w:rsidR="006203D8" w:rsidRPr="00443C0C">
        <w:rPr>
          <w:rFonts w:asciiTheme="majorHAnsi" w:hAnsiTheme="majorHAnsi"/>
          <w:color w:val="FF0000"/>
          <w:sz w:val="20"/>
          <w:szCs w:val="20"/>
        </w:rPr>
        <w:t xml:space="preserve"> method 2</w:t>
      </w:r>
      <w:r w:rsidRPr="00443C0C">
        <w:rPr>
          <w:rFonts w:asciiTheme="majorHAnsi" w:hAnsiTheme="majorHAnsi"/>
          <w:color w:val="FF0000"/>
          <w:sz w:val="20"/>
          <w:szCs w:val="20"/>
        </w:rPr>
        <w:t xml:space="preserve">). </w:t>
      </w:r>
      <w:r w:rsidR="00B90286" w:rsidRPr="003D3100">
        <w:rPr>
          <w:rFonts w:asciiTheme="majorHAnsi" w:hAnsiTheme="majorHAnsi"/>
          <w:color w:val="FF0000"/>
          <w:sz w:val="20"/>
          <w:szCs w:val="20"/>
        </w:rPr>
        <w:t xml:space="preserve"> </w:t>
      </w:r>
      <w:r w:rsidR="00810DE3" w:rsidRPr="003D3100">
        <w:rPr>
          <w:rFonts w:asciiTheme="majorHAnsi" w:hAnsiTheme="majorHAnsi"/>
          <w:color w:val="FF0000"/>
          <w:sz w:val="20"/>
          <w:szCs w:val="20"/>
        </w:rPr>
        <w:t>For the signal-to-noise analysis, we followed the methodology as outlined in a Rand Corporation technical report</w:t>
      </w:r>
      <w:r w:rsidR="00B90286" w:rsidRPr="003D3100">
        <w:rPr>
          <w:rFonts w:asciiTheme="majorHAnsi" w:hAnsiTheme="majorHAnsi"/>
          <w:color w:val="FF0000"/>
          <w:sz w:val="20"/>
          <w:szCs w:val="20"/>
        </w:rPr>
        <w:t xml:space="preserve"> by John L Adams</w:t>
      </w:r>
      <w:r w:rsidR="00810DE3" w:rsidRPr="003D3100">
        <w:rPr>
          <w:rFonts w:asciiTheme="majorHAnsi" w:hAnsiTheme="majorHAnsi"/>
          <w:color w:val="FF0000"/>
          <w:sz w:val="20"/>
          <w:szCs w:val="20"/>
        </w:rPr>
        <w:t xml:space="preserve">.  The document is available at the following URL </w:t>
      </w:r>
      <w:r w:rsidR="00B90286" w:rsidRPr="003D3100">
        <w:rPr>
          <w:rFonts w:asciiTheme="majorHAnsi" w:hAnsiTheme="majorHAnsi"/>
          <w:color w:val="FF0000"/>
          <w:sz w:val="20"/>
          <w:szCs w:val="20"/>
        </w:rPr>
        <w:t>(</w:t>
      </w:r>
      <w:hyperlink r:id="rId13" w:history="1">
        <w:r w:rsidR="00B90286" w:rsidRPr="003D3100">
          <w:rPr>
            <w:rStyle w:val="Hyperlink"/>
            <w:rFonts w:asciiTheme="majorHAnsi" w:hAnsiTheme="majorHAnsi"/>
            <w:color w:val="FF0000"/>
            <w:sz w:val="20"/>
            <w:szCs w:val="20"/>
          </w:rPr>
          <w:t>https://www.rand.org/content/dam/rand/pubs/technical_reports/2009/RAND_TR653.pdf</w:t>
        </w:r>
      </w:hyperlink>
      <w:r w:rsidR="00B90286" w:rsidRPr="003D3100">
        <w:rPr>
          <w:rFonts w:asciiTheme="majorHAnsi" w:hAnsiTheme="majorHAnsi"/>
          <w:color w:val="FF0000"/>
          <w:sz w:val="20"/>
          <w:szCs w:val="20"/>
        </w:rPr>
        <w:t>).  </w:t>
      </w:r>
      <w:r w:rsidR="00873401" w:rsidRPr="00501BB6">
        <w:rPr>
          <w:rFonts w:asciiTheme="majorHAnsi" w:hAnsiTheme="majorHAnsi"/>
          <w:color w:val="FF0000"/>
          <w:sz w:val="20"/>
          <w:szCs w:val="20"/>
        </w:rPr>
        <w:t xml:space="preserve">This approach uses a beta-binomial model that assumes the physician’s score is a binomial random variable conditional on the physician’s true value that comes from a beta distribution. The beta distribution </w:t>
      </w:r>
      <w:r w:rsidR="00873401" w:rsidRPr="003D3100">
        <w:rPr>
          <w:rFonts w:asciiTheme="majorHAnsi" w:hAnsiTheme="majorHAnsi"/>
          <w:color w:val="FF0000"/>
          <w:sz w:val="20"/>
          <w:szCs w:val="20"/>
        </w:rPr>
        <w:t>is a very flexible distribution on the interval from 0 to 1 and can have any mean within the interval and can be skewed left or right or even U-shaped. It is the most common distribution for probabilities on the 0-1 interval. Signal to Noise analysis for the hospitals participating in 2016 are provided in Table 3.</w:t>
      </w:r>
      <w:r w:rsidR="006C250B">
        <w:rPr>
          <w:rFonts w:asciiTheme="majorHAnsi" w:hAnsiTheme="majorHAnsi"/>
          <w:color w:val="FF0000"/>
          <w:sz w:val="20"/>
          <w:szCs w:val="20"/>
        </w:rPr>
        <w:t xml:space="preserve"> </w:t>
      </w:r>
      <w:r w:rsidR="00810DE3" w:rsidRPr="003D3100">
        <w:rPr>
          <w:rFonts w:asciiTheme="majorHAnsi" w:hAnsiTheme="majorHAnsi"/>
          <w:color w:val="FF0000"/>
          <w:sz w:val="20"/>
          <w:szCs w:val="20"/>
        </w:rPr>
        <w:t>The author</w:t>
      </w:r>
      <w:r w:rsidR="00B90286" w:rsidRPr="003D3100">
        <w:rPr>
          <w:rFonts w:asciiTheme="majorHAnsi" w:hAnsiTheme="majorHAnsi"/>
          <w:color w:val="FF0000"/>
          <w:sz w:val="20"/>
          <w:szCs w:val="20"/>
        </w:rPr>
        <w:t xml:space="preserve"> used a beta-bin</w:t>
      </w:r>
      <w:r w:rsidR="00810DE3" w:rsidRPr="003D3100">
        <w:rPr>
          <w:rFonts w:asciiTheme="majorHAnsi" w:hAnsiTheme="majorHAnsi"/>
          <w:color w:val="FF0000"/>
          <w:sz w:val="20"/>
          <w:szCs w:val="20"/>
        </w:rPr>
        <w:t xml:space="preserve">omial model, </w:t>
      </w:r>
      <w:r w:rsidR="00443C0C" w:rsidRPr="00501BB6">
        <w:rPr>
          <w:rFonts w:asciiTheme="majorHAnsi" w:hAnsiTheme="majorHAnsi"/>
          <w:color w:val="FF0000"/>
          <w:sz w:val="20"/>
          <w:szCs w:val="20"/>
        </w:rPr>
        <w:t>specifically</w:t>
      </w:r>
      <w:r w:rsidR="00B90286" w:rsidRPr="003D3100">
        <w:rPr>
          <w:rFonts w:asciiTheme="majorHAnsi" w:hAnsiTheme="majorHAnsi"/>
          <w:color w:val="FF0000"/>
          <w:sz w:val="20"/>
          <w:szCs w:val="20"/>
        </w:rPr>
        <w:t xml:space="preserve"> the </w:t>
      </w:r>
      <w:proofErr w:type="spellStart"/>
      <w:r w:rsidR="00810DE3" w:rsidRPr="003D3100">
        <w:rPr>
          <w:rFonts w:asciiTheme="majorHAnsi" w:hAnsiTheme="majorHAnsi"/>
          <w:color w:val="FF0000"/>
          <w:sz w:val="20"/>
          <w:szCs w:val="20"/>
        </w:rPr>
        <w:t>Betabin</w:t>
      </w:r>
      <w:proofErr w:type="spellEnd"/>
      <w:r w:rsidR="00810DE3" w:rsidRPr="003D3100">
        <w:rPr>
          <w:rFonts w:asciiTheme="majorHAnsi" w:hAnsiTheme="majorHAnsi"/>
          <w:color w:val="FF0000"/>
          <w:sz w:val="20"/>
          <w:szCs w:val="20"/>
        </w:rPr>
        <w:t xml:space="preserve"> SAS macro </w:t>
      </w:r>
      <w:r w:rsidR="00B90286" w:rsidRPr="003D3100">
        <w:rPr>
          <w:rFonts w:asciiTheme="majorHAnsi" w:hAnsiTheme="majorHAnsi"/>
          <w:color w:val="FF0000"/>
          <w:sz w:val="20"/>
          <w:szCs w:val="20"/>
        </w:rPr>
        <w:t>to output the required parameters in the reliability formula provided.</w:t>
      </w:r>
    </w:p>
    <w:p w14:paraId="1544A3B9" w14:textId="713C27AB" w:rsidR="000E73F4" w:rsidRPr="00EA30F4" w:rsidRDefault="000E73F4" w:rsidP="000E73F4">
      <w:pPr>
        <w:contextualSpacing/>
        <w:rPr>
          <w:rFonts w:asciiTheme="majorHAnsi" w:hAnsiTheme="majorHAnsi"/>
          <w:color w:val="FF0000"/>
          <w:sz w:val="20"/>
          <w:szCs w:val="20"/>
        </w:rPr>
      </w:pPr>
    </w:p>
    <w:p w14:paraId="0549A2A3" w14:textId="77777777" w:rsidR="000E73F4" w:rsidRPr="000E73F4" w:rsidRDefault="000E73F4" w:rsidP="000E73F4">
      <w:pPr>
        <w:contextualSpacing/>
        <w:rPr>
          <w:rFonts w:asciiTheme="majorHAnsi" w:hAnsiTheme="majorHAnsi"/>
          <w:color w:val="0070C0"/>
          <w:sz w:val="20"/>
          <w:szCs w:val="20"/>
          <w:u w:val="single"/>
        </w:rPr>
      </w:pPr>
    </w:p>
    <w:p w14:paraId="74F1040E" w14:textId="53349E7B" w:rsidR="000E73F4" w:rsidRPr="00F2769B" w:rsidRDefault="000E73F4" w:rsidP="00923D12">
      <w:pPr>
        <w:contextualSpacing/>
        <w:outlineLvl w:val="0"/>
        <w:rPr>
          <w:rFonts w:asciiTheme="majorHAnsi" w:hAnsiTheme="majorHAnsi"/>
          <w:color w:val="FF0000"/>
          <w:sz w:val="20"/>
          <w:szCs w:val="20"/>
          <w:u w:val="single"/>
        </w:rPr>
      </w:pPr>
      <w:r w:rsidRPr="00F2769B">
        <w:rPr>
          <w:rFonts w:asciiTheme="majorHAnsi" w:hAnsiTheme="majorHAnsi"/>
          <w:color w:val="FF0000"/>
          <w:sz w:val="20"/>
          <w:szCs w:val="20"/>
          <w:u w:val="single"/>
        </w:rPr>
        <w:t>Data Element</w:t>
      </w:r>
      <w:r w:rsidR="009C1193" w:rsidRPr="00F2769B">
        <w:rPr>
          <w:rFonts w:asciiTheme="majorHAnsi" w:hAnsiTheme="majorHAnsi"/>
          <w:color w:val="FF0000"/>
          <w:sz w:val="20"/>
          <w:szCs w:val="20"/>
          <w:u w:val="single"/>
        </w:rPr>
        <w:t xml:space="preserve"> (Test-Retest Reliability)</w:t>
      </w:r>
      <w:r w:rsidRPr="00F2769B">
        <w:rPr>
          <w:rFonts w:asciiTheme="majorHAnsi" w:hAnsiTheme="majorHAnsi"/>
          <w:color w:val="FF0000"/>
          <w:sz w:val="20"/>
          <w:szCs w:val="20"/>
          <w:u w:val="single"/>
        </w:rPr>
        <w:t>:</w:t>
      </w:r>
    </w:p>
    <w:p w14:paraId="5D3579CE" w14:textId="2F225643" w:rsidR="000E73F4" w:rsidRPr="00F2769B" w:rsidRDefault="000E73F4" w:rsidP="000E73F4">
      <w:pPr>
        <w:autoSpaceDE w:val="0"/>
        <w:autoSpaceDN w:val="0"/>
        <w:adjustRightInd w:val="0"/>
        <w:spacing w:after="0" w:line="240" w:lineRule="auto"/>
        <w:contextualSpacing/>
        <w:rPr>
          <w:rFonts w:asciiTheme="majorHAnsi" w:hAnsiTheme="majorHAnsi" w:cstheme="minorHAnsi"/>
          <w:bCs/>
          <w:color w:val="FF0000"/>
          <w:sz w:val="20"/>
          <w:szCs w:val="20"/>
        </w:rPr>
      </w:pPr>
      <w:r w:rsidRPr="00F2769B">
        <w:rPr>
          <w:rFonts w:asciiTheme="majorHAnsi" w:hAnsiTheme="majorHAnsi" w:cstheme="minorHAnsi"/>
          <w:bCs/>
          <w:color w:val="FF0000"/>
          <w:sz w:val="20"/>
          <w:szCs w:val="20"/>
        </w:rPr>
        <w:t xml:space="preserve">ACCF evaluated the test-retest reliability by reviewing </w:t>
      </w:r>
      <w:proofErr w:type="spellStart"/>
      <w:r w:rsidRPr="00F2769B">
        <w:rPr>
          <w:rFonts w:asciiTheme="majorHAnsi" w:hAnsiTheme="majorHAnsi" w:cstheme="minorHAnsi"/>
          <w:bCs/>
          <w:color w:val="FF0000"/>
          <w:sz w:val="20"/>
          <w:szCs w:val="20"/>
        </w:rPr>
        <w:t>CathPCI</w:t>
      </w:r>
      <w:proofErr w:type="spellEnd"/>
      <w:r w:rsidRPr="00F2769B">
        <w:rPr>
          <w:rFonts w:asciiTheme="majorHAnsi" w:hAnsiTheme="majorHAnsi" w:cstheme="minorHAnsi"/>
          <w:bCs/>
          <w:color w:val="FF0000"/>
          <w:sz w:val="20"/>
          <w:szCs w:val="20"/>
        </w:rPr>
        <w:t xml:space="preserve"> patients who were readmitted or had a repeat procedure in </w:t>
      </w:r>
      <w:r w:rsidR="00810677" w:rsidRPr="00F2769B">
        <w:rPr>
          <w:rFonts w:asciiTheme="majorHAnsi" w:hAnsiTheme="majorHAnsi" w:cstheme="minorHAnsi"/>
          <w:bCs/>
          <w:color w:val="FF0000"/>
          <w:sz w:val="20"/>
          <w:szCs w:val="20"/>
        </w:rPr>
        <w:t>2016</w:t>
      </w:r>
      <w:r w:rsidRPr="00F2769B">
        <w:rPr>
          <w:rFonts w:asciiTheme="majorHAnsi" w:hAnsiTheme="majorHAnsi" w:cstheme="minorHAnsi"/>
          <w:bCs/>
          <w:color w:val="FF0000"/>
          <w:sz w:val="20"/>
          <w:szCs w:val="20"/>
        </w:rPr>
        <w:t>. This approach enabled us to examine 2 independent abstractions of data for the same patient. For certain characteristics that would not change (e.g. gender), we would expect near perfect reproducibility. For other characteristics (e.g. diabetes) we would expect that any patient diagnosed with diabetes on the first visit should also have diabetes recorded on the second visit. It is, however, clinically plausible that someone could be diagnosed with diabetes between their first and second visit, so the emergence of diabetes on the second visit is not necessarily an ‘error’ and no interpretation is made for these scenarios.</w:t>
      </w:r>
    </w:p>
    <w:p w14:paraId="678EC341" w14:textId="77777777" w:rsidR="000E73F4" w:rsidRPr="000E73F4" w:rsidRDefault="000E73F4" w:rsidP="000E73F4">
      <w:pPr>
        <w:autoSpaceDE w:val="0"/>
        <w:autoSpaceDN w:val="0"/>
        <w:adjustRightInd w:val="0"/>
        <w:spacing w:after="0" w:line="240" w:lineRule="auto"/>
        <w:contextualSpacing/>
        <w:rPr>
          <w:rFonts w:asciiTheme="majorHAnsi" w:hAnsiTheme="majorHAnsi" w:cstheme="minorHAnsi"/>
          <w:bCs/>
          <w:color w:val="0070C0"/>
          <w:sz w:val="20"/>
          <w:szCs w:val="20"/>
        </w:rPr>
      </w:pPr>
    </w:p>
    <w:p w14:paraId="1C509C5F" w14:textId="77777777" w:rsidR="000E73F4" w:rsidRDefault="000E73F4" w:rsidP="008C54A9">
      <w:pPr>
        <w:autoSpaceDE w:val="0"/>
        <w:autoSpaceDN w:val="0"/>
        <w:adjustRightInd w:val="0"/>
        <w:spacing w:after="0" w:line="240" w:lineRule="auto"/>
        <w:rPr>
          <w:rFonts w:cstheme="minorHAnsi"/>
          <w:bCs/>
        </w:rPr>
      </w:pPr>
    </w:p>
    <w:p w14:paraId="17905C0F" w14:textId="77777777" w:rsidR="000E73F4" w:rsidRPr="00DB0E3E" w:rsidRDefault="000E73F4" w:rsidP="00923D12">
      <w:pPr>
        <w:autoSpaceDE w:val="0"/>
        <w:autoSpaceDN w:val="0"/>
        <w:adjustRightInd w:val="0"/>
        <w:spacing w:after="0" w:line="240" w:lineRule="auto"/>
        <w:outlineLvl w:val="0"/>
        <w:rPr>
          <w:rFonts w:asciiTheme="majorHAnsi" w:hAnsiTheme="majorHAnsi" w:cstheme="minorHAnsi"/>
          <w:b/>
          <w:bCs/>
          <w:i/>
          <w:color w:val="FF0000"/>
          <w:sz w:val="20"/>
          <w:szCs w:val="20"/>
          <w:u w:val="single"/>
        </w:rPr>
      </w:pPr>
      <w:r w:rsidRPr="00DB0E3E">
        <w:rPr>
          <w:rFonts w:asciiTheme="majorHAnsi" w:hAnsiTheme="majorHAnsi" w:cstheme="minorHAnsi"/>
          <w:b/>
          <w:bCs/>
          <w:i/>
          <w:color w:val="FF0000"/>
          <w:sz w:val="20"/>
          <w:szCs w:val="20"/>
          <w:u w:val="single"/>
        </w:rPr>
        <w:t>Signal to Noise Analysis:</w:t>
      </w:r>
    </w:p>
    <w:p w14:paraId="18285AE2" w14:textId="2D96E129" w:rsidR="000E73F4" w:rsidRPr="00DB0E3E" w:rsidRDefault="000E73F4" w:rsidP="00923D12">
      <w:pPr>
        <w:autoSpaceDE w:val="0"/>
        <w:autoSpaceDN w:val="0"/>
        <w:adjustRightInd w:val="0"/>
        <w:spacing w:after="0" w:line="240" w:lineRule="auto"/>
        <w:outlineLvl w:val="0"/>
        <w:rPr>
          <w:rFonts w:asciiTheme="majorHAnsi" w:hAnsiTheme="majorHAnsi" w:cstheme="minorHAnsi"/>
          <w:bCs/>
          <w:color w:val="FF0000"/>
          <w:sz w:val="20"/>
          <w:szCs w:val="20"/>
        </w:rPr>
      </w:pPr>
      <w:r w:rsidRPr="00DB0E3E">
        <w:rPr>
          <w:rFonts w:asciiTheme="majorHAnsi" w:hAnsiTheme="majorHAnsi" w:cstheme="minorHAnsi"/>
          <w:bCs/>
          <w:color w:val="FF0000"/>
          <w:sz w:val="20"/>
          <w:szCs w:val="20"/>
        </w:rPr>
        <w:t>Signal to Noise analysis for the hospitals</w:t>
      </w:r>
      <w:r w:rsidR="00182B22" w:rsidRPr="00DB0E3E">
        <w:rPr>
          <w:rFonts w:asciiTheme="majorHAnsi" w:hAnsiTheme="majorHAnsi" w:cstheme="minorHAnsi"/>
          <w:bCs/>
          <w:color w:val="FF0000"/>
          <w:sz w:val="20"/>
          <w:szCs w:val="20"/>
        </w:rPr>
        <w:t xml:space="preserve"> participating in 2016</w:t>
      </w:r>
      <w:r w:rsidRPr="00DB0E3E">
        <w:rPr>
          <w:rFonts w:asciiTheme="majorHAnsi" w:hAnsiTheme="majorHAnsi" w:cstheme="minorHAnsi"/>
          <w:bCs/>
          <w:color w:val="FF0000"/>
          <w:sz w:val="20"/>
          <w:szCs w:val="20"/>
        </w:rPr>
        <w:t xml:space="preserve"> are </w:t>
      </w:r>
      <w:r w:rsidR="00182B22" w:rsidRPr="00DB0E3E">
        <w:rPr>
          <w:rFonts w:asciiTheme="majorHAnsi" w:hAnsiTheme="majorHAnsi" w:cstheme="minorHAnsi"/>
          <w:bCs/>
          <w:color w:val="FF0000"/>
          <w:sz w:val="20"/>
          <w:szCs w:val="20"/>
        </w:rPr>
        <w:t xml:space="preserve">provided in </w:t>
      </w:r>
      <w:r w:rsidRPr="00DB0E3E">
        <w:rPr>
          <w:rFonts w:asciiTheme="majorHAnsi" w:hAnsiTheme="majorHAnsi" w:cstheme="minorHAnsi"/>
          <w:bCs/>
          <w:color w:val="FF0000"/>
          <w:sz w:val="20"/>
          <w:szCs w:val="20"/>
        </w:rPr>
        <w:t>Table 4.</w:t>
      </w:r>
    </w:p>
    <w:p w14:paraId="5F3342C0" w14:textId="77777777" w:rsidR="000E73F4" w:rsidRPr="00DB0E3E" w:rsidRDefault="000E73F4" w:rsidP="000E73F4">
      <w:pPr>
        <w:autoSpaceDE w:val="0"/>
        <w:autoSpaceDN w:val="0"/>
        <w:adjustRightInd w:val="0"/>
        <w:spacing w:after="0" w:line="240" w:lineRule="auto"/>
        <w:rPr>
          <w:rFonts w:asciiTheme="majorHAnsi" w:hAnsiTheme="majorHAnsi" w:cstheme="minorHAnsi"/>
          <w:b/>
          <w:bCs/>
          <w:i/>
          <w:color w:val="FF0000"/>
          <w:sz w:val="20"/>
          <w:szCs w:val="20"/>
          <w:u w:val="single"/>
        </w:rPr>
      </w:pPr>
    </w:p>
    <w:p w14:paraId="4C94B7DC" w14:textId="77777777" w:rsidR="000E73F4" w:rsidRPr="00DB0E3E" w:rsidRDefault="000E73F4" w:rsidP="00923D12">
      <w:pPr>
        <w:pStyle w:val="Caption"/>
        <w:keepNext/>
        <w:outlineLvl w:val="0"/>
        <w:rPr>
          <w:rFonts w:asciiTheme="majorHAnsi" w:hAnsiTheme="majorHAnsi"/>
          <w:color w:val="FF0000"/>
          <w:sz w:val="20"/>
          <w:szCs w:val="20"/>
        </w:rPr>
      </w:pPr>
      <w:r w:rsidRPr="00DB0E3E">
        <w:rPr>
          <w:rFonts w:asciiTheme="majorHAnsi" w:hAnsiTheme="majorHAnsi"/>
          <w:color w:val="FF0000"/>
          <w:sz w:val="20"/>
          <w:szCs w:val="20"/>
        </w:rPr>
        <w:t xml:space="preserve">Table </w:t>
      </w:r>
      <w:r w:rsidRPr="00DB0E3E">
        <w:rPr>
          <w:rFonts w:asciiTheme="majorHAnsi" w:hAnsiTheme="majorHAnsi"/>
          <w:color w:val="FF0000"/>
          <w:sz w:val="20"/>
          <w:szCs w:val="20"/>
        </w:rPr>
        <w:fldChar w:fldCharType="begin"/>
      </w:r>
      <w:r w:rsidRPr="00DB0E3E">
        <w:rPr>
          <w:rFonts w:asciiTheme="majorHAnsi" w:hAnsiTheme="majorHAnsi"/>
          <w:color w:val="FF0000"/>
          <w:sz w:val="20"/>
          <w:szCs w:val="20"/>
        </w:rPr>
        <w:instrText xml:space="preserve"> SEQ Table \* ARABIC </w:instrText>
      </w:r>
      <w:r w:rsidRPr="00DB0E3E">
        <w:rPr>
          <w:rFonts w:asciiTheme="majorHAnsi" w:hAnsiTheme="majorHAnsi"/>
          <w:color w:val="FF0000"/>
          <w:sz w:val="20"/>
          <w:szCs w:val="20"/>
        </w:rPr>
        <w:fldChar w:fldCharType="separate"/>
      </w:r>
      <w:r w:rsidR="00452FB8">
        <w:rPr>
          <w:rFonts w:asciiTheme="majorHAnsi" w:hAnsiTheme="majorHAnsi"/>
          <w:noProof/>
          <w:color w:val="FF0000"/>
          <w:sz w:val="20"/>
          <w:szCs w:val="20"/>
        </w:rPr>
        <w:t>3</w:t>
      </w:r>
      <w:r w:rsidRPr="00DB0E3E">
        <w:rPr>
          <w:rFonts w:asciiTheme="majorHAnsi" w:hAnsiTheme="majorHAnsi"/>
          <w:color w:val="FF0000"/>
          <w:sz w:val="20"/>
          <w:szCs w:val="20"/>
        </w:rPr>
        <w:fldChar w:fldCharType="end"/>
      </w:r>
      <w:r w:rsidRPr="00DB0E3E">
        <w:rPr>
          <w:rFonts w:asciiTheme="majorHAnsi" w:hAnsiTheme="majorHAnsi"/>
          <w:color w:val="FF0000"/>
          <w:sz w:val="20"/>
          <w:szCs w:val="20"/>
        </w:rPr>
        <w:t>. Signal to Noise Analysis</w:t>
      </w: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8"/>
        <w:gridCol w:w="1638"/>
      </w:tblGrid>
      <w:tr w:rsidR="003965EC" w:rsidRPr="00DB0E3E" w14:paraId="4CF5C578" w14:textId="77777777" w:rsidTr="000E73F4">
        <w:trPr>
          <w:trHeight w:val="367"/>
        </w:trPr>
        <w:tc>
          <w:tcPr>
            <w:tcW w:w="2888" w:type="dxa"/>
          </w:tcPr>
          <w:p w14:paraId="005E5349" w14:textId="77777777" w:rsidR="000E73F4" w:rsidRPr="00DB0E3E" w:rsidRDefault="000E73F4" w:rsidP="000E73F4">
            <w:pPr>
              <w:rPr>
                <w:rFonts w:asciiTheme="majorHAnsi" w:hAnsiTheme="majorHAnsi"/>
                <w:color w:val="FF0000"/>
                <w:sz w:val="20"/>
                <w:szCs w:val="20"/>
              </w:rPr>
            </w:pPr>
            <w:r w:rsidRPr="00DB0E3E">
              <w:rPr>
                <w:rFonts w:asciiTheme="majorHAnsi" w:hAnsiTheme="majorHAnsi"/>
                <w:color w:val="FF0000"/>
                <w:sz w:val="20"/>
                <w:szCs w:val="20"/>
              </w:rPr>
              <w:t>Level</w:t>
            </w:r>
          </w:p>
        </w:tc>
        <w:tc>
          <w:tcPr>
            <w:tcW w:w="1638" w:type="dxa"/>
          </w:tcPr>
          <w:p w14:paraId="3DADBB43" w14:textId="77777777" w:rsidR="000E73F4" w:rsidRPr="00DB0E3E" w:rsidRDefault="000E73F4" w:rsidP="000E73F4">
            <w:pPr>
              <w:rPr>
                <w:rFonts w:asciiTheme="majorHAnsi" w:hAnsiTheme="majorHAnsi"/>
                <w:color w:val="FF0000"/>
                <w:sz w:val="20"/>
                <w:szCs w:val="20"/>
              </w:rPr>
            </w:pPr>
            <w:r w:rsidRPr="00DB0E3E">
              <w:rPr>
                <w:rFonts w:asciiTheme="majorHAnsi" w:hAnsiTheme="majorHAnsi"/>
                <w:color w:val="FF0000"/>
                <w:sz w:val="20"/>
                <w:szCs w:val="20"/>
              </w:rPr>
              <w:t>Signal-to-Noise</w:t>
            </w:r>
          </w:p>
        </w:tc>
      </w:tr>
      <w:tr w:rsidR="003965EC" w:rsidRPr="00DB0E3E" w14:paraId="74226166" w14:textId="77777777" w:rsidTr="000E73F4">
        <w:trPr>
          <w:trHeight w:val="425"/>
        </w:trPr>
        <w:tc>
          <w:tcPr>
            <w:tcW w:w="2888" w:type="dxa"/>
          </w:tcPr>
          <w:p w14:paraId="0BA56370" w14:textId="2AC29434" w:rsidR="000E73F4" w:rsidRPr="00DB0E3E" w:rsidRDefault="000E73F4" w:rsidP="00B90286">
            <w:pPr>
              <w:rPr>
                <w:rFonts w:asciiTheme="majorHAnsi" w:hAnsiTheme="majorHAnsi"/>
                <w:color w:val="FF0000"/>
                <w:sz w:val="20"/>
                <w:szCs w:val="20"/>
              </w:rPr>
            </w:pPr>
            <w:r w:rsidRPr="00DB0E3E">
              <w:rPr>
                <w:rFonts w:asciiTheme="majorHAnsi" w:hAnsiTheme="majorHAnsi"/>
                <w:color w:val="FF0000"/>
                <w:sz w:val="20"/>
                <w:szCs w:val="20"/>
              </w:rPr>
              <w:t>All</w:t>
            </w:r>
            <w:r w:rsidR="00E71029">
              <w:rPr>
                <w:rFonts w:asciiTheme="majorHAnsi" w:hAnsiTheme="majorHAnsi"/>
                <w:color w:val="FF0000"/>
                <w:sz w:val="20"/>
                <w:szCs w:val="20"/>
              </w:rPr>
              <w:t xml:space="preserve"> </w:t>
            </w:r>
            <w:r w:rsidRPr="00DB0E3E">
              <w:rPr>
                <w:rFonts w:asciiTheme="majorHAnsi" w:hAnsiTheme="majorHAnsi"/>
                <w:color w:val="FF0000"/>
                <w:sz w:val="20"/>
                <w:szCs w:val="20"/>
              </w:rPr>
              <w:t>Procedures</w:t>
            </w:r>
          </w:p>
        </w:tc>
        <w:tc>
          <w:tcPr>
            <w:tcW w:w="1638" w:type="dxa"/>
          </w:tcPr>
          <w:p w14:paraId="62E4872B" w14:textId="08DDF654" w:rsidR="000E73F4" w:rsidRPr="00DB0E3E" w:rsidRDefault="000E73F4" w:rsidP="00893401">
            <w:pPr>
              <w:rPr>
                <w:rFonts w:asciiTheme="majorHAnsi" w:hAnsiTheme="majorHAnsi"/>
                <w:color w:val="FF0000"/>
                <w:sz w:val="20"/>
                <w:szCs w:val="20"/>
              </w:rPr>
            </w:pPr>
            <w:r w:rsidRPr="00DB0E3E">
              <w:rPr>
                <w:rFonts w:asciiTheme="majorHAnsi" w:hAnsiTheme="majorHAnsi"/>
                <w:color w:val="FF0000"/>
                <w:sz w:val="20"/>
                <w:szCs w:val="20"/>
              </w:rPr>
              <w:t>.</w:t>
            </w:r>
            <w:r w:rsidR="00120C69" w:rsidRPr="00DB0E3E">
              <w:rPr>
                <w:rFonts w:asciiTheme="majorHAnsi" w:hAnsiTheme="majorHAnsi"/>
                <w:color w:val="FF0000"/>
                <w:sz w:val="20"/>
                <w:szCs w:val="20"/>
              </w:rPr>
              <w:t>7</w:t>
            </w:r>
            <w:r w:rsidR="00893401" w:rsidRPr="00DB0E3E">
              <w:rPr>
                <w:rFonts w:asciiTheme="majorHAnsi" w:hAnsiTheme="majorHAnsi"/>
                <w:color w:val="FF0000"/>
                <w:sz w:val="20"/>
                <w:szCs w:val="20"/>
              </w:rPr>
              <w:t>43</w:t>
            </w:r>
          </w:p>
        </w:tc>
      </w:tr>
      <w:tr w:rsidR="003965EC" w:rsidRPr="00DB0E3E" w14:paraId="1B2CD983" w14:textId="77777777" w:rsidTr="000E73F4">
        <w:trPr>
          <w:trHeight w:val="475"/>
        </w:trPr>
        <w:tc>
          <w:tcPr>
            <w:tcW w:w="2888" w:type="dxa"/>
          </w:tcPr>
          <w:p w14:paraId="65FF6BA8" w14:textId="77777777" w:rsidR="000E73F4" w:rsidRPr="00DB0E3E" w:rsidRDefault="000E73F4" w:rsidP="000E73F4">
            <w:pPr>
              <w:rPr>
                <w:rFonts w:asciiTheme="majorHAnsi" w:hAnsiTheme="majorHAnsi"/>
                <w:color w:val="FF0000"/>
                <w:sz w:val="20"/>
                <w:szCs w:val="20"/>
              </w:rPr>
            </w:pPr>
            <w:r w:rsidRPr="00DB0E3E">
              <w:rPr>
                <w:rFonts w:asciiTheme="majorHAnsi" w:hAnsiTheme="majorHAnsi"/>
                <w:color w:val="FF0000"/>
                <w:sz w:val="20"/>
                <w:szCs w:val="20"/>
              </w:rPr>
              <w:t>&gt;Q1 (&gt;185 Procedures)</w:t>
            </w:r>
          </w:p>
        </w:tc>
        <w:tc>
          <w:tcPr>
            <w:tcW w:w="1638" w:type="dxa"/>
          </w:tcPr>
          <w:p w14:paraId="12D1F190" w14:textId="463FA944" w:rsidR="000E73F4" w:rsidRPr="00DB0E3E" w:rsidRDefault="000E73F4" w:rsidP="00893401">
            <w:pPr>
              <w:rPr>
                <w:rFonts w:asciiTheme="majorHAnsi" w:hAnsiTheme="majorHAnsi"/>
                <w:color w:val="FF0000"/>
                <w:sz w:val="20"/>
                <w:szCs w:val="20"/>
              </w:rPr>
            </w:pPr>
            <w:r w:rsidRPr="00DB0E3E">
              <w:rPr>
                <w:rFonts w:asciiTheme="majorHAnsi" w:hAnsiTheme="majorHAnsi"/>
                <w:color w:val="FF0000"/>
                <w:sz w:val="20"/>
                <w:szCs w:val="20"/>
              </w:rPr>
              <w:t>.</w:t>
            </w:r>
            <w:r w:rsidR="00893401" w:rsidRPr="00DB0E3E">
              <w:rPr>
                <w:rFonts w:asciiTheme="majorHAnsi" w:hAnsiTheme="majorHAnsi"/>
                <w:color w:val="FF0000"/>
                <w:sz w:val="20"/>
                <w:szCs w:val="20"/>
              </w:rPr>
              <w:t>706</w:t>
            </w:r>
          </w:p>
        </w:tc>
      </w:tr>
      <w:tr w:rsidR="003965EC" w:rsidRPr="00DB0E3E" w14:paraId="0E90F053" w14:textId="77777777" w:rsidTr="000E73F4">
        <w:trPr>
          <w:trHeight w:val="467"/>
        </w:trPr>
        <w:tc>
          <w:tcPr>
            <w:tcW w:w="2888" w:type="dxa"/>
          </w:tcPr>
          <w:p w14:paraId="22A132E9" w14:textId="77777777" w:rsidR="000E73F4" w:rsidRPr="00DB0E3E" w:rsidRDefault="000E73F4" w:rsidP="000E73F4">
            <w:pPr>
              <w:rPr>
                <w:rFonts w:asciiTheme="majorHAnsi" w:hAnsiTheme="majorHAnsi"/>
                <w:color w:val="FF0000"/>
                <w:sz w:val="20"/>
                <w:szCs w:val="20"/>
              </w:rPr>
            </w:pPr>
            <w:r w:rsidRPr="00DB0E3E">
              <w:rPr>
                <w:rFonts w:asciiTheme="majorHAnsi" w:hAnsiTheme="majorHAnsi"/>
                <w:color w:val="FF0000"/>
                <w:sz w:val="20"/>
                <w:szCs w:val="20"/>
              </w:rPr>
              <w:t>&gt;Q2 (&gt;360 Procedures)</w:t>
            </w:r>
          </w:p>
        </w:tc>
        <w:tc>
          <w:tcPr>
            <w:tcW w:w="1638" w:type="dxa"/>
          </w:tcPr>
          <w:p w14:paraId="1D2AD097" w14:textId="134D6AC0" w:rsidR="000E73F4" w:rsidRPr="00DB0E3E" w:rsidRDefault="000E73F4" w:rsidP="00893401">
            <w:pPr>
              <w:rPr>
                <w:rFonts w:asciiTheme="majorHAnsi" w:hAnsiTheme="majorHAnsi"/>
                <w:color w:val="FF0000"/>
                <w:sz w:val="20"/>
                <w:szCs w:val="20"/>
              </w:rPr>
            </w:pPr>
            <w:r w:rsidRPr="00DB0E3E">
              <w:rPr>
                <w:rFonts w:asciiTheme="majorHAnsi" w:hAnsiTheme="majorHAnsi"/>
                <w:color w:val="FF0000"/>
                <w:sz w:val="20"/>
                <w:szCs w:val="20"/>
              </w:rPr>
              <w:t>.</w:t>
            </w:r>
            <w:r w:rsidR="00893401" w:rsidRPr="00DB0E3E">
              <w:rPr>
                <w:rFonts w:asciiTheme="majorHAnsi" w:hAnsiTheme="majorHAnsi"/>
                <w:color w:val="FF0000"/>
                <w:sz w:val="20"/>
                <w:szCs w:val="20"/>
              </w:rPr>
              <w:t>760</w:t>
            </w:r>
          </w:p>
        </w:tc>
      </w:tr>
      <w:tr w:rsidR="003965EC" w:rsidRPr="00DB0E3E" w14:paraId="0F2539B5" w14:textId="77777777" w:rsidTr="000E73F4">
        <w:trPr>
          <w:trHeight w:val="417"/>
        </w:trPr>
        <w:tc>
          <w:tcPr>
            <w:tcW w:w="2888" w:type="dxa"/>
          </w:tcPr>
          <w:p w14:paraId="69604DDB" w14:textId="77777777" w:rsidR="000E73F4" w:rsidRPr="00DB0E3E" w:rsidRDefault="000E73F4" w:rsidP="000E73F4">
            <w:pPr>
              <w:rPr>
                <w:rFonts w:asciiTheme="majorHAnsi" w:hAnsiTheme="majorHAnsi"/>
                <w:color w:val="FF0000"/>
                <w:sz w:val="20"/>
                <w:szCs w:val="20"/>
              </w:rPr>
            </w:pPr>
            <w:r w:rsidRPr="00DB0E3E">
              <w:rPr>
                <w:rFonts w:asciiTheme="majorHAnsi" w:hAnsiTheme="majorHAnsi"/>
                <w:color w:val="FF0000"/>
                <w:sz w:val="20"/>
                <w:szCs w:val="20"/>
              </w:rPr>
              <w:t>&gt;Q3 (&gt;628 Procedures)</w:t>
            </w:r>
          </w:p>
        </w:tc>
        <w:tc>
          <w:tcPr>
            <w:tcW w:w="1638" w:type="dxa"/>
          </w:tcPr>
          <w:p w14:paraId="2E97C31F" w14:textId="1C050173" w:rsidR="000E73F4" w:rsidRPr="00DB0E3E" w:rsidRDefault="000E73F4" w:rsidP="00893401">
            <w:pPr>
              <w:rPr>
                <w:rFonts w:asciiTheme="majorHAnsi" w:hAnsiTheme="majorHAnsi"/>
                <w:color w:val="FF0000"/>
                <w:sz w:val="20"/>
                <w:szCs w:val="20"/>
              </w:rPr>
            </w:pPr>
            <w:r w:rsidRPr="00DB0E3E">
              <w:rPr>
                <w:rFonts w:asciiTheme="majorHAnsi" w:hAnsiTheme="majorHAnsi"/>
                <w:color w:val="FF0000"/>
                <w:sz w:val="20"/>
                <w:szCs w:val="20"/>
              </w:rPr>
              <w:t>.</w:t>
            </w:r>
            <w:r w:rsidR="00893401" w:rsidRPr="00DB0E3E">
              <w:rPr>
                <w:rFonts w:asciiTheme="majorHAnsi" w:hAnsiTheme="majorHAnsi"/>
                <w:color w:val="FF0000"/>
                <w:sz w:val="20"/>
                <w:szCs w:val="20"/>
              </w:rPr>
              <w:t>819</w:t>
            </w:r>
          </w:p>
        </w:tc>
      </w:tr>
      <w:tr w:rsidR="000E73F4" w:rsidRPr="003965EC" w14:paraId="1A9F7D43" w14:textId="77777777" w:rsidTr="000E73F4">
        <w:trPr>
          <w:trHeight w:val="366"/>
        </w:trPr>
        <w:tc>
          <w:tcPr>
            <w:tcW w:w="2888" w:type="dxa"/>
          </w:tcPr>
          <w:p w14:paraId="22238622" w14:textId="77777777" w:rsidR="000E73F4" w:rsidRPr="003965EC" w:rsidRDefault="000E73F4" w:rsidP="000E73F4">
            <w:pPr>
              <w:rPr>
                <w:rFonts w:asciiTheme="majorHAnsi" w:hAnsiTheme="majorHAnsi"/>
                <w:color w:val="FF0000"/>
                <w:sz w:val="20"/>
                <w:szCs w:val="20"/>
              </w:rPr>
            </w:pPr>
            <w:r w:rsidRPr="003965EC">
              <w:rPr>
                <w:rFonts w:asciiTheme="majorHAnsi" w:hAnsiTheme="majorHAnsi"/>
                <w:color w:val="FF0000"/>
                <w:sz w:val="20"/>
                <w:szCs w:val="20"/>
              </w:rPr>
              <w:t>&gt;Average (&gt;470 Procedures)</w:t>
            </w:r>
          </w:p>
        </w:tc>
        <w:tc>
          <w:tcPr>
            <w:tcW w:w="1638" w:type="dxa"/>
          </w:tcPr>
          <w:p w14:paraId="47DD94BA" w14:textId="07154703" w:rsidR="000E73F4" w:rsidRPr="003965EC" w:rsidRDefault="000E73F4" w:rsidP="00893401">
            <w:pPr>
              <w:rPr>
                <w:rFonts w:asciiTheme="majorHAnsi" w:hAnsiTheme="majorHAnsi"/>
                <w:color w:val="FF0000"/>
                <w:sz w:val="20"/>
                <w:szCs w:val="20"/>
              </w:rPr>
            </w:pPr>
            <w:r w:rsidRPr="003965EC">
              <w:rPr>
                <w:rFonts w:asciiTheme="majorHAnsi" w:hAnsiTheme="majorHAnsi"/>
                <w:color w:val="FF0000"/>
                <w:sz w:val="20"/>
                <w:szCs w:val="20"/>
              </w:rPr>
              <w:t>.</w:t>
            </w:r>
            <w:r w:rsidR="00893401" w:rsidRPr="003965EC">
              <w:rPr>
                <w:rFonts w:asciiTheme="majorHAnsi" w:hAnsiTheme="majorHAnsi"/>
                <w:color w:val="FF0000"/>
                <w:sz w:val="20"/>
                <w:szCs w:val="20"/>
              </w:rPr>
              <w:t>791</w:t>
            </w:r>
          </w:p>
        </w:tc>
      </w:tr>
    </w:tbl>
    <w:p w14:paraId="73953712" w14:textId="77777777" w:rsidR="000E73F4" w:rsidRPr="003965EC" w:rsidRDefault="000E73F4" w:rsidP="000E73F4">
      <w:pPr>
        <w:autoSpaceDE w:val="0"/>
        <w:autoSpaceDN w:val="0"/>
        <w:adjustRightInd w:val="0"/>
        <w:spacing w:after="0" w:line="240" w:lineRule="auto"/>
        <w:rPr>
          <w:rFonts w:asciiTheme="majorHAnsi" w:hAnsiTheme="majorHAnsi" w:cstheme="minorHAnsi"/>
          <w:b/>
          <w:bCs/>
          <w:i/>
          <w:color w:val="FF0000"/>
          <w:sz w:val="20"/>
          <w:szCs w:val="20"/>
          <w:u w:val="single"/>
        </w:rPr>
      </w:pPr>
    </w:p>
    <w:p w14:paraId="3E6EB589" w14:textId="17FB9A03" w:rsidR="000E73F4" w:rsidRPr="003965EC" w:rsidRDefault="000E73F4" w:rsidP="00923D12">
      <w:pPr>
        <w:autoSpaceDE w:val="0"/>
        <w:autoSpaceDN w:val="0"/>
        <w:adjustRightInd w:val="0"/>
        <w:spacing w:after="0" w:line="240" w:lineRule="auto"/>
        <w:outlineLvl w:val="0"/>
        <w:rPr>
          <w:rFonts w:asciiTheme="majorHAnsi" w:hAnsiTheme="majorHAnsi" w:cstheme="minorHAnsi"/>
          <w:b/>
          <w:bCs/>
          <w:i/>
          <w:color w:val="FF0000"/>
          <w:sz w:val="20"/>
          <w:szCs w:val="20"/>
          <w:u w:val="single"/>
        </w:rPr>
      </w:pPr>
      <w:r w:rsidRPr="003965EC">
        <w:rPr>
          <w:rFonts w:asciiTheme="majorHAnsi" w:hAnsiTheme="majorHAnsi" w:cstheme="minorHAnsi"/>
          <w:b/>
          <w:bCs/>
          <w:i/>
          <w:color w:val="FF0000"/>
          <w:sz w:val="20"/>
          <w:szCs w:val="20"/>
          <w:u w:val="single"/>
        </w:rPr>
        <w:t>Assessment of test-retest reliability among patients undergoing 2 procedures within 201</w:t>
      </w:r>
      <w:r w:rsidR="00182B22" w:rsidRPr="003965EC">
        <w:rPr>
          <w:rFonts w:asciiTheme="majorHAnsi" w:hAnsiTheme="majorHAnsi" w:cstheme="minorHAnsi"/>
          <w:b/>
          <w:bCs/>
          <w:i/>
          <w:color w:val="FF0000"/>
          <w:sz w:val="20"/>
          <w:szCs w:val="20"/>
          <w:u w:val="single"/>
        </w:rPr>
        <w:t>6</w:t>
      </w:r>
      <w:r w:rsidRPr="003965EC">
        <w:rPr>
          <w:rFonts w:asciiTheme="majorHAnsi" w:hAnsiTheme="majorHAnsi" w:cstheme="minorHAnsi"/>
          <w:b/>
          <w:bCs/>
          <w:i/>
          <w:color w:val="FF0000"/>
          <w:sz w:val="20"/>
          <w:szCs w:val="20"/>
          <w:u w:val="single"/>
        </w:rPr>
        <w:t>:</w:t>
      </w:r>
    </w:p>
    <w:p w14:paraId="38371652"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Cs/>
          <w:color w:val="FF0000"/>
          <w:sz w:val="20"/>
          <w:szCs w:val="20"/>
        </w:rPr>
        <w:t>The key data elements for the bleeding risk model tested among patients with 2 procedures in 2012 are shown below:</w:t>
      </w:r>
    </w:p>
    <w:p w14:paraId="3460218E" w14:textId="22DF739A"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Gender</w:t>
      </w:r>
      <w:r w:rsidRPr="003965EC">
        <w:rPr>
          <w:rFonts w:asciiTheme="majorHAnsi" w:hAnsiTheme="majorHAnsi" w:cstheme="minorHAnsi"/>
          <w:bCs/>
          <w:color w:val="FF0000"/>
          <w:sz w:val="20"/>
          <w:szCs w:val="20"/>
        </w:rPr>
        <w:t xml:space="preserve"> demonstrated excellent reproducibility, with only </w:t>
      </w:r>
      <w:r w:rsidR="00D46D92" w:rsidRPr="003965EC">
        <w:rPr>
          <w:rFonts w:asciiTheme="majorHAnsi" w:hAnsiTheme="majorHAnsi" w:cstheme="minorHAnsi"/>
          <w:bCs/>
          <w:color w:val="FF0000"/>
          <w:sz w:val="20"/>
          <w:szCs w:val="20"/>
        </w:rPr>
        <w:t xml:space="preserve">18 </w:t>
      </w:r>
      <w:r w:rsidRPr="003965EC">
        <w:rPr>
          <w:rFonts w:asciiTheme="majorHAnsi" w:hAnsiTheme="majorHAnsi" w:cstheme="minorHAnsi"/>
          <w:bCs/>
          <w:color w:val="FF0000"/>
          <w:sz w:val="20"/>
          <w:szCs w:val="20"/>
        </w:rPr>
        <w:t xml:space="preserve">of </w:t>
      </w:r>
      <w:r w:rsidR="00D46D92" w:rsidRPr="003965EC">
        <w:rPr>
          <w:rFonts w:asciiTheme="majorHAnsi" w:hAnsiTheme="majorHAnsi" w:cstheme="minorHAnsi"/>
          <w:bCs/>
          <w:color w:val="FF0000"/>
          <w:sz w:val="20"/>
          <w:szCs w:val="20"/>
        </w:rPr>
        <w:t>42,637</w:t>
      </w:r>
      <w:r w:rsidRPr="003965EC">
        <w:rPr>
          <w:rFonts w:asciiTheme="majorHAnsi" w:hAnsiTheme="majorHAnsi" w:cstheme="minorHAnsi"/>
          <w:bCs/>
          <w:color w:val="FF0000"/>
          <w:sz w:val="20"/>
          <w:szCs w:val="20"/>
        </w:rPr>
        <w:t xml:space="preserve"> (0.</w:t>
      </w:r>
      <w:r w:rsidR="00D46D92" w:rsidRPr="003965EC">
        <w:rPr>
          <w:rFonts w:asciiTheme="majorHAnsi" w:hAnsiTheme="majorHAnsi" w:cstheme="minorHAnsi"/>
          <w:bCs/>
          <w:color w:val="FF0000"/>
          <w:sz w:val="20"/>
          <w:szCs w:val="20"/>
        </w:rPr>
        <w:t>06</w:t>
      </w:r>
      <w:r w:rsidRPr="003965EC">
        <w:rPr>
          <w:rFonts w:asciiTheme="majorHAnsi" w:hAnsiTheme="majorHAnsi" w:cstheme="minorHAnsi"/>
          <w:bCs/>
          <w:color w:val="FF0000"/>
          <w:sz w:val="20"/>
          <w:szCs w:val="20"/>
        </w:rPr>
        <w:t xml:space="preserve">%) patients having different genders on the 2 procedures. </w:t>
      </w:r>
    </w:p>
    <w:p w14:paraId="66F40F4A"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3BFB6765" w14:textId="6D9CAFCA" w:rsidR="000E73F4" w:rsidRPr="003965EC" w:rsidRDefault="000E73F4" w:rsidP="00923D12">
      <w:pPr>
        <w:autoSpaceDE w:val="0"/>
        <w:autoSpaceDN w:val="0"/>
        <w:adjustRightInd w:val="0"/>
        <w:spacing w:after="0" w:line="240" w:lineRule="auto"/>
        <w:outlineLvl w:val="0"/>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 xml:space="preserve">Age as assessed by Date of Birth </w:t>
      </w:r>
      <w:r w:rsidRPr="003965EC">
        <w:rPr>
          <w:rFonts w:asciiTheme="majorHAnsi" w:hAnsiTheme="majorHAnsi" w:cstheme="minorHAnsi"/>
          <w:bCs/>
          <w:color w:val="FF0000"/>
          <w:sz w:val="20"/>
          <w:szCs w:val="20"/>
        </w:rPr>
        <w:t>was identical in 99.9</w:t>
      </w:r>
      <w:r w:rsidR="00D46D92" w:rsidRPr="003965EC">
        <w:rPr>
          <w:rFonts w:asciiTheme="majorHAnsi" w:hAnsiTheme="majorHAnsi" w:cstheme="minorHAnsi"/>
          <w:bCs/>
          <w:color w:val="FF0000"/>
          <w:sz w:val="20"/>
          <w:szCs w:val="20"/>
        </w:rPr>
        <w:t>0</w:t>
      </w:r>
      <w:r w:rsidRPr="003965EC">
        <w:rPr>
          <w:rFonts w:asciiTheme="majorHAnsi" w:hAnsiTheme="majorHAnsi" w:cstheme="minorHAnsi"/>
          <w:bCs/>
          <w:color w:val="FF0000"/>
          <w:sz w:val="20"/>
          <w:szCs w:val="20"/>
        </w:rPr>
        <w:t xml:space="preserve">% of the </w:t>
      </w:r>
      <w:r w:rsidR="00D46D92" w:rsidRPr="003965EC">
        <w:rPr>
          <w:rFonts w:asciiTheme="majorHAnsi" w:hAnsiTheme="majorHAnsi" w:cstheme="minorHAnsi"/>
          <w:bCs/>
          <w:color w:val="FF0000"/>
          <w:sz w:val="20"/>
          <w:szCs w:val="20"/>
        </w:rPr>
        <w:t>42,637</w:t>
      </w:r>
      <w:r w:rsidRPr="003965EC">
        <w:rPr>
          <w:rFonts w:asciiTheme="majorHAnsi" w:hAnsiTheme="majorHAnsi" w:cstheme="minorHAnsi"/>
          <w:bCs/>
          <w:color w:val="FF0000"/>
          <w:sz w:val="20"/>
          <w:szCs w:val="20"/>
        </w:rPr>
        <w:t xml:space="preserve"> patients on both assessments.</w:t>
      </w:r>
    </w:p>
    <w:p w14:paraId="36BA5B8B"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2656B2C6" w14:textId="5E9C23F1"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lastRenderedPageBreak/>
        <w:t>Cerebrovascular disease (CVD)</w:t>
      </w:r>
      <w:r w:rsidRPr="003965EC">
        <w:rPr>
          <w:rFonts w:asciiTheme="majorHAnsi" w:hAnsiTheme="majorHAnsi" w:cstheme="minorHAnsi"/>
          <w:bCs/>
          <w:color w:val="FF0000"/>
          <w:sz w:val="20"/>
          <w:szCs w:val="20"/>
        </w:rPr>
        <w:t xml:space="preserve"> revealed that only </w:t>
      </w:r>
      <w:r w:rsidR="00D46D92" w:rsidRPr="003965EC">
        <w:rPr>
          <w:rFonts w:asciiTheme="majorHAnsi" w:hAnsiTheme="majorHAnsi" w:cstheme="minorHAnsi"/>
          <w:bCs/>
          <w:color w:val="FF0000"/>
          <w:sz w:val="20"/>
          <w:szCs w:val="20"/>
        </w:rPr>
        <w:t xml:space="preserve">1213 </w:t>
      </w:r>
      <w:r w:rsidRPr="003965EC">
        <w:rPr>
          <w:rFonts w:asciiTheme="majorHAnsi" w:hAnsiTheme="majorHAnsi" w:cstheme="minorHAnsi"/>
          <w:bCs/>
          <w:color w:val="FF0000"/>
          <w:sz w:val="20"/>
          <w:szCs w:val="20"/>
        </w:rPr>
        <w:t xml:space="preserve">patients had evidence of CVD on the initial visit that was not noted on the second visit. This represents </w:t>
      </w:r>
      <w:r w:rsidR="00BD4AFB">
        <w:rPr>
          <w:rFonts w:asciiTheme="majorHAnsi" w:hAnsiTheme="majorHAnsi" w:cstheme="minorHAnsi"/>
          <w:bCs/>
          <w:color w:val="FF0000"/>
          <w:sz w:val="20"/>
          <w:szCs w:val="20"/>
        </w:rPr>
        <w:t xml:space="preserve">a </w:t>
      </w:r>
      <w:r w:rsidRPr="003965EC">
        <w:rPr>
          <w:rFonts w:asciiTheme="majorHAnsi" w:hAnsiTheme="majorHAnsi" w:cstheme="minorHAnsi"/>
          <w:bCs/>
          <w:color w:val="FF0000"/>
          <w:sz w:val="20"/>
          <w:szCs w:val="20"/>
        </w:rPr>
        <w:t>2.8</w:t>
      </w:r>
      <w:r w:rsidR="00D46D92" w:rsidRPr="003965EC">
        <w:rPr>
          <w:rFonts w:asciiTheme="majorHAnsi" w:hAnsiTheme="majorHAnsi" w:cstheme="minorHAnsi"/>
          <w:bCs/>
          <w:color w:val="FF0000"/>
          <w:sz w:val="20"/>
          <w:szCs w:val="20"/>
        </w:rPr>
        <w:t>4</w:t>
      </w:r>
      <w:r w:rsidRPr="003965EC">
        <w:rPr>
          <w:rFonts w:asciiTheme="majorHAnsi" w:hAnsiTheme="majorHAnsi" w:cstheme="minorHAnsi"/>
          <w:bCs/>
          <w:color w:val="FF0000"/>
          <w:sz w:val="20"/>
          <w:szCs w:val="20"/>
        </w:rPr>
        <w:t>% misclassifi</w:t>
      </w:r>
      <w:r w:rsidR="00BD4AFB">
        <w:rPr>
          <w:rFonts w:asciiTheme="majorHAnsi" w:hAnsiTheme="majorHAnsi" w:cstheme="minorHAnsi"/>
          <w:bCs/>
          <w:color w:val="FF0000"/>
          <w:sz w:val="20"/>
          <w:szCs w:val="20"/>
        </w:rPr>
        <w:t>cation rate for</w:t>
      </w:r>
      <w:r w:rsidRPr="003965EC">
        <w:rPr>
          <w:rFonts w:asciiTheme="majorHAnsi" w:hAnsiTheme="majorHAnsi" w:cstheme="minorHAnsi"/>
          <w:bCs/>
          <w:color w:val="FF0000"/>
          <w:sz w:val="20"/>
          <w:szCs w:val="20"/>
        </w:rPr>
        <w:t xml:space="preserve"> one of the assessments.</w:t>
      </w:r>
    </w:p>
    <w:p w14:paraId="67151026" w14:textId="77777777" w:rsidR="000E73F4" w:rsidRPr="003965EC" w:rsidRDefault="000E73F4" w:rsidP="000E73F4">
      <w:pPr>
        <w:autoSpaceDE w:val="0"/>
        <w:autoSpaceDN w:val="0"/>
        <w:adjustRightInd w:val="0"/>
        <w:spacing w:after="0" w:line="240" w:lineRule="auto"/>
        <w:rPr>
          <w:rFonts w:asciiTheme="majorHAnsi" w:hAnsiTheme="majorHAnsi" w:cstheme="minorHAnsi"/>
          <w:b/>
          <w:bCs/>
          <w:color w:val="FF0000"/>
          <w:sz w:val="20"/>
          <w:szCs w:val="20"/>
        </w:rPr>
      </w:pPr>
    </w:p>
    <w:p w14:paraId="2E1960D1" w14:textId="573D06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Peripheral Vascular Disease (PVD)</w:t>
      </w:r>
      <w:r w:rsidRPr="003965EC">
        <w:rPr>
          <w:rFonts w:asciiTheme="majorHAnsi" w:hAnsiTheme="majorHAnsi" w:cstheme="minorHAnsi"/>
          <w:bCs/>
          <w:color w:val="FF0000"/>
          <w:sz w:val="20"/>
          <w:szCs w:val="20"/>
        </w:rPr>
        <w:t xml:space="preserve"> revealed that only 1</w:t>
      </w:r>
      <w:r w:rsidR="00D46D92" w:rsidRPr="003965EC">
        <w:rPr>
          <w:rFonts w:asciiTheme="majorHAnsi" w:hAnsiTheme="majorHAnsi" w:cstheme="minorHAnsi"/>
          <w:bCs/>
          <w:color w:val="FF0000"/>
          <w:sz w:val="20"/>
          <w:szCs w:val="20"/>
        </w:rPr>
        <w:t>282</w:t>
      </w:r>
      <w:r w:rsidRPr="003965EC">
        <w:rPr>
          <w:rFonts w:asciiTheme="majorHAnsi" w:hAnsiTheme="majorHAnsi" w:cstheme="minorHAnsi"/>
          <w:bCs/>
          <w:color w:val="FF0000"/>
          <w:sz w:val="20"/>
          <w:szCs w:val="20"/>
        </w:rPr>
        <w:t xml:space="preserve"> (3.</w:t>
      </w:r>
      <w:r w:rsidR="00D46D92" w:rsidRPr="003965EC">
        <w:rPr>
          <w:rFonts w:asciiTheme="majorHAnsi" w:hAnsiTheme="majorHAnsi" w:cstheme="minorHAnsi"/>
          <w:bCs/>
          <w:color w:val="FF0000"/>
          <w:sz w:val="20"/>
          <w:szCs w:val="20"/>
        </w:rPr>
        <w:t>0</w:t>
      </w:r>
      <w:r w:rsidRPr="003965EC">
        <w:rPr>
          <w:rFonts w:asciiTheme="majorHAnsi" w:hAnsiTheme="majorHAnsi" w:cstheme="minorHAnsi"/>
          <w:bCs/>
          <w:color w:val="FF0000"/>
          <w:sz w:val="20"/>
          <w:szCs w:val="20"/>
        </w:rPr>
        <w:t>%) patients who had evidence of PVD at the time of their initial PCI no longer had this recorded at the time of their second procedure and were clearly misclassified on one of the assessments.</w:t>
      </w:r>
      <w:r w:rsidR="00BD4AFB" w:rsidRPr="00BD4AFB">
        <w:t xml:space="preserve"> </w:t>
      </w:r>
      <w:r w:rsidR="00BD4AFB" w:rsidRPr="00BD4AFB">
        <w:rPr>
          <w:rFonts w:asciiTheme="majorHAnsi" w:hAnsiTheme="majorHAnsi" w:cstheme="minorHAnsi"/>
          <w:bCs/>
          <w:color w:val="FF0000"/>
          <w:sz w:val="20"/>
          <w:szCs w:val="20"/>
        </w:rPr>
        <w:t>This represents a 3.0% misclassification rate for one of the assessments.</w:t>
      </w:r>
    </w:p>
    <w:p w14:paraId="1EA3F1B1"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127BDCE2" w14:textId="41EFF7E3"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Chronic Lung Disease (CLD)</w:t>
      </w:r>
      <w:r w:rsidRPr="003965EC">
        <w:rPr>
          <w:rFonts w:asciiTheme="majorHAnsi" w:hAnsiTheme="majorHAnsi" w:cstheme="minorHAnsi"/>
          <w:bCs/>
          <w:color w:val="FF0000"/>
          <w:sz w:val="20"/>
          <w:szCs w:val="20"/>
        </w:rPr>
        <w:t xml:space="preserve"> was recorded in 1</w:t>
      </w:r>
      <w:r w:rsidR="00BD4AFB">
        <w:rPr>
          <w:rFonts w:asciiTheme="majorHAnsi" w:hAnsiTheme="majorHAnsi" w:cstheme="minorHAnsi"/>
          <w:bCs/>
          <w:color w:val="FF0000"/>
          <w:sz w:val="20"/>
          <w:szCs w:val="20"/>
        </w:rPr>
        <w:t>,</w:t>
      </w:r>
      <w:r w:rsidR="00D46D92" w:rsidRPr="003965EC">
        <w:rPr>
          <w:rFonts w:asciiTheme="majorHAnsi" w:hAnsiTheme="majorHAnsi" w:cstheme="minorHAnsi"/>
          <w:bCs/>
          <w:color w:val="FF0000"/>
          <w:sz w:val="20"/>
          <w:szCs w:val="20"/>
        </w:rPr>
        <w:t>294</w:t>
      </w:r>
      <w:r w:rsidRPr="003965EC">
        <w:rPr>
          <w:rFonts w:asciiTheme="majorHAnsi" w:hAnsiTheme="majorHAnsi" w:cstheme="minorHAnsi"/>
          <w:bCs/>
          <w:color w:val="FF0000"/>
          <w:sz w:val="20"/>
          <w:szCs w:val="20"/>
        </w:rPr>
        <w:t xml:space="preserve"> (3.</w:t>
      </w:r>
      <w:r w:rsidR="00D46D92" w:rsidRPr="003965EC">
        <w:rPr>
          <w:rFonts w:asciiTheme="majorHAnsi" w:hAnsiTheme="majorHAnsi" w:cstheme="minorHAnsi"/>
          <w:bCs/>
          <w:color w:val="FF0000"/>
          <w:sz w:val="20"/>
          <w:szCs w:val="20"/>
        </w:rPr>
        <w:t>0</w:t>
      </w:r>
      <w:r w:rsidRPr="003965EC">
        <w:rPr>
          <w:rFonts w:asciiTheme="majorHAnsi" w:hAnsiTheme="majorHAnsi" w:cstheme="minorHAnsi"/>
          <w:bCs/>
          <w:color w:val="FF0000"/>
          <w:sz w:val="20"/>
          <w:szCs w:val="20"/>
        </w:rPr>
        <w:t>%) of the patients at the time of their initial PCI, but not at the time of the second procedure.</w:t>
      </w:r>
    </w:p>
    <w:p w14:paraId="34D58BD1"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7F618FDD" w14:textId="7ED50231"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 xml:space="preserve">Prior PCI </w:t>
      </w:r>
      <w:r w:rsidRPr="003965EC">
        <w:rPr>
          <w:rFonts w:asciiTheme="majorHAnsi" w:hAnsiTheme="majorHAnsi" w:cstheme="minorHAnsi"/>
          <w:bCs/>
          <w:color w:val="FF0000"/>
          <w:sz w:val="20"/>
          <w:szCs w:val="20"/>
        </w:rPr>
        <w:t xml:space="preserve">should have been recorded on the second procedure for each of the </w:t>
      </w:r>
      <w:r w:rsidR="00D46D92" w:rsidRPr="003965EC">
        <w:rPr>
          <w:rFonts w:asciiTheme="majorHAnsi" w:hAnsiTheme="majorHAnsi" w:cstheme="minorHAnsi"/>
          <w:bCs/>
          <w:color w:val="FF0000"/>
          <w:sz w:val="20"/>
          <w:szCs w:val="20"/>
        </w:rPr>
        <w:t>42,637</w:t>
      </w:r>
      <w:r w:rsidRPr="003965EC">
        <w:rPr>
          <w:rFonts w:asciiTheme="majorHAnsi" w:hAnsiTheme="majorHAnsi" w:cstheme="minorHAnsi"/>
          <w:bCs/>
          <w:color w:val="FF0000"/>
          <w:sz w:val="20"/>
          <w:szCs w:val="20"/>
        </w:rPr>
        <w:t xml:space="preserve"> patients. 12</w:t>
      </w:r>
      <w:r w:rsidR="00D46D92" w:rsidRPr="003965EC">
        <w:rPr>
          <w:rFonts w:asciiTheme="majorHAnsi" w:hAnsiTheme="majorHAnsi" w:cstheme="minorHAnsi"/>
          <w:bCs/>
          <w:color w:val="FF0000"/>
          <w:sz w:val="20"/>
          <w:szCs w:val="20"/>
        </w:rPr>
        <w:t>59</w:t>
      </w:r>
      <w:r w:rsidRPr="003965EC">
        <w:rPr>
          <w:rFonts w:asciiTheme="majorHAnsi" w:hAnsiTheme="majorHAnsi" w:cstheme="minorHAnsi"/>
          <w:bCs/>
          <w:color w:val="FF0000"/>
          <w:sz w:val="20"/>
          <w:szCs w:val="20"/>
        </w:rPr>
        <w:t xml:space="preserve"> (2.9</w:t>
      </w:r>
      <w:r w:rsidR="00D46D92" w:rsidRPr="003965EC">
        <w:rPr>
          <w:rFonts w:asciiTheme="majorHAnsi" w:hAnsiTheme="majorHAnsi" w:cstheme="minorHAnsi"/>
          <w:bCs/>
          <w:color w:val="FF0000"/>
          <w:sz w:val="20"/>
          <w:szCs w:val="20"/>
        </w:rPr>
        <w:t>5</w:t>
      </w:r>
      <w:r w:rsidRPr="003965EC">
        <w:rPr>
          <w:rFonts w:asciiTheme="majorHAnsi" w:hAnsiTheme="majorHAnsi" w:cstheme="minorHAnsi"/>
          <w:bCs/>
          <w:color w:val="FF0000"/>
          <w:sz w:val="20"/>
          <w:szCs w:val="20"/>
        </w:rPr>
        <w:t>%) were not classified as having had a prior PCI.</w:t>
      </w:r>
    </w:p>
    <w:p w14:paraId="5CD9014D"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0C13D618" w14:textId="4BEBE58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
          <w:bCs/>
          <w:color w:val="FF0000"/>
          <w:sz w:val="20"/>
          <w:szCs w:val="20"/>
        </w:rPr>
        <w:t>Diabetes</w:t>
      </w:r>
      <w:r w:rsidRPr="003965EC">
        <w:rPr>
          <w:rFonts w:asciiTheme="majorHAnsi" w:hAnsiTheme="majorHAnsi" w:cstheme="minorHAnsi"/>
          <w:bCs/>
          <w:color w:val="FF0000"/>
          <w:sz w:val="20"/>
          <w:szCs w:val="20"/>
        </w:rPr>
        <w:t xml:space="preserve"> was not recorded among 7</w:t>
      </w:r>
      <w:r w:rsidR="00D46D92" w:rsidRPr="003965EC">
        <w:rPr>
          <w:rFonts w:asciiTheme="majorHAnsi" w:hAnsiTheme="majorHAnsi" w:cstheme="minorHAnsi"/>
          <w:bCs/>
          <w:color w:val="FF0000"/>
          <w:sz w:val="20"/>
          <w:szCs w:val="20"/>
        </w:rPr>
        <w:t>45</w:t>
      </w:r>
      <w:r w:rsidRPr="003965EC">
        <w:rPr>
          <w:rFonts w:asciiTheme="majorHAnsi" w:hAnsiTheme="majorHAnsi" w:cstheme="minorHAnsi"/>
          <w:bCs/>
          <w:color w:val="FF0000"/>
          <w:sz w:val="20"/>
          <w:szCs w:val="20"/>
        </w:rPr>
        <w:t>(1.</w:t>
      </w:r>
      <w:r w:rsidR="00D46D92" w:rsidRPr="003965EC">
        <w:rPr>
          <w:rFonts w:asciiTheme="majorHAnsi" w:hAnsiTheme="majorHAnsi" w:cstheme="minorHAnsi"/>
          <w:bCs/>
          <w:color w:val="FF0000"/>
          <w:sz w:val="20"/>
          <w:szCs w:val="20"/>
        </w:rPr>
        <w:t>75</w:t>
      </w:r>
      <w:r w:rsidRPr="003965EC">
        <w:rPr>
          <w:rFonts w:asciiTheme="majorHAnsi" w:hAnsiTheme="majorHAnsi" w:cstheme="minorHAnsi"/>
          <w:bCs/>
          <w:color w:val="FF0000"/>
          <w:sz w:val="20"/>
          <w:szCs w:val="20"/>
        </w:rPr>
        <w:t xml:space="preserve">%) of the patients who were noted to have diabetes at the time of their original procedure. </w:t>
      </w:r>
    </w:p>
    <w:p w14:paraId="70091881" w14:textId="77777777"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p>
    <w:p w14:paraId="27FDF923" w14:textId="6E624873" w:rsidR="000E73F4"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Cs/>
          <w:color w:val="FF0000"/>
          <w:sz w:val="20"/>
          <w:szCs w:val="20"/>
        </w:rPr>
        <w:t>Because dynamic elements are expected to change over time, the</w:t>
      </w:r>
      <w:r w:rsidR="00BD4AFB">
        <w:rPr>
          <w:rFonts w:asciiTheme="majorHAnsi" w:hAnsiTheme="majorHAnsi" w:cstheme="minorHAnsi"/>
          <w:bCs/>
          <w:color w:val="FF0000"/>
          <w:sz w:val="20"/>
          <w:szCs w:val="20"/>
        </w:rPr>
        <w:t xml:space="preserve"> test-retest reliability of the</w:t>
      </w:r>
      <w:r w:rsidRPr="003965EC">
        <w:rPr>
          <w:rFonts w:asciiTheme="majorHAnsi" w:hAnsiTheme="majorHAnsi" w:cstheme="minorHAnsi"/>
          <w:bCs/>
          <w:color w:val="FF0000"/>
          <w:sz w:val="20"/>
          <w:szCs w:val="20"/>
        </w:rPr>
        <w:t xml:space="preserve"> following </w:t>
      </w:r>
      <w:r w:rsidR="00BD4AFB">
        <w:rPr>
          <w:rFonts w:asciiTheme="majorHAnsi" w:hAnsiTheme="majorHAnsi" w:cstheme="minorHAnsi"/>
          <w:bCs/>
          <w:color w:val="FF0000"/>
          <w:sz w:val="20"/>
          <w:szCs w:val="20"/>
        </w:rPr>
        <w:t xml:space="preserve"> could not be </w:t>
      </w:r>
      <w:r w:rsidRPr="003965EC">
        <w:rPr>
          <w:rFonts w:asciiTheme="majorHAnsi" w:hAnsiTheme="majorHAnsi" w:cstheme="minorHAnsi"/>
          <w:bCs/>
          <w:color w:val="FF0000"/>
          <w:sz w:val="20"/>
          <w:szCs w:val="20"/>
        </w:rPr>
        <w:t xml:space="preserve">assessed by this method: Prior cardiac arrest, GFR, NYHA classification, shock within 24 hours of PCI, indication for PCI, urgency of the procedure, use of </w:t>
      </w:r>
      <w:r w:rsidR="00BD4AFB">
        <w:rPr>
          <w:rFonts w:asciiTheme="majorHAnsi" w:hAnsiTheme="majorHAnsi" w:cstheme="minorHAnsi"/>
          <w:bCs/>
          <w:color w:val="FF0000"/>
          <w:sz w:val="20"/>
          <w:szCs w:val="20"/>
        </w:rPr>
        <w:t>fibrinolysis</w:t>
      </w:r>
      <w:r w:rsidR="00BD4AFB" w:rsidRPr="003965EC">
        <w:rPr>
          <w:rFonts w:asciiTheme="majorHAnsi" w:hAnsiTheme="majorHAnsi" w:cstheme="minorHAnsi"/>
          <w:bCs/>
          <w:color w:val="FF0000"/>
          <w:sz w:val="20"/>
          <w:szCs w:val="20"/>
        </w:rPr>
        <w:t xml:space="preserve"> </w:t>
      </w:r>
      <w:r w:rsidRPr="003965EC">
        <w:rPr>
          <w:rFonts w:asciiTheme="majorHAnsi" w:hAnsiTheme="majorHAnsi" w:cstheme="minorHAnsi"/>
          <w:bCs/>
          <w:color w:val="FF0000"/>
          <w:sz w:val="20"/>
          <w:szCs w:val="20"/>
        </w:rPr>
        <w:t>prior to PCI, pre- and post-procedure hemoglobin, number and location of diseased vessels, lesion severity as assessed by the SCAI definitions, pre-procedural TIMI flow and acute stent thrombosis.</w:t>
      </w:r>
    </w:p>
    <w:p w14:paraId="16C60F50" w14:textId="77777777" w:rsidR="00DB0E3E" w:rsidRDefault="00DB0E3E" w:rsidP="000E73F4">
      <w:pPr>
        <w:autoSpaceDE w:val="0"/>
        <w:autoSpaceDN w:val="0"/>
        <w:adjustRightInd w:val="0"/>
        <w:spacing w:after="0" w:line="240" w:lineRule="auto"/>
        <w:rPr>
          <w:rFonts w:asciiTheme="majorHAnsi" w:hAnsiTheme="majorHAnsi" w:cstheme="minorHAnsi"/>
          <w:bCs/>
          <w:color w:val="FF0000"/>
          <w:sz w:val="20"/>
          <w:szCs w:val="20"/>
        </w:rPr>
      </w:pPr>
    </w:p>
    <w:p w14:paraId="5B9F8250" w14:textId="4A13E5A6" w:rsidR="00DB0E3E" w:rsidRDefault="00DB0E3E" w:rsidP="00DB0E3E">
      <w:pPr>
        <w:autoSpaceDE w:val="0"/>
        <w:autoSpaceDN w:val="0"/>
        <w:adjustRightInd w:val="0"/>
        <w:spacing w:after="0" w:line="240" w:lineRule="auto"/>
        <w:rPr>
          <w:rFonts w:cstheme="minorHAnsi"/>
          <w:bCs/>
        </w:rPr>
      </w:pPr>
    </w:p>
    <w:p w14:paraId="115720A4" w14:textId="77777777" w:rsidR="00DB0E3E" w:rsidRDefault="00DB0E3E" w:rsidP="00DB0E3E">
      <w:pPr>
        <w:autoSpaceDE w:val="0"/>
        <w:autoSpaceDN w:val="0"/>
        <w:adjustRightInd w:val="0"/>
        <w:spacing w:after="0" w:line="240" w:lineRule="auto"/>
        <w:rPr>
          <w:rFonts w:cstheme="minorHAnsi"/>
          <w:bCs/>
        </w:rPr>
      </w:pPr>
    </w:p>
    <w:p w14:paraId="47462EB4" w14:textId="77777777" w:rsidR="00DB0E3E" w:rsidRDefault="00DB0E3E" w:rsidP="000E73F4">
      <w:pPr>
        <w:autoSpaceDE w:val="0"/>
        <w:autoSpaceDN w:val="0"/>
        <w:adjustRightInd w:val="0"/>
        <w:spacing w:after="0" w:line="240" w:lineRule="auto"/>
        <w:rPr>
          <w:rFonts w:asciiTheme="majorHAnsi" w:hAnsiTheme="majorHAnsi" w:cstheme="minorHAnsi"/>
          <w:bCs/>
          <w:color w:val="FF0000"/>
          <w:sz w:val="20"/>
          <w:szCs w:val="20"/>
        </w:rPr>
      </w:pPr>
    </w:p>
    <w:p w14:paraId="0CABCFD3" w14:textId="55D29016"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12E12977" w14:textId="77777777" w:rsidR="006203D8" w:rsidRDefault="00092566" w:rsidP="000E73F4">
      <w:pPr>
        <w:autoSpaceDE w:val="0"/>
        <w:autoSpaceDN w:val="0"/>
        <w:adjustRightInd w:val="0"/>
        <w:spacing w:after="0" w:line="240" w:lineRule="auto"/>
        <w:rPr>
          <w:rFonts w:cstheme="minorHAnsi"/>
          <w:bCs/>
        </w:rPr>
      </w:pPr>
      <w:r w:rsidRPr="00CB00EE">
        <w:rPr>
          <w:rFonts w:cstheme="minorHAnsi"/>
          <w:b/>
          <w:bCs/>
        </w:rPr>
        <w:t xml:space="preserve">2a2.4 </w:t>
      </w:r>
      <w:r w:rsidR="007422FD" w:rsidRPr="00CB00EE">
        <w:rPr>
          <w:rFonts w:cstheme="minorHAnsi"/>
          <w:b/>
          <w:bCs/>
        </w:rPr>
        <w:t xml:space="preserve">What </w:t>
      </w:r>
      <w:r w:rsidR="000B2DF7" w:rsidRPr="00CB00EE">
        <w:rPr>
          <w:rFonts w:cstheme="minorHAnsi"/>
          <w:b/>
          <w:bCs/>
        </w:rPr>
        <w:t>is your interpretation of the results in terms of</w:t>
      </w:r>
      <w:r w:rsidR="007422FD" w:rsidRPr="00CB00EE">
        <w:rPr>
          <w:rFonts w:cstheme="minorHAnsi"/>
          <w:b/>
          <w:bCs/>
        </w:rPr>
        <w:t xml:space="preserve"> demonstrating reliability</w:t>
      </w:r>
      <w:r w:rsidR="007422FD" w:rsidRPr="00CB00EE">
        <w:rPr>
          <w:rFonts w:cstheme="minorHAnsi"/>
          <w:bCs/>
        </w:rPr>
        <w:t xml:space="preserve">? </w:t>
      </w:r>
      <w:r w:rsidR="000B2DF7" w:rsidRPr="00CB00EE">
        <w:rPr>
          <w:rFonts w:cstheme="minorHAnsi"/>
          <w:bCs/>
        </w:rPr>
        <w:t>(i</w:t>
      </w:r>
      <w:r w:rsidR="000B2DF7" w:rsidRPr="00CB00EE">
        <w:rPr>
          <w:rFonts w:cstheme="minorHAnsi"/>
          <w:bCs/>
          <w:i/>
        </w:rPr>
        <w:t>.e., what do the results mean and what are the norms for the test conducted</w:t>
      </w:r>
      <w:r w:rsidR="007757CE" w:rsidRPr="00CB00EE">
        <w:rPr>
          <w:rFonts w:cstheme="minorHAnsi"/>
          <w:bCs/>
          <w:i/>
        </w:rPr>
        <w:t>?</w:t>
      </w:r>
      <w:r w:rsidR="000B2DF7" w:rsidRPr="00CB00EE">
        <w:rPr>
          <w:rFonts w:cstheme="minorHAnsi"/>
          <w:bCs/>
        </w:rPr>
        <w:t>)</w:t>
      </w:r>
    </w:p>
    <w:p w14:paraId="6504F251" w14:textId="630063BD" w:rsidR="000E73F4" w:rsidRPr="006203D8" w:rsidRDefault="007422FD" w:rsidP="000E73F4">
      <w:pPr>
        <w:autoSpaceDE w:val="0"/>
        <w:autoSpaceDN w:val="0"/>
        <w:adjustRightInd w:val="0"/>
        <w:spacing w:after="0" w:line="240" w:lineRule="auto"/>
        <w:rPr>
          <w:rFonts w:asciiTheme="majorHAnsi" w:hAnsiTheme="majorHAnsi" w:cstheme="minorHAnsi"/>
          <w:b/>
          <w:bCs/>
          <w:i/>
          <w:color w:val="FF0000"/>
          <w:sz w:val="20"/>
          <w:szCs w:val="20"/>
          <w:u w:val="single"/>
        </w:rPr>
      </w:pPr>
      <w:r w:rsidRPr="00A25024">
        <w:rPr>
          <w:rFonts w:cstheme="minorHAnsi"/>
          <w:bCs/>
        </w:rPr>
        <w:br/>
      </w:r>
      <w:r w:rsidR="000E73F4" w:rsidRPr="006203D8">
        <w:rPr>
          <w:rFonts w:asciiTheme="majorHAnsi" w:hAnsiTheme="majorHAnsi" w:cstheme="minorHAnsi"/>
          <w:b/>
          <w:bCs/>
          <w:i/>
          <w:color w:val="FF0000"/>
          <w:sz w:val="20"/>
          <w:szCs w:val="20"/>
          <w:u w:val="single"/>
        </w:rPr>
        <w:t>Signal to Noise Analysis:</w:t>
      </w:r>
    </w:p>
    <w:p w14:paraId="09D0F641" w14:textId="77777777" w:rsidR="000E73F4" w:rsidRPr="006203D8" w:rsidRDefault="000E73F4" w:rsidP="000E73F4">
      <w:pPr>
        <w:spacing w:after="0" w:line="240" w:lineRule="auto"/>
        <w:contextualSpacing/>
        <w:rPr>
          <w:rFonts w:asciiTheme="majorHAnsi" w:hAnsiTheme="majorHAnsi"/>
          <w:color w:val="FF0000"/>
          <w:sz w:val="20"/>
        </w:rPr>
      </w:pPr>
      <w:r w:rsidRPr="006203D8">
        <w:rPr>
          <w:rFonts w:asciiTheme="majorHAnsi" w:hAnsiTheme="majorHAnsi"/>
          <w:color w:val="FF0000"/>
          <w:sz w:val="20"/>
        </w:rPr>
        <w:t>The signal to noise ratio analysis measures the confidence levels in differentiating performance between hospitals. These numbers demonstrate variability that is attributable to real differences in hospital quality as opposed to measurement error.</w:t>
      </w:r>
    </w:p>
    <w:p w14:paraId="3083D383" w14:textId="77777777" w:rsidR="000E73F4" w:rsidRPr="00362AEA" w:rsidRDefault="000E73F4" w:rsidP="000E73F4">
      <w:pPr>
        <w:spacing w:after="0"/>
        <w:contextualSpacing/>
        <w:rPr>
          <w:rFonts w:asciiTheme="majorHAnsi" w:hAnsiTheme="majorHAnsi"/>
          <w:sz w:val="20"/>
          <w:szCs w:val="20"/>
        </w:rPr>
      </w:pPr>
    </w:p>
    <w:p w14:paraId="4C560F66" w14:textId="2A502096" w:rsidR="000E73F4" w:rsidRPr="003965EC" w:rsidRDefault="000E73F4" w:rsidP="00923D12">
      <w:pPr>
        <w:autoSpaceDE w:val="0"/>
        <w:autoSpaceDN w:val="0"/>
        <w:adjustRightInd w:val="0"/>
        <w:spacing w:after="0" w:line="240" w:lineRule="auto"/>
        <w:outlineLvl w:val="0"/>
        <w:rPr>
          <w:rFonts w:asciiTheme="majorHAnsi" w:hAnsiTheme="majorHAnsi" w:cstheme="minorHAnsi"/>
          <w:b/>
          <w:bCs/>
          <w:i/>
          <w:color w:val="FF0000"/>
          <w:sz w:val="20"/>
          <w:szCs w:val="20"/>
          <w:u w:val="single"/>
        </w:rPr>
      </w:pPr>
      <w:r w:rsidRPr="003965EC">
        <w:rPr>
          <w:rFonts w:asciiTheme="majorHAnsi" w:hAnsiTheme="majorHAnsi" w:cstheme="minorHAnsi"/>
          <w:b/>
          <w:bCs/>
          <w:i/>
          <w:color w:val="FF0000"/>
          <w:sz w:val="20"/>
          <w:szCs w:val="20"/>
          <w:u w:val="single"/>
        </w:rPr>
        <w:t>Assessment of test-retest reliability among patients undergoing 2 procedures within 201</w:t>
      </w:r>
      <w:r w:rsidR="00182B22" w:rsidRPr="003965EC">
        <w:rPr>
          <w:rFonts w:asciiTheme="majorHAnsi" w:hAnsiTheme="majorHAnsi" w:cstheme="minorHAnsi"/>
          <w:b/>
          <w:bCs/>
          <w:i/>
          <w:color w:val="FF0000"/>
          <w:sz w:val="20"/>
          <w:szCs w:val="20"/>
          <w:u w:val="single"/>
        </w:rPr>
        <w:t>6</w:t>
      </w:r>
      <w:r w:rsidRPr="003965EC">
        <w:rPr>
          <w:rFonts w:asciiTheme="majorHAnsi" w:hAnsiTheme="majorHAnsi" w:cstheme="minorHAnsi"/>
          <w:b/>
          <w:bCs/>
          <w:i/>
          <w:color w:val="FF0000"/>
          <w:sz w:val="20"/>
          <w:szCs w:val="20"/>
          <w:u w:val="single"/>
        </w:rPr>
        <w:t>:</w:t>
      </w:r>
    </w:p>
    <w:p w14:paraId="1C99887C" w14:textId="5EFED682" w:rsidR="000E73F4" w:rsidRPr="003965EC" w:rsidRDefault="000E73F4" w:rsidP="000E73F4">
      <w:pPr>
        <w:autoSpaceDE w:val="0"/>
        <w:autoSpaceDN w:val="0"/>
        <w:adjustRightInd w:val="0"/>
        <w:spacing w:after="0" w:line="240" w:lineRule="auto"/>
        <w:rPr>
          <w:rFonts w:asciiTheme="majorHAnsi" w:hAnsiTheme="majorHAnsi" w:cstheme="minorHAnsi"/>
          <w:bCs/>
          <w:color w:val="FF0000"/>
          <w:sz w:val="20"/>
          <w:szCs w:val="20"/>
        </w:rPr>
      </w:pPr>
      <w:r w:rsidRPr="003965EC">
        <w:rPr>
          <w:rFonts w:asciiTheme="majorHAnsi" w:hAnsiTheme="majorHAnsi" w:cstheme="minorHAnsi"/>
          <w:bCs/>
          <w:color w:val="FF0000"/>
          <w:sz w:val="20"/>
          <w:szCs w:val="20"/>
        </w:rPr>
        <w:t>Finding no clear misclassification by test-retest reliability for any assessable risk factor being &gt;3.</w:t>
      </w:r>
      <w:r w:rsidR="00133028" w:rsidRPr="003965EC">
        <w:rPr>
          <w:rFonts w:asciiTheme="majorHAnsi" w:hAnsiTheme="majorHAnsi" w:cstheme="minorHAnsi"/>
          <w:bCs/>
          <w:color w:val="FF0000"/>
          <w:sz w:val="20"/>
          <w:szCs w:val="20"/>
        </w:rPr>
        <w:t>0</w:t>
      </w:r>
      <w:r w:rsidRPr="003965EC">
        <w:rPr>
          <w:rFonts w:asciiTheme="majorHAnsi" w:hAnsiTheme="majorHAnsi" w:cstheme="minorHAnsi"/>
          <w:bCs/>
          <w:color w:val="FF0000"/>
          <w:sz w:val="20"/>
          <w:szCs w:val="20"/>
        </w:rPr>
        <w:t>% provides strong support for the test-retest reliability of the bleeding risk factors assessed.</w:t>
      </w:r>
    </w:p>
    <w:p w14:paraId="4915BB03" w14:textId="77777777"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p>
    <w:p w14:paraId="49B03A9B" w14:textId="4DEB3FB6" w:rsidR="000E73F4" w:rsidRPr="006C2E2F" w:rsidRDefault="000E73F4" w:rsidP="000E73F4">
      <w:pPr>
        <w:autoSpaceDE w:val="0"/>
        <w:autoSpaceDN w:val="0"/>
        <w:adjustRightInd w:val="0"/>
        <w:spacing w:after="0" w:line="240" w:lineRule="auto"/>
        <w:rPr>
          <w:rFonts w:asciiTheme="majorHAnsi" w:hAnsiTheme="majorHAnsi"/>
          <w:color w:val="FF0000"/>
          <w:sz w:val="20"/>
          <w:highlight w:val="yellow"/>
        </w:rPr>
      </w:pPr>
    </w:p>
    <w:p w14:paraId="08C51DC2" w14:textId="15EC40D6" w:rsidR="000E73F4" w:rsidRPr="006C2E2F" w:rsidRDefault="000E73F4" w:rsidP="000E73F4">
      <w:pPr>
        <w:autoSpaceDE w:val="0"/>
        <w:autoSpaceDN w:val="0"/>
        <w:adjustRightInd w:val="0"/>
        <w:spacing w:after="0" w:line="240" w:lineRule="auto"/>
        <w:rPr>
          <w:rFonts w:asciiTheme="majorHAnsi" w:hAnsiTheme="majorHAnsi"/>
          <w:color w:val="FF0000"/>
          <w:sz w:val="20"/>
        </w:rPr>
      </w:pPr>
      <w:r w:rsidRPr="006C2E2F">
        <w:rPr>
          <w:rFonts w:asciiTheme="majorHAnsi" w:hAnsiTheme="majorHAnsi"/>
          <w:color w:val="FF0000"/>
          <w:sz w:val="20"/>
        </w:rPr>
        <w:t xml:space="preserve">Collectively, we believe that the </w:t>
      </w:r>
      <w:r w:rsidR="006F7C40">
        <w:rPr>
          <w:rFonts w:asciiTheme="majorHAnsi" w:hAnsiTheme="majorHAnsi"/>
          <w:color w:val="FF0000"/>
          <w:sz w:val="20"/>
        </w:rPr>
        <w:t>test-retest reliability</w:t>
      </w:r>
      <w:r w:rsidRPr="006C2E2F">
        <w:rPr>
          <w:rFonts w:asciiTheme="majorHAnsi" w:hAnsiTheme="majorHAnsi"/>
          <w:color w:val="FF0000"/>
          <w:sz w:val="20"/>
        </w:rPr>
        <w:t xml:space="preserve"> data and signal to noise analysis strongly support the reliability of the data elements and measurement scores used in the model. </w:t>
      </w:r>
    </w:p>
    <w:p w14:paraId="0D135FF7" w14:textId="4F7F443A" w:rsidR="000E73F4" w:rsidRPr="006C2E2F" w:rsidRDefault="000E73F4" w:rsidP="000E73F4">
      <w:pPr>
        <w:spacing w:line="240" w:lineRule="auto"/>
        <w:contextualSpacing/>
        <w:rPr>
          <w:rFonts w:asciiTheme="majorHAnsi" w:hAnsiTheme="majorHAnsi"/>
          <w:color w:val="FF0000"/>
          <w:sz w:val="20"/>
        </w:rPr>
      </w:pPr>
    </w:p>
    <w:p w14:paraId="0CABCFD4" w14:textId="77777777" w:rsidR="007422FD" w:rsidRPr="00A25024" w:rsidRDefault="007422FD"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sidRPr="00332544">
        <w:rPr>
          <w:rFonts w:cstheme="minorHAnsi"/>
          <w:b/>
          <w:bCs/>
        </w:rPr>
        <w:t>2b1</w:t>
      </w:r>
      <w:r w:rsidR="00092566" w:rsidRPr="00332544">
        <w:rPr>
          <w:rFonts w:cstheme="minorHAnsi"/>
          <w:b/>
          <w:bCs/>
        </w:rPr>
        <w:t>.</w:t>
      </w:r>
      <w:r w:rsidR="007757CE" w:rsidRPr="00332544">
        <w:rPr>
          <w:rFonts w:cstheme="minorHAnsi"/>
          <w:b/>
          <w:bCs/>
        </w:rPr>
        <w:t xml:space="preserve">1. </w:t>
      </w:r>
      <w:r w:rsidR="000968F8" w:rsidRPr="00332544">
        <w:rPr>
          <w:rFonts w:cstheme="minorHAnsi"/>
          <w:b/>
          <w:bCs/>
        </w:rPr>
        <w:t>What level of validity testing was conducted</w:t>
      </w:r>
      <w:r w:rsidR="000968F8" w:rsidRPr="00332544">
        <w:rPr>
          <w:rFonts w:cstheme="minorHAnsi"/>
          <w:bCs/>
        </w:rPr>
        <w:t>?</w:t>
      </w:r>
      <w:r w:rsidR="00D50704" w:rsidRPr="00332544">
        <w:rPr>
          <w:rFonts w:cstheme="minorHAnsi"/>
          <w:bCs/>
        </w:rPr>
        <w:t xml:space="preserve"> (</w:t>
      </w:r>
      <w:r w:rsidR="00696262" w:rsidRPr="00332544">
        <w:rPr>
          <w:rFonts w:cstheme="minorHAnsi"/>
          <w:bCs/>
          <w:i/>
        </w:rPr>
        <w:t>may</w:t>
      </w:r>
      <w:r w:rsidR="00D50704" w:rsidRPr="00332544">
        <w:rPr>
          <w:rFonts w:cstheme="minorHAnsi"/>
          <w:bCs/>
          <w:i/>
        </w:rPr>
        <w:t xml:space="preserve"> be one or both levels</w:t>
      </w:r>
      <w:r w:rsidR="00D50704" w:rsidRPr="0033254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87340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6BC90A7" w:rsidR="000574AB" w:rsidRPr="00A25024" w:rsidRDefault="0087340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0E73F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204FCA58" w:rsidR="00833325" w:rsidRDefault="009C7513" w:rsidP="00DB3627">
      <w:pPr>
        <w:autoSpaceDE w:val="0"/>
        <w:autoSpaceDN w:val="0"/>
        <w:adjustRightInd w:val="0"/>
        <w:spacing w:after="0" w:line="240" w:lineRule="auto"/>
        <w:rPr>
          <w:rFonts w:cstheme="minorHAnsi"/>
          <w:bCs/>
        </w:rPr>
      </w:pPr>
      <w:r w:rsidRPr="00F26AD7">
        <w:rPr>
          <w:rFonts w:cstheme="minorHAnsi"/>
          <w:b/>
          <w:bCs/>
        </w:rPr>
        <w:t>2b1</w:t>
      </w:r>
      <w:r w:rsidR="00092566" w:rsidRPr="00F26AD7">
        <w:rPr>
          <w:rFonts w:cstheme="minorHAnsi"/>
          <w:b/>
          <w:bCs/>
        </w:rPr>
        <w:t>.</w:t>
      </w:r>
      <w:r w:rsidR="007757CE" w:rsidRPr="00F26AD7">
        <w:rPr>
          <w:rFonts w:cstheme="minorHAnsi"/>
          <w:b/>
          <w:bCs/>
        </w:rPr>
        <w:t xml:space="preserve">2. For each level </w:t>
      </w:r>
      <w:r w:rsidR="008F7E67" w:rsidRPr="00F26AD7">
        <w:rPr>
          <w:rFonts w:cstheme="minorHAnsi"/>
          <w:b/>
          <w:bCs/>
        </w:rPr>
        <w:t xml:space="preserve">of testing </w:t>
      </w:r>
      <w:r w:rsidR="007757CE" w:rsidRPr="00F26AD7">
        <w:rPr>
          <w:rFonts w:cstheme="minorHAnsi"/>
          <w:b/>
          <w:bCs/>
        </w:rPr>
        <w:t>checked above, describe the method of validity testing and what it tests</w:t>
      </w:r>
      <w:r w:rsidR="00833325" w:rsidRPr="00F26AD7">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5084315C" w14:textId="5D9BDD05" w:rsidR="009E3033" w:rsidRPr="00E71029" w:rsidRDefault="009E3033" w:rsidP="00DB3627">
      <w:pPr>
        <w:autoSpaceDE w:val="0"/>
        <w:autoSpaceDN w:val="0"/>
        <w:adjustRightInd w:val="0"/>
        <w:spacing w:after="0" w:line="240" w:lineRule="auto"/>
        <w:rPr>
          <w:rFonts w:asciiTheme="majorHAnsi" w:hAnsiTheme="majorHAnsi" w:cstheme="minorHAnsi"/>
          <w:bCs/>
          <w:color w:val="FF0000"/>
          <w:sz w:val="20"/>
          <w:szCs w:val="20"/>
        </w:rPr>
      </w:pPr>
      <w:r w:rsidRPr="00E71029">
        <w:rPr>
          <w:rFonts w:asciiTheme="majorHAnsi" w:hAnsiTheme="majorHAnsi" w:cstheme="minorHAnsi"/>
          <w:bCs/>
          <w:color w:val="FF0000"/>
          <w:sz w:val="20"/>
          <w:szCs w:val="20"/>
        </w:rPr>
        <w:t xml:space="preserve">We performed 2 different strategies for assessing the validity of this measure. First, we underwent a rigorous process for establishing the face validity of the measure. Because it is a clinically meaningful outcome, </w:t>
      </w:r>
      <w:r w:rsidR="00121870" w:rsidRPr="00E71029">
        <w:rPr>
          <w:rFonts w:asciiTheme="majorHAnsi" w:hAnsiTheme="majorHAnsi" w:cstheme="minorHAnsi"/>
          <w:bCs/>
          <w:color w:val="FF0000"/>
          <w:sz w:val="20"/>
          <w:szCs w:val="20"/>
        </w:rPr>
        <w:t>we sought to make sure that a broad range of experts and clinicians concurred that this was a clinically important outcome measure. Second, we hypothesized that it would be associated with other clinically important outcomes and sought to establish the predictive validity of the measure. These are described in more detail below:</w:t>
      </w:r>
    </w:p>
    <w:p w14:paraId="0DF3D0BF" w14:textId="77777777" w:rsidR="00121870" w:rsidRPr="00E71029" w:rsidRDefault="00121870" w:rsidP="00DB3627">
      <w:pPr>
        <w:autoSpaceDE w:val="0"/>
        <w:autoSpaceDN w:val="0"/>
        <w:adjustRightInd w:val="0"/>
        <w:spacing w:after="0" w:line="240" w:lineRule="auto"/>
        <w:rPr>
          <w:rFonts w:asciiTheme="majorHAnsi" w:hAnsiTheme="majorHAnsi" w:cstheme="minorHAnsi"/>
          <w:bCs/>
          <w:sz w:val="20"/>
          <w:szCs w:val="20"/>
        </w:rPr>
      </w:pPr>
    </w:p>
    <w:p w14:paraId="53A0E63C" w14:textId="5EAD7E10" w:rsidR="00A55A4F" w:rsidRPr="00E71029" w:rsidRDefault="00A55A4F" w:rsidP="00923D12">
      <w:pPr>
        <w:autoSpaceDE w:val="0"/>
        <w:autoSpaceDN w:val="0"/>
        <w:adjustRightInd w:val="0"/>
        <w:spacing w:after="0" w:line="240" w:lineRule="auto"/>
        <w:outlineLvl w:val="0"/>
        <w:rPr>
          <w:rFonts w:asciiTheme="majorHAnsi" w:hAnsiTheme="majorHAnsi" w:cstheme="minorHAnsi"/>
          <w:bCs/>
          <w:color w:val="4F81BD" w:themeColor="accent1"/>
          <w:sz w:val="20"/>
          <w:szCs w:val="20"/>
        </w:rPr>
      </w:pPr>
      <w:r w:rsidRPr="00E71029">
        <w:rPr>
          <w:rFonts w:asciiTheme="majorHAnsi" w:hAnsiTheme="majorHAnsi" w:cstheme="minorHAnsi"/>
          <w:bCs/>
          <w:color w:val="4F81BD" w:themeColor="accent1"/>
          <w:sz w:val="20"/>
          <w:szCs w:val="20"/>
        </w:rPr>
        <w:t>Systematic Assessment of Face Validity of the Performance Measure:</w:t>
      </w:r>
    </w:p>
    <w:p w14:paraId="42E8CCA7" w14:textId="77777777" w:rsidR="001C4FE9" w:rsidRPr="001C4FE9" w:rsidRDefault="001C4FE9" w:rsidP="00923D12">
      <w:pPr>
        <w:autoSpaceDE w:val="0"/>
        <w:autoSpaceDN w:val="0"/>
        <w:adjustRightInd w:val="0"/>
        <w:spacing w:after="0" w:line="240" w:lineRule="auto"/>
        <w:outlineLvl w:val="0"/>
        <w:rPr>
          <w:rFonts w:cstheme="minorHAnsi"/>
          <w:bCs/>
          <w:color w:val="4F81BD" w:themeColor="accent1"/>
        </w:rPr>
      </w:pPr>
    </w:p>
    <w:p w14:paraId="1A5310F4" w14:textId="77777777" w:rsidR="000E73F4" w:rsidRPr="000E73F4" w:rsidRDefault="000E73F4" w:rsidP="000E73F4">
      <w:pPr>
        <w:autoSpaceDE w:val="0"/>
        <w:autoSpaceDN w:val="0"/>
        <w:adjustRightInd w:val="0"/>
        <w:spacing w:after="0" w:line="240" w:lineRule="auto"/>
        <w:rPr>
          <w:rFonts w:asciiTheme="majorHAnsi" w:hAnsiTheme="majorHAnsi" w:cstheme="minorHAnsi"/>
          <w:bCs/>
          <w:i/>
          <w:color w:val="0070C0"/>
          <w:sz w:val="20"/>
          <w:szCs w:val="20"/>
        </w:rPr>
      </w:pPr>
      <w:r w:rsidRPr="000E73F4">
        <w:rPr>
          <w:rFonts w:asciiTheme="majorHAnsi" w:eastAsia="Times New Roman" w:hAnsiTheme="majorHAnsi" w:cs="Times New Roman"/>
          <w:color w:val="0070C0"/>
          <w:sz w:val="20"/>
          <w:szCs w:val="20"/>
          <w:lang w:eastAsia="ja-JP"/>
        </w:rPr>
        <w:t>Bleeding remains one of the most common non-cardiac complications of PCI. It is a serious adverse consequence and, most importantly, is modifiable. The 2011 ACC/AHA guidelines provide for a Level IC recommendation for the assessment of bleeding prior to PCI. This is grounded in the realization that there are several strategies, such as radial approaches and the use of bivalirudin, that can be applied to mitigate the risk of bleeding, particularly in high-risk patients. The first bleeding risk model was published in 2009 (</w:t>
      </w:r>
      <w:proofErr w:type="spellStart"/>
      <w:r w:rsidRPr="000E73F4">
        <w:rPr>
          <w:rFonts w:asciiTheme="majorHAnsi" w:eastAsia="Times New Roman" w:hAnsiTheme="majorHAnsi" w:cs="Times New Roman"/>
          <w:i/>
          <w:color w:val="0070C0"/>
          <w:sz w:val="20"/>
          <w:szCs w:val="20"/>
          <w:lang w:eastAsia="ja-JP"/>
        </w:rPr>
        <w:t>Circ</w:t>
      </w:r>
      <w:proofErr w:type="spellEnd"/>
      <w:r w:rsidRPr="000E73F4">
        <w:rPr>
          <w:rFonts w:asciiTheme="majorHAnsi" w:eastAsia="Times New Roman" w:hAnsiTheme="majorHAnsi" w:cs="Times New Roman"/>
          <w:i/>
          <w:color w:val="0070C0"/>
          <w:sz w:val="20"/>
          <w:szCs w:val="20"/>
          <w:lang w:eastAsia="ja-JP"/>
        </w:rPr>
        <w:t xml:space="preserve"> Cardiovasc </w:t>
      </w:r>
      <w:proofErr w:type="spellStart"/>
      <w:r w:rsidRPr="000E73F4">
        <w:rPr>
          <w:rFonts w:asciiTheme="majorHAnsi" w:eastAsia="Times New Roman" w:hAnsiTheme="majorHAnsi" w:cs="Times New Roman"/>
          <w:i/>
          <w:color w:val="0070C0"/>
          <w:sz w:val="20"/>
          <w:szCs w:val="20"/>
          <w:lang w:eastAsia="ja-JP"/>
        </w:rPr>
        <w:t>Intervent</w:t>
      </w:r>
      <w:proofErr w:type="spellEnd"/>
      <w:r w:rsidRPr="000E73F4">
        <w:rPr>
          <w:rFonts w:asciiTheme="majorHAnsi" w:eastAsia="Times New Roman" w:hAnsiTheme="majorHAnsi" w:cs="Times New Roman"/>
          <w:color w:val="0070C0"/>
          <w:sz w:val="20"/>
          <w:szCs w:val="20"/>
          <w:lang w:eastAsia="ja-JP"/>
        </w:rPr>
        <w:t xml:space="preserve">. </w:t>
      </w:r>
      <w:proofErr w:type="gramStart"/>
      <w:r w:rsidRPr="000E73F4">
        <w:rPr>
          <w:rFonts w:asciiTheme="majorHAnsi" w:eastAsia="Times New Roman" w:hAnsiTheme="majorHAnsi" w:cs="Times New Roman"/>
          <w:color w:val="0070C0"/>
          <w:sz w:val="20"/>
          <w:szCs w:val="20"/>
          <w:lang w:eastAsia="ja-JP"/>
        </w:rPr>
        <w:t>2009;2:222</w:t>
      </w:r>
      <w:proofErr w:type="gramEnd"/>
      <w:r w:rsidRPr="000E73F4">
        <w:rPr>
          <w:rFonts w:asciiTheme="majorHAnsi" w:eastAsia="Times New Roman" w:hAnsiTheme="majorHAnsi" w:cs="Times New Roman"/>
          <w:color w:val="0070C0"/>
          <w:sz w:val="20"/>
          <w:szCs w:val="20"/>
          <w:lang w:eastAsia="ja-JP"/>
        </w:rPr>
        <w:t>-229) and was the update was published in 2013 (</w:t>
      </w:r>
      <w:r w:rsidRPr="000E73F4">
        <w:rPr>
          <w:rFonts w:asciiTheme="majorHAnsi" w:eastAsia="Times New Roman" w:hAnsiTheme="majorHAnsi" w:cs="Times New Roman"/>
          <w:i/>
          <w:color w:val="0070C0"/>
          <w:sz w:val="20"/>
          <w:szCs w:val="20"/>
          <w:lang w:eastAsia="ja-JP"/>
        </w:rPr>
        <w:t>JACC Cardiovasc Intervention, 2013;6:897-904).</w:t>
      </w:r>
    </w:p>
    <w:p w14:paraId="7FBE105E" w14:textId="77777777"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p>
    <w:p w14:paraId="3986DB0A" w14:textId="63E215F9"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r w:rsidRPr="000E73F4">
        <w:rPr>
          <w:rFonts w:asciiTheme="majorHAnsi" w:hAnsiTheme="majorHAnsi" w:cstheme="minorHAnsi"/>
          <w:bCs/>
          <w:color w:val="0070C0"/>
          <w:sz w:val="20"/>
          <w:szCs w:val="20"/>
        </w:rPr>
        <w:t xml:space="preserve">Content validity of this outcome – and the specific definition used in defining a bleeding event – was achieved by the specialized expertise of those individuals who developed this model as well as the structured discussions that the group conducted. For this particular topic those individuals who were involved in identifying the key attributes and variables for this risk model were leaders and experts in the field of interventional cardiology. </w:t>
      </w:r>
      <w:r w:rsidR="00366680">
        <w:rPr>
          <w:rFonts w:asciiTheme="majorHAnsi" w:hAnsiTheme="majorHAnsi" w:cstheme="minorHAnsi"/>
          <w:bCs/>
          <w:color w:val="0070C0"/>
          <w:sz w:val="20"/>
          <w:szCs w:val="20"/>
        </w:rPr>
        <w:t xml:space="preserve">Multiple conference </w:t>
      </w:r>
      <w:r w:rsidR="00366680" w:rsidRPr="000E73F4">
        <w:rPr>
          <w:rFonts w:asciiTheme="majorHAnsi" w:hAnsiTheme="majorHAnsi" w:cstheme="minorHAnsi"/>
          <w:bCs/>
          <w:color w:val="0070C0"/>
          <w:sz w:val="20"/>
          <w:szCs w:val="20"/>
        </w:rPr>
        <w:t>calls</w:t>
      </w:r>
      <w:r w:rsidRPr="000E73F4">
        <w:rPr>
          <w:rFonts w:asciiTheme="majorHAnsi" w:hAnsiTheme="majorHAnsi" w:cstheme="minorHAnsi"/>
          <w:bCs/>
          <w:color w:val="0070C0"/>
          <w:sz w:val="20"/>
          <w:szCs w:val="20"/>
        </w:rPr>
        <w:t xml:space="preserve"> were held </w:t>
      </w:r>
      <w:proofErr w:type="gramStart"/>
      <w:r w:rsidRPr="000E73F4">
        <w:rPr>
          <w:rFonts w:asciiTheme="majorHAnsi" w:hAnsiTheme="majorHAnsi" w:cstheme="minorHAnsi"/>
          <w:bCs/>
          <w:color w:val="0070C0"/>
          <w:sz w:val="20"/>
          <w:szCs w:val="20"/>
        </w:rPr>
        <w:t>to  both</w:t>
      </w:r>
      <w:proofErr w:type="gramEnd"/>
      <w:r w:rsidRPr="000E73F4">
        <w:rPr>
          <w:rFonts w:asciiTheme="majorHAnsi" w:hAnsiTheme="majorHAnsi" w:cstheme="minorHAnsi"/>
          <w:bCs/>
          <w:color w:val="0070C0"/>
          <w:sz w:val="20"/>
          <w:szCs w:val="20"/>
        </w:rPr>
        <w:t xml:space="preserve"> define a bleeding event and to examine and vet the risk model. These individuals within specific committees and workgroups are noted below:</w:t>
      </w:r>
    </w:p>
    <w:p w14:paraId="058DCFE6" w14:textId="77777777"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p>
    <w:p w14:paraId="2C6D660D" w14:textId="7371E9DD"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NCDR </w:t>
      </w:r>
      <w:r w:rsidR="006F19CA" w:rsidRPr="006F19CA">
        <w:rPr>
          <w:rFonts w:asciiTheme="majorHAnsi" w:hAnsiTheme="majorHAnsi" w:cs="Calibri"/>
          <w:bCs/>
          <w:color w:val="0070C0"/>
          <w:sz w:val="20"/>
          <w:szCs w:val="20"/>
        </w:rPr>
        <w:t>Science and Quality Oversight Committee</w:t>
      </w:r>
      <w:r w:rsidRPr="000E73F4">
        <w:rPr>
          <w:rFonts w:asciiTheme="majorHAnsi" w:hAnsiTheme="majorHAnsi" w:cs="Calibri"/>
          <w:bCs/>
          <w:color w:val="0070C0"/>
          <w:sz w:val="20"/>
          <w:szCs w:val="20"/>
        </w:rPr>
        <w:t xml:space="preserve">— an ACC leadership oversight committee that serves as the primary resource for crosscutting scientific and quality of care methodological issues – ensured the data dictionaries and metrics are consistent across registries. They also reviewed and approved the methodology and results of the bleeding outcome and model. </w:t>
      </w:r>
    </w:p>
    <w:p w14:paraId="032437B3" w14:textId="77777777" w:rsidR="000C34F6" w:rsidRPr="000C34F6" w:rsidRDefault="000E73F4" w:rsidP="00923D12">
      <w:pPr>
        <w:outlineLvl w:val="0"/>
        <w:rPr>
          <w:rFonts w:asciiTheme="majorHAnsi" w:hAnsiTheme="majorHAnsi"/>
          <w:color w:val="0070C0"/>
          <w:sz w:val="20"/>
          <w:szCs w:val="20"/>
        </w:rPr>
      </w:pPr>
      <w:r w:rsidRPr="000E73F4">
        <w:rPr>
          <w:rFonts w:asciiTheme="majorHAnsi" w:hAnsiTheme="majorHAnsi" w:cs="Calibri"/>
          <w:bCs/>
          <w:color w:val="0070C0"/>
          <w:sz w:val="20"/>
          <w:szCs w:val="20"/>
        </w:rPr>
        <w:t xml:space="preserve">These members include </w:t>
      </w:r>
    </w:p>
    <w:p w14:paraId="7BF0BCBD" w14:textId="76A8092C" w:rsidR="000E73F4" w:rsidRPr="000E73F4" w:rsidRDefault="000C34F6" w:rsidP="000C34F6">
      <w:pPr>
        <w:rPr>
          <w:rFonts w:asciiTheme="majorHAnsi" w:hAnsiTheme="majorHAnsi"/>
          <w:color w:val="0070C0"/>
          <w:sz w:val="20"/>
          <w:szCs w:val="20"/>
        </w:rPr>
      </w:pPr>
      <w:r w:rsidRPr="000C34F6">
        <w:rPr>
          <w:rFonts w:asciiTheme="majorHAnsi" w:hAnsiTheme="majorHAnsi"/>
          <w:color w:val="0070C0"/>
          <w:sz w:val="20"/>
          <w:szCs w:val="20"/>
        </w:rPr>
        <w:t>John C. Messenger, MD, FACC</w:t>
      </w:r>
      <w:r>
        <w:rPr>
          <w:rFonts w:asciiTheme="majorHAnsi" w:hAnsiTheme="majorHAnsi"/>
          <w:color w:val="0070C0"/>
          <w:sz w:val="20"/>
          <w:szCs w:val="20"/>
        </w:rPr>
        <w:t xml:space="preserve"> (Chair); David M. </w:t>
      </w:r>
      <w:proofErr w:type="spellStart"/>
      <w:r>
        <w:rPr>
          <w:rFonts w:asciiTheme="majorHAnsi" w:hAnsiTheme="majorHAnsi"/>
          <w:color w:val="0070C0"/>
          <w:sz w:val="20"/>
          <w:szCs w:val="20"/>
        </w:rPr>
        <w:t>Shahian</w:t>
      </w:r>
      <w:proofErr w:type="spellEnd"/>
      <w:r>
        <w:rPr>
          <w:rFonts w:asciiTheme="majorHAnsi" w:hAnsiTheme="majorHAnsi"/>
          <w:color w:val="0070C0"/>
          <w:sz w:val="20"/>
          <w:szCs w:val="20"/>
        </w:rPr>
        <w:t xml:space="preserve">, MD, FACC; Thomas T Tsai, MD, MSC; Charles A. </w:t>
      </w:r>
      <w:proofErr w:type="spellStart"/>
      <w:r>
        <w:rPr>
          <w:rFonts w:asciiTheme="majorHAnsi" w:hAnsiTheme="majorHAnsi"/>
          <w:color w:val="0070C0"/>
          <w:sz w:val="20"/>
          <w:szCs w:val="20"/>
        </w:rPr>
        <w:t>Henrikson</w:t>
      </w:r>
      <w:proofErr w:type="spellEnd"/>
      <w:r>
        <w:rPr>
          <w:rFonts w:asciiTheme="majorHAnsi" w:hAnsiTheme="majorHAnsi"/>
          <w:color w:val="0070C0"/>
          <w:sz w:val="20"/>
          <w:szCs w:val="20"/>
        </w:rPr>
        <w:t xml:space="preserve">, MD, MPH; Jeff Jacobs, MD, FACC; </w:t>
      </w:r>
      <w:r w:rsidRPr="000C34F6">
        <w:rPr>
          <w:rFonts w:asciiTheme="majorHAnsi" w:hAnsiTheme="majorHAnsi"/>
          <w:color w:val="0070C0"/>
          <w:sz w:val="20"/>
          <w:szCs w:val="20"/>
        </w:rPr>
        <w:t>John R. Windle</w:t>
      </w:r>
      <w:r>
        <w:rPr>
          <w:rFonts w:asciiTheme="majorHAnsi" w:hAnsiTheme="majorHAnsi"/>
          <w:color w:val="0070C0"/>
          <w:sz w:val="20"/>
          <w:szCs w:val="20"/>
        </w:rPr>
        <w:t xml:space="preserve">, MD, FACC; Amit Amin, MD; John W. M. Moore, MD, FACC; Deepak L. Bhatt, MD, MPH, FACC; Jeffrey Westcott, MD, FACC; Gregory M. Marcus, MD FACC; David J. </w:t>
      </w:r>
      <w:proofErr w:type="spellStart"/>
      <w:r>
        <w:rPr>
          <w:rFonts w:asciiTheme="majorHAnsi" w:hAnsiTheme="majorHAnsi"/>
          <w:color w:val="0070C0"/>
          <w:sz w:val="20"/>
          <w:szCs w:val="20"/>
        </w:rPr>
        <w:t>Slotwiner</w:t>
      </w:r>
      <w:proofErr w:type="spellEnd"/>
      <w:r>
        <w:rPr>
          <w:rFonts w:asciiTheme="majorHAnsi" w:hAnsiTheme="majorHAnsi"/>
          <w:color w:val="0070C0"/>
          <w:sz w:val="20"/>
          <w:szCs w:val="20"/>
        </w:rPr>
        <w:t xml:space="preserve">, MD, FACC; </w:t>
      </w:r>
      <w:proofErr w:type="spellStart"/>
      <w:r>
        <w:rPr>
          <w:rFonts w:asciiTheme="majorHAnsi" w:hAnsiTheme="majorHAnsi"/>
          <w:color w:val="0070C0"/>
          <w:sz w:val="20"/>
          <w:szCs w:val="20"/>
        </w:rPr>
        <w:t>Jeptha</w:t>
      </w:r>
      <w:proofErr w:type="spellEnd"/>
      <w:r>
        <w:rPr>
          <w:rFonts w:asciiTheme="majorHAnsi" w:hAnsiTheme="majorHAnsi"/>
          <w:color w:val="0070C0"/>
          <w:sz w:val="20"/>
          <w:szCs w:val="20"/>
        </w:rPr>
        <w:t xml:space="preserve"> P. Curtis, MD, FACC; John </w:t>
      </w:r>
      <w:proofErr w:type="spellStart"/>
      <w:r>
        <w:rPr>
          <w:rFonts w:asciiTheme="majorHAnsi" w:hAnsiTheme="majorHAnsi"/>
          <w:color w:val="0070C0"/>
          <w:sz w:val="20"/>
          <w:szCs w:val="20"/>
        </w:rPr>
        <w:t>Spertus</w:t>
      </w:r>
      <w:proofErr w:type="spellEnd"/>
      <w:r>
        <w:rPr>
          <w:rFonts w:asciiTheme="majorHAnsi" w:hAnsiTheme="majorHAnsi"/>
          <w:color w:val="0070C0"/>
          <w:sz w:val="20"/>
          <w:szCs w:val="20"/>
        </w:rPr>
        <w:t xml:space="preserve">, MD, FACC; Matthew T. Roe, MD, FACC; and </w:t>
      </w:r>
      <w:r w:rsidRPr="000C34F6">
        <w:rPr>
          <w:rFonts w:asciiTheme="majorHAnsi" w:hAnsiTheme="majorHAnsi"/>
          <w:color w:val="0070C0"/>
          <w:sz w:val="20"/>
          <w:szCs w:val="20"/>
        </w:rPr>
        <w:t>Frederick A. Masoudi, MD, MSPH, FACC</w:t>
      </w:r>
    </w:p>
    <w:p w14:paraId="5D858B74" w14:textId="43DBE760"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NCDR Clinical </w:t>
      </w:r>
      <w:proofErr w:type="spellStart"/>
      <w:r w:rsidRPr="000E73F4">
        <w:rPr>
          <w:rFonts w:asciiTheme="majorHAnsi" w:hAnsiTheme="majorHAnsi" w:cs="Calibri"/>
          <w:bCs/>
          <w:color w:val="0070C0"/>
          <w:sz w:val="20"/>
          <w:szCs w:val="20"/>
        </w:rPr>
        <w:t>SubWorkgroup</w:t>
      </w:r>
      <w:proofErr w:type="spellEnd"/>
      <w:r w:rsidRPr="000E73F4">
        <w:rPr>
          <w:rFonts w:asciiTheme="majorHAnsi" w:hAnsiTheme="majorHAnsi" w:cs="Calibri"/>
          <w:bCs/>
          <w:color w:val="0070C0"/>
          <w:sz w:val="20"/>
          <w:szCs w:val="20"/>
        </w:rPr>
        <w:t xml:space="preserve"> </w:t>
      </w:r>
      <w:r w:rsidR="006F19CA">
        <w:rPr>
          <w:rFonts w:asciiTheme="majorHAnsi" w:hAnsiTheme="majorHAnsi" w:cs="Calibri"/>
          <w:bCs/>
          <w:color w:val="0070C0"/>
          <w:sz w:val="20"/>
          <w:szCs w:val="20"/>
        </w:rPr>
        <w:t xml:space="preserve">was a designated workgroup that oversaw the </w:t>
      </w:r>
      <w:r w:rsidR="00F26AD7">
        <w:rPr>
          <w:rFonts w:asciiTheme="majorHAnsi" w:hAnsiTheme="majorHAnsi" w:cs="Calibri"/>
          <w:bCs/>
          <w:color w:val="0070C0"/>
          <w:sz w:val="20"/>
          <w:szCs w:val="20"/>
        </w:rPr>
        <w:t>initial</w:t>
      </w:r>
      <w:r w:rsidRPr="000E73F4">
        <w:rPr>
          <w:rFonts w:asciiTheme="majorHAnsi" w:hAnsiTheme="majorHAnsi" w:cs="Calibri"/>
          <w:bCs/>
          <w:color w:val="0070C0"/>
          <w:sz w:val="20"/>
          <w:szCs w:val="20"/>
        </w:rPr>
        <w:t xml:space="preserve"> NQF application. Prior to submission, </w:t>
      </w:r>
      <w:r w:rsidR="006F19CA">
        <w:rPr>
          <w:rFonts w:asciiTheme="majorHAnsi" w:hAnsiTheme="majorHAnsi" w:cs="Calibri"/>
          <w:bCs/>
          <w:color w:val="0070C0"/>
          <w:sz w:val="20"/>
          <w:szCs w:val="20"/>
        </w:rPr>
        <w:t>the group</w:t>
      </w:r>
      <w:r w:rsidRPr="000E73F4">
        <w:rPr>
          <w:rFonts w:asciiTheme="majorHAnsi" w:hAnsiTheme="majorHAnsi" w:cs="Calibri"/>
          <w:bCs/>
          <w:color w:val="0070C0"/>
          <w:sz w:val="20"/>
          <w:szCs w:val="20"/>
        </w:rPr>
        <w:t xml:space="preserve"> </w:t>
      </w:r>
      <w:r w:rsidR="00F26AD7" w:rsidRPr="000E73F4">
        <w:rPr>
          <w:rFonts w:asciiTheme="majorHAnsi" w:hAnsiTheme="majorHAnsi" w:cs="Calibri"/>
          <w:bCs/>
          <w:color w:val="0070C0"/>
          <w:sz w:val="20"/>
          <w:szCs w:val="20"/>
        </w:rPr>
        <w:t>ensured</w:t>
      </w:r>
      <w:r w:rsidR="00F26AD7">
        <w:rPr>
          <w:rFonts w:asciiTheme="majorHAnsi" w:hAnsiTheme="majorHAnsi" w:cs="Calibri"/>
          <w:bCs/>
          <w:color w:val="0070C0"/>
          <w:sz w:val="20"/>
          <w:szCs w:val="20"/>
        </w:rPr>
        <w:t xml:space="preserve"> </w:t>
      </w:r>
      <w:r w:rsidR="00F26AD7" w:rsidRPr="000E73F4">
        <w:rPr>
          <w:rFonts w:asciiTheme="majorHAnsi" w:hAnsiTheme="majorHAnsi" w:cs="Calibri"/>
          <w:bCs/>
          <w:color w:val="0070C0"/>
          <w:sz w:val="20"/>
          <w:szCs w:val="20"/>
        </w:rPr>
        <w:t>there</w:t>
      </w:r>
      <w:r w:rsidRPr="000E73F4">
        <w:rPr>
          <w:rFonts w:asciiTheme="majorHAnsi" w:hAnsiTheme="majorHAnsi" w:cs="Calibri"/>
          <w:bCs/>
          <w:color w:val="0070C0"/>
          <w:sz w:val="20"/>
          <w:szCs w:val="20"/>
        </w:rPr>
        <w:t xml:space="preserve"> </w:t>
      </w:r>
      <w:r w:rsidR="006F19CA">
        <w:rPr>
          <w:rFonts w:asciiTheme="majorHAnsi" w:hAnsiTheme="majorHAnsi" w:cs="Calibri"/>
          <w:bCs/>
          <w:color w:val="0070C0"/>
          <w:sz w:val="20"/>
          <w:szCs w:val="20"/>
        </w:rPr>
        <w:t>was</w:t>
      </w:r>
      <w:r w:rsidR="006F19CA" w:rsidRPr="000E73F4">
        <w:rPr>
          <w:rFonts w:asciiTheme="majorHAnsi" w:hAnsiTheme="majorHAnsi" w:cs="Calibri"/>
          <w:bCs/>
          <w:color w:val="0070C0"/>
          <w:sz w:val="20"/>
          <w:szCs w:val="20"/>
        </w:rPr>
        <w:t xml:space="preserve"> </w:t>
      </w:r>
      <w:r w:rsidRPr="000E73F4">
        <w:rPr>
          <w:rFonts w:asciiTheme="majorHAnsi" w:hAnsiTheme="majorHAnsi" w:cs="Calibri"/>
          <w:bCs/>
          <w:color w:val="0070C0"/>
          <w:sz w:val="20"/>
          <w:szCs w:val="20"/>
        </w:rPr>
        <w:t>variation in care, disparities data, and that the measure is a true reflection of quality care at a particular site and can also be used to improve quality.</w:t>
      </w:r>
    </w:p>
    <w:p w14:paraId="26E9024B" w14:textId="77777777" w:rsidR="006F19CA"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Dr. </w:t>
      </w:r>
      <w:proofErr w:type="spellStart"/>
      <w:r w:rsidRPr="000E73F4">
        <w:rPr>
          <w:rFonts w:asciiTheme="majorHAnsi" w:hAnsiTheme="majorHAnsi" w:cs="Calibri"/>
          <w:bCs/>
          <w:color w:val="0070C0"/>
          <w:sz w:val="20"/>
          <w:szCs w:val="20"/>
        </w:rPr>
        <w:t>Jeptha</w:t>
      </w:r>
      <w:proofErr w:type="spellEnd"/>
      <w:r w:rsidRPr="000E73F4">
        <w:rPr>
          <w:rFonts w:asciiTheme="majorHAnsi" w:hAnsiTheme="majorHAnsi" w:cs="Calibri"/>
          <w:bCs/>
          <w:color w:val="0070C0"/>
          <w:sz w:val="20"/>
          <w:szCs w:val="20"/>
        </w:rPr>
        <w:t xml:space="preserve"> Curtis (chair), Dr. Frederick Masoudi, Dr. John Rumsfeld, Dr. David </w:t>
      </w:r>
      <w:proofErr w:type="spellStart"/>
      <w:r w:rsidRPr="000E73F4">
        <w:rPr>
          <w:rFonts w:asciiTheme="majorHAnsi" w:hAnsiTheme="majorHAnsi" w:cs="Calibri"/>
          <w:bCs/>
          <w:color w:val="0070C0"/>
          <w:sz w:val="20"/>
          <w:szCs w:val="20"/>
        </w:rPr>
        <w:t>Malenka</w:t>
      </w:r>
      <w:proofErr w:type="spellEnd"/>
      <w:r w:rsidRPr="000E73F4">
        <w:rPr>
          <w:rFonts w:asciiTheme="majorHAnsi" w:hAnsiTheme="majorHAnsi" w:cs="Calibri"/>
          <w:bCs/>
          <w:color w:val="0070C0"/>
          <w:sz w:val="20"/>
          <w:szCs w:val="20"/>
        </w:rPr>
        <w:t xml:space="preserve">, and Dr. </w:t>
      </w:r>
      <w:proofErr w:type="spellStart"/>
      <w:r w:rsidRPr="000E73F4">
        <w:rPr>
          <w:rFonts w:asciiTheme="majorHAnsi" w:hAnsiTheme="majorHAnsi" w:cs="Calibri"/>
          <w:bCs/>
          <w:color w:val="0070C0"/>
          <w:sz w:val="20"/>
          <w:szCs w:val="20"/>
        </w:rPr>
        <w:t>Issam</w:t>
      </w:r>
      <w:proofErr w:type="spellEnd"/>
      <w:r w:rsidRPr="000E73F4">
        <w:rPr>
          <w:rFonts w:asciiTheme="majorHAnsi" w:hAnsiTheme="majorHAnsi" w:cs="Calibri"/>
          <w:bCs/>
          <w:color w:val="0070C0"/>
          <w:sz w:val="20"/>
          <w:szCs w:val="20"/>
        </w:rPr>
        <w:t xml:space="preserve"> Moussa. </w:t>
      </w:r>
    </w:p>
    <w:p w14:paraId="6743D773" w14:textId="5409C698"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lastRenderedPageBreak/>
        <w:t xml:space="preserve"> </w:t>
      </w:r>
    </w:p>
    <w:p w14:paraId="30AD4FB6" w14:textId="19EA0616"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NCDR Registry Steering Committee provide</w:t>
      </w:r>
      <w:r w:rsidR="006F19CA">
        <w:rPr>
          <w:rFonts w:asciiTheme="majorHAnsi" w:hAnsiTheme="majorHAnsi" w:cs="Calibri"/>
          <w:bCs/>
          <w:color w:val="0070C0"/>
          <w:sz w:val="20"/>
          <w:szCs w:val="20"/>
        </w:rPr>
        <w:t>d</w:t>
      </w:r>
      <w:r w:rsidRPr="000E73F4">
        <w:rPr>
          <w:rFonts w:asciiTheme="majorHAnsi" w:hAnsiTheme="majorHAnsi" w:cs="Calibri"/>
          <w:bCs/>
          <w:color w:val="0070C0"/>
          <w:sz w:val="20"/>
          <w:szCs w:val="20"/>
        </w:rPr>
        <w:t xml:space="preserve"> strategic direction for the Registry and ensures the measures submitted to NQF met key criterion such as reliability, feasibility, and that there is compelling evidence base behind the development and implementation of this measure. </w:t>
      </w:r>
    </w:p>
    <w:p w14:paraId="03D7D967" w14:textId="77777777"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Dr. </w:t>
      </w:r>
      <w:proofErr w:type="spellStart"/>
      <w:r w:rsidRPr="000E73F4">
        <w:rPr>
          <w:rFonts w:asciiTheme="majorHAnsi" w:hAnsiTheme="majorHAnsi" w:cs="Calibri"/>
          <w:bCs/>
          <w:color w:val="0070C0"/>
          <w:sz w:val="20"/>
          <w:szCs w:val="20"/>
        </w:rPr>
        <w:t>Issam</w:t>
      </w:r>
      <w:proofErr w:type="spellEnd"/>
      <w:r w:rsidRPr="000E73F4">
        <w:rPr>
          <w:rFonts w:asciiTheme="majorHAnsi" w:hAnsiTheme="majorHAnsi" w:cs="Calibri"/>
          <w:bCs/>
          <w:color w:val="0070C0"/>
          <w:sz w:val="20"/>
          <w:szCs w:val="20"/>
        </w:rPr>
        <w:t xml:space="preserve"> D. Moussa (chair), Dr. Kirk N. Garratt, Dr. Lloyd W. Klein, Dr. Kendrick A. </w:t>
      </w:r>
      <w:proofErr w:type="spellStart"/>
      <w:r w:rsidRPr="000E73F4">
        <w:rPr>
          <w:rFonts w:asciiTheme="majorHAnsi" w:hAnsiTheme="majorHAnsi" w:cs="Calibri"/>
          <w:bCs/>
          <w:color w:val="0070C0"/>
          <w:sz w:val="20"/>
          <w:szCs w:val="20"/>
        </w:rPr>
        <w:t>Shunk</w:t>
      </w:r>
      <w:proofErr w:type="spellEnd"/>
      <w:r w:rsidRPr="000E73F4">
        <w:rPr>
          <w:rFonts w:asciiTheme="majorHAnsi" w:hAnsiTheme="majorHAnsi" w:cs="Calibri"/>
          <w:bCs/>
          <w:color w:val="0070C0"/>
          <w:sz w:val="20"/>
          <w:szCs w:val="20"/>
        </w:rPr>
        <w:t xml:space="preserve">, Dr. Samir R. Kapadia, Dr. Robert N. </w:t>
      </w:r>
      <w:proofErr w:type="spellStart"/>
      <w:r w:rsidRPr="000E73F4">
        <w:rPr>
          <w:rFonts w:asciiTheme="majorHAnsi" w:hAnsiTheme="majorHAnsi" w:cs="Calibri"/>
          <w:bCs/>
          <w:color w:val="0070C0"/>
          <w:sz w:val="20"/>
          <w:szCs w:val="20"/>
        </w:rPr>
        <w:t>Piana</w:t>
      </w:r>
      <w:proofErr w:type="spellEnd"/>
      <w:r w:rsidRPr="000E73F4">
        <w:rPr>
          <w:rFonts w:asciiTheme="majorHAnsi" w:hAnsiTheme="majorHAnsi" w:cs="Calibri"/>
          <w:bCs/>
          <w:color w:val="0070C0"/>
          <w:sz w:val="20"/>
          <w:szCs w:val="20"/>
        </w:rPr>
        <w:t xml:space="preserve">, Dr. Roxana Mehran, Dr. Frederic S. </w:t>
      </w:r>
      <w:proofErr w:type="spellStart"/>
      <w:r w:rsidRPr="000E73F4">
        <w:rPr>
          <w:rFonts w:asciiTheme="majorHAnsi" w:hAnsiTheme="majorHAnsi" w:cs="Calibri"/>
          <w:bCs/>
          <w:color w:val="0070C0"/>
          <w:sz w:val="20"/>
          <w:szCs w:val="20"/>
        </w:rPr>
        <w:t>Resnic</w:t>
      </w:r>
      <w:proofErr w:type="spellEnd"/>
      <w:r w:rsidRPr="000E73F4">
        <w:rPr>
          <w:rFonts w:asciiTheme="majorHAnsi" w:hAnsiTheme="majorHAnsi" w:cs="Calibri"/>
          <w:bCs/>
          <w:color w:val="0070C0"/>
          <w:sz w:val="20"/>
          <w:szCs w:val="20"/>
        </w:rPr>
        <w:t xml:space="preserve">, Dr. Aaron D. </w:t>
      </w:r>
      <w:proofErr w:type="spellStart"/>
      <w:r w:rsidRPr="000E73F4">
        <w:rPr>
          <w:rFonts w:asciiTheme="majorHAnsi" w:hAnsiTheme="majorHAnsi" w:cs="Calibri"/>
          <w:bCs/>
          <w:color w:val="0070C0"/>
          <w:sz w:val="20"/>
          <w:szCs w:val="20"/>
        </w:rPr>
        <w:t>Kugelmass</w:t>
      </w:r>
      <w:proofErr w:type="spellEnd"/>
      <w:r w:rsidRPr="000E73F4">
        <w:rPr>
          <w:rFonts w:asciiTheme="majorHAnsi" w:hAnsiTheme="majorHAnsi" w:cs="Calibri"/>
          <w:bCs/>
          <w:color w:val="0070C0"/>
          <w:sz w:val="20"/>
          <w:szCs w:val="20"/>
        </w:rPr>
        <w:t>,</w:t>
      </w:r>
    </w:p>
    <w:p w14:paraId="0ABC078F" w14:textId="77777777" w:rsid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Dr. Sunil V. </w:t>
      </w:r>
      <w:proofErr w:type="gramStart"/>
      <w:r w:rsidRPr="000E73F4">
        <w:rPr>
          <w:rFonts w:asciiTheme="majorHAnsi" w:hAnsiTheme="majorHAnsi" w:cs="Calibri"/>
          <w:bCs/>
          <w:color w:val="0070C0"/>
          <w:sz w:val="20"/>
          <w:szCs w:val="20"/>
        </w:rPr>
        <w:t>Rao,  Dr.</w:t>
      </w:r>
      <w:proofErr w:type="gramEnd"/>
      <w:r w:rsidRPr="000E73F4">
        <w:rPr>
          <w:rFonts w:asciiTheme="majorHAnsi" w:hAnsiTheme="majorHAnsi" w:cs="Calibri"/>
          <w:bCs/>
          <w:color w:val="0070C0"/>
          <w:sz w:val="20"/>
          <w:szCs w:val="20"/>
        </w:rPr>
        <w:t xml:space="preserve"> W. Douglas Weaver, and Dr.  John C. Messenger.</w:t>
      </w:r>
    </w:p>
    <w:p w14:paraId="2FCF0C75" w14:textId="77777777" w:rsidR="006F19CA" w:rsidRDefault="006F19CA" w:rsidP="000E73F4">
      <w:pPr>
        <w:autoSpaceDE w:val="0"/>
        <w:autoSpaceDN w:val="0"/>
        <w:adjustRightInd w:val="0"/>
        <w:spacing w:after="0" w:line="240" w:lineRule="auto"/>
        <w:rPr>
          <w:rFonts w:asciiTheme="majorHAnsi" w:hAnsiTheme="majorHAnsi" w:cs="Calibri"/>
          <w:bCs/>
          <w:color w:val="0070C0"/>
          <w:sz w:val="20"/>
          <w:szCs w:val="20"/>
        </w:rPr>
      </w:pPr>
    </w:p>
    <w:p w14:paraId="351DA4A5" w14:textId="47D858F8" w:rsidR="006F19CA" w:rsidRPr="000E73F4" w:rsidRDefault="006F19CA" w:rsidP="000E73F4">
      <w:pPr>
        <w:autoSpaceDE w:val="0"/>
        <w:autoSpaceDN w:val="0"/>
        <w:adjustRightInd w:val="0"/>
        <w:spacing w:after="0" w:line="240" w:lineRule="auto"/>
        <w:rPr>
          <w:rFonts w:asciiTheme="majorHAnsi" w:hAnsiTheme="majorHAnsi" w:cs="Calibri"/>
          <w:bCs/>
          <w:color w:val="0070C0"/>
          <w:sz w:val="20"/>
          <w:szCs w:val="20"/>
        </w:rPr>
      </w:pPr>
      <w:r>
        <w:rPr>
          <w:rFonts w:asciiTheme="majorHAnsi" w:hAnsiTheme="majorHAnsi" w:cs="Calibri"/>
          <w:bCs/>
          <w:color w:val="0070C0"/>
          <w:sz w:val="20"/>
          <w:szCs w:val="20"/>
        </w:rPr>
        <w:t xml:space="preserve">The  NCDR </w:t>
      </w:r>
      <w:r w:rsidRPr="006F19CA">
        <w:rPr>
          <w:rFonts w:asciiTheme="majorHAnsi" w:hAnsiTheme="majorHAnsi" w:cs="Calibri"/>
          <w:bCs/>
          <w:color w:val="0070C0"/>
          <w:sz w:val="20"/>
          <w:szCs w:val="20"/>
        </w:rPr>
        <w:t xml:space="preserve">Metrics and Reporting </w:t>
      </w:r>
      <w:r>
        <w:rPr>
          <w:rFonts w:asciiTheme="majorHAnsi" w:hAnsiTheme="majorHAnsi" w:cs="Calibri"/>
          <w:bCs/>
          <w:color w:val="0070C0"/>
          <w:sz w:val="20"/>
          <w:szCs w:val="20"/>
        </w:rPr>
        <w:t xml:space="preserve"> Methodology (MRM) Subcommittee of the </w:t>
      </w:r>
      <w:r w:rsidRPr="006F19CA">
        <w:rPr>
          <w:rFonts w:asciiTheme="majorHAnsi" w:hAnsiTheme="majorHAnsi" w:cs="Calibri"/>
          <w:bCs/>
          <w:color w:val="0070C0"/>
          <w:sz w:val="20"/>
          <w:szCs w:val="20"/>
        </w:rPr>
        <w:t>Science and Quality Oversight Committee</w:t>
      </w:r>
      <w:r>
        <w:rPr>
          <w:rFonts w:asciiTheme="majorHAnsi" w:hAnsiTheme="majorHAnsi" w:cs="Calibri"/>
          <w:bCs/>
          <w:color w:val="0070C0"/>
          <w:sz w:val="20"/>
          <w:szCs w:val="20"/>
        </w:rPr>
        <w:t xml:space="preserve">, </w:t>
      </w:r>
      <w:r w:rsidRPr="006F19CA">
        <w:rPr>
          <w:rFonts w:asciiTheme="majorHAnsi" w:hAnsiTheme="majorHAnsi" w:cs="Calibri"/>
          <w:bCs/>
          <w:color w:val="0070C0"/>
          <w:sz w:val="20"/>
          <w:szCs w:val="20"/>
        </w:rPr>
        <w:t xml:space="preserve">reviews for </w:t>
      </w:r>
      <w:r>
        <w:rPr>
          <w:rFonts w:asciiTheme="majorHAnsi" w:hAnsiTheme="majorHAnsi" w:cs="Calibri"/>
          <w:bCs/>
          <w:color w:val="0070C0"/>
          <w:sz w:val="20"/>
          <w:szCs w:val="20"/>
        </w:rPr>
        <w:t>re-</w:t>
      </w:r>
      <w:r w:rsidRPr="006F19CA">
        <w:rPr>
          <w:rFonts w:asciiTheme="majorHAnsi" w:hAnsiTheme="majorHAnsi" w:cs="Calibri"/>
          <w:bCs/>
          <w:color w:val="0070C0"/>
          <w:sz w:val="20"/>
          <w:szCs w:val="20"/>
        </w:rPr>
        <w:t xml:space="preserve">endorsement </w:t>
      </w:r>
      <w:r>
        <w:rPr>
          <w:rFonts w:asciiTheme="majorHAnsi" w:hAnsiTheme="majorHAnsi" w:cs="Calibri"/>
          <w:bCs/>
          <w:color w:val="0070C0"/>
          <w:sz w:val="20"/>
          <w:szCs w:val="20"/>
        </w:rPr>
        <w:t xml:space="preserve">and a data analytic center </w:t>
      </w:r>
      <w:r w:rsidRPr="006F19CA">
        <w:rPr>
          <w:rFonts w:asciiTheme="majorHAnsi" w:hAnsiTheme="majorHAnsi" w:cs="Calibri"/>
          <w:bCs/>
          <w:color w:val="0070C0"/>
          <w:sz w:val="20"/>
          <w:szCs w:val="20"/>
        </w:rPr>
        <w:t>is involved in evaluating data, providing corresponding analysis/interpreta</w:t>
      </w:r>
      <w:r>
        <w:rPr>
          <w:rFonts w:asciiTheme="majorHAnsi" w:hAnsiTheme="majorHAnsi" w:cs="Calibri"/>
          <w:bCs/>
          <w:color w:val="0070C0"/>
          <w:sz w:val="20"/>
          <w:szCs w:val="20"/>
        </w:rPr>
        <w:t>tion of data</w:t>
      </w:r>
      <w:r w:rsidRPr="006F19CA">
        <w:rPr>
          <w:rFonts w:asciiTheme="majorHAnsi" w:hAnsiTheme="majorHAnsi" w:cs="Calibri"/>
          <w:bCs/>
          <w:color w:val="0070C0"/>
          <w:sz w:val="20"/>
          <w:szCs w:val="20"/>
        </w:rPr>
        <w:t>. The review includes guidance and oversight from both NCDR’s Chief Science Officer (Frederick Masoudi) and chair of MRM (</w:t>
      </w:r>
      <w:proofErr w:type="spellStart"/>
      <w:r w:rsidRPr="006F19CA">
        <w:rPr>
          <w:rFonts w:asciiTheme="majorHAnsi" w:hAnsiTheme="majorHAnsi" w:cs="Calibri"/>
          <w:bCs/>
          <w:color w:val="0070C0"/>
          <w:sz w:val="20"/>
          <w:szCs w:val="20"/>
        </w:rPr>
        <w:t>Jeptha</w:t>
      </w:r>
      <w:proofErr w:type="spellEnd"/>
      <w:r w:rsidRPr="006F19CA">
        <w:rPr>
          <w:rFonts w:asciiTheme="majorHAnsi" w:hAnsiTheme="majorHAnsi" w:cs="Calibri"/>
          <w:bCs/>
          <w:color w:val="0070C0"/>
          <w:sz w:val="20"/>
          <w:szCs w:val="20"/>
        </w:rPr>
        <w:t xml:space="preserve"> Curtis).</w:t>
      </w:r>
    </w:p>
    <w:p w14:paraId="6A7AA2D5" w14:textId="77777777" w:rsidR="000E73F4" w:rsidRPr="000E73F4" w:rsidRDefault="000E73F4" w:rsidP="000E73F4">
      <w:pPr>
        <w:autoSpaceDE w:val="0"/>
        <w:autoSpaceDN w:val="0"/>
        <w:adjustRightInd w:val="0"/>
        <w:spacing w:after="0" w:line="240" w:lineRule="auto"/>
        <w:rPr>
          <w:rFonts w:asciiTheme="majorHAnsi" w:hAnsiTheme="majorHAnsi" w:cs="Calibri"/>
          <w:bCs/>
          <w:color w:val="0070C0"/>
          <w:sz w:val="20"/>
          <w:szCs w:val="20"/>
        </w:rPr>
      </w:pPr>
    </w:p>
    <w:p w14:paraId="7DC5B3D2" w14:textId="77777777" w:rsidR="000E73F4" w:rsidRDefault="000E73F4" w:rsidP="000E73F4">
      <w:pPr>
        <w:autoSpaceDE w:val="0"/>
        <w:autoSpaceDN w:val="0"/>
        <w:adjustRightInd w:val="0"/>
        <w:spacing w:after="0" w:line="240" w:lineRule="auto"/>
        <w:rPr>
          <w:rFonts w:asciiTheme="majorHAnsi" w:hAnsiTheme="majorHAnsi" w:cs="Calibri"/>
          <w:bCs/>
          <w:color w:val="0070C0"/>
          <w:sz w:val="20"/>
          <w:szCs w:val="20"/>
        </w:rPr>
      </w:pPr>
      <w:r w:rsidRPr="000E73F4">
        <w:rPr>
          <w:rFonts w:asciiTheme="majorHAnsi" w:hAnsiTheme="majorHAnsi" w:cs="Calibri"/>
          <w:bCs/>
          <w:color w:val="0070C0"/>
          <w:sz w:val="20"/>
          <w:szCs w:val="20"/>
        </w:rPr>
        <w:t xml:space="preserve">Lastly the 16 member NCDR Management Board and 31member ACCF Board of Trustees approved these measures for submission to NQF.  </w:t>
      </w:r>
    </w:p>
    <w:p w14:paraId="51DA0227" w14:textId="77777777" w:rsidR="006F19CA" w:rsidRDefault="006F19CA" w:rsidP="000E73F4">
      <w:pPr>
        <w:autoSpaceDE w:val="0"/>
        <w:autoSpaceDN w:val="0"/>
        <w:adjustRightInd w:val="0"/>
        <w:spacing w:after="0" w:line="240" w:lineRule="auto"/>
        <w:rPr>
          <w:rFonts w:asciiTheme="majorHAnsi" w:hAnsiTheme="majorHAnsi" w:cs="Calibri"/>
          <w:bCs/>
          <w:color w:val="0070C0"/>
          <w:sz w:val="20"/>
          <w:szCs w:val="20"/>
        </w:rPr>
      </w:pPr>
    </w:p>
    <w:p w14:paraId="339166C3" w14:textId="627E24F0" w:rsidR="006F19CA" w:rsidRPr="006F19CA" w:rsidRDefault="006F19CA" w:rsidP="000E73F4">
      <w:pPr>
        <w:autoSpaceDE w:val="0"/>
        <w:autoSpaceDN w:val="0"/>
        <w:adjustRightInd w:val="0"/>
        <w:spacing w:after="0" w:line="240" w:lineRule="auto"/>
        <w:rPr>
          <w:rFonts w:asciiTheme="majorHAnsi" w:eastAsia="MS Gothic" w:hAnsiTheme="majorHAnsi" w:cs="Calibri"/>
          <w:color w:val="FF0000"/>
          <w:sz w:val="20"/>
          <w:szCs w:val="20"/>
        </w:rPr>
      </w:pPr>
      <w:r w:rsidRPr="006F19CA">
        <w:rPr>
          <w:rFonts w:asciiTheme="majorHAnsi" w:hAnsiTheme="majorHAnsi" w:cs="Calibri"/>
          <w:bCs/>
          <w:color w:val="FF0000"/>
          <w:sz w:val="20"/>
          <w:szCs w:val="20"/>
        </w:rPr>
        <w:t xml:space="preserve">In addition, the NCDR provides an open comment period (typically between 15 and 30 days) for: 1) all registry data set version changes, 2) new registry version measures and 3) significant changes/additions to registry version metrics/measures, including risk models and appropriate use criteria. The open comment period engages key registry shareholders (i.e., physicians and clinical care team members and hospital or </w:t>
      </w:r>
      <w:proofErr w:type="gramStart"/>
      <w:r w:rsidRPr="006F19CA">
        <w:rPr>
          <w:rFonts w:asciiTheme="majorHAnsi" w:hAnsiTheme="majorHAnsi" w:cs="Calibri"/>
          <w:bCs/>
          <w:color w:val="FF0000"/>
          <w:sz w:val="20"/>
          <w:szCs w:val="20"/>
        </w:rPr>
        <w:t>practice  representatives</w:t>
      </w:r>
      <w:proofErr w:type="gramEnd"/>
      <w:r w:rsidRPr="006F19CA">
        <w:rPr>
          <w:rFonts w:asciiTheme="majorHAnsi" w:hAnsiTheme="majorHAnsi" w:cs="Calibri"/>
          <w:bCs/>
          <w:color w:val="FF0000"/>
          <w:sz w:val="20"/>
          <w:szCs w:val="20"/>
        </w:rPr>
        <w:t>) as well as other external stakeholders (i.e., hospitals, physicians, payers, regulators, consumers, purchasers, etc.) Comments submitted are considered</w:t>
      </w:r>
      <w:r w:rsidR="00BD4AFB">
        <w:rPr>
          <w:rFonts w:asciiTheme="majorHAnsi" w:hAnsiTheme="majorHAnsi" w:cs="Calibri"/>
          <w:bCs/>
          <w:color w:val="FF0000"/>
          <w:sz w:val="20"/>
          <w:szCs w:val="20"/>
        </w:rPr>
        <w:t xml:space="preserve"> for modification of the version change</w:t>
      </w:r>
      <w:r w:rsidRPr="006F19CA">
        <w:rPr>
          <w:rFonts w:asciiTheme="majorHAnsi" w:hAnsiTheme="majorHAnsi" w:cs="Calibri"/>
          <w:bCs/>
          <w:color w:val="FF0000"/>
          <w:sz w:val="20"/>
          <w:szCs w:val="20"/>
        </w:rPr>
        <w:t xml:space="preserve">. NCDR staff and members involved in developing the measures and reports receive all the comments submitted including the name of the individual and organization submitting comment. The NCDR determines which comments to incorporate into modifications and the internal timeline for any modifications. No formal response is provided back to individuals submitting comments through this process. The NCDR may choose to provide a report of comments received and decisions made regarding the various feedback to a broader audience.  </w:t>
      </w:r>
    </w:p>
    <w:p w14:paraId="24907574" w14:textId="77777777"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p>
    <w:p w14:paraId="54F6A7D9" w14:textId="1EE1A0B2" w:rsidR="000E73F4" w:rsidRPr="000E73F4" w:rsidRDefault="000E73F4" w:rsidP="000E73F4">
      <w:pPr>
        <w:autoSpaceDE w:val="0"/>
        <w:autoSpaceDN w:val="0"/>
        <w:adjustRightInd w:val="0"/>
        <w:spacing w:after="0" w:line="240" w:lineRule="auto"/>
        <w:rPr>
          <w:rFonts w:asciiTheme="majorHAnsi" w:hAnsiTheme="majorHAnsi" w:cstheme="minorHAnsi"/>
          <w:bCs/>
          <w:color w:val="0070C0"/>
          <w:sz w:val="20"/>
          <w:szCs w:val="20"/>
        </w:rPr>
      </w:pPr>
      <w:r w:rsidRPr="000E73F4">
        <w:rPr>
          <w:rFonts w:asciiTheme="majorHAnsi" w:hAnsiTheme="majorHAnsi" w:cstheme="minorHAnsi"/>
          <w:bCs/>
          <w:color w:val="0070C0"/>
          <w:sz w:val="20"/>
          <w:szCs w:val="20"/>
        </w:rPr>
        <w:t xml:space="preserve">Beyond the inherent content validity of this process, we have data showing that the bleeding risk score is highly actionable – a critical feature for moving beyond quality assessment to quality improvement. For example, a comparative effectiveness analysis of </w:t>
      </w:r>
      <w:proofErr w:type="spellStart"/>
      <w:r w:rsidRPr="000E73F4">
        <w:rPr>
          <w:rFonts w:asciiTheme="majorHAnsi" w:hAnsiTheme="majorHAnsi" w:cstheme="minorHAnsi"/>
          <w:bCs/>
          <w:color w:val="0070C0"/>
          <w:sz w:val="20"/>
          <w:szCs w:val="20"/>
        </w:rPr>
        <w:t>bivaluridin</w:t>
      </w:r>
      <w:proofErr w:type="spellEnd"/>
      <w:r w:rsidRPr="000E73F4">
        <w:rPr>
          <w:rFonts w:asciiTheme="majorHAnsi" w:hAnsiTheme="majorHAnsi" w:cstheme="minorHAnsi"/>
          <w:bCs/>
          <w:color w:val="0070C0"/>
          <w:sz w:val="20"/>
          <w:szCs w:val="20"/>
        </w:rPr>
        <w:t xml:space="preserve"> use by bleeding risk suggested that bivalirudin was preferentially used in low-risk patients (NNT=224) and least often used in patients at high risk for bleeding (NNT=43; </w:t>
      </w:r>
      <w:r w:rsidRPr="000E73F4">
        <w:rPr>
          <w:rFonts w:asciiTheme="majorHAnsi" w:hAnsiTheme="majorHAnsi" w:cstheme="minorHAnsi"/>
          <w:bCs/>
          <w:i/>
          <w:color w:val="0070C0"/>
          <w:sz w:val="20"/>
          <w:szCs w:val="20"/>
        </w:rPr>
        <w:t>JAMA</w:t>
      </w:r>
      <w:r w:rsidRPr="000E73F4">
        <w:rPr>
          <w:rFonts w:asciiTheme="majorHAnsi" w:hAnsiTheme="majorHAnsi" w:cstheme="minorHAnsi"/>
          <w:bCs/>
          <w:color w:val="0070C0"/>
          <w:sz w:val="20"/>
          <w:szCs w:val="20"/>
        </w:rPr>
        <w:t xml:space="preserve"> 2010;303(21):2156-2164). At Saint Luke’s Mid America Heart Institute, the original bleeding model was executed prior to non-emergent PCI in all patients undergoing the procedure. Not only was the ‘risk-treatment’ paradox reversed, but the bleeding rate at that institution decreased by 40% (</w:t>
      </w:r>
      <w:r w:rsidRPr="000E73F4">
        <w:rPr>
          <w:rFonts w:asciiTheme="majorHAnsi" w:hAnsiTheme="majorHAnsi" w:cstheme="minorHAnsi"/>
          <w:bCs/>
          <w:i/>
          <w:color w:val="0070C0"/>
          <w:sz w:val="20"/>
          <w:szCs w:val="20"/>
        </w:rPr>
        <w:t xml:space="preserve">J Am Coll </w:t>
      </w:r>
      <w:proofErr w:type="spellStart"/>
      <w:r w:rsidRPr="000E73F4">
        <w:rPr>
          <w:rFonts w:asciiTheme="majorHAnsi" w:hAnsiTheme="majorHAnsi" w:cstheme="minorHAnsi"/>
          <w:bCs/>
          <w:i/>
          <w:color w:val="0070C0"/>
          <w:sz w:val="20"/>
          <w:szCs w:val="20"/>
        </w:rPr>
        <w:t>Cardiol</w:t>
      </w:r>
      <w:proofErr w:type="spellEnd"/>
      <w:r w:rsidRPr="000E73F4">
        <w:rPr>
          <w:rFonts w:asciiTheme="majorHAnsi" w:hAnsiTheme="majorHAnsi" w:cstheme="minorHAnsi"/>
          <w:bCs/>
          <w:color w:val="0070C0"/>
          <w:sz w:val="20"/>
          <w:szCs w:val="20"/>
        </w:rPr>
        <w:t xml:space="preserve"> 2013;61: 1847–52). </w:t>
      </w:r>
      <w:r w:rsidR="0004441D">
        <w:rPr>
          <w:rFonts w:asciiTheme="majorHAnsi" w:hAnsiTheme="majorHAnsi" w:cstheme="minorHAnsi"/>
          <w:bCs/>
          <w:color w:val="0070C0"/>
          <w:sz w:val="20"/>
          <w:szCs w:val="20"/>
        </w:rPr>
        <w:t>More recently,</w:t>
      </w:r>
      <w:r w:rsidRPr="000E73F4">
        <w:rPr>
          <w:rFonts w:asciiTheme="majorHAnsi" w:hAnsiTheme="majorHAnsi" w:cstheme="minorHAnsi"/>
          <w:bCs/>
          <w:color w:val="0070C0"/>
          <w:sz w:val="20"/>
          <w:szCs w:val="20"/>
        </w:rPr>
        <w:t xml:space="preserve"> a 9-center study of providing pre-procedural bleeding risks demonstrated a fully-adjusted 4</w:t>
      </w:r>
      <w:r w:rsidR="0004441D">
        <w:rPr>
          <w:rFonts w:asciiTheme="majorHAnsi" w:hAnsiTheme="majorHAnsi" w:cstheme="minorHAnsi"/>
          <w:bCs/>
          <w:color w:val="0070C0"/>
          <w:sz w:val="20"/>
          <w:szCs w:val="20"/>
        </w:rPr>
        <w:t>4</w:t>
      </w:r>
      <w:r w:rsidRPr="000E73F4">
        <w:rPr>
          <w:rFonts w:asciiTheme="majorHAnsi" w:hAnsiTheme="majorHAnsi" w:cstheme="minorHAnsi"/>
          <w:bCs/>
          <w:color w:val="0070C0"/>
          <w:sz w:val="20"/>
          <w:szCs w:val="20"/>
        </w:rPr>
        <w:t>% lower odds of bleeding when the models were used</w:t>
      </w:r>
      <w:r w:rsidR="0004441D">
        <w:rPr>
          <w:rFonts w:asciiTheme="majorHAnsi" w:hAnsiTheme="majorHAnsi" w:cstheme="minorHAnsi"/>
          <w:bCs/>
          <w:color w:val="0070C0"/>
          <w:sz w:val="20"/>
          <w:szCs w:val="20"/>
        </w:rPr>
        <w:t xml:space="preserve"> (</w:t>
      </w:r>
      <w:r w:rsidR="0004441D">
        <w:rPr>
          <w:rFonts w:asciiTheme="majorHAnsi" w:hAnsiTheme="majorHAnsi" w:cstheme="minorHAnsi"/>
          <w:bCs/>
          <w:i/>
          <w:color w:val="0070C0"/>
          <w:sz w:val="20"/>
          <w:szCs w:val="20"/>
        </w:rPr>
        <w:t>BMJ</w:t>
      </w:r>
      <w:r w:rsidR="0004441D">
        <w:rPr>
          <w:rFonts w:asciiTheme="majorHAnsi" w:hAnsiTheme="majorHAnsi" w:cstheme="minorHAnsi"/>
          <w:bCs/>
          <w:color w:val="0070C0"/>
          <w:sz w:val="20"/>
          <w:szCs w:val="20"/>
        </w:rPr>
        <w:t xml:space="preserve">, </w:t>
      </w:r>
      <w:r w:rsidR="0004441D" w:rsidRPr="0004441D">
        <w:rPr>
          <w:rFonts w:asciiTheme="majorHAnsi" w:hAnsiTheme="majorHAnsi" w:cstheme="minorHAnsi"/>
          <w:bCs/>
          <w:color w:val="0070C0"/>
          <w:sz w:val="20"/>
          <w:szCs w:val="20"/>
        </w:rPr>
        <w:t>2015;350:h1302</w:t>
      </w:r>
      <w:r w:rsidR="0004441D">
        <w:rPr>
          <w:rFonts w:asciiTheme="majorHAnsi" w:hAnsiTheme="majorHAnsi" w:cstheme="minorHAnsi"/>
          <w:bCs/>
          <w:color w:val="0070C0"/>
          <w:sz w:val="20"/>
          <w:szCs w:val="20"/>
        </w:rPr>
        <w:t>)</w:t>
      </w:r>
      <w:r w:rsidRPr="000E73F4">
        <w:rPr>
          <w:rFonts w:asciiTheme="majorHAnsi" w:hAnsiTheme="majorHAnsi" w:cstheme="minorHAnsi"/>
          <w:bCs/>
          <w:color w:val="0070C0"/>
          <w:sz w:val="20"/>
          <w:szCs w:val="20"/>
        </w:rPr>
        <w:t>.  The ultimate validity of the model is that the use of the model to target therapy improves outcomes strongly supports the appropriateness and capacity of this model to measure and improve quality.</w:t>
      </w:r>
    </w:p>
    <w:p w14:paraId="15921F54" w14:textId="77777777" w:rsidR="000E73F4" w:rsidRPr="000E73F4" w:rsidRDefault="000E73F4" w:rsidP="000E73F4">
      <w:pPr>
        <w:autoSpaceDE w:val="0"/>
        <w:autoSpaceDN w:val="0"/>
        <w:adjustRightInd w:val="0"/>
        <w:spacing w:after="0" w:line="240" w:lineRule="auto"/>
        <w:contextualSpacing/>
        <w:rPr>
          <w:rFonts w:asciiTheme="majorHAnsi" w:hAnsiTheme="majorHAnsi" w:cstheme="minorHAnsi"/>
          <w:bCs/>
          <w:color w:val="0070C0"/>
          <w:sz w:val="20"/>
          <w:szCs w:val="20"/>
        </w:rPr>
      </w:pPr>
    </w:p>
    <w:p w14:paraId="0FBA2ACF" w14:textId="77777777" w:rsidR="00A55A4F" w:rsidRPr="00725C95" w:rsidRDefault="00A55A4F" w:rsidP="00725C95">
      <w:pPr>
        <w:spacing w:line="240" w:lineRule="auto"/>
        <w:ind w:left="86"/>
        <w:contextualSpacing/>
        <w:rPr>
          <w:rFonts w:asciiTheme="majorHAnsi" w:hAnsiTheme="majorHAnsi"/>
          <w:color w:val="0070C0"/>
          <w:sz w:val="20"/>
        </w:rPr>
      </w:pPr>
    </w:p>
    <w:p w14:paraId="7408FA73" w14:textId="2F32DA1C" w:rsidR="00A55A4F" w:rsidRDefault="00A55A4F" w:rsidP="000E73F4">
      <w:pPr>
        <w:spacing w:line="240" w:lineRule="auto"/>
        <w:ind w:left="86"/>
        <w:contextualSpacing/>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Predictive Validity:</w:t>
      </w:r>
    </w:p>
    <w:p w14:paraId="59DE7595" w14:textId="77777777" w:rsidR="00337D22" w:rsidRPr="00725C95" w:rsidRDefault="00337D22" w:rsidP="000E73F4">
      <w:pPr>
        <w:spacing w:line="240" w:lineRule="auto"/>
        <w:ind w:left="86"/>
        <w:contextualSpacing/>
        <w:rPr>
          <w:rFonts w:asciiTheme="majorHAnsi" w:hAnsiTheme="majorHAnsi" w:cstheme="minorHAnsi"/>
          <w:bCs/>
          <w:color w:val="FF0000"/>
          <w:sz w:val="20"/>
          <w:szCs w:val="20"/>
        </w:rPr>
      </w:pPr>
    </w:p>
    <w:p w14:paraId="177CF0E9" w14:textId="5D9A66AD" w:rsidR="00A55A4F" w:rsidRPr="00725C95" w:rsidRDefault="00A55A4F" w:rsidP="000E73F4">
      <w:pPr>
        <w:spacing w:line="240" w:lineRule="auto"/>
        <w:ind w:left="86"/>
        <w:contextualSpacing/>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 xml:space="preserve">To further underscore the importance of the bleeding measure, we examined </w:t>
      </w:r>
      <w:r w:rsidR="00AE0D1D" w:rsidRPr="00725C95">
        <w:rPr>
          <w:rFonts w:asciiTheme="majorHAnsi" w:hAnsiTheme="majorHAnsi" w:cstheme="minorHAnsi"/>
          <w:bCs/>
          <w:color w:val="FF0000"/>
          <w:sz w:val="20"/>
          <w:szCs w:val="20"/>
        </w:rPr>
        <w:t xml:space="preserve">the association of </w:t>
      </w:r>
      <w:r w:rsidR="00F84BA1" w:rsidRPr="00725C95">
        <w:rPr>
          <w:rFonts w:asciiTheme="majorHAnsi" w:hAnsiTheme="majorHAnsi" w:cstheme="minorHAnsi"/>
          <w:bCs/>
          <w:color w:val="FF0000"/>
          <w:sz w:val="20"/>
          <w:szCs w:val="20"/>
        </w:rPr>
        <w:t xml:space="preserve">bleeding rates, by quintiles, with other clinically important outcomes, including mortality, complications of heart failure </w:t>
      </w:r>
      <w:r w:rsidR="00F84BA1" w:rsidRPr="00213A21">
        <w:rPr>
          <w:rFonts w:asciiTheme="majorHAnsi" w:hAnsiTheme="majorHAnsi" w:cstheme="minorHAnsi"/>
          <w:bCs/>
          <w:color w:val="FF0000"/>
          <w:sz w:val="20"/>
          <w:szCs w:val="20"/>
        </w:rPr>
        <w:t>and stroke, length of stay and rates of same-day discharge.</w:t>
      </w:r>
      <w:r w:rsidR="00121870" w:rsidRPr="00213A21">
        <w:rPr>
          <w:rFonts w:asciiTheme="majorHAnsi" w:hAnsiTheme="majorHAnsi" w:cstheme="minorHAnsi"/>
          <w:bCs/>
          <w:color w:val="FF0000"/>
          <w:sz w:val="20"/>
          <w:szCs w:val="20"/>
        </w:rPr>
        <w:t xml:space="preserve"> We hypothesized that patients experiencing a bleeding complication would also be at higher risk for l</w:t>
      </w:r>
      <w:r w:rsidR="00121870" w:rsidRPr="003D3100">
        <w:rPr>
          <w:rFonts w:asciiTheme="majorHAnsi" w:hAnsiTheme="majorHAnsi" w:cstheme="minorHAnsi"/>
          <w:bCs/>
          <w:color w:val="FF0000"/>
          <w:sz w:val="20"/>
          <w:szCs w:val="20"/>
        </w:rPr>
        <w:t xml:space="preserve">onger post-procedure lengths of stay (because additional observation and treatment, such as transfusions and surgical repairs, would be needed to address the bleeding complication. </w:t>
      </w:r>
      <w:r w:rsidR="0022049A" w:rsidRPr="003D3100">
        <w:rPr>
          <w:rFonts w:asciiTheme="majorHAnsi" w:hAnsiTheme="majorHAnsi" w:cstheme="minorHAnsi"/>
          <w:bCs/>
          <w:color w:val="FF0000"/>
          <w:sz w:val="20"/>
          <w:szCs w:val="20"/>
        </w:rPr>
        <w:t xml:space="preserve"> </w:t>
      </w:r>
      <w:r w:rsidR="00121870" w:rsidRPr="003D3100">
        <w:rPr>
          <w:rFonts w:asciiTheme="majorHAnsi" w:hAnsiTheme="majorHAnsi" w:cstheme="minorHAnsi"/>
          <w:bCs/>
          <w:color w:val="FF0000"/>
          <w:sz w:val="20"/>
          <w:szCs w:val="20"/>
        </w:rPr>
        <w:t xml:space="preserve">Other complications that we hypothesized to be associated with bleeding events would be a greater risk for other complications, including stroke, heart failure and mortality. We postulated that the anemia and hypotension associated with severe bleeds could put patients at increased risk for stroke and death, while the fluid resuscitation and transfusions used to treat a bleeding event might be associated with heart failure exacerbations during the hospitalization. Because it is a hospital-based measure, we examined the risks of these other adverse outcomes across quintiles of bleeding </w:t>
      </w:r>
      <w:r w:rsidR="00121870" w:rsidRPr="003D3100">
        <w:rPr>
          <w:rFonts w:asciiTheme="majorHAnsi" w:hAnsiTheme="majorHAnsi" w:cstheme="minorHAnsi"/>
          <w:bCs/>
          <w:color w:val="FF0000"/>
          <w:sz w:val="20"/>
          <w:szCs w:val="20"/>
        </w:rPr>
        <w:lastRenderedPageBreak/>
        <w:t xml:space="preserve">rates throughout the NCDR registry. </w:t>
      </w:r>
      <w:r w:rsidR="0022049A" w:rsidRPr="003D3100">
        <w:rPr>
          <w:rFonts w:asciiTheme="majorHAnsi" w:hAnsiTheme="majorHAnsi" w:cstheme="minorHAnsi"/>
          <w:bCs/>
          <w:color w:val="FF0000"/>
          <w:sz w:val="20"/>
          <w:szCs w:val="20"/>
        </w:rPr>
        <w:t>For the importance/predictive validity of this measure, we found important associations with all outcomes:</w:t>
      </w:r>
    </w:p>
    <w:p w14:paraId="0CABCFDD" w14:textId="1966C8D4" w:rsidR="00833325" w:rsidRPr="00725C95" w:rsidRDefault="00833325" w:rsidP="00DB3627">
      <w:pPr>
        <w:autoSpaceDE w:val="0"/>
        <w:autoSpaceDN w:val="0"/>
        <w:adjustRightInd w:val="0"/>
        <w:spacing w:after="0" w:line="240" w:lineRule="auto"/>
        <w:rPr>
          <w:rFonts w:cstheme="minorHAnsi"/>
          <w:bCs/>
          <w:color w:val="FF0000"/>
        </w:rPr>
      </w:pPr>
    </w:p>
    <w:p w14:paraId="181A6885" w14:textId="66EEC3FF" w:rsidR="0022049A" w:rsidRPr="00725C95" w:rsidRDefault="0022049A" w:rsidP="00367DAD">
      <w:pPr>
        <w:spacing w:line="240" w:lineRule="auto"/>
        <w:ind w:left="86"/>
        <w:contextualSpacing/>
        <w:rPr>
          <w:rFonts w:cstheme="minorHAnsi"/>
          <w:b/>
          <w:bCs/>
          <w:color w:val="FF0000"/>
        </w:rPr>
      </w:pPr>
      <w:r w:rsidRPr="00725C95">
        <w:rPr>
          <w:rFonts w:asciiTheme="majorHAnsi" w:hAnsiTheme="majorHAnsi" w:cstheme="minorHAnsi"/>
          <w:bCs/>
          <w:color w:val="FF0000"/>
          <w:sz w:val="20"/>
          <w:szCs w:val="20"/>
        </w:rPr>
        <w:br/>
      </w:r>
    </w:p>
    <w:p w14:paraId="65F63461" w14:textId="102DD392" w:rsidR="00E51808" w:rsidRDefault="009C7513" w:rsidP="00092566">
      <w:pPr>
        <w:autoSpaceDE w:val="0"/>
        <w:autoSpaceDN w:val="0"/>
        <w:adjustRightInd w:val="0"/>
        <w:spacing w:after="0" w:line="240" w:lineRule="auto"/>
        <w:rPr>
          <w:rFonts w:cstheme="minorHAnsi"/>
          <w:bCs/>
        </w:rPr>
      </w:pPr>
      <w:r w:rsidRPr="00725C95">
        <w:rPr>
          <w:rFonts w:cstheme="minorHAnsi"/>
          <w:b/>
          <w:bCs/>
        </w:rPr>
        <w:t>2b1</w:t>
      </w:r>
      <w:r w:rsidR="00092566" w:rsidRPr="00725C95">
        <w:rPr>
          <w:rFonts w:cstheme="minorHAnsi"/>
          <w:b/>
          <w:bCs/>
        </w:rPr>
        <w:t>.</w:t>
      </w:r>
      <w:r w:rsidR="007757CE" w:rsidRPr="00725C95">
        <w:rPr>
          <w:rFonts w:cstheme="minorHAnsi"/>
          <w:b/>
          <w:bCs/>
        </w:rPr>
        <w:t xml:space="preserve">3. </w:t>
      </w:r>
      <w:r w:rsidR="00833325" w:rsidRPr="00725C95">
        <w:rPr>
          <w:rFonts w:cstheme="minorHAnsi"/>
          <w:b/>
          <w:bCs/>
        </w:rPr>
        <w:t xml:space="preserve">What were the statistical results </w:t>
      </w:r>
      <w:r w:rsidR="007422FD" w:rsidRPr="00725C95">
        <w:rPr>
          <w:rFonts w:cstheme="minorHAnsi"/>
          <w:b/>
          <w:bCs/>
        </w:rPr>
        <w:t xml:space="preserve">from </w:t>
      </w:r>
      <w:r w:rsidR="00EC79DE" w:rsidRPr="00725C95">
        <w:rPr>
          <w:rFonts w:cstheme="minorHAnsi"/>
          <w:b/>
          <w:bCs/>
        </w:rPr>
        <w:t>validity</w:t>
      </w:r>
      <w:r w:rsidR="007422FD" w:rsidRPr="00725C95">
        <w:rPr>
          <w:rFonts w:cstheme="minorHAnsi"/>
          <w:b/>
          <w:bCs/>
        </w:rPr>
        <w:t xml:space="preserve"> testing</w:t>
      </w:r>
      <w:r w:rsidR="00833325" w:rsidRPr="00725C95">
        <w:rPr>
          <w:rFonts w:cstheme="minorHAnsi"/>
          <w:bCs/>
        </w:rPr>
        <w:t xml:space="preserve">? </w:t>
      </w:r>
      <w:r w:rsidR="00AA5213" w:rsidRPr="00725C95">
        <w:rPr>
          <w:rFonts w:cstheme="minorHAnsi"/>
          <w:bCs/>
        </w:rPr>
        <w:t>(</w:t>
      </w:r>
      <w:r w:rsidR="00AA5213" w:rsidRPr="00725C95">
        <w:rPr>
          <w:rFonts w:cstheme="minorHAnsi"/>
          <w:bCs/>
          <w:i/>
        </w:rPr>
        <w:t xml:space="preserve">e.g., correlation; </w:t>
      </w:r>
      <w:r w:rsidR="001F1DA1" w:rsidRPr="00725C95">
        <w:rPr>
          <w:rFonts w:cstheme="minorHAnsi"/>
          <w:bCs/>
          <w:i/>
        </w:rPr>
        <w:t>t-test</w:t>
      </w:r>
      <w:r w:rsidR="00AA5213" w:rsidRPr="00725C95">
        <w:rPr>
          <w:rFonts w:cstheme="minorHAnsi"/>
          <w:bCs/>
        </w:rPr>
        <w:t>)</w:t>
      </w:r>
    </w:p>
    <w:p w14:paraId="598CB68B" w14:textId="37D08495" w:rsidR="006C2E2F" w:rsidRPr="006C2E2F" w:rsidRDefault="006C2E2F" w:rsidP="00E51808">
      <w:pPr>
        <w:autoSpaceDE w:val="0"/>
        <w:autoSpaceDN w:val="0"/>
        <w:adjustRightInd w:val="0"/>
        <w:spacing w:after="0" w:line="240" w:lineRule="auto"/>
        <w:rPr>
          <w:rFonts w:asciiTheme="majorHAnsi" w:hAnsiTheme="majorHAnsi" w:cstheme="minorHAnsi"/>
          <w:bCs/>
          <w:color w:val="FF0000"/>
          <w:sz w:val="20"/>
          <w:szCs w:val="20"/>
        </w:rPr>
      </w:pPr>
    </w:p>
    <w:p w14:paraId="35F829DE" w14:textId="59539F13" w:rsidR="00F84BA1" w:rsidRPr="006C2E2F" w:rsidRDefault="002F428D" w:rsidP="00E51808">
      <w:pPr>
        <w:autoSpaceDE w:val="0"/>
        <w:autoSpaceDN w:val="0"/>
        <w:adjustRightInd w:val="0"/>
        <w:spacing w:after="0" w:line="240" w:lineRule="auto"/>
        <w:rPr>
          <w:rFonts w:asciiTheme="majorHAnsi" w:hAnsiTheme="majorHAnsi"/>
          <w:color w:val="FF0000"/>
          <w:sz w:val="20"/>
        </w:rPr>
      </w:pPr>
      <w:r w:rsidRPr="006C2E2F">
        <w:rPr>
          <w:rFonts w:asciiTheme="majorHAnsi" w:hAnsiTheme="majorHAnsi"/>
          <w:color w:val="FF0000"/>
          <w:sz w:val="20"/>
        </w:rPr>
        <w:t>Predictive Validity:</w:t>
      </w:r>
    </w:p>
    <w:p w14:paraId="6D1CD4F1" w14:textId="643544FC" w:rsidR="002F428D" w:rsidRDefault="002F428D" w:rsidP="00E51808">
      <w:pPr>
        <w:autoSpaceDE w:val="0"/>
        <w:autoSpaceDN w:val="0"/>
        <w:adjustRightInd w:val="0"/>
        <w:spacing w:after="0" w:line="240" w:lineRule="auto"/>
        <w:rPr>
          <w:rFonts w:asciiTheme="majorHAnsi" w:hAnsiTheme="majorHAnsi"/>
          <w:color w:val="0070C0"/>
          <w:sz w:val="20"/>
        </w:rPr>
      </w:pPr>
      <w:r w:rsidRPr="00725C95">
        <w:rPr>
          <w:rFonts w:asciiTheme="majorHAnsi" w:hAnsiTheme="majorHAnsi" w:cstheme="minorHAnsi"/>
          <w:bCs/>
          <w:noProof/>
          <w:color w:val="FF0000"/>
          <w:sz w:val="20"/>
          <w:szCs w:val="20"/>
        </w:rPr>
        <w:drawing>
          <wp:inline distT="0" distB="0" distL="0" distR="0" wp14:anchorId="6AA46145" wp14:editId="2C3969D3">
            <wp:extent cx="5943600" cy="84964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849645"/>
                    </a:xfrm>
                    <a:prstGeom prst="rect">
                      <a:avLst/>
                    </a:prstGeom>
                  </pic:spPr>
                </pic:pic>
              </a:graphicData>
            </a:graphic>
          </wp:inline>
        </w:drawing>
      </w:r>
    </w:p>
    <w:p w14:paraId="6C35BFE3" w14:textId="33938249" w:rsidR="002F428D" w:rsidRPr="003D3100" w:rsidRDefault="002F428D" w:rsidP="002F428D">
      <w:pPr>
        <w:autoSpaceDE w:val="0"/>
        <w:autoSpaceDN w:val="0"/>
        <w:adjustRightInd w:val="0"/>
        <w:spacing w:after="0" w:line="240" w:lineRule="auto"/>
        <w:rPr>
          <w:rFonts w:asciiTheme="majorHAnsi" w:hAnsiTheme="majorHAnsi" w:cstheme="minorHAnsi"/>
          <w:b/>
          <w:bCs/>
          <w:color w:val="FF0000"/>
          <w:sz w:val="20"/>
          <w:szCs w:val="20"/>
          <w:highlight w:val="yellow"/>
        </w:rPr>
      </w:pPr>
      <w:r w:rsidRPr="003965EC">
        <w:rPr>
          <w:rFonts w:asciiTheme="majorHAnsi" w:hAnsiTheme="majorHAnsi"/>
          <w:color w:val="FF0000"/>
          <w:sz w:val="20"/>
          <w:szCs w:val="20"/>
        </w:rPr>
        <w:t>The above table shows quintiles of performance based on hospitals’ risk standardized bleeding rate from best performing (i.e. Quintile #1 – bleeding rate range of 0.5-2.1%)  to worst performing hospitals (</w:t>
      </w:r>
      <w:r w:rsidR="00F26AD7" w:rsidRPr="003965EC">
        <w:rPr>
          <w:rFonts w:asciiTheme="majorHAnsi" w:hAnsiTheme="majorHAnsi"/>
          <w:color w:val="FF0000"/>
          <w:sz w:val="20"/>
          <w:szCs w:val="20"/>
        </w:rPr>
        <w:t>i.e.</w:t>
      </w:r>
      <w:r w:rsidRPr="003965EC">
        <w:rPr>
          <w:rFonts w:asciiTheme="majorHAnsi" w:hAnsiTheme="majorHAnsi"/>
          <w:color w:val="FF0000"/>
          <w:sz w:val="20"/>
          <w:szCs w:val="20"/>
        </w:rPr>
        <w:t xml:space="preserve"> Quintile #2 – bleeding rate range of  4.1 to 12.8%) compared to other adverse event measures. For example, if mortality observed </w:t>
      </w:r>
      <w:r w:rsidRPr="00213A21">
        <w:rPr>
          <w:rFonts w:asciiTheme="majorHAnsi" w:hAnsiTheme="majorHAnsi"/>
          <w:color w:val="FF0000"/>
          <w:sz w:val="20"/>
          <w:szCs w:val="20"/>
        </w:rPr>
        <w:t xml:space="preserve">in the best performing hospitals had been observed in the worst performing hospitals, then 1826 deaths would have been averted. </w:t>
      </w:r>
      <w:r w:rsidRPr="00213A21">
        <w:rPr>
          <w:rFonts w:asciiTheme="majorHAnsi" w:hAnsiTheme="majorHAnsi" w:cstheme="minorHAnsi"/>
          <w:bCs/>
          <w:color w:val="FF0000"/>
          <w:sz w:val="20"/>
          <w:szCs w:val="20"/>
        </w:rPr>
        <w:t>Similar patterns were observed for the complications of heart failure</w:t>
      </w:r>
      <w:r w:rsidR="00121870" w:rsidRPr="00213A21">
        <w:rPr>
          <w:rFonts w:asciiTheme="majorHAnsi" w:hAnsiTheme="majorHAnsi" w:cstheme="minorHAnsi"/>
          <w:bCs/>
          <w:color w:val="FF0000"/>
          <w:sz w:val="20"/>
          <w:szCs w:val="20"/>
        </w:rPr>
        <w:t xml:space="preserve"> (3-fold increase in risk of heart failure from worst to best performing hospitals)</w:t>
      </w:r>
      <w:r w:rsidRPr="003D3100">
        <w:rPr>
          <w:rFonts w:asciiTheme="majorHAnsi" w:hAnsiTheme="majorHAnsi" w:cstheme="minorHAnsi"/>
          <w:bCs/>
          <w:color w:val="FF0000"/>
          <w:sz w:val="20"/>
          <w:szCs w:val="20"/>
        </w:rPr>
        <w:t xml:space="preserve"> and stroke</w:t>
      </w:r>
      <w:r w:rsidR="00121870" w:rsidRPr="003D3100">
        <w:rPr>
          <w:rFonts w:asciiTheme="majorHAnsi" w:hAnsiTheme="majorHAnsi" w:cstheme="minorHAnsi"/>
          <w:bCs/>
          <w:color w:val="FF0000"/>
          <w:sz w:val="20"/>
          <w:szCs w:val="20"/>
        </w:rPr>
        <w:t xml:space="preserve"> (a doubling of risk from the hospitals with the lowest vs. the highest rates of bleeding)</w:t>
      </w:r>
      <w:r w:rsidRPr="003D3100">
        <w:rPr>
          <w:rFonts w:asciiTheme="majorHAnsi" w:hAnsiTheme="majorHAnsi" w:cstheme="minorHAnsi"/>
          <w:bCs/>
          <w:color w:val="FF0000"/>
          <w:sz w:val="20"/>
          <w:szCs w:val="20"/>
        </w:rPr>
        <w:t>. There was also evidence of more efficient care, with an observed LOS of 2.8 vs. 3.2 days and a same-day discharge rate of 12.6 vs. 9.7% between the best and worst performing hospitals</w:t>
      </w:r>
      <w:r w:rsidR="00121870" w:rsidRPr="003D3100">
        <w:rPr>
          <w:rFonts w:asciiTheme="majorHAnsi" w:hAnsiTheme="majorHAnsi" w:cstheme="minorHAnsi"/>
          <w:bCs/>
          <w:color w:val="FF0000"/>
          <w:sz w:val="20"/>
          <w:szCs w:val="20"/>
        </w:rPr>
        <w:t xml:space="preserve">. All of these associations support our hypotheses that </w:t>
      </w:r>
      <w:r w:rsidR="00BA65D7" w:rsidRPr="003D3100">
        <w:rPr>
          <w:rFonts w:asciiTheme="majorHAnsi" w:hAnsiTheme="majorHAnsi" w:cstheme="minorHAnsi"/>
          <w:bCs/>
          <w:color w:val="FF0000"/>
          <w:sz w:val="20"/>
          <w:szCs w:val="20"/>
        </w:rPr>
        <w:t>bleeding, and its treatment, would be associated with other clinically important outcomes and support the predictive validity of the proposed bleeding measure.</w:t>
      </w:r>
    </w:p>
    <w:p w14:paraId="17332ECE" w14:textId="77777777" w:rsidR="002F428D" w:rsidRDefault="002F428D" w:rsidP="00E51808">
      <w:pPr>
        <w:autoSpaceDE w:val="0"/>
        <w:autoSpaceDN w:val="0"/>
        <w:adjustRightInd w:val="0"/>
        <w:spacing w:after="0" w:line="240" w:lineRule="auto"/>
        <w:rPr>
          <w:rFonts w:asciiTheme="majorHAnsi" w:hAnsiTheme="majorHAnsi"/>
          <w:color w:val="0070C0"/>
          <w:sz w:val="20"/>
        </w:rPr>
      </w:pPr>
    </w:p>
    <w:p w14:paraId="21975ABF" w14:textId="77777777" w:rsidR="002F428D" w:rsidRPr="00725C95" w:rsidRDefault="002F428D" w:rsidP="00E51808">
      <w:pPr>
        <w:autoSpaceDE w:val="0"/>
        <w:autoSpaceDN w:val="0"/>
        <w:adjustRightInd w:val="0"/>
        <w:spacing w:after="0" w:line="240" w:lineRule="auto"/>
        <w:rPr>
          <w:rFonts w:asciiTheme="majorHAnsi" w:hAnsiTheme="majorHAnsi"/>
          <w:color w:val="0070C0"/>
          <w:sz w:val="20"/>
        </w:rPr>
      </w:pPr>
    </w:p>
    <w:p w14:paraId="19527490" w14:textId="77777777" w:rsidR="00E51808" w:rsidRDefault="009C7513" w:rsidP="00DB3627">
      <w:pPr>
        <w:autoSpaceDE w:val="0"/>
        <w:autoSpaceDN w:val="0"/>
        <w:adjustRightInd w:val="0"/>
        <w:spacing w:after="0" w:line="240" w:lineRule="auto"/>
        <w:rPr>
          <w:rFonts w:cstheme="minorHAnsi"/>
          <w:bCs/>
        </w:rPr>
      </w:pPr>
      <w:r w:rsidRPr="00725C95">
        <w:rPr>
          <w:rFonts w:cstheme="minorHAnsi"/>
          <w:b/>
          <w:bCs/>
        </w:rPr>
        <w:t>2b1</w:t>
      </w:r>
      <w:r w:rsidR="00092566" w:rsidRPr="00725C95">
        <w:rPr>
          <w:rFonts w:cstheme="minorHAnsi"/>
          <w:b/>
          <w:bCs/>
        </w:rPr>
        <w:t>.</w:t>
      </w:r>
      <w:r w:rsidR="007757CE" w:rsidRPr="00725C95">
        <w:rPr>
          <w:rFonts w:cstheme="minorHAnsi"/>
          <w:b/>
          <w:bCs/>
        </w:rPr>
        <w:t xml:space="preserve">4. </w:t>
      </w:r>
      <w:r w:rsidR="000B2DF7" w:rsidRPr="00725C95">
        <w:rPr>
          <w:rFonts w:cstheme="minorHAnsi"/>
          <w:b/>
          <w:bCs/>
        </w:rPr>
        <w:t xml:space="preserve">What is your interpretation of the results </w:t>
      </w:r>
      <w:r w:rsidR="007422FD" w:rsidRPr="00725C95">
        <w:rPr>
          <w:rFonts w:cstheme="minorHAnsi"/>
          <w:b/>
          <w:bCs/>
        </w:rPr>
        <w:t>in terms of demonstrating validity</w:t>
      </w:r>
      <w:r w:rsidR="007422FD" w:rsidRPr="00725C95">
        <w:rPr>
          <w:rFonts w:cstheme="minorHAnsi"/>
          <w:bCs/>
        </w:rPr>
        <w:t>?</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59EEBD09" w14:textId="77777777" w:rsidR="00E51808" w:rsidRDefault="00E51808" w:rsidP="00DB3627">
      <w:pPr>
        <w:autoSpaceDE w:val="0"/>
        <w:autoSpaceDN w:val="0"/>
        <w:adjustRightInd w:val="0"/>
        <w:spacing w:after="0" w:line="240" w:lineRule="auto"/>
        <w:rPr>
          <w:rFonts w:cstheme="minorHAnsi"/>
          <w:bCs/>
        </w:rPr>
      </w:pPr>
    </w:p>
    <w:p w14:paraId="194B50D7" w14:textId="02529C15"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r>
        <w:rPr>
          <w:rFonts w:asciiTheme="majorHAnsi" w:hAnsiTheme="majorHAnsi" w:cstheme="minorHAnsi"/>
          <w:bCs/>
          <w:color w:val="FF0000"/>
          <w:sz w:val="20"/>
          <w:szCs w:val="20"/>
        </w:rPr>
        <w:t>Face-Validity</w:t>
      </w:r>
      <w:r w:rsidR="006C2E2F">
        <w:rPr>
          <w:rFonts w:asciiTheme="majorHAnsi" w:hAnsiTheme="majorHAnsi" w:cstheme="minorHAnsi"/>
          <w:bCs/>
          <w:color w:val="FF0000"/>
          <w:sz w:val="20"/>
          <w:szCs w:val="20"/>
        </w:rPr>
        <w:t>:</w:t>
      </w:r>
    </w:p>
    <w:p w14:paraId="68ABF5C3" w14:textId="77777777" w:rsidR="006F7C40" w:rsidRPr="006C2E2F" w:rsidRDefault="006F7C40" w:rsidP="006F7C40">
      <w:pPr>
        <w:autoSpaceDE w:val="0"/>
        <w:autoSpaceDN w:val="0"/>
        <w:adjustRightInd w:val="0"/>
        <w:spacing w:after="0" w:line="240" w:lineRule="auto"/>
        <w:rPr>
          <w:rFonts w:cstheme="minorHAnsi"/>
          <w:bCs/>
          <w:color w:val="FF0000"/>
        </w:rPr>
      </w:pPr>
      <w:r>
        <w:rPr>
          <w:rFonts w:asciiTheme="majorHAnsi" w:hAnsiTheme="majorHAnsi"/>
          <w:color w:val="FF0000"/>
          <w:sz w:val="20"/>
        </w:rPr>
        <w:t xml:space="preserve">As described above (2b1.2), we undertook an extensive effort to establish the definition and utility of risk-adjusted bleeding as a quality metric. These included an expert team developing the model, a group of experts, the Strategic Oversight Committee, overseeing the work and reporting of the measure – including ascertaining its alignment with both ACC/AHA PCI Guidelines and the Society of Coronary Angiography and Intervention’s (SCAI’s) 2016 Expert Consensus Statement – and an NCDR Oversight Group for NQF measures. It further underwent public comment and approval by the NCDR Management Board of the ACC’s Board of Trustees. Beyond these traditional ascertainments of its face validity, we further leveraged evidence that the prospective use of the model was associated with a substantial reduction in bleeding after PCI, clearly demonstrating the model to serve as a means for improving the safety of PCI.  </w:t>
      </w:r>
    </w:p>
    <w:p w14:paraId="714057F0" w14:textId="77777777" w:rsidR="006F7C40" w:rsidRDefault="006F7C40" w:rsidP="00E51808">
      <w:pPr>
        <w:autoSpaceDE w:val="0"/>
        <w:autoSpaceDN w:val="0"/>
        <w:adjustRightInd w:val="0"/>
        <w:spacing w:after="0" w:line="240" w:lineRule="auto"/>
        <w:rPr>
          <w:rFonts w:asciiTheme="majorHAnsi" w:hAnsiTheme="majorHAnsi" w:cstheme="minorHAnsi"/>
          <w:bCs/>
          <w:color w:val="FF0000"/>
          <w:sz w:val="20"/>
          <w:szCs w:val="20"/>
        </w:rPr>
      </w:pPr>
    </w:p>
    <w:p w14:paraId="241B5830" w14:textId="77777777"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p>
    <w:p w14:paraId="2E80108E" w14:textId="715CC70C"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p>
    <w:p w14:paraId="061BF065" w14:textId="74EB4F6A"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r>
        <w:rPr>
          <w:rFonts w:asciiTheme="majorHAnsi" w:hAnsiTheme="majorHAnsi" w:cstheme="minorHAnsi"/>
          <w:bCs/>
          <w:color w:val="FF0000"/>
          <w:sz w:val="20"/>
          <w:szCs w:val="20"/>
        </w:rPr>
        <w:t>Predictive Validity</w:t>
      </w:r>
      <w:r w:rsidR="006C2E2F">
        <w:rPr>
          <w:rFonts w:asciiTheme="majorHAnsi" w:hAnsiTheme="majorHAnsi" w:cstheme="minorHAnsi"/>
          <w:bCs/>
          <w:color w:val="FF0000"/>
          <w:sz w:val="20"/>
          <w:szCs w:val="20"/>
        </w:rPr>
        <w:t>:</w:t>
      </w:r>
    </w:p>
    <w:p w14:paraId="79691414" w14:textId="77777777"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p>
    <w:p w14:paraId="4F344A83" w14:textId="77777777" w:rsidR="002F428D" w:rsidRDefault="002F428D" w:rsidP="00E51808">
      <w:pPr>
        <w:autoSpaceDE w:val="0"/>
        <w:autoSpaceDN w:val="0"/>
        <w:adjustRightInd w:val="0"/>
        <w:spacing w:after="0" w:line="240" w:lineRule="auto"/>
        <w:rPr>
          <w:rFonts w:asciiTheme="majorHAnsi" w:hAnsiTheme="majorHAnsi" w:cstheme="minorHAnsi"/>
          <w:bCs/>
          <w:color w:val="FF0000"/>
          <w:sz w:val="20"/>
          <w:szCs w:val="20"/>
        </w:rPr>
      </w:pPr>
    </w:p>
    <w:p w14:paraId="70503B98" w14:textId="10E273D8" w:rsidR="00E51808" w:rsidRPr="00E51808" w:rsidRDefault="00F84BA1" w:rsidP="00E51808">
      <w:pPr>
        <w:autoSpaceDE w:val="0"/>
        <w:autoSpaceDN w:val="0"/>
        <w:adjustRightInd w:val="0"/>
        <w:spacing w:after="0" w:line="240" w:lineRule="auto"/>
        <w:rPr>
          <w:rFonts w:asciiTheme="majorHAnsi" w:hAnsiTheme="majorHAnsi" w:cstheme="minorHAnsi"/>
          <w:bCs/>
          <w:color w:val="0070C0"/>
          <w:sz w:val="20"/>
          <w:szCs w:val="20"/>
        </w:rPr>
      </w:pPr>
      <w:r w:rsidRPr="00213A21">
        <w:rPr>
          <w:rFonts w:asciiTheme="majorHAnsi" w:hAnsiTheme="majorHAnsi" w:cstheme="minorHAnsi"/>
          <w:bCs/>
          <w:color w:val="FF0000"/>
          <w:sz w:val="20"/>
          <w:szCs w:val="20"/>
        </w:rPr>
        <w:t xml:space="preserve">The predictive validity of risk-adjusted bleeding </w:t>
      </w:r>
      <w:r w:rsidRPr="003D3100">
        <w:rPr>
          <w:rFonts w:asciiTheme="majorHAnsi" w:hAnsiTheme="majorHAnsi" w:cstheme="minorHAnsi"/>
          <w:bCs/>
          <w:color w:val="FF0000"/>
          <w:sz w:val="20"/>
          <w:szCs w:val="20"/>
        </w:rPr>
        <w:t>being associated with mortality, post-PCI complications</w:t>
      </w:r>
      <w:r w:rsidR="00D715B0" w:rsidRPr="003D3100">
        <w:rPr>
          <w:rFonts w:asciiTheme="majorHAnsi" w:hAnsiTheme="majorHAnsi" w:cstheme="minorHAnsi"/>
          <w:bCs/>
          <w:color w:val="FF0000"/>
          <w:sz w:val="20"/>
          <w:szCs w:val="20"/>
        </w:rPr>
        <w:t xml:space="preserve"> (st</w:t>
      </w:r>
      <w:r w:rsidR="00F30A49" w:rsidRPr="003D3100">
        <w:rPr>
          <w:rFonts w:asciiTheme="majorHAnsi" w:hAnsiTheme="majorHAnsi" w:cstheme="minorHAnsi"/>
          <w:bCs/>
          <w:color w:val="FF0000"/>
          <w:sz w:val="20"/>
          <w:szCs w:val="20"/>
        </w:rPr>
        <w:t>ro</w:t>
      </w:r>
      <w:r w:rsidR="00D715B0" w:rsidRPr="003D3100">
        <w:rPr>
          <w:rFonts w:asciiTheme="majorHAnsi" w:hAnsiTheme="majorHAnsi" w:cstheme="minorHAnsi"/>
          <w:bCs/>
          <w:color w:val="FF0000"/>
          <w:sz w:val="20"/>
          <w:szCs w:val="20"/>
        </w:rPr>
        <w:t>ke and heart failure exacerbations)</w:t>
      </w:r>
      <w:r w:rsidRPr="003D3100">
        <w:rPr>
          <w:rFonts w:asciiTheme="majorHAnsi" w:hAnsiTheme="majorHAnsi" w:cstheme="minorHAnsi"/>
          <w:bCs/>
          <w:color w:val="FF0000"/>
          <w:sz w:val="20"/>
          <w:szCs w:val="20"/>
        </w:rPr>
        <w:t xml:space="preserve"> and length of stay strongly </w:t>
      </w:r>
      <w:r w:rsidR="00F26AD7" w:rsidRPr="003D3100">
        <w:rPr>
          <w:rFonts w:asciiTheme="majorHAnsi" w:hAnsiTheme="majorHAnsi" w:cstheme="minorHAnsi"/>
          <w:bCs/>
          <w:color w:val="FF0000"/>
          <w:sz w:val="20"/>
          <w:szCs w:val="20"/>
        </w:rPr>
        <w:t>underscores</w:t>
      </w:r>
      <w:r w:rsidRPr="003D3100">
        <w:rPr>
          <w:rFonts w:asciiTheme="majorHAnsi" w:hAnsiTheme="majorHAnsi" w:cstheme="minorHAnsi"/>
          <w:bCs/>
          <w:color w:val="FF0000"/>
          <w:sz w:val="20"/>
          <w:szCs w:val="20"/>
        </w:rPr>
        <w:t xml:space="preserve"> the importance of this adverse event</w:t>
      </w:r>
      <w:r w:rsidR="00D715B0" w:rsidRPr="003D3100">
        <w:rPr>
          <w:rFonts w:asciiTheme="majorHAnsi" w:hAnsiTheme="majorHAnsi" w:cstheme="minorHAnsi"/>
          <w:bCs/>
          <w:color w:val="FF0000"/>
          <w:sz w:val="20"/>
          <w:szCs w:val="20"/>
        </w:rPr>
        <w:t xml:space="preserve"> and supported the hypothesized associations in conducting these analyses</w:t>
      </w:r>
      <w:r w:rsidRPr="003D3100">
        <w:rPr>
          <w:rFonts w:asciiTheme="majorHAnsi" w:hAnsiTheme="majorHAnsi" w:cstheme="minorHAnsi"/>
          <w:bCs/>
          <w:color w:val="FF0000"/>
          <w:sz w:val="20"/>
          <w:szCs w:val="20"/>
        </w:rPr>
        <w:t xml:space="preserve">. </w:t>
      </w:r>
      <w:r w:rsidRPr="00213A21">
        <w:rPr>
          <w:rFonts w:asciiTheme="majorHAnsi" w:hAnsiTheme="majorHAnsi" w:cstheme="minorHAnsi"/>
          <w:bCs/>
          <w:color w:val="FF0000"/>
          <w:sz w:val="20"/>
          <w:szCs w:val="20"/>
        </w:rPr>
        <w:t xml:space="preserve">Moreover, </w:t>
      </w:r>
      <w:r w:rsidR="00E51808" w:rsidRPr="003D3100">
        <w:rPr>
          <w:rFonts w:asciiTheme="majorHAnsi" w:hAnsiTheme="majorHAnsi" w:cstheme="minorHAnsi"/>
          <w:bCs/>
          <w:color w:val="FF0000"/>
          <w:sz w:val="20"/>
          <w:szCs w:val="20"/>
        </w:rPr>
        <w:t>the actionability of the bleeding model suggest</w:t>
      </w:r>
      <w:r w:rsidRPr="003D3100">
        <w:rPr>
          <w:rFonts w:asciiTheme="majorHAnsi" w:hAnsiTheme="majorHAnsi" w:cstheme="minorHAnsi"/>
          <w:bCs/>
          <w:color w:val="FF0000"/>
          <w:sz w:val="20"/>
          <w:szCs w:val="20"/>
        </w:rPr>
        <w:t>s</w:t>
      </w:r>
      <w:r w:rsidR="00E51808" w:rsidRPr="003D3100">
        <w:rPr>
          <w:rFonts w:asciiTheme="majorHAnsi" w:hAnsiTheme="majorHAnsi" w:cstheme="minorHAnsi"/>
          <w:bCs/>
          <w:color w:val="FF0000"/>
          <w:sz w:val="20"/>
          <w:szCs w:val="20"/>
        </w:rPr>
        <w:t xml:space="preserve"> that bleeding rates can be improved by prospectively using this risk-adjustment model</w:t>
      </w:r>
      <w:r w:rsidR="00B65C90" w:rsidRPr="003D3100">
        <w:rPr>
          <w:rFonts w:asciiTheme="majorHAnsi" w:hAnsiTheme="majorHAnsi" w:cstheme="minorHAnsi"/>
          <w:bCs/>
          <w:color w:val="FF0000"/>
          <w:sz w:val="20"/>
          <w:szCs w:val="20"/>
        </w:rPr>
        <w:t xml:space="preserve"> (</w:t>
      </w:r>
      <w:r w:rsidR="00B65C90" w:rsidRPr="003D3100">
        <w:rPr>
          <w:rFonts w:asciiTheme="majorHAnsi" w:hAnsiTheme="majorHAnsi" w:cstheme="minorHAnsi"/>
          <w:bCs/>
          <w:i/>
          <w:color w:val="FF0000"/>
          <w:sz w:val="20"/>
          <w:szCs w:val="20"/>
        </w:rPr>
        <w:t>BMJ</w:t>
      </w:r>
      <w:r w:rsidR="00B65C90" w:rsidRPr="003D3100">
        <w:rPr>
          <w:rFonts w:asciiTheme="majorHAnsi" w:hAnsiTheme="majorHAnsi" w:cstheme="minorHAnsi"/>
          <w:bCs/>
          <w:color w:val="FF0000"/>
          <w:sz w:val="20"/>
          <w:szCs w:val="20"/>
        </w:rPr>
        <w:t>, 2015;350:h1302</w:t>
      </w:r>
      <w:r w:rsidR="00B65C90" w:rsidRPr="004629C7">
        <w:rPr>
          <w:rFonts w:asciiTheme="majorHAnsi" w:hAnsiTheme="majorHAnsi" w:cstheme="minorHAnsi"/>
          <w:bCs/>
          <w:color w:val="FF0000"/>
          <w:sz w:val="20"/>
          <w:szCs w:val="20"/>
        </w:rPr>
        <w:t>)</w:t>
      </w:r>
      <w:r w:rsidR="00E51808" w:rsidRPr="004629C7">
        <w:rPr>
          <w:rFonts w:asciiTheme="majorHAnsi" w:hAnsiTheme="majorHAnsi" w:cstheme="minorHAnsi"/>
          <w:bCs/>
          <w:color w:val="FF0000"/>
          <w:sz w:val="20"/>
          <w:szCs w:val="20"/>
        </w:rPr>
        <w:t>. Given the broad range of bleeding outcomes in the US (range of unadjusted peri-procedural bleeding in 201</w:t>
      </w:r>
      <w:r w:rsidR="00A55A4F" w:rsidRPr="004629C7">
        <w:rPr>
          <w:rFonts w:asciiTheme="majorHAnsi" w:hAnsiTheme="majorHAnsi" w:cstheme="minorHAnsi"/>
          <w:bCs/>
          <w:color w:val="FF0000"/>
          <w:sz w:val="20"/>
          <w:szCs w:val="20"/>
        </w:rPr>
        <w:t>6</w:t>
      </w:r>
      <w:r w:rsidR="00E51808" w:rsidRPr="004629C7">
        <w:rPr>
          <w:rFonts w:asciiTheme="majorHAnsi" w:hAnsiTheme="majorHAnsi" w:cstheme="minorHAnsi"/>
          <w:bCs/>
          <w:color w:val="FF0000"/>
          <w:sz w:val="20"/>
          <w:szCs w:val="20"/>
        </w:rPr>
        <w:t xml:space="preserve"> across hospitals = 0-</w:t>
      </w:r>
      <w:r w:rsidR="00A55A4F" w:rsidRPr="004629C7">
        <w:rPr>
          <w:rFonts w:asciiTheme="majorHAnsi" w:hAnsiTheme="majorHAnsi" w:cstheme="minorHAnsi"/>
          <w:bCs/>
          <w:color w:val="FF0000"/>
          <w:sz w:val="20"/>
          <w:szCs w:val="20"/>
        </w:rPr>
        <w:t>13</w:t>
      </w:r>
      <w:r w:rsidR="00E51808" w:rsidRPr="004629C7">
        <w:rPr>
          <w:rFonts w:asciiTheme="majorHAnsi" w:hAnsiTheme="majorHAnsi" w:cstheme="minorHAnsi"/>
          <w:bCs/>
          <w:color w:val="FF0000"/>
          <w:sz w:val="20"/>
          <w:szCs w:val="20"/>
        </w:rPr>
        <w:t>%, with the adjusted rate 10</w:t>
      </w:r>
      <w:r w:rsidR="00E51808" w:rsidRPr="004629C7">
        <w:rPr>
          <w:rFonts w:asciiTheme="majorHAnsi" w:hAnsiTheme="majorHAnsi" w:cstheme="minorHAnsi"/>
          <w:bCs/>
          <w:color w:val="FF0000"/>
          <w:sz w:val="20"/>
          <w:szCs w:val="20"/>
          <w:vertAlign w:val="superscript"/>
        </w:rPr>
        <w:t>th</w:t>
      </w:r>
      <w:r w:rsidR="00E51808" w:rsidRPr="004629C7">
        <w:rPr>
          <w:rFonts w:asciiTheme="majorHAnsi" w:hAnsiTheme="majorHAnsi" w:cstheme="minorHAnsi"/>
          <w:bCs/>
          <w:color w:val="FF0000"/>
          <w:sz w:val="20"/>
          <w:szCs w:val="20"/>
        </w:rPr>
        <w:t xml:space="preserve"> to 90</w:t>
      </w:r>
      <w:r w:rsidR="00E51808" w:rsidRPr="004629C7">
        <w:rPr>
          <w:rFonts w:asciiTheme="majorHAnsi" w:hAnsiTheme="majorHAnsi" w:cstheme="minorHAnsi"/>
          <w:bCs/>
          <w:color w:val="FF0000"/>
          <w:sz w:val="20"/>
          <w:szCs w:val="20"/>
          <w:vertAlign w:val="superscript"/>
        </w:rPr>
        <w:t>th</w:t>
      </w:r>
      <w:r w:rsidR="00E51808" w:rsidRPr="004629C7">
        <w:rPr>
          <w:rFonts w:asciiTheme="majorHAnsi" w:hAnsiTheme="majorHAnsi" w:cstheme="minorHAnsi"/>
          <w:bCs/>
          <w:color w:val="FF0000"/>
          <w:sz w:val="20"/>
          <w:szCs w:val="20"/>
        </w:rPr>
        <w:t xml:space="preserve"> percentiles of hospitals bleeding rates = </w:t>
      </w:r>
      <w:r w:rsidR="00A55A4F" w:rsidRPr="004629C7">
        <w:rPr>
          <w:rFonts w:asciiTheme="majorHAnsi" w:hAnsiTheme="majorHAnsi" w:cstheme="minorHAnsi"/>
          <w:bCs/>
          <w:color w:val="FF0000"/>
          <w:sz w:val="20"/>
          <w:szCs w:val="20"/>
        </w:rPr>
        <w:t>1.7</w:t>
      </w:r>
      <w:r w:rsidR="00E51808" w:rsidRPr="004629C7">
        <w:rPr>
          <w:rFonts w:asciiTheme="majorHAnsi" w:hAnsiTheme="majorHAnsi" w:cstheme="minorHAnsi"/>
          <w:bCs/>
          <w:color w:val="FF0000"/>
          <w:sz w:val="20"/>
          <w:szCs w:val="20"/>
        </w:rPr>
        <w:t>-</w:t>
      </w:r>
      <w:r w:rsidR="00A55A4F" w:rsidRPr="004629C7">
        <w:rPr>
          <w:rFonts w:asciiTheme="majorHAnsi" w:hAnsiTheme="majorHAnsi" w:cstheme="minorHAnsi"/>
          <w:bCs/>
          <w:color w:val="FF0000"/>
          <w:sz w:val="20"/>
          <w:szCs w:val="20"/>
        </w:rPr>
        <w:t>5.0</w:t>
      </w:r>
      <w:r w:rsidR="00E51808" w:rsidRPr="004629C7">
        <w:rPr>
          <w:rFonts w:asciiTheme="majorHAnsi" w:hAnsiTheme="majorHAnsi" w:cstheme="minorHAnsi"/>
          <w:bCs/>
          <w:color w:val="FF0000"/>
          <w:sz w:val="20"/>
          <w:szCs w:val="20"/>
        </w:rPr>
        <w:t xml:space="preserve">%) the use of this model to assess quality and inspire improvement is a critical step towards greater patient safety and outcomes. The fact that we have </w:t>
      </w:r>
      <w:r w:rsidR="00E51808" w:rsidRPr="004629C7">
        <w:rPr>
          <w:rFonts w:asciiTheme="majorHAnsi" w:hAnsiTheme="majorHAnsi" w:cstheme="minorHAnsi"/>
          <w:bCs/>
          <w:color w:val="FF0000"/>
          <w:sz w:val="20"/>
          <w:szCs w:val="20"/>
        </w:rPr>
        <w:lastRenderedPageBreak/>
        <w:t>demonstrated that the model, when employed at the hospital level, can reduce the variation to those factors most under the locus of control of the operators/hospitals and that by providing pre-procedural risk estimates to providers we can improve the rational use of bleeding avoidance therapies and lower bleeding strongly support the validity of this performance measure not only in risk-adjusting bleeding, but also in improving care.</w:t>
      </w:r>
    </w:p>
    <w:p w14:paraId="0CABCFDF" w14:textId="0B4E67BF"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923D12">
      <w:pPr>
        <w:autoSpaceDE w:val="0"/>
        <w:autoSpaceDN w:val="0"/>
        <w:adjustRightInd w:val="0"/>
        <w:spacing w:after="0" w:line="240" w:lineRule="auto"/>
        <w:outlineLvl w:val="0"/>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632C2EC5" w14:textId="77777777" w:rsidR="003C2CDD" w:rsidRDefault="00092566" w:rsidP="00DB3627">
      <w:pPr>
        <w:autoSpaceDE w:val="0"/>
        <w:autoSpaceDN w:val="0"/>
        <w:adjustRightInd w:val="0"/>
        <w:spacing w:after="0" w:line="240" w:lineRule="auto"/>
        <w:rPr>
          <w:rFonts w:cstheme="minorHAnsi"/>
          <w:bCs/>
        </w:rPr>
      </w:pPr>
      <w:r w:rsidRPr="00725C95">
        <w:rPr>
          <w:rFonts w:cstheme="minorHAnsi"/>
          <w:b/>
          <w:bCs/>
        </w:rPr>
        <w:t>2b</w:t>
      </w:r>
      <w:r w:rsidR="009C7513" w:rsidRPr="00725C95">
        <w:rPr>
          <w:rFonts w:cstheme="minorHAnsi"/>
          <w:b/>
          <w:bCs/>
        </w:rPr>
        <w:t>2</w:t>
      </w:r>
      <w:r w:rsidRPr="00725C95">
        <w:rPr>
          <w:rFonts w:cstheme="minorHAnsi"/>
          <w:b/>
          <w:bCs/>
        </w:rPr>
        <w:t>.</w:t>
      </w:r>
      <w:r w:rsidR="00A25024" w:rsidRPr="00725C95">
        <w:rPr>
          <w:rFonts w:cstheme="minorHAnsi"/>
          <w:b/>
          <w:bCs/>
        </w:rPr>
        <w:t>1. Describe the method of</w:t>
      </w:r>
      <w:r w:rsidR="00E672D6" w:rsidRPr="00725C95">
        <w:rPr>
          <w:rFonts w:cstheme="minorHAnsi"/>
          <w:b/>
          <w:bCs/>
        </w:rPr>
        <w:t xml:space="preserve"> </w:t>
      </w:r>
      <w:r w:rsidR="005333CC" w:rsidRPr="00725C95">
        <w:rPr>
          <w:rFonts w:cstheme="minorHAnsi"/>
          <w:b/>
          <w:bCs/>
        </w:rPr>
        <w:t>testing</w:t>
      </w:r>
      <w:r w:rsidR="00833325" w:rsidRPr="00725C95">
        <w:rPr>
          <w:rFonts w:cstheme="minorHAnsi"/>
          <w:b/>
          <w:bCs/>
        </w:rPr>
        <w:t xml:space="preserve"> </w:t>
      </w:r>
      <w:r w:rsidR="004B6CEE" w:rsidRPr="00725C95">
        <w:rPr>
          <w:rFonts w:cstheme="minorHAnsi"/>
          <w:b/>
          <w:bCs/>
        </w:rPr>
        <w:t xml:space="preserve">exclusions </w:t>
      </w:r>
      <w:r w:rsidR="00A25024" w:rsidRPr="00725C95">
        <w:rPr>
          <w:rFonts w:cstheme="minorHAnsi"/>
          <w:b/>
          <w:bCs/>
        </w:rPr>
        <w:t>and what it tests</w:t>
      </w:r>
      <w:r w:rsidR="00833325" w:rsidRPr="00725C95">
        <w:rPr>
          <w:rFonts w:cstheme="minorHAnsi"/>
          <w:bCs/>
        </w:rPr>
        <w:t xml:space="preserve"> (</w:t>
      </w:r>
      <w:r w:rsidR="00A25024" w:rsidRPr="00725C95">
        <w:rPr>
          <w:rFonts w:cstheme="minorHAnsi"/>
          <w:bCs/>
          <w:i/>
        </w:rPr>
        <w:t>describe the steps―do not just name a method; what was tested, e.g., whether exclusions affect overall performance scores</w:t>
      </w:r>
      <w:r w:rsidR="0022691B" w:rsidRPr="00725C95">
        <w:rPr>
          <w:rFonts w:cstheme="minorHAnsi"/>
          <w:bCs/>
          <w:i/>
        </w:rPr>
        <w:t>; what statistical analysis was used</w:t>
      </w:r>
      <w:r w:rsidR="00833325" w:rsidRPr="00725C95">
        <w:rPr>
          <w:rFonts w:cstheme="minorHAnsi"/>
          <w:bCs/>
        </w:rPr>
        <w:t>)</w:t>
      </w:r>
    </w:p>
    <w:p w14:paraId="13017448" w14:textId="77777777" w:rsidR="003C2CDD" w:rsidRDefault="003C2CDD" w:rsidP="00DB3627">
      <w:pPr>
        <w:autoSpaceDE w:val="0"/>
        <w:autoSpaceDN w:val="0"/>
        <w:adjustRightInd w:val="0"/>
        <w:spacing w:after="0" w:line="240" w:lineRule="auto"/>
        <w:rPr>
          <w:rFonts w:cstheme="minorHAnsi"/>
          <w:bCs/>
        </w:rPr>
      </w:pPr>
    </w:p>
    <w:p w14:paraId="39D6AA79" w14:textId="5B8A0B32"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The only exclusions from the bleeding model are patients undergoing CABG surgery, those who present to the hospital severely anemic (pre-procedure hemoglobin &lt;8 g/</w:t>
      </w:r>
      <w:proofErr w:type="spellStart"/>
      <w:r w:rsidRPr="003C2CDD">
        <w:rPr>
          <w:rFonts w:asciiTheme="majorHAnsi" w:hAnsiTheme="majorHAnsi" w:cstheme="minorHAnsi"/>
          <w:bCs/>
          <w:color w:val="0070C0"/>
          <w:sz w:val="20"/>
          <w:szCs w:val="20"/>
        </w:rPr>
        <w:t>dL</w:t>
      </w:r>
      <w:proofErr w:type="spellEnd"/>
      <w:r w:rsidRPr="003C2CDD">
        <w:rPr>
          <w:rFonts w:asciiTheme="majorHAnsi" w:hAnsiTheme="majorHAnsi" w:cstheme="minorHAnsi"/>
          <w:bCs/>
          <w:color w:val="0070C0"/>
          <w:sz w:val="20"/>
          <w:szCs w:val="20"/>
        </w:rPr>
        <w:t>) and do not have an obvious clinical bleed after their procedure, and patients who died during hospitalization</w:t>
      </w:r>
      <w:r w:rsidR="00616890">
        <w:rPr>
          <w:rFonts w:asciiTheme="majorHAnsi" w:hAnsiTheme="majorHAnsi" w:cstheme="minorHAnsi"/>
          <w:bCs/>
          <w:color w:val="0070C0"/>
          <w:sz w:val="20"/>
          <w:szCs w:val="20"/>
        </w:rPr>
        <w:t xml:space="preserve"> (i.e. same day as their PCI procedure)</w:t>
      </w:r>
      <w:r w:rsidRPr="003C2CDD">
        <w:rPr>
          <w:rFonts w:asciiTheme="majorHAnsi" w:hAnsiTheme="majorHAnsi" w:cstheme="minorHAnsi"/>
          <w:bCs/>
          <w:color w:val="0070C0"/>
          <w:sz w:val="20"/>
          <w:szCs w:val="20"/>
        </w:rPr>
        <w:t>.  These exclusions are relatively rare and firmly supported by the clinical rationale that a) bleeding and blood transfusions are common after cardiopulmonary bypass surgery and not necessarily related to the safety and quality of the PCI procedure; and b) that patients presenting to the hospital with severe anemia and receiving a blood transfusion may have been likely to be treated with a blood transfusion had they not undergone PCI. Lastly, patients who died at hospitalization would be captured under NQF measure 0133 which ACC believes complements this measure to ensure good care for patients who undergoing PCI.</w:t>
      </w:r>
    </w:p>
    <w:p w14:paraId="0CABCFE4" w14:textId="310B2118" w:rsidR="00833325" w:rsidRPr="009D3882" w:rsidRDefault="00833325" w:rsidP="00DB3627">
      <w:pPr>
        <w:autoSpaceDE w:val="0"/>
        <w:autoSpaceDN w:val="0"/>
        <w:adjustRightInd w:val="0"/>
        <w:spacing w:after="0" w:line="240" w:lineRule="auto"/>
        <w:rPr>
          <w:rFonts w:cstheme="minorHAnsi"/>
          <w:bCs/>
          <w:sz w:val="12"/>
        </w:rPr>
      </w:pPr>
      <w:r w:rsidRPr="00A25024">
        <w:rPr>
          <w:rFonts w:cstheme="minorHAnsi"/>
          <w:bCs/>
        </w:rPr>
        <w:b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7B56C642" w14:textId="77777777" w:rsidR="003C2CDD" w:rsidRDefault="00092566" w:rsidP="00092566">
      <w:pPr>
        <w:autoSpaceDE w:val="0"/>
        <w:autoSpaceDN w:val="0"/>
        <w:adjustRightInd w:val="0"/>
        <w:spacing w:after="0" w:line="240" w:lineRule="auto"/>
        <w:rPr>
          <w:rFonts w:cstheme="minorHAnsi"/>
          <w:bCs/>
        </w:rPr>
      </w:pPr>
      <w:r w:rsidRPr="00F26AD7">
        <w:rPr>
          <w:rFonts w:cstheme="minorHAnsi"/>
          <w:b/>
          <w:bCs/>
        </w:rPr>
        <w:t>2b</w:t>
      </w:r>
      <w:r w:rsidR="009C7513" w:rsidRPr="00F26AD7">
        <w:rPr>
          <w:rFonts w:cstheme="minorHAnsi"/>
          <w:b/>
          <w:bCs/>
        </w:rPr>
        <w:t>2</w:t>
      </w:r>
      <w:r w:rsidRPr="00F26AD7">
        <w:rPr>
          <w:rFonts w:cstheme="minorHAnsi"/>
          <w:b/>
          <w:bCs/>
        </w:rPr>
        <w:t>.</w:t>
      </w:r>
      <w:r w:rsidR="00A25024" w:rsidRPr="00F26AD7">
        <w:rPr>
          <w:rFonts w:cstheme="minorHAnsi"/>
          <w:b/>
          <w:bCs/>
        </w:rPr>
        <w:t xml:space="preserve">2. </w:t>
      </w:r>
      <w:r w:rsidR="00833325" w:rsidRPr="00F26AD7">
        <w:rPr>
          <w:rFonts w:cstheme="minorHAnsi"/>
          <w:b/>
          <w:bCs/>
        </w:rPr>
        <w:t xml:space="preserve">What were the statistical results </w:t>
      </w:r>
      <w:r w:rsidR="007422FD" w:rsidRPr="00F26AD7">
        <w:rPr>
          <w:rFonts w:cstheme="minorHAnsi"/>
          <w:b/>
          <w:bCs/>
        </w:rPr>
        <w:t>from testing exclusions</w:t>
      </w:r>
      <w:r w:rsidR="00833325" w:rsidRPr="00F26AD7">
        <w:rPr>
          <w:rFonts w:cstheme="minorHAnsi"/>
          <w:bCs/>
        </w:rPr>
        <w:t>?</w:t>
      </w:r>
      <w:r w:rsidR="000B2DF7" w:rsidRPr="00F26AD7">
        <w:rPr>
          <w:rFonts w:cstheme="minorHAnsi"/>
          <w:bCs/>
        </w:rPr>
        <w:t xml:space="preserve"> (</w:t>
      </w:r>
      <w:r w:rsidR="000B2DF7" w:rsidRPr="00F26AD7">
        <w:rPr>
          <w:rFonts w:cstheme="minorHAnsi"/>
          <w:bCs/>
          <w:i/>
        </w:rPr>
        <w:t xml:space="preserve">include </w:t>
      </w:r>
      <w:r w:rsidR="00356BAD" w:rsidRPr="00F26AD7">
        <w:rPr>
          <w:rFonts w:cstheme="minorHAnsi"/>
          <w:bCs/>
          <w:i/>
        </w:rPr>
        <w:t xml:space="preserve">overall </w:t>
      </w:r>
      <w:r w:rsidR="000B2DF7" w:rsidRPr="00F26AD7">
        <w:rPr>
          <w:rFonts w:cstheme="minorHAnsi"/>
          <w:bCs/>
          <w:i/>
        </w:rPr>
        <w:t>number and percentage of individuals excluded</w:t>
      </w:r>
      <w:r w:rsidR="0025762F" w:rsidRPr="00F26AD7">
        <w:rPr>
          <w:rFonts w:cstheme="minorHAnsi"/>
          <w:bCs/>
          <w:i/>
        </w:rPr>
        <w:t>, frequency distribution of exclusions across measured entities,</w:t>
      </w:r>
      <w:r w:rsidR="000B2DF7" w:rsidRPr="00F26AD7">
        <w:rPr>
          <w:rFonts w:cstheme="minorHAnsi"/>
          <w:bCs/>
          <w:i/>
        </w:rPr>
        <w:t xml:space="preserve"> and impact on performance measure scores</w:t>
      </w:r>
      <w:r w:rsidR="000B2DF7" w:rsidRPr="00F26AD7">
        <w:rPr>
          <w:rFonts w:cstheme="minorHAnsi"/>
          <w:bCs/>
        </w:rPr>
        <w:t>)</w:t>
      </w:r>
    </w:p>
    <w:p w14:paraId="7B57EBC3" w14:textId="77777777" w:rsidR="003C2CDD" w:rsidRDefault="003C2CDD" w:rsidP="00092566">
      <w:pPr>
        <w:autoSpaceDE w:val="0"/>
        <w:autoSpaceDN w:val="0"/>
        <w:adjustRightInd w:val="0"/>
        <w:spacing w:after="0" w:line="240" w:lineRule="auto"/>
        <w:rPr>
          <w:rFonts w:cstheme="minorHAnsi"/>
          <w:bCs/>
        </w:rPr>
      </w:pPr>
    </w:p>
    <w:p w14:paraId="464E3A84" w14:textId="77777777" w:rsidR="006F7C40" w:rsidRDefault="006F7C40" w:rsidP="006F7C40">
      <w:pPr>
        <w:autoSpaceDE w:val="0"/>
        <w:autoSpaceDN w:val="0"/>
        <w:adjustRightInd w:val="0"/>
        <w:spacing w:after="0" w:line="240" w:lineRule="auto"/>
        <w:rPr>
          <w:rFonts w:asciiTheme="majorHAnsi" w:hAnsiTheme="majorHAnsi" w:cstheme="minorHAnsi"/>
          <w:bCs/>
          <w:color w:val="FF0000"/>
          <w:sz w:val="20"/>
          <w:szCs w:val="20"/>
        </w:rPr>
      </w:pPr>
      <w:r w:rsidRPr="00B14D90">
        <w:rPr>
          <w:rFonts w:asciiTheme="majorHAnsi" w:hAnsiTheme="majorHAnsi" w:cstheme="minorHAnsi"/>
          <w:bCs/>
          <w:color w:val="FF0000"/>
          <w:sz w:val="20"/>
          <w:szCs w:val="20"/>
        </w:rPr>
        <w:t>In 2016</w:t>
      </w:r>
      <w:r>
        <w:rPr>
          <w:rFonts w:asciiTheme="majorHAnsi" w:hAnsiTheme="majorHAnsi" w:cstheme="minorHAnsi"/>
          <w:bCs/>
          <w:color w:val="FF0000"/>
          <w:sz w:val="20"/>
          <w:szCs w:val="20"/>
        </w:rPr>
        <w:t>:</w:t>
      </w:r>
    </w:p>
    <w:p w14:paraId="4227B6F0" w14:textId="77777777" w:rsidR="006F7C40" w:rsidRDefault="006F7C40" w:rsidP="006F7C40">
      <w:pPr>
        <w:autoSpaceDE w:val="0"/>
        <w:autoSpaceDN w:val="0"/>
        <w:adjustRightInd w:val="0"/>
        <w:spacing w:after="0" w:line="240" w:lineRule="auto"/>
        <w:rPr>
          <w:rFonts w:asciiTheme="majorHAnsi" w:hAnsiTheme="majorHAnsi" w:cstheme="minorHAnsi"/>
          <w:bCs/>
          <w:color w:val="FF0000"/>
          <w:sz w:val="20"/>
          <w:szCs w:val="20"/>
        </w:rPr>
      </w:pPr>
    </w:p>
    <w:p w14:paraId="2E00B9AC" w14:textId="6998DEB2" w:rsidR="00EB416C" w:rsidRPr="00E71029" w:rsidRDefault="00EB416C" w:rsidP="00EB416C">
      <w:pPr>
        <w:pStyle w:val="ListParagraph"/>
        <w:numPr>
          <w:ilvl w:val="0"/>
          <w:numId w:val="30"/>
        </w:numPr>
        <w:rPr>
          <w:rFonts w:asciiTheme="majorHAnsi" w:hAnsiTheme="majorHAnsi" w:cstheme="minorHAnsi"/>
          <w:bCs/>
          <w:color w:val="FF0000"/>
          <w:sz w:val="20"/>
          <w:szCs w:val="20"/>
        </w:rPr>
      </w:pPr>
      <w:r w:rsidRPr="00E71029">
        <w:rPr>
          <w:rFonts w:asciiTheme="majorHAnsi" w:hAnsiTheme="majorHAnsi" w:cstheme="minorHAnsi"/>
          <w:bCs/>
          <w:color w:val="FF0000"/>
          <w:sz w:val="20"/>
          <w:szCs w:val="20"/>
        </w:rPr>
        <w:t>CABG during the index hospitalization was performed in 8,137 (1/1%) patients. Beyond the small size of this excluded group, bleeding after a major operation is much more likely related to the operation than the preceding PCI.</w:t>
      </w:r>
    </w:p>
    <w:p w14:paraId="49BFF5AB" w14:textId="77777777" w:rsidR="006F7C40" w:rsidRPr="00E71029" w:rsidRDefault="006F7C40" w:rsidP="006F7C40">
      <w:pPr>
        <w:pStyle w:val="ListParagraph"/>
        <w:numPr>
          <w:ilvl w:val="0"/>
          <w:numId w:val="30"/>
        </w:numPr>
        <w:autoSpaceDE w:val="0"/>
        <w:autoSpaceDN w:val="0"/>
        <w:adjustRightInd w:val="0"/>
        <w:spacing w:after="0" w:line="240" w:lineRule="auto"/>
        <w:rPr>
          <w:rFonts w:asciiTheme="majorHAnsi" w:hAnsiTheme="majorHAnsi" w:cstheme="minorHAnsi"/>
          <w:bCs/>
          <w:color w:val="FF0000"/>
          <w:sz w:val="20"/>
          <w:szCs w:val="20"/>
        </w:rPr>
      </w:pPr>
      <w:r w:rsidRPr="00E71029">
        <w:rPr>
          <w:rFonts w:asciiTheme="majorHAnsi" w:eastAsia="Times New Roman" w:hAnsiTheme="majorHAnsi"/>
          <w:color w:val="1F497D"/>
          <w:sz w:val="20"/>
          <w:szCs w:val="20"/>
        </w:rPr>
        <w:t xml:space="preserve"> </w:t>
      </w:r>
      <w:r w:rsidRPr="00E71029">
        <w:rPr>
          <w:rFonts w:asciiTheme="majorHAnsi" w:eastAsia="Times New Roman" w:hAnsiTheme="majorHAnsi"/>
          <w:color w:val="FF0000"/>
          <w:sz w:val="20"/>
          <w:szCs w:val="20"/>
        </w:rPr>
        <w:t xml:space="preserve">In 2016, 3,534 (0.47%) patients were excluded because they died the same day as their PCI procedure. They were excluded because they were not alive long enough to assess </w:t>
      </w:r>
      <w:proofErr w:type="gramStart"/>
      <w:r w:rsidRPr="00E71029">
        <w:rPr>
          <w:rFonts w:asciiTheme="majorHAnsi" w:eastAsia="Times New Roman" w:hAnsiTheme="majorHAnsi"/>
          <w:color w:val="FF0000"/>
          <w:sz w:val="20"/>
          <w:szCs w:val="20"/>
        </w:rPr>
        <w:t>whether or not</w:t>
      </w:r>
      <w:proofErr w:type="gramEnd"/>
      <w:r w:rsidRPr="00E71029">
        <w:rPr>
          <w:rFonts w:asciiTheme="majorHAnsi" w:eastAsia="Times New Roman" w:hAnsiTheme="majorHAnsi"/>
          <w:color w:val="FF0000"/>
          <w:sz w:val="20"/>
          <w:szCs w:val="20"/>
        </w:rPr>
        <w:t xml:space="preserve"> a bleeding event had occurred.  </w:t>
      </w:r>
    </w:p>
    <w:p w14:paraId="64407F14" w14:textId="77777777" w:rsidR="006F7C40" w:rsidRPr="00E71029" w:rsidRDefault="006F7C40" w:rsidP="006F7C40">
      <w:pPr>
        <w:pStyle w:val="ListParagraph"/>
        <w:numPr>
          <w:ilvl w:val="0"/>
          <w:numId w:val="30"/>
        </w:numPr>
        <w:autoSpaceDE w:val="0"/>
        <w:autoSpaceDN w:val="0"/>
        <w:adjustRightInd w:val="0"/>
        <w:spacing w:after="0" w:line="240" w:lineRule="auto"/>
        <w:rPr>
          <w:rFonts w:asciiTheme="majorHAnsi" w:hAnsiTheme="majorHAnsi" w:cstheme="minorHAnsi"/>
          <w:bCs/>
          <w:color w:val="FF0000"/>
          <w:sz w:val="20"/>
          <w:szCs w:val="20"/>
        </w:rPr>
      </w:pPr>
      <w:r w:rsidRPr="00E71029">
        <w:rPr>
          <w:rFonts w:asciiTheme="majorHAnsi" w:eastAsia="Times New Roman" w:hAnsiTheme="majorHAnsi"/>
          <w:color w:val="FF0000"/>
          <w:sz w:val="20"/>
          <w:szCs w:val="20"/>
        </w:rPr>
        <w:t>There were 1,816 (0.25%) procedures in 2016 for which patients both had pre-procedural anemia (</w:t>
      </w:r>
      <w:proofErr w:type="spellStart"/>
      <w:r w:rsidRPr="00E71029">
        <w:rPr>
          <w:rFonts w:asciiTheme="majorHAnsi" w:eastAsia="Times New Roman" w:hAnsiTheme="majorHAnsi"/>
          <w:color w:val="FF0000"/>
          <w:sz w:val="20"/>
          <w:szCs w:val="20"/>
        </w:rPr>
        <w:t>hgb</w:t>
      </w:r>
      <w:proofErr w:type="spellEnd"/>
      <w:r w:rsidRPr="00E71029">
        <w:rPr>
          <w:rFonts w:asciiTheme="majorHAnsi" w:eastAsia="Times New Roman" w:hAnsiTheme="majorHAnsi"/>
          <w:color w:val="FF0000"/>
          <w:sz w:val="20"/>
          <w:szCs w:val="20"/>
        </w:rPr>
        <w:t xml:space="preserve">&lt;=8) and a transfusion.  Of these, 1,344 (0.18%) had no bleeding evidence, and 472 had a bleed that was counted in the numerator of the bleeding measure. </w:t>
      </w:r>
      <w:r w:rsidRPr="00E71029">
        <w:rPr>
          <w:rFonts w:asciiTheme="majorHAnsi" w:hAnsiTheme="majorHAnsi" w:cstheme="minorHAnsi"/>
          <w:bCs/>
          <w:color w:val="FF0000"/>
          <w:sz w:val="20"/>
          <w:szCs w:val="20"/>
        </w:rPr>
        <w:t xml:space="preserve"> We do not believe that such a small rate for this exclusion would meaningfully impact the measure.</w:t>
      </w:r>
    </w:p>
    <w:p w14:paraId="195819EE" w14:textId="77777777" w:rsidR="006F7C40" w:rsidRPr="00E71029" w:rsidRDefault="006F7C40" w:rsidP="006F7C40">
      <w:pPr>
        <w:pStyle w:val="ListParagraph"/>
        <w:numPr>
          <w:ilvl w:val="0"/>
          <w:numId w:val="30"/>
        </w:numPr>
        <w:autoSpaceDE w:val="0"/>
        <w:autoSpaceDN w:val="0"/>
        <w:adjustRightInd w:val="0"/>
        <w:spacing w:after="0" w:line="240" w:lineRule="auto"/>
        <w:rPr>
          <w:rFonts w:asciiTheme="majorHAnsi" w:hAnsiTheme="majorHAnsi" w:cstheme="minorHAnsi"/>
          <w:bCs/>
          <w:color w:val="FF0000"/>
          <w:sz w:val="20"/>
          <w:szCs w:val="20"/>
        </w:rPr>
      </w:pPr>
      <w:r w:rsidRPr="00E71029">
        <w:rPr>
          <w:rFonts w:asciiTheme="majorHAnsi" w:hAnsiTheme="majorHAnsi" w:cstheme="minorHAnsi"/>
          <w:bCs/>
          <w:color w:val="FF0000"/>
          <w:sz w:val="20"/>
          <w:szCs w:val="20"/>
        </w:rPr>
        <w:t xml:space="preserve">In 2016, there were 22,406 procedures were excluded for being a second, non-index.  Because it was not possible to separate which procedure, when multiple </w:t>
      </w:r>
      <w:proofErr w:type="gramStart"/>
      <w:r w:rsidRPr="00E71029">
        <w:rPr>
          <w:rFonts w:asciiTheme="majorHAnsi" w:hAnsiTheme="majorHAnsi" w:cstheme="minorHAnsi"/>
          <w:bCs/>
          <w:color w:val="FF0000"/>
          <w:sz w:val="20"/>
          <w:szCs w:val="20"/>
        </w:rPr>
        <w:t>were</w:t>
      </w:r>
      <w:proofErr w:type="gramEnd"/>
      <w:r w:rsidRPr="00E71029">
        <w:rPr>
          <w:rFonts w:asciiTheme="majorHAnsi" w:hAnsiTheme="majorHAnsi" w:cstheme="minorHAnsi"/>
          <w:bCs/>
          <w:color w:val="FF0000"/>
          <w:sz w:val="20"/>
          <w:szCs w:val="20"/>
        </w:rPr>
        <w:t xml:space="preserve"> performed in the same admission, was responsible for the bleeding event, the measure could be interpreted as bleeding events per admission in which PCI is performed, which is more clinically interpretable,</w:t>
      </w:r>
    </w:p>
    <w:p w14:paraId="0CABCFE6" w14:textId="4B00DE2B" w:rsidR="007422FD" w:rsidRDefault="00833325" w:rsidP="00092566">
      <w:pPr>
        <w:autoSpaceDE w:val="0"/>
        <w:autoSpaceDN w:val="0"/>
        <w:adjustRightInd w:val="0"/>
        <w:spacing w:after="0" w:line="240" w:lineRule="auto"/>
        <w:rPr>
          <w:rFonts w:cstheme="minorHAnsi"/>
          <w:bCs/>
        </w:rPr>
      </w:pPr>
      <w:r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2737B440" w14:textId="77777777" w:rsidR="003C2CDD" w:rsidRDefault="00092566" w:rsidP="00DB3627">
      <w:pPr>
        <w:autoSpaceDE w:val="0"/>
        <w:autoSpaceDN w:val="0"/>
        <w:adjustRightInd w:val="0"/>
        <w:spacing w:after="0" w:line="240" w:lineRule="auto"/>
        <w:rPr>
          <w:rFonts w:cstheme="minorHAnsi"/>
          <w:bCs/>
        </w:rPr>
      </w:pPr>
      <w:r w:rsidRPr="00725C95">
        <w:rPr>
          <w:rFonts w:cstheme="minorHAnsi"/>
          <w:b/>
          <w:bCs/>
        </w:rPr>
        <w:t>2b</w:t>
      </w:r>
      <w:r w:rsidR="009C7513" w:rsidRPr="00725C95">
        <w:rPr>
          <w:rFonts w:cstheme="minorHAnsi"/>
          <w:b/>
          <w:bCs/>
        </w:rPr>
        <w:t>2</w:t>
      </w:r>
      <w:r w:rsidRPr="00725C95">
        <w:rPr>
          <w:rFonts w:cstheme="minorHAnsi"/>
          <w:b/>
          <w:bCs/>
        </w:rPr>
        <w:t>.</w:t>
      </w:r>
      <w:r w:rsidR="00A25024" w:rsidRPr="00725C95">
        <w:rPr>
          <w:rFonts w:cstheme="minorHAnsi"/>
          <w:b/>
          <w:bCs/>
        </w:rPr>
        <w:t xml:space="preserve">3. </w:t>
      </w:r>
      <w:r w:rsidR="000B2DF7" w:rsidRPr="00725C95">
        <w:rPr>
          <w:rFonts w:cstheme="minorHAnsi"/>
          <w:b/>
          <w:bCs/>
        </w:rPr>
        <w:t xml:space="preserve">What is your interpretation of the results </w:t>
      </w:r>
      <w:r w:rsidR="007422FD" w:rsidRPr="00725C95">
        <w:rPr>
          <w:rFonts w:cstheme="minorHAnsi"/>
          <w:b/>
          <w:bCs/>
        </w:rPr>
        <w:t xml:space="preserve">in terms of </w:t>
      </w:r>
      <w:r w:rsidR="00713394" w:rsidRPr="00725C95">
        <w:rPr>
          <w:rFonts w:cstheme="minorHAnsi"/>
          <w:b/>
          <w:bCs/>
        </w:rPr>
        <w:t>demonstrating</w:t>
      </w:r>
      <w:r w:rsidR="007422FD" w:rsidRPr="00725C95">
        <w:rPr>
          <w:rFonts w:cstheme="minorHAnsi"/>
          <w:b/>
          <w:bCs/>
        </w:rPr>
        <w:t xml:space="preserve"> </w:t>
      </w:r>
      <w:r w:rsidR="00713394" w:rsidRPr="00725C95">
        <w:rPr>
          <w:rFonts w:cstheme="minorHAnsi"/>
          <w:b/>
          <w:bCs/>
        </w:rPr>
        <w:t>that exclusions are needed to prevent unfair distortion of performance results</w:t>
      </w:r>
      <w:r w:rsidR="007422FD" w:rsidRPr="00725C95">
        <w:rPr>
          <w:rFonts w:cstheme="minorHAnsi"/>
          <w:b/>
          <w:bCs/>
        </w:rPr>
        <w:t>?</w:t>
      </w:r>
      <w:r w:rsidR="007422FD" w:rsidRPr="00725C95">
        <w:rPr>
          <w:rFonts w:cstheme="minorHAnsi"/>
          <w:bCs/>
        </w:rPr>
        <w:t xml:space="preserve"> </w:t>
      </w:r>
      <w:r w:rsidR="000B2DF7" w:rsidRPr="00725C95">
        <w:rPr>
          <w:rFonts w:cstheme="minorHAnsi"/>
          <w:bCs/>
        </w:rPr>
        <w:t>(</w:t>
      </w:r>
      <w:r w:rsidR="00713394" w:rsidRPr="00725C95">
        <w:rPr>
          <w:rFonts w:cstheme="minorHAnsi"/>
          <w:bCs/>
          <w:i/>
        </w:rPr>
        <w:t>i.e.,</w:t>
      </w:r>
      <w:r w:rsidR="000B2DF7" w:rsidRPr="00725C95">
        <w:rPr>
          <w:rFonts w:cstheme="minorHAnsi"/>
          <w:bCs/>
          <w:i/>
        </w:rPr>
        <w:t xml:space="preserve"> the value </w:t>
      </w:r>
      <w:r w:rsidR="00713394" w:rsidRPr="00725C95">
        <w:rPr>
          <w:rFonts w:cstheme="minorHAnsi"/>
          <w:bCs/>
          <w:i/>
        </w:rPr>
        <w:t>outweighs the</w:t>
      </w:r>
      <w:r w:rsidR="000B2DF7" w:rsidRPr="00725C95">
        <w:rPr>
          <w:rFonts w:cstheme="minorHAnsi"/>
          <w:bCs/>
          <w:i/>
        </w:rPr>
        <w:t xml:space="preserve"> burden of increased data collection and analysi</w:t>
      </w:r>
      <w:r w:rsidR="00CC086A" w:rsidRPr="00725C95">
        <w:rPr>
          <w:rFonts w:cstheme="minorHAnsi"/>
          <w:bCs/>
          <w:i/>
        </w:rPr>
        <w:t xml:space="preserve">s. </w:t>
      </w:r>
      <w:r w:rsidR="00713394" w:rsidRPr="00725C95">
        <w:rPr>
          <w:rFonts w:cstheme="minorHAnsi"/>
          <w:bCs/>
        </w:rPr>
        <w:t xml:space="preserve"> </w:t>
      </w:r>
      <w:r w:rsidR="00713394" w:rsidRPr="00725C95">
        <w:rPr>
          <w:rFonts w:cstheme="minorHAnsi"/>
          <w:bCs/>
          <w:i/>
          <w:u w:val="single"/>
        </w:rPr>
        <w:t>Note</w:t>
      </w:r>
      <w:r w:rsidR="00713394" w:rsidRPr="00725C95">
        <w:rPr>
          <w:rFonts w:cstheme="minorHAnsi"/>
          <w:bCs/>
          <w:i/>
        </w:rPr>
        <w:t xml:space="preserve">: </w:t>
      </w:r>
      <w:r w:rsidR="00713394" w:rsidRPr="00725C95">
        <w:rPr>
          <w:rFonts w:cstheme="minorHAnsi"/>
          <w:b/>
          <w:bCs/>
          <w:i/>
        </w:rPr>
        <w:t>If patient preference is an exclusion</w:t>
      </w:r>
      <w:r w:rsidR="00713394" w:rsidRPr="00725C95">
        <w:rPr>
          <w:rFonts w:cstheme="minorHAnsi"/>
          <w:bCs/>
          <w:i/>
        </w:rPr>
        <w:t>, the measure must be specified so that the effect on the performance score is transparent, e.g., scores with and without exclusion</w:t>
      </w:r>
      <w:r w:rsidR="00713394" w:rsidRPr="003C2CDD">
        <w:rPr>
          <w:rFonts w:cstheme="minorHAnsi"/>
          <w:bCs/>
          <w:highlight w:val="yellow"/>
        </w:rPr>
        <w:t>)</w:t>
      </w:r>
    </w:p>
    <w:p w14:paraId="7AA3E74C" w14:textId="77777777" w:rsidR="003C2CDD" w:rsidRDefault="003C2CDD" w:rsidP="00DB3627">
      <w:pPr>
        <w:autoSpaceDE w:val="0"/>
        <w:autoSpaceDN w:val="0"/>
        <w:adjustRightInd w:val="0"/>
        <w:spacing w:after="0" w:line="240" w:lineRule="auto"/>
        <w:rPr>
          <w:rFonts w:cstheme="minorHAnsi"/>
          <w:bCs/>
        </w:rPr>
      </w:pPr>
    </w:p>
    <w:p w14:paraId="33D35751" w14:textId="70C7A75F"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 xml:space="preserve">We do not believe that the exclusions have any impact on the validity, accuracy or </w:t>
      </w:r>
      <w:r w:rsidR="00337D22" w:rsidRPr="003C2CDD">
        <w:rPr>
          <w:rFonts w:asciiTheme="majorHAnsi" w:hAnsiTheme="majorHAnsi" w:cstheme="minorHAnsi"/>
          <w:bCs/>
          <w:color w:val="0070C0"/>
          <w:sz w:val="20"/>
          <w:szCs w:val="20"/>
        </w:rPr>
        <w:t>interpretability</w:t>
      </w:r>
      <w:r w:rsidRPr="003C2CDD">
        <w:rPr>
          <w:rFonts w:asciiTheme="majorHAnsi" w:hAnsiTheme="majorHAnsi" w:cstheme="minorHAnsi"/>
          <w:bCs/>
          <w:color w:val="0070C0"/>
          <w:sz w:val="20"/>
          <w:szCs w:val="20"/>
        </w:rPr>
        <w:t xml:space="preserve"> of the risk-adjusted bleeding outcome measure.</w:t>
      </w:r>
    </w:p>
    <w:p w14:paraId="0CABCFE8" w14:textId="1F0AC13C"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87340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03334648" w:rsidR="00743E46" w:rsidRPr="005232D6" w:rsidRDefault="0087340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Content>
          <w:r w:rsidR="003C2CDD" w:rsidRPr="009F50B3">
            <w:rPr>
              <w:rFonts w:ascii="MS Gothic" w:eastAsia="MS Gothic" w:hAnsi="MS Gothic" w:cstheme="minorHAnsi" w:hint="eastAsia"/>
              <w:bCs/>
              <w:color w:val="0000FF"/>
            </w:rPr>
            <w:t>☒</w:t>
          </w:r>
        </w:sdtContent>
      </w:sdt>
      <w:r w:rsidR="006574D2" w:rsidRPr="009F50B3">
        <w:rPr>
          <w:rFonts w:cstheme="minorHAnsi"/>
          <w:bCs/>
          <w:color w:val="0000FF"/>
        </w:rPr>
        <w:t xml:space="preserve"> </w:t>
      </w:r>
      <w:r w:rsidR="00743E46" w:rsidRPr="009F50B3">
        <w:rPr>
          <w:rFonts w:cstheme="minorHAnsi"/>
          <w:b/>
          <w:bCs/>
        </w:rPr>
        <w:t xml:space="preserve">Statistical risk model 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68509B">
            <w:rPr>
              <w:rStyle w:val="Style4"/>
              <w:u w:val="none"/>
            </w:rPr>
            <w:t>32</w:t>
          </w:r>
        </w:sdtContent>
      </w:sdt>
      <w:r w:rsidR="00E562C0" w:rsidRPr="009F50B3">
        <w:rPr>
          <w:rStyle w:val="Style4"/>
          <w:u w:val="none"/>
        </w:rPr>
        <w:t xml:space="preserve"> </w:t>
      </w:r>
      <w:r w:rsidR="00743E46" w:rsidRPr="009F50B3">
        <w:rPr>
          <w:rFonts w:cstheme="minorHAnsi"/>
          <w:b/>
          <w:bCs/>
        </w:rPr>
        <w:t>risk factors</w:t>
      </w:r>
    </w:p>
    <w:p w14:paraId="0CABCFEF" w14:textId="77777777" w:rsidR="00743E46" w:rsidRPr="005232D6" w:rsidRDefault="0087340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87340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ascii="Calibri" w:eastAsia="MS Mincho" w:hAnsi="Calibri" w:cs="Calibri"/>
          <w:b/>
          <w:bCs/>
        </w:rPr>
      </w:pPr>
      <w:r w:rsidRPr="00725C95">
        <w:rPr>
          <w:rFonts w:cstheme="minorHAnsi"/>
          <w:b/>
          <w:bCs/>
        </w:rPr>
        <w:t>2b</w:t>
      </w:r>
      <w:r w:rsidR="009C7513" w:rsidRPr="00725C95">
        <w:rPr>
          <w:rFonts w:cstheme="minorHAnsi"/>
          <w:b/>
          <w:bCs/>
        </w:rPr>
        <w:t>3</w:t>
      </w:r>
      <w:r w:rsidRPr="00725C95">
        <w:rPr>
          <w:rFonts w:cstheme="minorHAnsi"/>
          <w:b/>
          <w:bCs/>
        </w:rPr>
        <w:t xml:space="preserve">.1.1 </w:t>
      </w:r>
      <w:r w:rsidR="00F34FAB" w:rsidRPr="00725C95">
        <w:rPr>
          <w:rFonts w:ascii="Calibri" w:eastAsia="MS Mincho" w:hAnsi="Calibri" w:cs="Calibri"/>
          <w:b/>
          <w:bCs/>
        </w:rPr>
        <w:t>If using a statistical risk model, provide detailed risk model specifications, including the risk model method, risk factors, coefficients, equations, codes with descriptors, and definitions.</w:t>
      </w:r>
      <w:r w:rsidR="00F34FAB" w:rsidRPr="00450C58">
        <w:rPr>
          <w:rFonts w:ascii="Calibri" w:eastAsia="MS Mincho" w:hAnsi="Calibri" w:cs="Calibri"/>
          <w:b/>
          <w:bCs/>
        </w:rPr>
        <w:t xml:space="preserve"> </w:t>
      </w:r>
    </w:p>
    <w:p w14:paraId="10C66051" w14:textId="6C705AA3" w:rsidR="00A06FEB" w:rsidRPr="00E71029" w:rsidRDefault="00A06FEB" w:rsidP="00F34FAB">
      <w:pPr>
        <w:autoSpaceDE w:val="0"/>
        <w:autoSpaceDN w:val="0"/>
        <w:adjustRightInd w:val="0"/>
        <w:spacing w:after="0" w:line="240" w:lineRule="auto"/>
        <w:rPr>
          <w:rFonts w:asciiTheme="majorHAnsi" w:eastAsia="MS Mincho" w:hAnsiTheme="majorHAnsi" w:cs="Calibri"/>
          <w:bCs/>
          <w:color w:val="FF0000"/>
          <w:sz w:val="20"/>
          <w:szCs w:val="20"/>
        </w:rPr>
      </w:pPr>
      <w:r w:rsidRPr="00E71029">
        <w:rPr>
          <w:rFonts w:asciiTheme="majorHAnsi" w:eastAsia="MS Mincho" w:hAnsiTheme="majorHAnsi" w:cs="Calibri"/>
          <w:bCs/>
          <w:color w:val="FF0000"/>
          <w:sz w:val="20"/>
          <w:szCs w:val="20"/>
        </w:rPr>
        <w:t>A hierarchical logistic regression model was created. The data definitions are available on the NCDR website (</w:t>
      </w:r>
      <w:hyperlink r:id="rId15" w:history="1">
        <w:r w:rsidR="00347763" w:rsidRPr="00E71029">
          <w:rPr>
            <w:rStyle w:val="Hyperlink"/>
            <w:rFonts w:asciiTheme="majorHAnsi" w:hAnsiTheme="majorHAnsi"/>
            <w:sz w:val="20"/>
            <w:szCs w:val="20"/>
          </w:rPr>
          <w:t>https://cvquality.acc.org/NCDR-Home/registries/hospital-registries/cathpci-registry</w:t>
        </w:r>
      </w:hyperlink>
      <w:r w:rsidR="00347763" w:rsidRPr="00E71029">
        <w:rPr>
          <w:rFonts w:asciiTheme="majorHAnsi" w:hAnsiTheme="majorHAnsi"/>
          <w:sz w:val="20"/>
          <w:szCs w:val="20"/>
        </w:rPr>
        <w:t>)</w:t>
      </w:r>
      <w:r w:rsidR="00D61B65" w:rsidRPr="00E71029">
        <w:rPr>
          <w:rFonts w:asciiTheme="majorHAnsi" w:hAnsiTheme="majorHAnsi"/>
          <w:sz w:val="20"/>
          <w:szCs w:val="20"/>
        </w:rPr>
        <w:t xml:space="preserve">. </w:t>
      </w:r>
      <w:r w:rsidRPr="00E71029">
        <w:rPr>
          <w:rFonts w:asciiTheme="majorHAnsi" w:eastAsia="MS Mincho" w:hAnsiTheme="majorHAnsi" w:cs="Calibri"/>
          <w:bCs/>
          <w:color w:val="FF0000"/>
          <w:sz w:val="20"/>
          <w:szCs w:val="20"/>
        </w:rPr>
        <w:t xml:space="preserve">The beta coefficients and covariance matrix </w:t>
      </w:r>
      <w:r w:rsidR="00D61B65" w:rsidRPr="00E71029">
        <w:rPr>
          <w:rFonts w:asciiTheme="majorHAnsi" w:eastAsia="MS Mincho" w:hAnsiTheme="majorHAnsi" w:cs="Calibri"/>
          <w:bCs/>
          <w:color w:val="FF0000"/>
          <w:sz w:val="20"/>
          <w:szCs w:val="20"/>
        </w:rPr>
        <w:t>are available from NCDR upon request.</w:t>
      </w:r>
    </w:p>
    <w:p w14:paraId="070AA1D5" w14:textId="50405F3C" w:rsidR="003C2CDD" w:rsidRPr="00725C95" w:rsidRDefault="00854206" w:rsidP="00725C95">
      <w:pPr>
        <w:autoSpaceDE w:val="0"/>
        <w:autoSpaceDN w:val="0"/>
        <w:adjustRightInd w:val="0"/>
        <w:spacing w:after="0" w:line="240" w:lineRule="auto"/>
        <w:jc w:val="center"/>
        <w:rPr>
          <w:rFonts w:ascii="Calibri" w:hAnsi="Calibri"/>
        </w:rPr>
      </w:pPr>
      <w:r w:rsidRPr="00854206">
        <w:rPr>
          <w:noProof/>
        </w:rPr>
        <w:t xml:space="preserve"> </w:t>
      </w:r>
    </w:p>
    <w:p w14:paraId="3DEF23CC" w14:textId="642243CE" w:rsidR="003C2CDD" w:rsidRDefault="003C2CDD" w:rsidP="00F34FAB">
      <w:pPr>
        <w:autoSpaceDE w:val="0"/>
        <w:autoSpaceDN w:val="0"/>
        <w:adjustRightInd w:val="0"/>
        <w:spacing w:after="0" w:line="240" w:lineRule="auto"/>
        <w:rPr>
          <w:rFonts w:cstheme="minorHAnsi"/>
          <w:bCs/>
        </w:rPr>
      </w:pPr>
    </w:p>
    <w:p w14:paraId="0624A730" w14:textId="77777777" w:rsidR="00347763" w:rsidRDefault="00347763" w:rsidP="00F34FAB">
      <w:pPr>
        <w:autoSpaceDE w:val="0"/>
        <w:autoSpaceDN w:val="0"/>
        <w:adjustRightInd w:val="0"/>
        <w:spacing w:after="0" w:line="240" w:lineRule="auto"/>
        <w:rPr>
          <w:rFonts w:cstheme="minorHAnsi"/>
          <w:bCs/>
        </w:rPr>
      </w:pPr>
    </w:p>
    <w:p w14:paraId="0A1E352E" w14:textId="2F0FA820" w:rsidR="00AF2D68" w:rsidRDefault="00F94EAF" w:rsidP="009D3882">
      <w:pPr>
        <w:rPr>
          <w:rFonts w:cs="Calibri"/>
          <w:b/>
          <w:bCs/>
        </w:rPr>
      </w:pPr>
      <w:r>
        <w:rPr>
          <w:rFonts w:cstheme="minorHAnsi"/>
          <w:bCs/>
          <w:noProof/>
        </w:rPr>
        <w:lastRenderedPageBreak/>
        <w:drawing>
          <wp:inline distT="0" distB="0" distL="0" distR="0" wp14:anchorId="06B1A560" wp14:editId="68220DDE">
            <wp:extent cx="2141220" cy="53111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41220" cy="5311140"/>
                    </a:xfrm>
                    <a:prstGeom prst="rect">
                      <a:avLst/>
                    </a:prstGeom>
                    <a:noFill/>
                    <a:ln>
                      <a:noFill/>
                    </a:ln>
                  </pic:spPr>
                </pic:pic>
              </a:graphicData>
            </a:graphic>
          </wp:inline>
        </w:drawing>
      </w:r>
    </w:p>
    <w:p w14:paraId="6ED28800" w14:textId="77777777" w:rsidR="003C2CDD" w:rsidRDefault="009C7513" w:rsidP="009D3882">
      <w:pPr>
        <w:rPr>
          <w:rFonts w:cs="Calibri"/>
          <w:bCs/>
        </w:rPr>
      </w:pPr>
      <w:r w:rsidRPr="0072523A">
        <w:rPr>
          <w:rFonts w:cs="Calibri"/>
          <w:b/>
          <w:bCs/>
        </w:rPr>
        <w:t>2b3</w:t>
      </w:r>
      <w:r w:rsidR="009D3882" w:rsidRPr="0072523A">
        <w:rPr>
          <w:rFonts w:cs="Calibri"/>
          <w:b/>
          <w:bCs/>
        </w:rPr>
        <w:t xml:space="preserve">.2. If an outcome or resource use component measure is </w:t>
      </w:r>
      <w:r w:rsidR="009D3882" w:rsidRPr="0072523A">
        <w:rPr>
          <w:rFonts w:cs="Calibri"/>
          <w:b/>
          <w:bCs/>
          <w:u w:val="single"/>
        </w:rPr>
        <w:t>not risk adjusted or stratified</w:t>
      </w:r>
      <w:r w:rsidR="009D3882" w:rsidRPr="0072523A">
        <w:rPr>
          <w:rFonts w:cs="Calibri"/>
          <w:b/>
          <w:bCs/>
        </w:rPr>
        <w:t xml:space="preserve">, provide </w:t>
      </w:r>
      <w:r w:rsidR="009D3882" w:rsidRPr="0072523A">
        <w:rPr>
          <w:rFonts w:cs="Calibri"/>
          <w:b/>
          <w:bCs/>
          <w:u w:val="single"/>
        </w:rPr>
        <w:t>rationale and analyses</w:t>
      </w:r>
      <w:r w:rsidR="009D3882" w:rsidRPr="0072523A">
        <w:rPr>
          <w:rFonts w:cs="Calibri"/>
          <w:b/>
          <w:bCs/>
        </w:rPr>
        <w:t xml:space="preserve"> to demonstrate that controlling for differences in patient characteristics (case mix) is not needed to achieve fair comparisons across measured entities</w:t>
      </w:r>
      <w:r w:rsidR="009D3882" w:rsidRPr="0072523A">
        <w:rPr>
          <w:rFonts w:cs="Calibri"/>
          <w:bCs/>
        </w:rPr>
        <w:t>.</w:t>
      </w:r>
      <w:r w:rsidR="009D3882">
        <w:rPr>
          <w:rFonts w:cs="Calibri"/>
          <w:bCs/>
        </w:rPr>
        <w:t xml:space="preserve"> </w:t>
      </w:r>
    </w:p>
    <w:p w14:paraId="7E854598" w14:textId="7CB61358" w:rsidR="009B23AE" w:rsidRDefault="009B23AE" w:rsidP="009D3882">
      <w:pPr>
        <w:rPr>
          <w:rFonts w:cs="Calibri"/>
          <w:bCs/>
        </w:rPr>
      </w:pPr>
      <w:r>
        <w:rPr>
          <w:rFonts w:cs="Calibri"/>
          <w:bCs/>
        </w:rPr>
        <w:t>N/A</w:t>
      </w:r>
    </w:p>
    <w:p w14:paraId="441E201C" w14:textId="02D3D748" w:rsidR="003C2CDD" w:rsidRDefault="003C2CDD" w:rsidP="009D3882">
      <w:pPr>
        <w:rPr>
          <w:rFonts w:cs="Calibri"/>
          <w:bCs/>
        </w:rPr>
      </w:pPr>
    </w:p>
    <w:p w14:paraId="0CABCFF4" w14:textId="1DB8583F" w:rsidR="009D3882" w:rsidRPr="009D3882" w:rsidRDefault="009D3882" w:rsidP="009D3882">
      <w:pPr>
        <w:rPr>
          <w:rFonts w:cstheme="minorHAnsi"/>
          <w:b/>
          <w:bCs/>
          <w:sz w:val="14"/>
        </w:rPr>
      </w:pPr>
      <w:r>
        <w:rPr>
          <w:rFonts w:cs="Calibri"/>
          <w:bCs/>
        </w:rPr>
        <w:br/>
      </w:r>
    </w:p>
    <w:p w14:paraId="007128E1" w14:textId="77777777" w:rsidR="003C2CDD" w:rsidRDefault="009C7513" w:rsidP="00AF2D68">
      <w:pPr>
        <w:rPr>
          <w:rFonts w:cstheme="minorHAnsi"/>
          <w:bCs/>
        </w:rPr>
      </w:pPr>
      <w:r w:rsidRPr="004E2BC4">
        <w:rPr>
          <w:rFonts w:cstheme="minorHAnsi"/>
          <w:b/>
          <w:bCs/>
        </w:rPr>
        <w:t>2b3</w:t>
      </w:r>
      <w:r w:rsidR="00092566" w:rsidRPr="004E2BC4">
        <w:rPr>
          <w:rFonts w:cstheme="minorHAnsi"/>
          <w:b/>
          <w:bCs/>
        </w:rPr>
        <w:t>.3</w:t>
      </w:r>
      <w:r w:rsidR="00275563" w:rsidRPr="004E2BC4">
        <w:rPr>
          <w:rFonts w:cstheme="minorHAnsi"/>
          <w:b/>
          <w:bCs/>
        </w:rPr>
        <w:t>a</w:t>
      </w:r>
      <w:r w:rsidR="00092566" w:rsidRPr="004E2BC4">
        <w:rPr>
          <w:rFonts w:cstheme="minorHAnsi"/>
          <w:b/>
          <w:bCs/>
        </w:rPr>
        <w:t xml:space="preserve">. </w:t>
      </w:r>
      <w:r w:rsidR="00927027" w:rsidRPr="004E2BC4">
        <w:rPr>
          <w:rFonts w:cstheme="minorHAnsi"/>
          <w:b/>
          <w:bCs/>
        </w:rPr>
        <w:t>Describe</w:t>
      </w:r>
      <w:r w:rsidR="00092566" w:rsidRPr="004E2BC4">
        <w:rPr>
          <w:rFonts w:cstheme="minorHAnsi"/>
          <w:b/>
          <w:bCs/>
        </w:rPr>
        <w:t xml:space="preserve"> the conceptual/clinical </w:t>
      </w:r>
      <w:r w:rsidR="00092566" w:rsidRPr="004E2BC4">
        <w:rPr>
          <w:rFonts w:cstheme="minorHAnsi"/>
          <w:b/>
          <w:bCs/>
          <w:u w:val="single"/>
        </w:rPr>
        <w:t>and</w:t>
      </w:r>
      <w:r w:rsidR="00092566" w:rsidRPr="004E2BC4">
        <w:rPr>
          <w:rFonts w:cstheme="minorHAnsi"/>
          <w:b/>
          <w:bCs/>
        </w:rPr>
        <w:t xml:space="preserve"> statistical methods and criteria used to select </w:t>
      </w:r>
      <w:r w:rsidR="005363F1" w:rsidRPr="004E2BC4">
        <w:rPr>
          <w:rFonts w:cstheme="minorHAnsi"/>
          <w:b/>
          <w:bCs/>
        </w:rPr>
        <w:t xml:space="preserve">patient </w:t>
      </w:r>
      <w:r w:rsidR="00092566" w:rsidRPr="004E2BC4">
        <w:rPr>
          <w:rFonts w:cstheme="minorHAnsi"/>
          <w:b/>
          <w:bCs/>
        </w:rPr>
        <w:t xml:space="preserve">factors </w:t>
      </w:r>
      <w:r w:rsidR="0021054A" w:rsidRPr="004E2BC4">
        <w:rPr>
          <w:rFonts w:cstheme="minorHAnsi"/>
          <w:b/>
          <w:bCs/>
        </w:rPr>
        <w:t>(</w:t>
      </w:r>
      <w:r w:rsidR="00E967AD" w:rsidRPr="004E2BC4">
        <w:rPr>
          <w:rFonts w:cstheme="minorHAnsi"/>
          <w:b/>
          <w:bCs/>
        </w:rPr>
        <w:t xml:space="preserve">clinical factors or </w:t>
      </w:r>
      <w:r w:rsidR="00AF2D68" w:rsidRPr="004E2BC4">
        <w:rPr>
          <w:rFonts w:cstheme="minorHAnsi"/>
          <w:b/>
          <w:bCs/>
        </w:rPr>
        <w:t xml:space="preserve">social risk </w:t>
      </w:r>
      <w:r w:rsidR="0021054A" w:rsidRPr="004E2BC4">
        <w:rPr>
          <w:rFonts w:cstheme="minorHAnsi"/>
          <w:b/>
          <w:bCs/>
        </w:rPr>
        <w:t xml:space="preserve">factors) </w:t>
      </w:r>
      <w:r w:rsidR="00092566" w:rsidRPr="004E2BC4">
        <w:rPr>
          <w:rFonts w:cstheme="minorHAnsi"/>
          <w:b/>
          <w:bCs/>
        </w:rPr>
        <w:t>used in the statistical risk model or for stratification by risk</w:t>
      </w:r>
      <w:r w:rsidR="00927027" w:rsidRPr="004E2BC4">
        <w:rPr>
          <w:rFonts w:cstheme="minorHAnsi"/>
          <w:b/>
          <w:bCs/>
        </w:rPr>
        <w:t xml:space="preserve"> </w:t>
      </w:r>
      <w:r w:rsidR="00092566" w:rsidRPr="004E2BC4">
        <w:rPr>
          <w:rFonts w:cstheme="minorHAnsi"/>
          <w:bCs/>
        </w:rPr>
        <w:t>(</w:t>
      </w:r>
      <w:r w:rsidR="00092566" w:rsidRPr="004E2BC4">
        <w:rPr>
          <w:rFonts w:cstheme="minorHAnsi"/>
          <w:bCs/>
          <w:i/>
        </w:rPr>
        <w:t xml:space="preserve">e.g., potential factors identified in </w:t>
      </w:r>
      <w:r w:rsidR="005363F1" w:rsidRPr="004E2BC4">
        <w:rPr>
          <w:rFonts w:cstheme="minorHAnsi"/>
          <w:bCs/>
          <w:i/>
        </w:rPr>
        <w:t xml:space="preserve">the </w:t>
      </w:r>
      <w:r w:rsidR="00092566" w:rsidRPr="004E2BC4">
        <w:rPr>
          <w:rFonts w:cstheme="minorHAnsi"/>
          <w:bCs/>
          <w:i/>
        </w:rPr>
        <w:t>literature and/or expert panel; regression analysis; statistical significance of p&lt;0.10; correlation of x or higher</w:t>
      </w:r>
      <w:r w:rsidR="005363F1" w:rsidRPr="004E2BC4">
        <w:rPr>
          <w:rFonts w:cstheme="minorHAnsi"/>
          <w:bCs/>
          <w:i/>
        </w:rPr>
        <w:t>; patient factors should be present at the start of care</w:t>
      </w:r>
      <w:r w:rsidR="00092566" w:rsidRPr="004E2BC4">
        <w:rPr>
          <w:rFonts w:cstheme="minorHAnsi"/>
          <w:bCs/>
        </w:rPr>
        <w:t>)</w:t>
      </w:r>
      <w:r w:rsidR="00AF2D68" w:rsidRPr="004E2BC4">
        <w:rPr>
          <w:rFonts w:cstheme="minorHAnsi"/>
          <w:bCs/>
        </w:rPr>
        <w:t xml:space="preserve">  </w:t>
      </w:r>
      <w:r w:rsidR="00AF2D68" w:rsidRPr="004E2BC4">
        <w:rPr>
          <w:rFonts w:cstheme="minorHAnsi"/>
          <w:b/>
          <w:bCs/>
        </w:rPr>
        <w:lastRenderedPageBreak/>
        <w:t>Also discuss any “ordering” of risk factor inclusion</w:t>
      </w:r>
      <w:r w:rsidR="00CE284E" w:rsidRPr="004E2BC4">
        <w:rPr>
          <w:rFonts w:cstheme="minorHAnsi"/>
          <w:bCs/>
        </w:rPr>
        <w:t>; for example, a</w:t>
      </w:r>
      <w:r w:rsidR="00AF2D68" w:rsidRPr="004E2BC4">
        <w:rPr>
          <w:rFonts w:cstheme="minorHAnsi"/>
          <w:bCs/>
        </w:rPr>
        <w:t>re social risk factors added after all clinical factors?</w:t>
      </w:r>
    </w:p>
    <w:p w14:paraId="5BB3DD0D" w14:textId="2814CC11" w:rsidR="00D715B0" w:rsidRPr="00E71029" w:rsidRDefault="00D715B0" w:rsidP="00D715B0">
      <w:pPr>
        <w:autoSpaceDE w:val="0"/>
        <w:autoSpaceDN w:val="0"/>
        <w:adjustRightInd w:val="0"/>
        <w:spacing w:after="0" w:line="240" w:lineRule="auto"/>
        <w:rPr>
          <w:rFonts w:asciiTheme="majorHAnsi" w:hAnsiTheme="majorHAnsi" w:cstheme="minorHAnsi"/>
          <w:noProof/>
          <w:color w:val="FF0000"/>
          <w:sz w:val="20"/>
          <w:szCs w:val="20"/>
        </w:rPr>
      </w:pPr>
      <w:r w:rsidRPr="00E71029">
        <w:rPr>
          <w:rFonts w:asciiTheme="majorHAnsi" w:hAnsiTheme="majorHAnsi" w:cstheme="minorHAnsi"/>
          <w:bCs/>
          <w:color w:val="FF0000"/>
          <w:sz w:val="20"/>
          <w:szCs w:val="20"/>
        </w:rPr>
        <w:t>As described in Section 1.8, we did not believe that social factors needed to be included in risk-adjusting outcomes for peri-procedural bleeding after PCI. This was predicated on the feasibility (and current unavailability) of patient-level social factors</w:t>
      </w:r>
      <w:r w:rsidR="00F30A49" w:rsidRPr="00E71029">
        <w:rPr>
          <w:rFonts w:asciiTheme="majorHAnsi" w:hAnsiTheme="majorHAnsi" w:cstheme="minorHAnsi"/>
          <w:bCs/>
          <w:color w:val="FF0000"/>
          <w:sz w:val="20"/>
          <w:szCs w:val="20"/>
        </w:rPr>
        <w:t>.</w:t>
      </w:r>
      <w:r w:rsidRPr="00E71029">
        <w:rPr>
          <w:rFonts w:asciiTheme="majorHAnsi" w:hAnsiTheme="majorHAnsi" w:cstheme="minorHAnsi"/>
          <w:bCs/>
          <w:color w:val="FF0000"/>
          <w:sz w:val="20"/>
          <w:szCs w:val="20"/>
        </w:rPr>
        <w:t xml:space="preserve"> </w:t>
      </w:r>
      <w:r w:rsidR="00F30A49" w:rsidRPr="00E71029">
        <w:rPr>
          <w:rFonts w:asciiTheme="majorHAnsi" w:hAnsiTheme="majorHAnsi" w:cstheme="minorHAnsi"/>
          <w:bCs/>
          <w:color w:val="FF0000"/>
          <w:sz w:val="20"/>
          <w:szCs w:val="20"/>
        </w:rPr>
        <w:t>T</w:t>
      </w:r>
      <w:r w:rsidRPr="00E71029">
        <w:rPr>
          <w:rFonts w:asciiTheme="majorHAnsi" w:hAnsiTheme="majorHAnsi" w:cstheme="minorHAnsi"/>
          <w:bCs/>
          <w:color w:val="FF0000"/>
          <w:sz w:val="20"/>
          <w:szCs w:val="20"/>
        </w:rPr>
        <w:t>he belief that the consequence of adverse social factors (e.g. leading to greater rates of obesity, hypertension, smoking or other comorbidities) would be directly captured by our rich clinical data, and that the short d</w:t>
      </w:r>
      <w:r w:rsidR="001A627B" w:rsidRPr="00E71029">
        <w:rPr>
          <w:rFonts w:asciiTheme="majorHAnsi" w:hAnsiTheme="majorHAnsi" w:cstheme="minorHAnsi"/>
          <w:bCs/>
          <w:color w:val="FF0000"/>
          <w:sz w:val="20"/>
          <w:szCs w:val="20"/>
        </w:rPr>
        <w:t>uration of follow-up (72 hours, during which the patient was hospitalized)</w:t>
      </w:r>
      <w:r w:rsidR="00F30A49" w:rsidRPr="00E71029">
        <w:rPr>
          <w:rFonts w:asciiTheme="majorHAnsi" w:hAnsiTheme="majorHAnsi" w:cstheme="minorHAnsi"/>
          <w:bCs/>
          <w:color w:val="FF0000"/>
          <w:sz w:val="20"/>
          <w:szCs w:val="20"/>
        </w:rPr>
        <w:t xml:space="preserve">, </w:t>
      </w:r>
      <w:r w:rsidR="001A627B" w:rsidRPr="00E71029">
        <w:rPr>
          <w:rFonts w:asciiTheme="majorHAnsi" w:hAnsiTheme="majorHAnsi" w:cstheme="minorHAnsi"/>
          <w:bCs/>
          <w:color w:val="FF0000"/>
          <w:sz w:val="20"/>
          <w:szCs w:val="20"/>
        </w:rPr>
        <w:t xml:space="preserve">would negate potential barriers to healthcare access and treatment that might be more relevant with longer-term outcomes. </w:t>
      </w:r>
      <w:r w:rsidRPr="00E71029">
        <w:rPr>
          <w:rFonts w:asciiTheme="majorHAnsi" w:hAnsiTheme="majorHAnsi" w:cstheme="minorHAnsi"/>
          <w:noProof/>
          <w:color w:val="FF0000"/>
          <w:sz w:val="20"/>
          <w:szCs w:val="20"/>
        </w:rPr>
        <w:t>Accordingly, we feel that in this model of in-hospital risk-adjusted bleeding rate, given the rich clinical data available through the NCDR CathPCI registry, that social risk factors, which are not readily available, would not likely  improve this particular risk model.</w:t>
      </w:r>
    </w:p>
    <w:p w14:paraId="1ABE5073" w14:textId="30879034" w:rsidR="003C2CDD" w:rsidRDefault="003C2CDD" w:rsidP="00AF2D68">
      <w:pPr>
        <w:rPr>
          <w:rFonts w:cstheme="minorHAnsi"/>
          <w:bCs/>
        </w:rPr>
      </w:pPr>
    </w:p>
    <w:p w14:paraId="12210450" w14:textId="1F9BC62C"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As described in Section 2b.</w:t>
      </w:r>
      <w:r w:rsidR="00773AE2">
        <w:rPr>
          <w:rFonts w:asciiTheme="majorHAnsi" w:hAnsiTheme="majorHAnsi" w:cstheme="minorHAnsi"/>
          <w:bCs/>
          <w:color w:val="0070C0"/>
          <w:sz w:val="20"/>
          <w:szCs w:val="20"/>
        </w:rPr>
        <w:t>1.</w:t>
      </w:r>
      <w:r w:rsidRPr="003C2CDD">
        <w:rPr>
          <w:rFonts w:asciiTheme="majorHAnsi" w:hAnsiTheme="majorHAnsi" w:cstheme="minorHAnsi"/>
          <w:bCs/>
          <w:color w:val="0070C0"/>
          <w:sz w:val="20"/>
          <w:szCs w:val="20"/>
        </w:rPr>
        <w:t xml:space="preserve">2, there was an extensive process to develop the face and contact validity of the measure.  After settling on the outcome definition and candidate variables through serial conference calls with the expert panel, categorical variables were summarized as frequencies and percentages and compared with Pearson chi-squared tests. Continuous variables were summarized as medians (interquartile range) and compared using Wilcoxon rank-sum tests. Ordinal variables were tested using a chi-square test based on the rank of the group mean score. </w:t>
      </w:r>
    </w:p>
    <w:p w14:paraId="17AF398F" w14:textId="77777777"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p>
    <w:p w14:paraId="383FDF88" w14:textId="77777777"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 xml:space="preserve">The study population was then randomly split into a development sample consisting of 80% of PCI procedures and a validation sample consisting of the remaining 20% of admissions. Baseline patient characteristics and variables from diagnostic catheterization were considered candidate variables. Candidate variables had less than 0.5% missing data except for estimated glomerular filtration rate (7.8%), pre-procedure hemoglobin (9.5%), and ejection fraction (29.4%). Missing values were imputed to the lower risk group for discrete variables and replaced with gender-specific medians for body mass index (BMI), gender and renal failure/dialysis-specific medians for estimated glomerular filtration rate, median value for hemoglobin, and congestive heart failure (CHF)/cardiogenic shock/prior myocardial infarction (MI)-specific medians for ejection fraction. We used logistic regression with backward selection with a ‘stay’ criterion of p&lt;0.05 to develop a model predicting post-PCI bleeding. Variables that showed non-linear associations with the outcome were transformed using splines.  </w:t>
      </w:r>
    </w:p>
    <w:p w14:paraId="056F258F" w14:textId="77777777"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p>
    <w:p w14:paraId="1400A336" w14:textId="5DFDC74E"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 xml:space="preserve">We developed a full post-PCI bleeding model using all potential predictive variables. </w:t>
      </w:r>
      <w:r w:rsidR="00A23D7C">
        <w:rPr>
          <w:rFonts w:asciiTheme="majorHAnsi" w:hAnsiTheme="majorHAnsi" w:cstheme="minorHAnsi"/>
          <w:bCs/>
          <w:color w:val="0070C0"/>
          <w:sz w:val="20"/>
          <w:szCs w:val="20"/>
        </w:rPr>
        <w:t>A logistic regression model with backward selection and a retention criterion of p&lt;0.05 was performed to develop the full risk model used for hospital comparisons. Of note, a more parsimonious model for clinical use was also developed by only using those variables with the strongest association (F-statistic &gt;500)</w:t>
      </w:r>
      <w:r w:rsidR="00A23D7C" w:rsidRPr="003C2CDD">
        <w:rPr>
          <w:rFonts w:asciiTheme="majorHAnsi" w:hAnsiTheme="majorHAnsi" w:cstheme="minorHAnsi"/>
          <w:bCs/>
          <w:color w:val="0070C0"/>
          <w:sz w:val="20"/>
          <w:szCs w:val="20"/>
        </w:rPr>
        <w:t xml:space="preserve"> </w:t>
      </w:r>
      <w:r w:rsidR="00A23D7C">
        <w:rPr>
          <w:rFonts w:asciiTheme="majorHAnsi" w:hAnsiTheme="majorHAnsi" w:cstheme="minorHAnsi"/>
          <w:bCs/>
          <w:color w:val="0070C0"/>
          <w:sz w:val="20"/>
          <w:szCs w:val="20"/>
        </w:rPr>
        <w:t>To further simplify prospective application of the simplified model</w:t>
      </w:r>
      <w:r w:rsidRPr="003C2CDD">
        <w:rPr>
          <w:rFonts w:asciiTheme="majorHAnsi" w:hAnsiTheme="majorHAnsi" w:cstheme="minorHAnsi"/>
          <w:bCs/>
          <w:color w:val="0070C0"/>
          <w:sz w:val="20"/>
          <w:szCs w:val="20"/>
        </w:rPr>
        <w:t xml:space="preserve"> the regression coefficients from the pre-procedure model </w:t>
      </w:r>
      <w:r w:rsidR="00A23D7C">
        <w:rPr>
          <w:rFonts w:asciiTheme="majorHAnsi" w:hAnsiTheme="majorHAnsi" w:cstheme="minorHAnsi"/>
          <w:bCs/>
          <w:color w:val="0070C0"/>
          <w:sz w:val="20"/>
          <w:szCs w:val="20"/>
        </w:rPr>
        <w:t>were</w:t>
      </w:r>
      <w:r w:rsidR="00A23D7C" w:rsidRPr="003C2CDD">
        <w:rPr>
          <w:rFonts w:asciiTheme="majorHAnsi" w:hAnsiTheme="majorHAnsi" w:cstheme="minorHAnsi"/>
          <w:bCs/>
          <w:color w:val="0070C0"/>
          <w:sz w:val="20"/>
          <w:szCs w:val="20"/>
        </w:rPr>
        <w:t xml:space="preserve"> </w:t>
      </w:r>
      <w:r w:rsidRPr="003C2CDD">
        <w:rPr>
          <w:rFonts w:asciiTheme="majorHAnsi" w:hAnsiTheme="majorHAnsi" w:cstheme="minorHAnsi"/>
          <w:bCs/>
          <w:color w:val="0070C0"/>
          <w:sz w:val="20"/>
          <w:szCs w:val="20"/>
        </w:rPr>
        <w:t>assign</w:t>
      </w:r>
      <w:r w:rsidR="00A23D7C">
        <w:rPr>
          <w:rFonts w:asciiTheme="majorHAnsi" w:hAnsiTheme="majorHAnsi" w:cstheme="minorHAnsi"/>
          <w:bCs/>
          <w:color w:val="0070C0"/>
          <w:sz w:val="20"/>
          <w:szCs w:val="20"/>
        </w:rPr>
        <w:t>ed</w:t>
      </w:r>
      <w:r w:rsidRPr="003C2CDD">
        <w:rPr>
          <w:rFonts w:asciiTheme="majorHAnsi" w:hAnsiTheme="majorHAnsi" w:cstheme="minorHAnsi"/>
          <w:bCs/>
          <w:color w:val="0070C0"/>
          <w:sz w:val="20"/>
          <w:szCs w:val="20"/>
        </w:rPr>
        <w:t xml:space="preserve"> an integer that was weighted to the comparative odds ratio associated with the risk factors. While this score is not proposed as a performance measure, we mention it here to show that a tool exists that can be used by hospitals to their bleeding rates and increase the safety of their PCI performance.  </w:t>
      </w:r>
    </w:p>
    <w:p w14:paraId="7782144C" w14:textId="77777777" w:rsidR="003C2CDD" w:rsidRP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p>
    <w:p w14:paraId="5451A4F7" w14:textId="77777777" w:rsidR="003C2CDD" w:rsidRDefault="003C2CDD" w:rsidP="003C2CDD">
      <w:pPr>
        <w:autoSpaceDE w:val="0"/>
        <w:autoSpaceDN w:val="0"/>
        <w:adjustRightInd w:val="0"/>
        <w:spacing w:after="0" w:line="240" w:lineRule="auto"/>
        <w:rPr>
          <w:rFonts w:asciiTheme="majorHAnsi" w:hAnsiTheme="majorHAnsi" w:cstheme="minorHAnsi"/>
          <w:bCs/>
          <w:color w:val="0070C0"/>
          <w:sz w:val="20"/>
          <w:szCs w:val="20"/>
        </w:rPr>
      </w:pPr>
      <w:r w:rsidRPr="003C2CDD">
        <w:rPr>
          <w:rFonts w:asciiTheme="majorHAnsi" w:hAnsiTheme="majorHAnsi" w:cstheme="minorHAnsi"/>
          <w:bCs/>
          <w:color w:val="0070C0"/>
          <w:sz w:val="20"/>
          <w:szCs w:val="20"/>
        </w:rPr>
        <w:t>The C-statistic was used to describe the discrimination of the model and replicated in clinically important subgroups of interest, including patients STEMI, females, those aged &gt;70 years, and patients with diabetes. Calibration plots were used to access goodness of fit. A p-value &lt;0.05 was considered statistically significant. All statistical tests were two-sided. All statistical analyses were performed using SAS software (version 9.2, SAS Institute, Cary, NC).</w:t>
      </w:r>
    </w:p>
    <w:p w14:paraId="1AD63E4B" w14:textId="77777777" w:rsidR="00076599" w:rsidRDefault="00076599" w:rsidP="003C2CDD">
      <w:pPr>
        <w:autoSpaceDE w:val="0"/>
        <w:autoSpaceDN w:val="0"/>
        <w:adjustRightInd w:val="0"/>
        <w:spacing w:after="0" w:line="240" w:lineRule="auto"/>
        <w:rPr>
          <w:rFonts w:asciiTheme="majorHAnsi" w:hAnsiTheme="majorHAnsi" w:cstheme="minorHAnsi"/>
          <w:bCs/>
          <w:color w:val="0070C0"/>
          <w:sz w:val="20"/>
          <w:szCs w:val="20"/>
        </w:rPr>
      </w:pPr>
    </w:p>
    <w:p w14:paraId="28207E37" w14:textId="77777777" w:rsidR="00076599" w:rsidRDefault="00076599" w:rsidP="003C2CDD">
      <w:pPr>
        <w:autoSpaceDE w:val="0"/>
        <w:autoSpaceDN w:val="0"/>
        <w:adjustRightInd w:val="0"/>
        <w:spacing w:after="0" w:line="240" w:lineRule="auto"/>
        <w:rPr>
          <w:rFonts w:asciiTheme="majorHAnsi" w:hAnsiTheme="majorHAnsi" w:cstheme="minorHAnsi"/>
          <w:bCs/>
          <w:color w:val="0070C0"/>
          <w:sz w:val="20"/>
          <w:szCs w:val="20"/>
        </w:rPr>
      </w:pPr>
    </w:p>
    <w:p w14:paraId="0196DBF3" w14:textId="77777777" w:rsidR="00076599" w:rsidRPr="003C2CDD" w:rsidRDefault="00076599" w:rsidP="003C2CDD">
      <w:pPr>
        <w:autoSpaceDE w:val="0"/>
        <w:autoSpaceDN w:val="0"/>
        <w:adjustRightInd w:val="0"/>
        <w:spacing w:after="0" w:line="240" w:lineRule="auto"/>
        <w:rPr>
          <w:rFonts w:asciiTheme="majorHAnsi" w:hAnsiTheme="majorHAnsi" w:cstheme="minorHAnsi"/>
          <w:bCs/>
          <w:color w:val="0070C0"/>
          <w:sz w:val="20"/>
          <w:szCs w:val="20"/>
        </w:rPr>
      </w:pPr>
    </w:p>
    <w:p w14:paraId="0CABCFF6" w14:textId="34ADC012" w:rsidR="00001D73" w:rsidRPr="00E71029" w:rsidRDefault="00EB416C" w:rsidP="00AF2D68">
      <w:pPr>
        <w:rPr>
          <w:rFonts w:asciiTheme="majorHAnsi" w:hAnsiTheme="majorHAnsi" w:cstheme="minorHAnsi"/>
          <w:bCs/>
          <w:sz w:val="20"/>
          <w:szCs w:val="20"/>
        </w:rPr>
      </w:pPr>
      <w:r w:rsidRPr="00E71029">
        <w:rPr>
          <w:rFonts w:asciiTheme="majorHAnsi" w:hAnsiTheme="majorHAnsi"/>
          <w:color w:val="FF0000"/>
          <w:sz w:val="20"/>
          <w:szCs w:val="20"/>
        </w:rPr>
        <w:lastRenderedPageBreak/>
        <w:t xml:space="preserve">In 2017, NCDR updated its reporting to sites using hierarchical models and one component of the outcome (changing the threshold of a bleeding event in the absence of overt bleeding from a </w:t>
      </w:r>
      <w:proofErr w:type="spellStart"/>
      <w:r w:rsidRPr="00E71029">
        <w:rPr>
          <w:rFonts w:asciiTheme="majorHAnsi" w:hAnsiTheme="majorHAnsi"/>
          <w:color w:val="FF0000"/>
          <w:sz w:val="20"/>
          <w:szCs w:val="20"/>
        </w:rPr>
        <w:t>Hb</w:t>
      </w:r>
      <w:proofErr w:type="spellEnd"/>
      <w:r w:rsidRPr="00E71029">
        <w:rPr>
          <w:rFonts w:asciiTheme="majorHAnsi" w:hAnsiTheme="majorHAnsi"/>
          <w:color w:val="FF0000"/>
          <w:sz w:val="20"/>
          <w:szCs w:val="20"/>
        </w:rPr>
        <w:t xml:space="preserve"> drop of 3g/dl to 4g/dl to align with the bleeding definition in other registries, such as the ACTION AMI registry). The same predictor variables from th</w:t>
      </w:r>
      <w:r w:rsidR="009B23AE" w:rsidRPr="00E71029">
        <w:rPr>
          <w:rFonts w:asciiTheme="majorHAnsi" w:hAnsiTheme="majorHAnsi"/>
          <w:color w:val="FF0000"/>
          <w:sz w:val="20"/>
          <w:szCs w:val="20"/>
        </w:rPr>
        <w:t xml:space="preserve">e published model were used although </w:t>
      </w:r>
      <w:r w:rsidRPr="00E71029">
        <w:rPr>
          <w:rFonts w:asciiTheme="majorHAnsi" w:hAnsiTheme="majorHAnsi"/>
          <w:color w:val="FF0000"/>
          <w:sz w:val="20"/>
          <w:szCs w:val="20"/>
        </w:rPr>
        <w:t>the beta weights and intercepts</w:t>
      </w:r>
      <w:r w:rsidR="009B23AE" w:rsidRPr="00E71029">
        <w:rPr>
          <w:rFonts w:asciiTheme="majorHAnsi" w:hAnsiTheme="majorHAnsi"/>
          <w:color w:val="FF0000"/>
          <w:sz w:val="20"/>
          <w:szCs w:val="20"/>
        </w:rPr>
        <w:t xml:space="preserve"> were inappropriately</w:t>
      </w:r>
      <w:r w:rsidRPr="00E71029">
        <w:rPr>
          <w:rFonts w:asciiTheme="majorHAnsi" w:hAnsiTheme="majorHAnsi"/>
          <w:color w:val="FF0000"/>
          <w:sz w:val="20"/>
          <w:szCs w:val="20"/>
        </w:rPr>
        <w:t xml:space="preserve"> updated. Furthermore, the performance characteristics of the model was confirmed. Th</w:t>
      </w:r>
      <w:r w:rsidR="001A627B" w:rsidRPr="00E71029">
        <w:rPr>
          <w:rFonts w:asciiTheme="majorHAnsi" w:hAnsiTheme="majorHAnsi"/>
          <w:color w:val="FF0000"/>
          <w:sz w:val="20"/>
          <w:szCs w:val="20"/>
        </w:rPr>
        <w:t>e extensive data provided in th</w:t>
      </w:r>
      <w:r w:rsidRPr="00E71029">
        <w:rPr>
          <w:rFonts w:asciiTheme="majorHAnsi" w:hAnsiTheme="majorHAnsi"/>
          <w:color w:val="FF0000"/>
          <w:sz w:val="20"/>
          <w:szCs w:val="20"/>
        </w:rPr>
        <w:t>is submission</w:t>
      </w:r>
      <w:r w:rsidR="001A627B" w:rsidRPr="00E71029">
        <w:rPr>
          <w:rFonts w:asciiTheme="majorHAnsi" w:hAnsiTheme="majorHAnsi"/>
          <w:color w:val="FF0000"/>
          <w:sz w:val="20"/>
          <w:szCs w:val="20"/>
        </w:rPr>
        <w:t>, all run with the new model and bleeding definition,</w:t>
      </w:r>
      <w:r w:rsidRPr="00E71029">
        <w:rPr>
          <w:rFonts w:asciiTheme="majorHAnsi" w:hAnsiTheme="majorHAnsi"/>
          <w:color w:val="FF0000"/>
          <w:sz w:val="20"/>
          <w:szCs w:val="20"/>
        </w:rPr>
        <w:t xml:space="preserve"> justifies the updated model.</w:t>
      </w:r>
      <w:r w:rsidR="00092566" w:rsidRPr="00E71029">
        <w:rPr>
          <w:rFonts w:asciiTheme="majorHAnsi" w:hAnsiTheme="majorHAnsi" w:cstheme="minorHAnsi"/>
          <w:bCs/>
          <w:sz w:val="20"/>
          <w:szCs w:val="20"/>
        </w:rPr>
        <w:br/>
      </w:r>
    </w:p>
    <w:p w14:paraId="4260792A" w14:textId="019483A8" w:rsidR="00275563" w:rsidRDefault="00275563" w:rsidP="00001D73">
      <w:pPr>
        <w:autoSpaceDE w:val="0"/>
        <w:autoSpaceDN w:val="0"/>
        <w:adjustRightInd w:val="0"/>
        <w:spacing w:after="0" w:line="240" w:lineRule="auto"/>
        <w:rPr>
          <w:rFonts w:cstheme="minorHAnsi"/>
          <w:b/>
          <w:bCs/>
        </w:rPr>
      </w:pPr>
      <w:r w:rsidRPr="006C2E2F">
        <w:rPr>
          <w:rFonts w:cstheme="minorHAnsi"/>
          <w:b/>
          <w:bCs/>
        </w:rPr>
        <w:t xml:space="preserve">2b3.3b. How was the conceptual model </w:t>
      </w:r>
      <w:r w:rsidR="00CE284E" w:rsidRPr="006C2E2F">
        <w:rPr>
          <w:rFonts w:cstheme="minorHAnsi"/>
          <w:b/>
          <w:bCs/>
        </w:rPr>
        <w:t xml:space="preserve">of how social risk impacts this outcome </w:t>
      </w:r>
      <w:r w:rsidRPr="006C2E2F">
        <w:rPr>
          <w:rFonts w:cstheme="minorHAnsi"/>
          <w:b/>
          <w:bCs/>
        </w:rPr>
        <w:t>developed?  Please check all that apply:</w:t>
      </w:r>
    </w:p>
    <w:p w14:paraId="2B47DA83" w14:textId="30659D6E" w:rsidR="00275563" w:rsidRPr="005232D6" w:rsidRDefault="0087340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87340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87340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112F4B5E" w14:textId="77777777" w:rsidR="0086062D" w:rsidRDefault="009C7513" w:rsidP="00001D73">
      <w:pPr>
        <w:autoSpaceDE w:val="0"/>
        <w:autoSpaceDN w:val="0"/>
        <w:adjustRightInd w:val="0"/>
        <w:spacing w:after="0" w:line="240" w:lineRule="auto"/>
        <w:rPr>
          <w:rFonts w:cstheme="minorHAnsi"/>
          <w:b/>
          <w:bCs/>
        </w:rPr>
      </w:pPr>
      <w:r w:rsidRPr="00725C95">
        <w:rPr>
          <w:rFonts w:cstheme="minorHAnsi"/>
          <w:b/>
          <w:bCs/>
        </w:rPr>
        <w:t>2b3</w:t>
      </w:r>
      <w:r w:rsidR="00092566" w:rsidRPr="00725C95">
        <w:rPr>
          <w:rFonts w:cstheme="minorHAnsi"/>
          <w:b/>
          <w:bCs/>
        </w:rPr>
        <w:t>.4</w:t>
      </w:r>
      <w:r w:rsidR="00193F21" w:rsidRPr="00725C95">
        <w:rPr>
          <w:rFonts w:cstheme="minorHAnsi"/>
          <w:b/>
          <w:bCs/>
        </w:rPr>
        <w:t>a</w:t>
      </w:r>
      <w:r w:rsidR="00092566" w:rsidRPr="00725C95">
        <w:rPr>
          <w:rFonts w:cstheme="minorHAnsi"/>
          <w:b/>
          <w:bCs/>
        </w:rPr>
        <w:t>. What were the statistical results of the analyses used to select risk factors?</w:t>
      </w:r>
    </w:p>
    <w:p w14:paraId="4AFA5683" w14:textId="77777777" w:rsidR="0086062D" w:rsidRDefault="0086062D" w:rsidP="00001D73">
      <w:pPr>
        <w:autoSpaceDE w:val="0"/>
        <w:autoSpaceDN w:val="0"/>
        <w:adjustRightInd w:val="0"/>
        <w:spacing w:after="0" w:line="240" w:lineRule="auto"/>
        <w:rPr>
          <w:rFonts w:cstheme="minorHAnsi"/>
          <w:b/>
          <w:bCs/>
        </w:rPr>
      </w:pPr>
    </w:p>
    <w:p w14:paraId="0CABCFF7" w14:textId="688BB77A" w:rsidR="00092566" w:rsidRDefault="0086062D" w:rsidP="00001D73">
      <w:pPr>
        <w:autoSpaceDE w:val="0"/>
        <w:autoSpaceDN w:val="0"/>
        <w:adjustRightInd w:val="0"/>
        <w:spacing w:after="0" w:line="240" w:lineRule="auto"/>
        <w:rPr>
          <w:rFonts w:cstheme="minorHAnsi"/>
          <w:b/>
          <w:bCs/>
        </w:rPr>
      </w:pPr>
      <w:r w:rsidRPr="0086062D">
        <w:rPr>
          <w:rFonts w:asciiTheme="majorHAnsi" w:hAnsiTheme="majorHAnsi" w:cstheme="minorHAnsi"/>
          <w:bCs/>
          <w:color w:val="0070C0"/>
          <w:sz w:val="20"/>
          <w:szCs w:val="20"/>
        </w:rPr>
        <w:t xml:space="preserve">As described above, bivariate analyses were done to identify candidate variables that differed significantly between those with and without a clinically important bleeding event.  Multivariable, hierarchical logistic regression analyses were then performed to retain those with a statistically significant association with bleeding (p&lt;0.05 for each). Table 2 in Section 1.6 demonstrates the difference between those with and without bleeding events, based upon </w:t>
      </w:r>
      <w:r w:rsidR="00A23D7C" w:rsidRPr="0086062D">
        <w:rPr>
          <w:rFonts w:asciiTheme="majorHAnsi" w:hAnsiTheme="majorHAnsi" w:cstheme="minorHAnsi"/>
          <w:bCs/>
          <w:color w:val="0070C0"/>
          <w:sz w:val="20"/>
          <w:szCs w:val="20"/>
        </w:rPr>
        <w:t>201</w:t>
      </w:r>
      <w:r w:rsidR="00A23D7C">
        <w:rPr>
          <w:rFonts w:asciiTheme="majorHAnsi" w:hAnsiTheme="majorHAnsi" w:cstheme="minorHAnsi"/>
          <w:bCs/>
          <w:color w:val="0070C0"/>
          <w:sz w:val="20"/>
          <w:szCs w:val="20"/>
        </w:rPr>
        <w:t>6</w:t>
      </w:r>
      <w:r w:rsidR="00A23D7C" w:rsidRPr="0086062D">
        <w:rPr>
          <w:rFonts w:asciiTheme="majorHAnsi" w:hAnsiTheme="majorHAnsi" w:cstheme="minorHAnsi"/>
          <w:bCs/>
          <w:color w:val="0070C0"/>
          <w:sz w:val="20"/>
          <w:szCs w:val="20"/>
        </w:rPr>
        <w:t xml:space="preserve"> </w:t>
      </w:r>
      <w:r w:rsidRPr="0086062D">
        <w:rPr>
          <w:rFonts w:asciiTheme="majorHAnsi" w:hAnsiTheme="majorHAnsi" w:cstheme="minorHAnsi"/>
          <w:bCs/>
          <w:color w:val="0070C0"/>
          <w:sz w:val="20"/>
          <w:szCs w:val="20"/>
        </w:rPr>
        <w:t>data.</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sidRPr="00725C95">
        <w:rPr>
          <w:rFonts w:cstheme="minorHAnsi"/>
          <w:b/>
          <w:bCs/>
        </w:rPr>
        <w:t>2b3</w:t>
      </w:r>
      <w:r w:rsidR="00C1695E" w:rsidRPr="00725C95">
        <w:rPr>
          <w:rFonts w:cstheme="minorHAnsi"/>
          <w:b/>
          <w:bCs/>
        </w:rPr>
        <w:t xml:space="preserve">.4b. Describe the analyses and interpretation resulting in the decision to select </w:t>
      </w:r>
      <w:r w:rsidR="00AF2D68" w:rsidRPr="00725C95">
        <w:rPr>
          <w:rFonts w:cstheme="minorHAnsi"/>
          <w:b/>
          <w:bCs/>
        </w:rPr>
        <w:t>social risk</w:t>
      </w:r>
      <w:r w:rsidR="00C1695E" w:rsidRPr="00725C95">
        <w:rPr>
          <w:rFonts w:cstheme="minorHAnsi"/>
          <w:b/>
          <w:bCs/>
        </w:rPr>
        <w:t xml:space="preserve"> factors </w:t>
      </w:r>
      <w:r w:rsidR="00C1695E" w:rsidRPr="00725C95">
        <w:rPr>
          <w:rFonts w:cstheme="minorHAnsi"/>
          <w:bCs/>
          <w:i/>
        </w:rPr>
        <w:t>(e.g. prevalence of the factor across measured entities, empirical association with the outcome, contribution of unique variation in the outcome, assessment of between-unit effects and within-unit effects</w:t>
      </w:r>
      <w:r w:rsidR="00CE284E" w:rsidRPr="00725C95">
        <w:rPr>
          <w:rFonts w:cstheme="minorHAnsi"/>
          <w:bCs/>
          <w:i/>
        </w:rPr>
        <w:t xml:space="preserve">.)  </w:t>
      </w:r>
      <w:r w:rsidR="00CE284E" w:rsidRPr="00725C95">
        <w:rPr>
          <w:rFonts w:cstheme="minorHAnsi"/>
          <w:b/>
          <w:bCs/>
        </w:rPr>
        <w:t>Also describe the</w:t>
      </w:r>
      <w:r w:rsidR="00AF2D68" w:rsidRPr="00725C95">
        <w:rPr>
          <w:rFonts w:cstheme="minorHAnsi"/>
          <w:b/>
          <w:bCs/>
        </w:rPr>
        <w:t xml:space="preserve"> impact of adjusting for social risk (or not) on providers</w:t>
      </w:r>
      <w:r w:rsidR="00CE284E" w:rsidRPr="00725C95">
        <w:rPr>
          <w:rFonts w:cstheme="minorHAnsi"/>
          <w:b/>
          <w:bCs/>
        </w:rPr>
        <w:t xml:space="preserve"> at high or low extremes of risk.</w:t>
      </w:r>
    </w:p>
    <w:p w14:paraId="0CABCFF9" w14:textId="195CC3EE" w:rsidR="00C1695E" w:rsidRPr="007421DB" w:rsidRDefault="00A23D7C" w:rsidP="00001D73">
      <w:pPr>
        <w:autoSpaceDE w:val="0"/>
        <w:autoSpaceDN w:val="0"/>
        <w:adjustRightInd w:val="0"/>
        <w:spacing w:after="0" w:line="240" w:lineRule="auto"/>
        <w:rPr>
          <w:rFonts w:cstheme="minorHAnsi"/>
          <w:bCs/>
          <w:color w:val="FF0000"/>
        </w:rPr>
      </w:pPr>
      <w:r w:rsidRPr="007421DB">
        <w:rPr>
          <w:rFonts w:cstheme="minorHAnsi"/>
          <w:bCs/>
          <w:color w:val="FF0000"/>
        </w:rPr>
        <w:t xml:space="preserve">As noted in Section 1.8 above, social risk factors are not </w:t>
      </w:r>
      <w:r w:rsidR="00EB416C">
        <w:rPr>
          <w:rFonts w:cstheme="minorHAnsi"/>
          <w:bCs/>
          <w:color w:val="FF0000"/>
        </w:rPr>
        <w:t>included in</w:t>
      </w:r>
      <w:r w:rsidRPr="007421DB">
        <w:rPr>
          <w:rFonts w:cstheme="minorHAnsi"/>
          <w:bCs/>
          <w:color w:val="FF0000"/>
        </w:rPr>
        <w:t xml:space="preserve"> this clinically-focused measure.</w:t>
      </w:r>
    </w:p>
    <w:p w14:paraId="62FC03E8" w14:textId="77777777" w:rsidR="00A23D7C" w:rsidRPr="00725C95" w:rsidRDefault="00A23D7C" w:rsidP="00001D73">
      <w:pPr>
        <w:autoSpaceDE w:val="0"/>
        <w:autoSpaceDN w:val="0"/>
        <w:adjustRightInd w:val="0"/>
        <w:spacing w:after="0" w:line="240" w:lineRule="auto"/>
      </w:pPr>
    </w:p>
    <w:p w14:paraId="206FA7DD" w14:textId="77777777" w:rsidR="0054218C" w:rsidRDefault="009C7513" w:rsidP="00092566">
      <w:pPr>
        <w:autoSpaceDE w:val="0"/>
        <w:autoSpaceDN w:val="0"/>
        <w:adjustRightInd w:val="0"/>
        <w:spacing w:after="0" w:line="240" w:lineRule="auto"/>
        <w:rPr>
          <w:rFonts w:cstheme="minorHAnsi"/>
          <w:bCs/>
        </w:rPr>
      </w:pPr>
      <w:r w:rsidRPr="00725C95">
        <w:rPr>
          <w:rFonts w:cstheme="minorHAnsi"/>
          <w:b/>
          <w:bCs/>
        </w:rPr>
        <w:t>2b3</w:t>
      </w:r>
      <w:r w:rsidR="00E1508F" w:rsidRPr="00725C95">
        <w:rPr>
          <w:rFonts w:cstheme="minorHAnsi"/>
          <w:b/>
          <w:bCs/>
        </w:rPr>
        <w:t>.</w:t>
      </w:r>
      <w:r w:rsidR="00092566" w:rsidRPr="00725C95">
        <w:rPr>
          <w:rFonts w:cstheme="minorHAnsi"/>
          <w:b/>
          <w:bCs/>
        </w:rPr>
        <w:t xml:space="preserve">5. </w:t>
      </w:r>
      <w:r w:rsidR="008871A9" w:rsidRPr="00725C95">
        <w:rPr>
          <w:rFonts w:cstheme="minorHAnsi"/>
          <w:b/>
          <w:bCs/>
        </w:rPr>
        <w:t>Describe the method of</w:t>
      </w:r>
      <w:r w:rsidR="00092566" w:rsidRPr="00725C95">
        <w:rPr>
          <w:rFonts w:cstheme="minorHAnsi"/>
          <w:b/>
          <w:bCs/>
        </w:rPr>
        <w:t xml:space="preserve"> </w:t>
      </w:r>
      <w:r w:rsidR="008871A9" w:rsidRPr="00725C95">
        <w:rPr>
          <w:rFonts w:cstheme="minorHAnsi"/>
          <w:b/>
          <w:bCs/>
        </w:rPr>
        <w:t xml:space="preserve">testing/analysis used </w:t>
      </w:r>
      <w:r w:rsidR="00092566" w:rsidRPr="00725C95">
        <w:rPr>
          <w:rFonts w:cstheme="minorHAnsi"/>
          <w:b/>
          <w:bCs/>
        </w:rPr>
        <w:t xml:space="preserve">to develop and validate the adequacy of the statistical model </w:t>
      </w:r>
      <w:r w:rsidR="00092566" w:rsidRPr="00725C95">
        <w:rPr>
          <w:rFonts w:cstheme="minorHAnsi"/>
          <w:b/>
          <w:bCs/>
          <w:u w:val="single"/>
        </w:rPr>
        <w:t>or</w:t>
      </w:r>
      <w:r w:rsidR="00092566" w:rsidRPr="00725C95">
        <w:rPr>
          <w:rFonts w:cstheme="minorHAnsi"/>
          <w:b/>
          <w:bCs/>
        </w:rPr>
        <w:t xml:space="preserve"> stratification approach</w:t>
      </w:r>
      <w:r w:rsidR="00092566" w:rsidRPr="00725C95">
        <w:rPr>
          <w:rFonts w:cstheme="minorHAnsi"/>
          <w:bCs/>
        </w:rPr>
        <w:t xml:space="preserve"> (</w:t>
      </w:r>
      <w:r w:rsidR="008871A9" w:rsidRPr="00725C95">
        <w:rPr>
          <w:rFonts w:cstheme="minorHAnsi"/>
          <w:bCs/>
          <w:i/>
        </w:rPr>
        <w:t>describe the steps―do not just name a method</w:t>
      </w:r>
      <w:r w:rsidR="006C3A4F" w:rsidRPr="00725C95">
        <w:rPr>
          <w:rFonts w:cstheme="minorHAnsi"/>
          <w:bCs/>
          <w:i/>
        </w:rPr>
        <w:t>; what statistical analysis was used</w:t>
      </w:r>
      <w:r w:rsidR="00092566" w:rsidRPr="00725C95">
        <w:rPr>
          <w:rFonts w:cstheme="minorHAnsi"/>
          <w:bCs/>
        </w:rPr>
        <w:t>)</w:t>
      </w:r>
    </w:p>
    <w:p w14:paraId="4A8D0B30" w14:textId="77777777" w:rsidR="0054218C" w:rsidRDefault="0054218C" w:rsidP="00092566">
      <w:pPr>
        <w:autoSpaceDE w:val="0"/>
        <w:autoSpaceDN w:val="0"/>
        <w:adjustRightInd w:val="0"/>
        <w:spacing w:after="0" w:line="240" w:lineRule="auto"/>
        <w:rPr>
          <w:rFonts w:cstheme="minorHAnsi"/>
          <w:bCs/>
        </w:rPr>
      </w:pPr>
    </w:p>
    <w:p w14:paraId="1FF30A6E" w14:textId="5A19559B" w:rsidR="0054218C" w:rsidRPr="0054218C" w:rsidRDefault="0054218C" w:rsidP="0054218C">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We developed the model in the 80% derivation set and tested its discrimination and calibration (using both the Hosmer-</w:t>
      </w:r>
      <w:proofErr w:type="spellStart"/>
      <w:r w:rsidRPr="0054218C">
        <w:rPr>
          <w:rFonts w:asciiTheme="majorHAnsi" w:hAnsiTheme="majorHAnsi" w:cstheme="minorHAnsi"/>
          <w:bCs/>
          <w:color w:val="0070C0"/>
          <w:sz w:val="20"/>
          <w:szCs w:val="20"/>
        </w:rPr>
        <w:t>Lemeshow</w:t>
      </w:r>
      <w:proofErr w:type="spellEnd"/>
      <w:r w:rsidRPr="0054218C">
        <w:rPr>
          <w:rFonts w:asciiTheme="majorHAnsi" w:hAnsiTheme="majorHAnsi" w:cstheme="minorHAnsi"/>
          <w:bCs/>
          <w:color w:val="0070C0"/>
          <w:sz w:val="20"/>
          <w:szCs w:val="20"/>
        </w:rPr>
        <w:t xml:space="preserve"> test and the slope of the predicted vs. observed risk). We then replicated this in 2 separate data sets; 20% of the original sample from 2/08-4/11 and in a completely unique set of data from </w:t>
      </w:r>
      <w:r w:rsidR="00A23D7C" w:rsidRPr="0054218C">
        <w:rPr>
          <w:rFonts w:asciiTheme="majorHAnsi" w:hAnsiTheme="majorHAnsi" w:cstheme="minorHAnsi"/>
          <w:bCs/>
          <w:color w:val="0070C0"/>
          <w:sz w:val="20"/>
          <w:szCs w:val="20"/>
        </w:rPr>
        <w:t>201</w:t>
      </w:r>
      <w:r w:rsidR="00A23D7C">
        <w:rPr>
          <w:rFonts w:asciiTheme="majorHAnsi" w:hAnsiTheme="majorHAnsi" w:cstheme="minorHAnsi"/>
          <w:bCs/>
          <w:color w:val="0070C0"/>
          <w:sz w:val="20"/>
          <w:szCs w:val="20"/>
        </w:rPr>
        <w:t>6</w:t>
      </w:r>
      <w:r w:rsidR="00A23D7C" w:rsidRPr="0054218C">
        <w:rPr>
          <w:rFonts w:asciiTheme="majorHAnsi" w:hAnsiTheme="majorHAnsi" w:cstheme="minorHAnsi"/>
          <w:bCs/>
          <w:color w:val="0070C0"/>
          <w:sz w:val="20"/>
          <w:szCs w:val="20"/>
        </w:rPr>
        <w:t xml:space="preserve"> </w:t>
      </w:r>
      <w:r w:rsidRPr="0054218C">
        <w:rPr>
          <w:rFonts w:asciiTheme="majorHAnsi" w:hAnsiTheme="majorHAnsi" w:cstheme="minorHAnsi"/>
          <w:bCs/>
          <w:color w:val="0070C0"/>
          <w:sz w:val="20"/>
          <w:szCs w:val="20"/>
        </w:rPr>
        <w:t xml:space="preserve">(see above). Given secular trends in bleeding rates, with increasing use of radial approaches and bivalirudin leading to lower bleeding rates, we propose recalibrating the model with a new intercept (no change to the </w:t>
      </w:r>
      <w:r w:rsidRPr="0054218C">
        <w:rPr>
          <w:rFonts w:asciiTheme="majorHAnsi" w:hAnsiTheme="majorHAnsi" w:cstheme="minorHAnsi"/>
          <w:bCs/>
          <w:color w:val="0070C0"/>
          <w:sz w:val="20"/>
          <w:szCs w:val="20"/>
        </w:rPr>
        <w:sym w:font="Symbol" w:char="F062"/>
      </w:r>
      <w:r w:rsidRPr="0054218C">
        <w:rPr>
          <w:rFonts w:asciiTheme="majorHAnsi" w:hAnsiTheme="majorHAnsi" w:cstheme="minorHAnsi"/>
          <w:bCs/>
          <w:color w:val="0070C0"/>
          <w:sz w:val="20"/>
          <w:szCs w:val="20"/>
        </w:rPr>
        <w:t xml:space="preserve">-weights) each year, as was done for </w:t>
      </w:r>
      <w:r w:rsidR="00A0308F" w:rsidRPr="0054218C">
        <w:rPr>
          <w:rFonts w:asciiTheme="majorHAnsi" w:hAnsiTheme="majorHAnsi" w:cstheme="minorHAnsi"/>
          <w:bCs/>
          <w:color w:val="0070C0"/>
          <w:sz w:val="20"/>
          <w:szCs w:val="20"/>
        </w:rPr>
        <w:t>201</w:t>
      </w:r>
      <w:r w:rsidR="00A0308F">
        <w:rPr>
          <w:rFonts w:asciiTheme="majorHAnsi" w:hAnsiTheme="majorHAnsi" w:cstheme="minorHAnsi"/>
          <w:bCs/>
          <w:color w:val="0070C0"/>
          <w:sz w:val="20"/>
          <w:szCs w:val="20"/>
        </w:rPr>
        <w:t>6</w:t>
      </w:r>
      <w:r w:rsidR="00A0308F" w:rsidRPr="0054218C">
        <w:rPr>
          <w:rFonts w:asciiTheme="majorHAnsi" w:hAnsiTheme="majorHAnsi" w:cstheme="minorHAnsi"/>
          <w:bCs/>
          <w:color w:val="0070C0"/>
          <w:sz w:val="20"/>
          <w:szCs w:val="20"/>
        </w:rPr>
        <w:t xml:space="preserve"> </w:t>
      </w:r>
      <w:r w:rsidRPr="0054218C">
        <w:rPr>
          <w:rFonts w:asciiTheme="majorHAnsi" w:hAnsiTheme="majorHAnsi" w:cstheme="minorHAnsi"/>
          <w:bCs/>
          <w:color w:val="0070C0"/>
          <w:sz w:val="20"/>
          <w:szCs w:val="20"/>
        </w:rPr>
        <w:t>data.</w:t>
      </w:r>
    </w:p>
    <w:p w14:paraId="49E3D735" w14:textId="77777777" w:rsidR="0054218C" w:rsidRPr="00A25024" w:rsidRDefault="0054218C" w:rsidP="0054218C">
      <w:pPr>
        <w:autoSpaceDE w:val="0"/>
        <w:autoSpaceDN w:val="0"/>
        <w:adjustRightInd w:val="0"/>
        <w:spacing w:after="0" w:line="240" w:lineRule="auto"/>
        <w:rPr>
          <w:rFonts w:cstheme="minorHAnsi"/>
          <w:bCs/>
        </w:rPr>
      </w:pPr>
    </w:p>
    <w:p w14:paraId="0CABCFFA" w14:textId="768795DC"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p>
    <w:p w14:paraId="0CABCFFB" w14:textId="78FCA6D3" w:rsidR="00E1508F" w:rsidRPr="00725C95" w:rsidRDefault="00001D73" w:rsidP="00092566">
      <w:pPr>
        <w:autoSpaceDE w:val="0"/>
        <w:autoSpaceDN w:val="0"/>
        <w:adjustRightInd w:val="0"/>
        <w:spacing w:after="0" w:line="240" w:lineRule="auto"/>
        <w:rPr>
          <w:rFonts w:cstheme="minorHAnsi"/>
          <w:b/>
          <w:bCs/>
        </w:rPr>
      </w:pPr>
      <w:r w:rsidRPr="00725C95">
        <w:rPr>
          <w:rFonts w:cstheme="minorHAnsi"/>
          <w:bCs/>
          <w:i/>
        </w:rPr>
        <w:t>Provide</w:t>
      </w:r>
      <w:r w:rsidR="00092566" w:rsidRPr="00725C95">
        <w:rPr>
          <w:rFonts w:cstheme="minorHAnsi"/>
          <w:bCs/>
          <w:i/>
        </w:rPr>
        <w:t xml:space="preserve"> the statistical results from testing the approach to controlling for differences in patient characteristics (case mix)</w:t>
      </w:r>
      <w:r w:rsidRPr="00725C95">
        <w:rPr>
          <w:rFonts w:cstheme="minorHAnsi"/>
          <w:bCs/>
          <w:i/>
        </w:rPr>
        <w:t xml:space="preserve"> below</w:t>
      </w:r>
      <w:r w:rsidRPr="00725C95">
        <w:rPr>
          <w:rFonts w:cstheme="minorHAnsi"/>
          <w:bCs/>
        </w:rPr>
        <w:t>.</w:t>
      </w:r>
      <w:r w:rsidR="00092566" w:rsidRPr="00725C95">
        <w:rPr>
          <w:rFonts w:cstheme="minorHAnsi"/>
          <w:bCs/>
        </w:rPr>
        <w:br/>
      </w:r>
      <w:r w:rsidR="001F7A20" w:rsidRPr="00725C95">
        <w:rPr>
          <w:rFonts w:cstheme="minorHAnsi"/>
          <w:b/>
          <w:bCs/>
          <w:i/>
        </w:rPr>
        <w:t>If</w:t>
      </w:r>
      <w:r w:rsidR="00743E46" w:rsidRPr="00725C95">
        <w:rPr>
          <w:rFonts w:cstheme="minorHAnsi"/>
          <w:b/>
          <w:bCs/>
          <w:i/>
        </w:rPr>
        <w:t xml:space="preserve"> stratified, skip to </w:t>
      </w:r>
      <w:hyperlink w:anchor="question2b49" w:history="1">
        <w:r w:rsidR="009C7513" w:rsidRPr="00725C95">
          <w:rPr>
            <w:rStyle w:val="Hyperlink"/>
            <w:rFonts w:cstheme="minorHAnsi"/>
            <w:b/>
            <w:bCs/>
            <w:i/>
          </w:rPr>
          <w:t>2b3.9</w:t>
        </w:r>
      </w:hyperlink>
    </w:p>
    <w:p w14:paraId="0CABCFFC" w14:textId="77777777" w:rsidR="00743E46" w:rsidRPr="00725C95" w:rsidRDefault="00743E46" w:rsidP="00092566">
      <w:pPr>
        <w:autoSpaceDE w:val="0"/>
        <w:autoSpaceDN w:val="0"/>
        <w:adjustRightInd w:val="0"/>
        <w:spacing w:after="0" w:line="240" w:lineRule="auto"/>
        <w:rPr>
          <w:rFonts w:cstheme="minorHAnsi"/>
          <w:b/>
          <w:bCs/>
        </w:rPr>
      </w:pPr>
    </w:p>
    <w:p w14:paraId="31358689" w14:textId="77777777" w:rsidR="0054218C" w:rsidRDefault="00743E46" w:rsidP="00092566">
      <w:pPr>
        <w:autoSpaceDE w:val="0"/>
        <w:autoSpaceDN w:val="0"/>
        <w:adjustRightInd w:val="0"/>
        <w:spacing w:after="0" w:line="240" w:lineRule="auto"/>
        <w:rPr>
          <w:rFonts w:cstheme="minorHAnsi"/>
          <w:b/>
          <w:bCs/>
        </w:rPr>
      </w:pPr>
      <w:r w:rsidRPr="00725C95">
        <w:rPr>
          <w:rFonts w:cstheme="minorHAnsi"/>
          <w:b/>
          <w:bCs/>
        </w:rPr>
        <w:t>2b</w:t>
      </w:r>
      <w:r w:rsidR="009C7513" w:rsidRPr="00725C95">
        <w:rPr>
          <w:rFonts w:cstheme="minorHAnsi"/>
          <w:b/>
          <w:bCs/>
        </w:rPr>
        <w:t>3</w:t>
      </w:r>
      <w:r w:rsidRPr="00725C95">
        <w:rPr>
          <w:rFonts w:cstheme="minorHAnsi"/>
          <w:b/>
          <w:bCs/>
        </w:rPr>
        <w:t xml:space="preserve">.6. </w:t>
      </w:r>
      <w:r w:rsidR="00001D73" w:rsidRPr="00725C95">
        <w:rPr>
          <w:rFonts w:cstheme="minorHAnsi"/>
          <w:b/>
          <w:bCs/>
        </w:rPr>
        <w:t xml:space="preserve">Statistical </w:t>
      </w:r>
      <w:r w:rsidR="00092566" w:rsidRPr="00725C95">
        <w:rPr>
          <w:rFonts w:cstheme="minorHAnsi"/>
          <w:b/>
          <w:bCs/>
        </w:rPr>
        <w:t>Risk Model Discrimination Statistics</w:t>
      </w:r>
      <w:r w:rsidR="003605B4" w:rsidRPr="00725C95">
        <w:rPr>
          <w:rFonts w:cstheme="minorHAnsi"/>
          <w:bCs/>
        </w:rPr>
        <w:t xml:space="preserve"> (</w:t>
      </w:r>
      <w:r w:rsidR="003605B4" w:rsidRPr="00725C95">
        <w:rPr>
          <w:rFonts w:cstheme="minorHAnsi"/>
          <w:bCs/>
          <w:i/>
        </w:rPr>
        <w:t>e.g., c-statistic, R-squared</w:t>
      </w:r>
      <w:r w:rsidR="003605B4" w:rsidRPr="00725C95">
        <w:rPr>
          <w:rFonts w:cstheme="minorHAnsi"/>
          <w:bCs/>
        </w:rPr>
        <w:t>)</w:t>
      </w:r>
      <w:r w:rsidRPr="00725C95">
        <w:rPr>
          <w:rFonts w:cstheme="minorHAnsi"/>
          <w:b/>
          <w:bCs/>
        </w:rPr>
        <w:t>:</w:t>
      </w:r>
      <w:r w:rsidR="00092566" w:rsidRPr="00001D73">
        <w:rPr>
          <w:rFonts w:cstheme="minorHAnsi"/>
          <w:b/>
          <w:bCs/>
        </w:rPr>
        <w:t xml:space="preserve">  </w:t>
      </w:r>
    </w:p>
    <w:p w14:paraId="096B3EB2" w14:textId="77777777" w:rsidR="0054218C" w:rsidRDefault="0054218C" w:rsidP="00092566">
      <w:pPr>
        <w:autoSpaceDE w:val="0"/>
        <w:autoSpaceDN w:val="0"/>
        <w:adjustRightInd w:val="0"/>
        <w:spacing w:after="0" w:line="240" w:lineRule="auto"/>
        <w:rPr>
          <w:rFonts w:cstheme="minorHAnsi"/>
          <w:b/>
          <w:bCs/>
        </w:rPr>
      </w:pPr>
    </w:p>
    <w:p w14:paraId="7250E7C9" w14:textId="18F610A6" w:rsidR="0054218C" w:rsidRPr="0054218C" w:rsidRDefault="0054218C" w:rsidP="0054218C">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lastRenderedPageBreak/>
        <w:t>The c-statistic is 0.78</w:t>
      </w:r>
      <w:r w:rsidR="00DF7345">
        <w:rPr>
          <w:rFonts w:asciiTheme="majorHAnsi" w:hAnsiTheme="majorHAnsi" w:cstheme="minorHAnsi"/>
          <w:bCs/>
          <w:color w:val="0070C0"/>
          <w:sz w:val="20"/>
          <w:szCs w:val="20"/>
        </w:rPr>
        <w:t xml:space="preserve"> for the original model</w:t>
      </w:r>
      <w:r w:rsidRPr="0054218C">
        <w:rPr>
          <w:rFonts w:asciiTheme="majorHAnsi" w:hAnsiTheme="majorHAnsi" w:cstheme="minorHAnsi"/>
          <w:bCs/>
          <w:color w:val="0070C0"/>
          <w:sz w:val="20"/>
          <w:szCs w:val="20"/>
        </w:rPr>
        <w:t xml:space="preserve">, which means that the probability that predicting the outcome is better than chance. This method is used to compare the goodness of fit of logistic regression models. The range is between 0.5 to 1.0. A value of 0.5 indicates that the model is no better than chance at making a prediction of membership in a group and a value of 1.0 indicates that the model perfectly identifies those within a group and those not. Models are typically considered reasonable when the C-statistic is higher than 0.7. (Hosmer &amp; </w:t>
      </w:r>
      <w:proofErr w:type="spellStart"/>
      <w:r w:rsidRPr="0054218C">
        <w:rPr>
          <w:rFonts w:asciiTheme="majorHAnsi" w:hAnsiTheme="majorHAnsi" w:cstheme="minorHAnsi"/>
          <w:bCs/>
          <w:color w:val="0070C0"/>
          <w:sz w:val="20"/>
          <w:szCs w:val="20"/>
        </w:rPr>
        <w:t>Lemeshow</w:t>
      </w:r>
      <w:proofErr w:type="spellEnd"/>
      <w:r w:rsidRPr="0054218C">
        <w:rPr>
          <w:rFonts w:asciiTheme="majorHAnsi" w:hAnsiTheme="majorHAnsi" w:cstheme="minorHAnsi"/>
          <w:bCs/>
          <w:color w:val="0070C0"/>
          <w:sz w:val="20"/>
          <w:szCs w:val="20"/>
        </w:rPr>
        <w:t>, 2000).</w:t>
      </w:r>
    </w:p>
    <w:p w14:paraId="24D901E8" w14:textId="77777777" w:rsidR="0054218C" w:rsidRPr="0054218C" w:rsidRDefault="0054218C" w:rsidP="0054218C">
      <w:pPr>
        <w:autoSpaceDE w:val="0"/>
        <w:autoSpaceDN w:val="0"/>
        <w:adjustRightInd w:val="0"/>
        <w:spacing w:after="0" w:line="240" w:lineRule="auto"/>
        <w:rPr>
          <w:rFonts w:asciiTheme="majorHAnsi" w:hAnsiTheme="majorHAnsi" w:cstheme="minorHAnsi"/>
          <w:bCs/>
          <w:color w:val="0070C0"/>
          <w:sz w:val="20"/>
          <w:szCs w:val="20"/>
        </w:rPr>
      </w:pPr>
    </w:p>
    <w:p w14:paraId="342AECBC" w14:textId="77777777" w:rsidR="0054218C" w:rsidRPr="0054218C" w:rsidRDefault="0054218C" w:rsidP="0054218C">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The c-statistics for the original derivation and validation cohorts, as well as clinically important subgroups are provided in the table below:</w:t>
      </w:r>
    </w:p>
    <w:p w14:paraId="6DC8BEC3" w14:textId="77777777" w:rsidR="0054218C" w:rsidRPr="0054218C" w:rsidRDefault="0054218C" w:rsidP="0054218C">
      <w:pPr>
        <w:autoSpaceDE w:val="0"/>
        <w:autoSpaceDN w:val="0"/>
        <w:adjustRightInd w:val="0"/>
        <w:spacing w:after="0" w:line="240" w:lineRule="auto"/>
        <w:rPr>
          <w:rFonts w:asciiTheme="majorHAnsi" w:hAnsiTheme="majorHAnsi" w:cstheme="minorHAnsi"/>
          <w:bCs/>
          <w:color w:val="0070C0"/>
          <w:sz w:val="20"/>
          <w:szCs w:val="20"/>
        </w:rPr>
      </w:pPr>
    </w:p>
    <w:p w14:paraId="494B3035" w14:textId="77777777" w:rsidR="0054218C" w:rsidRPr="0054218C" w:rsidRDefault="0054218C" w:rsidP="00923D12">
      <w:pPr>
        <w:keepNext/>
        <w:spacing w:line="240" w:lineRule="auto"/>
        <w:outlineLvl w:val="0"/>
        <w:rPr>
          <w:rFonts w:asciiTheme="majorHAnsi" w:hAnsiTheme="majorHAnsi"/>
          <w:b/>
          <w:bCs/>
          <w:color w:val="0070C0"/>
          <w:sz w:val="20"/>
          <w:szCs w:val="20"/>
        </w:rPr>
      </w:pPr>
      <w:r w:rsidRPr="0054218C">
        <w:rPr>
          <w:rFonts w:asciiTheme="majorHAnsi" w:hAnsiTheme="majorHAnsi"/>
          <w:b/>
          <w:bCs/>
          <w:color w:val="0070C0"/>
          <w:sz w:val="20"/>
          <w:szCs w:val="20"/>
        </w:rPr>
        <w:t xml:space="preserve">Table </w:t>
      </w:r>
      <w:r w:rsidRPr="0054218C">
        <w:rPr>
          <w:rFonts w:asciiTheme="majorHAnsi" w:hAnsiTheme="majorHAnsi"/>
          <w:b/>
          <w:bCs/>
          <w:color w:val="0070C0"/>
          <w:sz w:val="20"/>
          <w:szCs w:val="20"/>
        </w:rPr>
        <w:fldChar w:fldCharType="begin"/>
      </w:r>
      <w:r w:rsidRPr="0054218C">
        <w:rPr>
          <w:rFonts w:asciiTheme="majorHAnsi" w:hAnsiTheme="majorHAnsi"/>
          <w:b/>
          <w:bCs/>
          <w:color w:val="0070C0"/>
          <w:sz w:val="20"/>
          <w:szCs w:val="20"/>
        </w:rPr>
        <w:instrText xml:space="preserve"> SEQ Table \* ARABIC </w:instrText>
      </w:r>
      <w:r w:rsidRPr="0054218C">
        <w:rPr>
          <w:rFonts w:asciiTheme="majorHAnsi" w:hAnsiTheme="majorHAnsi"/>
          <w:b/>
          <w:bCs/>
          <w:color w:val="0070C0"/>
          <w:sz w:val="20"/>
          <w:szCs w:val="20"/>
        </w:rPr>
        <w:fldChar w:fldCharType="separate"/>
      </w:r>
      <w:r w:rsidR="00452FB8">
        <w:rPr>
          <w:rFonts w:asciiTheme="majorHAnsi" w:hAnsiTheme="majorHAnsi"/>
          <w:b/>
          <w:bCs/>
          <w:noProof/>
          <w:color w:val="0070C0"/>
          <w:sz w:val="20"/>
          <w:szCs w:val="20"/>
        </w:rPr>
        <w:t>4</w:t>
      </w:r>
      <w:r w:rsidRPr="0054218C">
        <w:rPr>
          <w:rFonts w:asciiTheme="majorHAnsi" w:hAnsiTheme="majorHAnsi"/>
          <w:b/>
          <w:bCs/>
          <w:color w:val="0070C0"/>
          <w:sz w:val="20"/>
          <w:szCs w:val="20"/>
        </w:rPr>
        <w:fldChar w:fldCharType="end"/>
      </w:r>
      <w:r w:rsidRPr="0054218C">
        <w:rPr>
          <w:rFonts w:asciiTheme="majorHAnsi" w:hAnsiTheme="majorHAnsi"/>
          <w:b/>
          <w:bCs/>
          <w:color w:val="0070C0"/>
          <w:sz w:val="20"/>
          <w:szCs w:val="20"/>
        </w:rPr>
        <w:t>. Derivation and Validation C-Statistic</w:t>
      </w:r>
    </w:p>
    <w:tbl>
      <w:tblPr>
        <w:tblW w:w="9374" w:type="dxa"/>
        <w:shd w:val="clear" w:color="auto" w:fill="FFFFFF" w:themeFill="background1"/>
        <w:tblLayout w:type="fixed"/>
        <w:tblCellMar>
          <w:left w:w="14" w:type="dxa"/>
          <w:right w:w="14" w:type="dxa"/>
        </w:tblCellMar>
        <w:tblLook w:val="0000" w:firstRow="0" w:lastRow="0" w:firstColumn="0" w:lastColumn="0" w:noHBand="0" w:noVBand="0"/>
      </w:tblPr>
      <w:tblGrid>
        <w:gridCol w:w="1544"/>
        <w:gridCol w:w="1440"/>
        <w:gridCol w:w="1170"/>
        <w:gridCol w:w="1440"/>
        <w:gridCol w:w="1170"/>
        <w:gridCol w:w="1440"/>
        <w:gridCol w:w="1170"/>
      </w:tblGrid>
      <w:tr w:rsidR="0054218C" w:rsidRPr="0054218C" w14:paraId="26547E15" w14:textId="77777777" w:rsidTr="006B189E">
        <w:trPr>
          <w:cantSplit/>
          <w:tblHeader/>
        </w:trPr>
        <w:tc>
          <w:tcPr>
            <w:tcW w:w="1544" w:type="dxa"/>
            <w:tcBorders>
              <w:top w:val="single" w:sz="12" w:space="0" w:color="000000"/>
            </w:tcBorders>
            <w:shd w:val="clear" w:color="auto" w:fill="FFFFFF" w:themeFill="background1"/>
            <w:vAlign w:val="center"/>
          </w:tcPr>
          <w:p w14:paraId="64853459" w14:textId="77777777" w:rsidR="0054218C" w:rsidRPr="0054218C" w:rsidRDefault="0054218C" w:rsidP="006B189E">
            <w:pPr>
              <w:autoSpaceDE w:val="0"/>
              <w:autoSpaceDN w:val="0"/>
              <w:adjustRightInd w:val="0"/>
              <w:spacing w:after="0" w:line="240" w:lineRule="auto"/>
              <w:rPr>
                <w:rFonts w:asciiTheme="majorHAnsi" w:hAnsiTheme="majorHAnsi" w:cstheme="minorHAnsi"/>
                <w:b/>
                <w:bCs/>
                <w:color w:val="0070C0"/>
                <w:sz w:val="20"/>
                <w:szCs w:val="20"/>
              </w:rPr>
            </w:pPr>
          </w:p>
        </w:tc>
        <w:tc>
          <w:tcPr>
            <w:tcW w:w="2610" w:type="dxa"/>
            <w:gridSpan w:val="2"/>
            <w:tcBorders>
              <w:top w:val="single" w:sz="12" w:space="0" w:color="000000"/>
            </w:tcBorders>
            <w:shd w:val="clear" w:color="auto" w:fill="FFFFFF" w:themeFill="background1"/>
            <w:vAlign w:val="center"/>
          </w:tcPr>
          <w:p w14:paraId="65362507"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N</w:t>
            </w:r>
          </w:p>
        </w:tc>
        <w:tc>
          <w:tcPr>
            <w:tcW w:w="2610" w:type="dxa"/>
            <w:gridSpan w:val="2"/>
            <w:tcBorders>
              <w:top w:val="single" w:sz="12" w:space="0" w:color="000000"/>
            </w:tcBorders>
            <w:shd w:val="clear" w:color="auto" w:fill="FFFFFF" w:themeFill="background1"/>
            <w:vAlign w:val="center"/>
          </w:tcPr>
          <w:p w14:paraId="6937708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Full Model</w:t>
            </w:r>
          </w:p>
        </w:tc>
        <w:tc>
          <w:tcPr>
            <w:tcW w:w="2610" w:type="dxa"/>
            <w:gridSpan w:val="2"/>
            <w:tcBorders>
              <w:top w:val="single" w:sz="12" w:space="0" w:color="000000"/>
            </w:tcBorders>
            <w:shd w:val="clear" w:color="auto" w:fill="FFFFFF" w:themeFill="background1"/>
            <w:vAlign w:val="center"/>
          </w:tcPr>
          <w:p w14:paraId="0EE5F0D3"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Risk Score</w:t>
            </w:r>
          </w:p>
        </w:tc>
      </w:tr>
      <w:tr w:rsidR="0054218C" w:rsidRPr="0054218C" w14:paraId="5AE20835" w14:textId="77777777" w:rsidTr="006B189E">
        <w:trPr>
          <w:cantSplit/>
          <w:tblHeader/>
        </w:trPr>
        <w:tc>
          <w:tcPr>
            <w:tcW w:w="1544" w:type="dxa"/>
            <w:tcBorders>
              <w:bottom w:val="single" w:sz="6" w:space="0" w:color="000000"/>
            </w:tcBorders>
            <w:shd w:val="clear" w:color="auto" w:fill="FFFFFF" w:themeFill="background1"/>
          </w:tcPr>
          <w:p w14:paraId="1275C4A6" w14:textId="77777777" w:rsidR="0054218C" w:rsidRPr="0054218C" w:rsidRDefault="0054218C" w:rsidP="006B189E">
            <w:pPr>
              <w:autoSpaceDE w:val="0"/>
              <w:autoSpaceDN w:val="0"/>
              <w:adjustRightInd w:val="0"/>
              <w:spacing w:after="0" w:line="240" w:lineRule="auto"/>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Group</w:t>
            </w:r>
          </w:p>
        </w:tc>
        <w:tc>
          <w:tcPr>
            <w:tcW w:w="1440" w:type="dxa"/>
            <w:tcBorders>
              <w:bottom w:val="single" w:sz="6" w:space="0" w:color="000000"/>
            </w:tcBorders>
            <w:shd w:val="clear" w:color="auto" w:fill="FFFFFF" w:themeFill="background1"/>
            <w:vAlign w:val="center"/>
          </w:tcPr>
          <w:p w14:paraId="4B05BFB0"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Development</w:t>
            </w:r>
          </w:p>
          <w:p w14:paraId="3697A34C"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c>
          <w:tcPr>
            <w:tcW w:w="1170" w:type="dxa"/>
            <w:tcBorders>
              <w:bottom w:val="single" w:sz="6" w:space="0" w:color="000000"/>
            </w:tcBorders>
            <w:shd w:val="clear" w:color="auto" w:fill="FFFFFF" w:themeFill="background1"/>
            <w:vAlign w:val="center"/>
          </w:tcPr>
          <w:p w14:paraId="726064B6"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Validation</w:t>
            </w:r>
          </w:p>
          <w:p w14:paraId="77048C9B"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c>
          <w:tcPr>
            <w:tcW w:w="1440" w:type="dxa"/>
            <w:tcBorders>
              <w:bottom w:val="single" w:sz="6" w:space="0" w:color="000000"/>
            </w:tcBorders>
            <w:shd w:val="clear" w:color="auto" w:fill="FFFFFF" w:themeFill="background1"/>
            <w:vAlign w:val="center"/>
          </w:tcPr>
          <w:p w14:paraId="04930522"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Development</w:t>
            </w:r>
          </w:p>
          <w:p w14:paraId="17388F58"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c>
          <w:tcPr>
            <w:tcW w:w="1170" w:type="dxa"/>
            <w:tcBorders>
              <w:bottom w:val="single" w:sz="6" w:space="0" w:color="000000"/>
            </w:tcBorders>
            <w:shd w:val="clear" w:color="auto" w:fill="FFFFFF" w:themeFill="background1"/>
            <w:vAlign w:val="center"/>
          </w:tcPr>
          <w:p w14:paraId="6FDFD9F7"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Validation</w:t>
            </w:r>
          </w:p>
          <w:p w14:paraId="79B9BF01"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c>
          <w:tcPr>
            <w:tcW w:w="1440" w:type="dxa"/>
            <w:tcBorders>
              <w:bottom w:val="single" w:sz="6" w:space="0" w:color="000000"/>
            </w:tcBorders>
            <w:shd w:val="clear" w:color="auto" w:fill="FFFFFF" w:themeFill="background1"/>
            <w:vAlign w:val="center"/>
          </w:tcPr>
          <w:p w14:paraId="65E18751"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Development</w:t>
            </w:r>
          </w:p>
          <w:p w14:paraId="1811154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c>
          <w:tcPr>
            <w:tcW w:w="1170" w:type="dxa"/>
            <w:tcBorders>
              <w:bottom w:val="single" w:sz="6" w:space="0" w:color="000000"/>
            </w:tcBorders>
            <w:shd w:val="clear" w:color="auto" w:fill="FFFFFF" w:themeFill="background1"/>
            <w:vAlign w:val="center"/>
          </w:tcPr>
          <w:p w14:paraId="626B13DF"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Validation</w:t>
            </w:r>
          </w:p>
          <w:p w14:paraId="40E6373D"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
                <w:bCs/>
                <w:color w:val="0070C0"/>
                <w:sz w:val="20"/>
                <w:szCs w:val="20"/>
              </w:rPr>
            </w:pPr>
            <w:r w:rsidRPr="0054218C">
              <w:rPr>
                <w:rFonts w:asciiTheme="majorHAnsi" w:hAnsiTheme="majorHAnsi" w:cstheme="minorHAnsi"/>
                <w:b/>
                <w:bCs/>
                <w:color w:val="0070C0"/>
                <w:sz w:val="20"/>
                <w:szCs w:val="20"/>
              </w:rPr>
              <w:t>Sample</w:t>
            </w:r>
          </w:p>
        </w:tc>
      </w:tr>
      <w:tr w:rsidR="0054218C" w:rsidRPr="0054218C" w14:paraId="22EA9663" w14:textId="77777777" w:rsidTr="006B189E">
        <w:trPr>
          <w:cantSplit/>
        </w:trPr>
        <w:tc>
          <w:tcPr>
            <w:tcW w:w="1544" w:type="dxa"/>
            <w:tcBorders>
              <w:top w:val="single" w:sz="6" w:space="0" w:color="000000"/>
            </w:tcBorders>
            <w:shd w:val="clear" w:color="auto" w:fill="FFFFFF" w:themeFill="background1"/>
          </w:tcPr>
          <w:p w14:paraId="2C61CC6C"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Overall</w:t>
            </w:r>
          </w:p>
        </w:tc>
        <w:tc>
          <w:tcPr>
            <w:tcW w:w="1440" w:type="dxa"/>
            <w:tcBorders>
              <w:top w:val="single" w:sz="6" w:space="0" w:color="000000"/>
            </w:tcBorders>
            <w:shd w:val="clear" w:color="auto" w:fill="FFFFFF" w:themeFill="background1"/>
            <w:vAlign w:val="center"/>
          </w:tcPr>
          <w:p w14:paraId="3EEC05A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834,696</w:t>
            </w:r>
          </w:p>
        </w:tc>
        <w:tc>
          <w:tcPr>
            <w:tcW w:w="1170" w:type="dxa"/>
            <w:tcBorders>
              <w:top w:val="single" w:sz="6" w:space="0" w:color="000000"/>
            </w:tcBorders>
            <w:shd w:val="clear" w:color="auto" w:fill="FFFFFF" w:themeFill="background1"/>
            <w:vAlign w:val="center"/>
          </w:tcPr>
          <w:p w14:paraId="7FA2B1C2"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209,063</w:t>
            </w:r>
          </w:p>
        </w:tc>
        <w:tc>
          <w:tcPr>
            <w:tcW w:w="1440" w:type="dxa"/>
            <w:tcBorders>
              <w:top w:val="single" w:sz="6" w:space="0" w:color="000000"/>
            </w:tcBorders>
            <w:shd w:val="clear" w:color="auto" w:fill="FFFFFF" w:themeFill="background1"/>
            <w:vAlign w:val="center"/>
          </w:tcPr>
          <w:p w14:paraId="1F8A5F9B"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0.78</w:t>
            </w:r>
          </w:p>
        </w:tc>
        <w:tc>
          <w:tcPr>
            <w:tcW w:w="1170" w:type="dxa"/>
            <w:tcBorders>
              <w:top w:val="single" w:sz="6" w:space="0" w:color="000000"/>
            </w:tcBorders>
            <w:shd w:val="clear" w:color="auto" w:fill="FFFFFF" w:themeFill="background1"/>
            <w:vAlign w:val="center"/>
          </w:tcPr>
          <w:p w14:paraId="1A828804"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0.77</w:t>
            </w:r>
          </w:p>
        </w:tc>
        <w:tc>
          <w:tcPr>
            <w:tcW w:w="1440" w:type="dxa"/>
            <w:tcBorders>
              <w:top w:val="single" w:sz="6" w:space="0" w:color="000000"/>
            </w:tcBorders>
            <w:shd w:val="clear" w:color="auto" w:fill="FFFFFF" w:themeFill="background1"/>
            <w:vAlign w:val="center"/>
          </w:tcPr>
          <w:p w14:paraId="1CA8B89A"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c>
          <w:tcPr>
            <w:tcW w:w="1170" w:type="dxa"/>
            <w:tcBorders>
              <w:top w:val="single" w:sz="6" w:space="0" w:color="000000"/>
            </w:tcBorders>
            <w:shd w:val="clear" w:color="auto" w:fill="FFFFFF" w:themeFill="background1"/>
            <w:vAlign w:val="center"/>
          </w:tcPr>
          <w:p w14:paraId="0FBEB9CD"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0.75</w:t>
            </w:r>
          </w:p>
        </w:tc>
      </w:tr>
      <w:tr w:rsidR="0054218C" w:rsidRPr="0054218C" w14:paraId="51B773C1" w14:textId="77777777" w:rsidTr="006B189E">
        <w:trPr>
          <w:cantSplit/>
        </w:trPr>
        <w:tc>
          <w:tcPr>
            <w:tcW w:w="1544" w:type="dxa"/>
            <w:shd w:val="clear" w:color="auto" w:fill="FFFFFF" w:themeFill="background1"/>
          </w:tcPr>
          <w:p w14:paraId="1C980E30"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STEMI</w:t>
            </w:r>
          </w:p>
        </w:tc>
        <w:tc>
          <w:tcPr>
            <w:tcW w:w="1440" w:type="dxa"/>
            <w:shd w:val="clear" w:color="auto" w:fill="FFFFFF" w:themeFill="background1"/>
            <w:vAlign w:val="center"/>
          </w:tcPr>
          <w:p w14:paraId="10650016"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133,649</w:t>
            </w:r>
          </w:p>
        </w:tc>
        <w:tc>
          <w:tcPr>
            <w:tcW w:w="1170" w:type="dxa"/>
            <w:shd w:val="clear" w:color="auto" w:fill="FFFFFF" w:themeFill="background1"/>
            <w:vAlign w:val="center"/>
          </w:tcPr>
          <w:p w14:paraId="0DC10BC2"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33,311</w:t>
            </w:r>
          </w:p>
        </w:tc>
        <w:tc>
          <w:tcPr>
            <w:tcW w:w="1440" w:type="dxa"/>
            <w:shd w:val="clear" w:color="auto" w:fill="FFFFFF" w:themeFill="background1"/>
            <w:vAlign w:val="center"/>
          </w:tcPr>
          <w:p w14:paraId="41ECDB0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0.71</w:t>
            </w:r>
          </w:p>
        </w:tc>
        <w:tc>
          <w:tcPr>
            <w:tcW w:w="1170" w:type="dxa"/>
            <w:shd w:val="clear" w:color="auto" w:fill="FFFFFF" w:themeFill="background1"/>
            <w:vAlign w:val="center"/>
          </w:tcPr>
          <w:p w14:paraId="369C902A"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0.71</w:t>
            </w:r>
          </w:p>
        </w:tc>
        <w:tc>
          <w:tcPr>
            <w:tcW w:w="1440" w:type="dxa"/>
            <w:shd w:val="clear" w:color="auto" w:fill="FFFFFF" w:themeFill="background1"/>
            <w:vAlign w:val="center"/>
          </w:tcPr>
          <w:p w14:paraId="2F535A33"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0.70</w:t>
            </w:r>
          </w:p>
        </w:tc>
        <w:tc>
          <w:tcPr>
            <w:tcW w:w="1170" w:type="dxa"/>
            <w:shd w:val="clear" w:color="auto" w:fill="FFFFFF" w:themeFill="background1"/>
            <w:vAlign w:val="center"/>
          </w:tcPr>
          <w:p w14:paraId="2BB8202F"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0.70</w:t>
            </w:r>
          </w:p>
        </w:tc>
      </w:tr>
      <w:tr w:rsidR="0054218C" w:rsidRPr="0054218C" w14:paraId="6ADB3BE2" w14:textId="77777777" w:rsidTr="006B189E">
        <w:trPr>
          <w:cantSplit/>
        </w:trPr>
        <w:tc>
          <w:tcPr>
            <w:tcW w:w="1544" w:type="dxa"/>
            <w:shd w:val="clear" w:color="auto" w:fill="FFFFFF" w:themeFill="background1"/>
          </w:tcPr>
          <w:p w14:paraId="05E0944D"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Women</w:t>
            </w:r>
          </w:p>
        </w:tc>
        <w:tc>
          <w:tcPr>
            <w:tcW w:w="1440" w:type="dxa"/>
            <w:shd w:val="clear" w:color="auto" w:fill="FFFFFF" w:themeFill="background1"/>
            <w:vAlign w:val="center"/>
          </w:tcPr>
          <w:p w14:paraId="13A5F1A4"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272,357</w:t>
            </w:r>
          </w:p>
        </w:tc>
        <w:tc>
          <w:tcPr>
            <w:tcW w:w="1170" w:type="dxa"/>
            <w:shd w:val="clear" w:color="auto" w:fill="FFFFFF" w:themeFill="background1"/>
            <w:vAlign w:val="center"/>
          </w:tcPr>
          <w:p w14:paraId="6033E5BC"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68,540</w:t>
            </w:r>
          </w:p>
        </w:tc>
        <w:tc>
          <w:tcPr>
            <w:tcW w:w="1440" w:type="dxa"/>
            <w:shd w:val="clear" w:color="auto" w:fill="FFFFFF" w:themeFill="background1"/>
            <w:vAlign w:val="center"/>
          </w:tcPr>
          <w:p w14:paraId="4201503D"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0.74</w:t>
            </w:r>
          </w:p>
        </w:tc>
        <w:tc>
          <w:tcPr>
            <w:tcW w:w="1170" w:type="dxa"/>
            <w:shd w:val="clear" w:color="auto" w:fill="FFFFFF" w:themeFill="background1"/>
            <w:vAlign w:val="center"/>
          </w:tcPr>
          <w:p w14:paraId="47700010"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0.74</w:t>
            </w:r>
          </w:p>
        </w:tc>
        <w:tc>
          <w:tcPr>
            <w:tcW w:w="1440" w:type="dxa"/>
            <w:shd w:val="clear" w:color="auto" w:fill="FFFFFF" w:themeFill="background1"/>
            <w:vAlign w:val="center"/>
          </w:tcPr>
          <w:p w14:paraId="2EBF3FBA"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0.73</w:t>
            </w:r>
          </w:p>
        </w:tc>
        <w:tc>
          <w:tcPr>
            <w:tcW w:w="1170" w:type="dxa"/>
            <w:shd w:val="clear" w:color="auto" w:fill="FFFFFF" w:themeFill="background1"/>
            <w:vAlign w:val="center"/>
          </w:tcPr>
          <w:p w14:paraId="79FC9B35"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0.72</w:t>
            </w:r>
          </w:p>
        </w:tc>
      </w:tr>
      <w:tr w:rsidR="0054218C" w:rsidRPr="0054218C" w14:paraId="29564767" w14:textId="77777777" w:rsidTr="006B189E">
        <w:trPr>
          <w:cantSplit/>
        </w:trPr>
        <w:tc>
          <w:tcPr>
            <w:tcW w:w="1544" w:type="dxa"/>
            <w:shd w:val="clear" w:color="auto" w:fill="FFFFFF" w:themeFill="background1"/>
          </w:tcPr>
          <w:p w14:paraId="77954210"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Age &gt;70 years</w:t>
            </w:r>
          </w:p>
        </w:tc>
        <w:tc>
          <w:tcPr>
            <w:tcW w:w="1440" w:type="dxa"/>
            <w:shd w:val="clear" w:color="auto" w:fill="FFFFFF" w:themeFill="background1"/>
            <w:vAlign w:val="center"/>
          </w:tcPr>
          <w:p w14:paraId="34144E7C"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275,089</w:t>
            </w:r>
          </w:p>
        </w:tc>
        <w:tc>
          <w:tcPr>
            <w:tcW w:w="1170" w:type="dxa"/>
            <w:shd w:val="clear" w:color="auto" w:fill="FFFFFF" w:themeFill="background1"/>
            <w:vAlign w:val="center"/>
          </w:tcPr>
          <w:p w14:paraId="0A13A977"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69,015</w:t>
            </w:r>
          </w:p>
        </w:tc>
        <w:tc>
          <w:tcPr>
            <w:tcW w:w="1440" w:type="dxa"/>
            <w:shd w:val="clear" w:color="auto" w:fill="FFFFFF" w:themeFill="background1"/>
            <w:vAlign w:val="center"/>
          </w:tcPr>
          <w:p w14:paraId="2F58F979"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c>
          <w:tcPr>
            <w:tcW w:w="1170" w:type="dxa"/>
            <w:shd w:val="clear" w:color="auto" w:fill="FFFFFF" w:themeFill="background1"/>
            <w:vAlign w:val="center"/>
          </w:tcPr>
          <w:p w14:paraId="03675620"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c>
          <w:tcPr>
            <w:tcW w:w="1440" w:type="dxa"/>
            <w:shd w:val="clear" w:color="auto" w:fill="FFFFFF" w:themeFill="background1"/>
            <w:vAlign w:val="center"/>
          </w:tcPr>
          <w:p w14:paraId="2E5FC1D3"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0.74</w:t>
            </w:r>
          </w:p>
        </w:tc>
        <w:tc>
          <w:tcPr>
            <w:tcW w:w="1170" w:type="dxa"/>
            <w:shd w:val="clear" w:color="auto" w:fill="FFFFFF" w:themeFill="background1"/>
            <w:vAlign w:val="center"/>
          </w:tcPr>
          <w:p w14:paraId="2A9B77F9"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0.74</w:t>
            </w:r>
          </w:p>
        </w:tc>
      </w:tr>
      <w:tr w:rsidR="0054218C" w:rsidRPr="0054218C" w14:paraId="457A6FE3" w14:textId="77777777" w:rsidTr="006B189E">
        <w:trPr>
          <w:cantSplit/>
        </w:trPr>
        <w:tc>
          <w:tcPr>
            <w:tcW w:w="1544" w:type="dxa"/>
            <w:shd w:val="clear" w:color="auto" w:fill="FFFFFF" w:themeFill="background1"/>
          </w:tcPr>
          <w:p w14:paraId="6DFDF9E1"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Diabetes</w:t>
            </w:r>
          </w:p>
        </w:tc>
        <w:tc>
          <w:tcPr>
            <w:tcW w:w="1440" w:type="dxa"/>
            <w:shd w:val="clear" w:color="auto" w:fill="FFFFFF" w:themeFill="background1"/>
            <w:vAlign w:val="center"/>
          </w:tcPr>
          <w:p w14:paraId="4368272C"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299,402</w:t>
            </w:r>
          </w:p>
        </w:tc>
        <w:tc>
          <w:tcPr>
            <w:tcW w:w="1170" w:type="dxa"/>
            <w:shd w:val="clear" w:color="auto" w:fill="FFFFFF" w:themeFill="background1"/>
            <w:vAlign w:val="center"/>
          </w:tcPr>
          <w:p w14:paraId="0DB3952F"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75,003</w:t>
            </w:r>
          </w:p>
        </w:tc>
        <w:tc>
          <w:tcPr>
            <w:tcW w:w="1440" w:type="dxa"/>
            <w:shd w:val="clear" w:color="auto" w:fill="FFFFFF" w:themeFill="background1"/>
            <w:vAlign w:val="center"/>
          </w:tcPr>
          <w:p w14:paraId="3D6EE984"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0.78</w:t>
            </w:r>
          </w:p>
        </w:tc>
        <w:tc>
          <w:tcPr>
            <w:tcW w:w="1170" w:type="dxa"/>
            <w:shd w:val="clear" w:color="auto" w:fill="FFFFFF" w:themeFill="background1"/>
            <w:vAlign w:val="center"/>
          </w:tcPr>
          <w:p w14:paraId="630144B1"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0.78</w:t>
            </w:r>
          </w:p>
        </w:tc>
        <w:tc>
          <w:tcPr>
            <w:tcW w:w="1440" w:type="dxa"/>
            <w:shd w:val="clear" w:color="auto" w:fill="FFFFFF" w:themeFill="background1"/>
            <w:vAlign w:val="center"/>
          </w:tcPr>
          <w:p w14:paraId="42B52F0A"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c>
          <w:tcPr>
            <w:tcW w:w="1170" w:type="dxa"/>
            <w:shd w:val="clear" w:color="auto" w:fill="FFFFFF" w:themeFill="background1"/>
            <w:vAlign w:val="center"/>
          </w:tcPr>
          <w:p w14:paraId="3BDA6C53"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r>
      <w:tr w:rsidR="0054218C" w:rsidRPr="0054218C" w14:paraId="45688ACF" w14:textId="77777777" w:rsidTr="006B189E">
        <w:trPr>
          <w:cantSplit/>
        </w:trPr>
        <w:tc>
          <w:tcPr>
            <w:tcW w:w="1544" w:type="dxa"/>
            <w:tcBorders>
              <w:bottom w:val="single" w:sz="12" w:space="0" w:color="000000"/>
            </w:tcBorders>
            <w:shd w:val="clear" w:color="auto" w:fill="FFFFFF" w:themeFill="background1"/>
          </w:tcPr>
          <w:p w14:paraId="0523391A"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Excluding in-hospital CABG</w:t>
            </w:r>
          </w:p>
        </w:tc>
        <w:tc>
          <w:tcPr>
            <w:tcW w:w="1440" w:type="dxa"/>
            <w:tcBorders>
              <w:bottom w:val="single" w:sz="12" w:space="0" w:color="000000"/>
            </w:tcBorders>
            <w:shd w:val="clear" w:color="auto" w:fill="FFFFFF" w:themeFill="background1"/>
            <w:vAlign w:val="center"/>
          </w:tcPr>
          <w:p w14:paraId="3352418F"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824,414</w:t>
            </w:r>
          </w:p>
        </w:tc>
        <w:tc>
          <w:tcPr>
            <w:tcW w:w="1170" w:type="dxa"/>
            <w:tcBorders>
              <w:bottom w:val="single" w:sz="12" w:space="0" w:color="000000"/>
            </w:tcBorders>
            <w:shd w:val="clear" w:color="auto" w:fill="FFFFFF" w:themeFill="background1"/>
            <w:vAlign w:val="center"/>
          </w:tcPr>
          <w:p w14:paraId="75A9DDB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205,510</w:t>
            </w:r>
          </w:p>
        </w:tc>
        <w:tc>
          <w:tcPr>
            <w:tcW w:w="1440" w:type="dxa"/>
            <w:tcBorders>
              <w:bottom w:val="single" w:sz="12" w:space="0" w:color="000000"/>
            </w:tcBorders>
            <w:shd w:val="clear" w:color="auto" w:fill="FFFFFF" w:themeFill="background1"/>
            <w:vAlign w:val="center"/>
          </w:tcPr>
          <w:p w14:paraId="10ACB737"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0.79</w:t>
            </w:r>
          </w:p>
        </w:tc>
        <w:tc>
          <w:tcPr>
            <w:tcW w:w="1170" w:type="dxa"/>
            <w:tcBorders>
              <w:bottom w:val="single" w:sz="12" w:space="0" w:color="000000"/>
            </w:tcBorders>
            <w:shd w:val="clear" w:color="auto" w:fill="FFFFFF" w:themeFill="background1"/>
            <w:vAlign w:val="center"/>
          </w:tcPr>
          <w:p w14:paraId="4CFD6FC1"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0.78</w:t>
            </w:r>
          </w:p>
        </w:tc>
        <w:tc>
          <w:tcPr>
            <w:tcW w:w="1440" w:type="dxa"/>
            <w:tcBorders>
              <w:bottom w:val="single" w:sz="12" w:space="0" w:color="000000"/>
            </w:tcBorders>
            <w:shd w:val="clear" w:color="auto" w:fill="FFFFFF" w:themeFill="background1"/>
            <w:vAlign w:val="center"/>
          </w:tcPr>
          <w:p w14:paraId="31B5107D"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c>
          <w:tcPr>
            <w:tcW w:w="1170" w:type="dxa"/>
            <w:tcBorders>
              <w:bottom w:val="single" w:sz="12" w:space="0" w:color="000000"/>
            </w:tcBorders>
            <w:shd w:val="clear" w:color="auto" w:fill="FFFFFF" w:themeFill="background1"/>
            <w:vAlign w:val="center"/>
          </w:tcPr>
          <w:p w14:paraId="0A4648EE" w14:textId="77777777" w:rsidR="0054218C" w:rsidRPr="0054218C" w:rsidRDefault="0054218C" w:rsidP="006B189E">
            <w:pPr>
              <w:autoSpaceDE w:val="0"/>
              <w:autoSpaceDN w:val="0"/>
              <w:adjustRightInd w:val="0"/>
              <w:spacing w:after="0" w:line="240" w:lineRule="auto"/>
              <w:jc w:val="center"/>
              <w:rPr>
                <w:rFonts w:asciiTheme="majorHAnsi" w:hAnsiTheme="majorHAnsi" w:cstheme="minorHAnsi"/>
                <w:bCs/>
                <w:color w:val="0070C0"/>
                <w:sz w:val="20"/>
                <w:szCs w:val="20"/>
              </w:rPr>
            </w:pPr>
            <w:r w:rsidRPr="0054218C">
              <w:rPr>
                <w:rFonts w:asciiTheme="majorHAnsi" w:hAnsiTheme="majorHAnsi" w:cstheme="minorHAnsi"/>
                <w:bCs/>
                <w:color w:val="0070C0"/>
                <w:sz w:val="20"/>
                <w:szCs w:val="20"/>
              </w:rPr>
              <w:t>0.76</w:t>
            </w:r>
          </w:p>
        </w:tc>
      </w:tr>
      <w:tr w:rsidR="0054218C" w:rsidRPr="0054218C" w14:paraId="1DB8C935" w14:textId="77777777" w:rsidTr="006B189E">
        <w:trPr>
          <w:cantSplit/>
        </w:trPr>
        <w:tc>
          <w:tcPr>
            <w:tcW w:w="9374" w:type="dxa"/>
            <w:gridSpan w:val="7"/>
            <w:tcBorders>
              <w:top w:val="single" w:sz="12" w:space="0" w:color="000000"/>
            </w:tcBorders>
            <w:shd w:val="clear" w:color="auto" w:fill="FFFFFF" w:themeFill="background1"/>
          </w:tcPr>
          <w:p w14:paraId="56A1F174" w14:textId="77777777" w:rsidR="0054218C" w:rsidRPr="0054218C" w:rsidRDefault="0054218C" w:rsidP="006B189E">
            <w:pPr>
              <w:autoSpaceDE w:val="0"/>
              <w:autoSpaceDN w:val="0"/>
              <w:adjustRightInd w:val="0"/>
              <w:spacing w:after="0" w:line="240" w:lineRule="auto"/>
              <w:rPr>
                <w:rFonts w:asciiTheme="majorHAnsi" w:hAnsiTheme="majorHAnsi" w:cstheme="minorHAnsi"/>
                <w:bCs/>
                <w:color w:val="0070C0"/>
                <w:sz w:val="20"/>
                <w:szCs w:val="20"/>
              </w:rPr>
            </w:pPr>
          </w:p>
        </w:tc>
      </w:tr>
    </w:tbl>
    <w:p w14:paraId="3F37DA9D" w14:textId="413AE395" w:rsidR="00FD3FDB" w:rsidRPr="007421DB" w:rsidRDefault="0054218C" w:rsidP="0054218C">
      <w:pPr>
        <w:autoSpaceDE w:val="0"/>
        <w:autoSpaceDN w:val="0"/>
        <w:adjustRightInd w:val="0"/>
        <w:spacing w:after="0" w:line="240" w:lineRule="auto"/>
        <w:rPr>
          <w:rFonts w:asciiTheme="majorHAnsi" w:hAnsiTheme="majorHAnsi" w:cstheme="minorHAnsi"/>
          <w:bCs/>
          <w:color w:val="FF0000"/>
          <w:sz w:val="20"/>
          <w:szCs w:val="20"/>
        </w:rPr>
      </w:pPr>
      <w:r w:rsidRPr="007421DB">
        <w:rPr>
          <w:rFonts w:asciiTheme="majorHAnsi" w:hAnsiTheme="majorHAnsi" w:cstheme="minorHAnsi"/>
          <w:bCs/>
          <w:color w:val="FF0000"/>
          <w:sz w:val="20"/>
          <w:szCs w:val="20"/>
        </w:rPr>
        <w:t xml:space="preserve">In the </w:t>
      </w:r>
      <w:r w:rsidR="00451A1A" w:rsidRPr="007421DB">
        <w:rPr>
          <w:rFonts w:asciiTheme="majorHAnsi" w:hAnsiTheme="majorHAnsi" w:cstheme="minorHAnsi"/>
          <w:bCs/>
          <w:color w:val="FF0000"/>
          <w:sz w:val="20"/>
          <w:szCs w:val="20"/>
        </w:rPr>
        <w:t xml:space="preserve">2016 </w:t>
      </w:r>
      <w:r w:rsidRPr="007421DB">
        <w:rPr>
          <w:rFonts w:asciiTheme="majorHAnsi" w:hAnsiTheme="majorHAnsi" w:cstheme="minorHAnsi"/>
          <w:bCs/>
          <w:color w:val="FF0000"/>
          <w:sz w:val="20"/>
          <w:szCs w:val="20"/>
        </w:rPr>
        <w:t>data, the c-statistic was 0.</w:t>
      </w:r>
      <w:r w:rsidR="00DF7345" w:rsidRPr="007421DB">
        <w:rPr>
          <w:rFonts w:asciiTheme="majorHAnsi" w:hAnsiTheme="majorHAnsi" w:cstheme="minorHAnsi"/>
          <w:bCs/>
          <w:color w:val="FF0000"/>
          <w:sz w:val="20"/>
          <w:szCs w:val="20"/>
        </w:rPr>
        <w:t>79</w:t>
      </w:r>
      <w:r w:rsidRPr="007421DB">
        <w:rPr>
          <w:rFonts w:asciiTheme="majorHAnsi" w:hAnsiTheme="majorHAnsi" w:cstheme="minorHAnsi"/>
          <w:bCs/>
          <w:color w:val="FF0000"/>
          <w:sz w:val="20"/>
          <w:szCs w:val="20"/>
        </w:rPr>
        <w:t>, slightly higher than that observed in the original data</w:t>
      </w:r>
      <w:r w:rsidR="00DF7345" w:rsidRPr="007421DB">
        <w:rPr>
          <w:rFonts w:asciiTheme="majorHAnsi" w:hAnsiTheme="majorHAnsi" w:cstheme="minorHAnsi"/>
          <w:bCs/>
          <w:color w:val="FF0000"/>
          <w:sz w:val="20"/>
          <w:szCs w:val="20"/>
        </w:rPr>
        <w:t xml:space="preserve">. </w:t>
      </w:r>
      <w:r w:rsidR="00FD3FDB" w:rsidRPr="007421DB">
        <w:rPr>
          <w:rFonts w:asciiTheme="majorHAnsi" w:hAnsiTheme="majorHAnsi" w:cstheme="minorHAnsi"/>
          <w:bCs/>
          <w:color w:val="FF0000"/>
          <w:sz w:val="20"/>
          <w:szCs w:val="20"/>
        </w:rPr>
        <w:t>Comparable performance was observed across all socio-demographic and clinical subsets, as shown below:</w:t>
      </w:r>
    </w:p>
    <w:p w14:paraId="63BBFE2C" w14:textId="77777777" w:rsidR="00FD3FDB" w:rsidRDefault="00FD3FDB" w:rsidP="0054218C">
      <w:pPr>
        <w:autoSpaceDE w:val="0"/>
        <w:autoSpaceDN w:val="0"/>
        <w:adjustRightInd w:val="0"/>
        <w:spacing w:after="0" w:line="240" w:lineRule="auto"/>
        <w:rPr>
          <w:rFonts w:asciiTheme="majorHAnsi" w:hAnsiTheme="majorHAnsi" w:cstheme="minorHAnsi"/>
          <w:bCs/>
          <w:color w:val="0070C0"/>
          <w:sz w:val="20"/>
          <w:szCs w:val="20"/>
        </w:rPr>
      </w:pPr>
    </w:p>
    <w:tbl>
      <w:tblPr>
        <w:tblStyle w:val="TableGrid"/>
        <w:tblW w:w="6030" w:type="dxa"/>
        <w:tblInd w:w="1165" w:type="dxa"/>
        <w:tblLook w:val="04A0" w:firstRow="1" w:lastRow="0" w:firstColumn="1" w:lastColumn="0" w:noHBand="0" w:noVBand="1"/>
      </w:tblPr>
      <w:tblGrid>
        <w:gridCol w:w="1951"/>
        <w:gridCol w:w="2189"/>
        <w:gridCol w:w="1890"/>
      </w:tblGrid>
      <w:tr w:rsidR="00FD3FDB" w:rsidRPr="00FD3FDB" w14:paraId="76ED9B24" w14:textId="77777777" w:rsidTr="00FD3FDB">
        <w:tc>
          <w:tcPr>
            <w:tcW w:w="1951" w:type="dxa"/>
            <w:vAlign w:val="center"/>
          </w:tcPr>
          <w:p w14:paraId="38B64033" w14:textId="64448B23" w:rsidR="00FD3FDB" w:rsidRPr="00725C95" w:rsidRDefault="00FD3FDB" w:rsidP="00FD3FDB">
            <w:pPr>
              <w:autoSpaceDE w:val="0"/>
              <w:autoSpaceDN w:val="0"/>
              <w:adjustRightInd w:val="0"/>
              <w:jc w:val="center"/>
              <w:rPr>
                <w:rFonts w:asciiTheme="majorHAnsi" w:hAnsiTheme="majorHAnsi" w:cstheme="minorHAnsi"/>
                <w:bCs/>
                <w:color w:val="FF0000"/>
                <w:szCs w:val="20"/>
              </w:rPr>
            </w:pPr>
            <w:r w:rsidRPr="00725C95">
              <w:rPr>
                <w:rFonts w:asciiTheme="majorHAnsi" w:hAnsiTheme="majorHAnsi" w:cstheme="minorHAnsi"/>
                <w:bCs/>
                <w:color w:val="FF0000"/>
                <w:szCs w:val="20"/>
              </w:rPr>
              <w:t>Group</w:t>
            </w:r>
          </w:p>
        </w:tc>
        <w:tc>
          <w:tcPr>
            <w:tcW w:w="2189" w:type="dxa"/>
            <w:vAlign w:val="center"/>
          </w:tcPr>
          <w:p w14:paraId="42C9C5DC" w14:textId="386AA69D" w:rsidR="00FD3FDB" w:rsidRPr="00725C95" w:rsidRDefault="00FD3FDB" w:rsidP="00FD3FDB">
            <w:pPr>
              <w:autoSpaceDE w:val="0"/>
              <w:autoSpaceDN w:val="0"/>
              <w:adjustRightInd w:val="0"/>
              <w:jc w:val="center"/>
              <w:rPr>
                <w:rFonts w:asciiTheme="majorHAnsi" w:hAnsiTheme="majorHAnsi" w:cstheme="minorHAnsi"/>
                <w:bCs/>
                <w:color w:val="FF0000"/>
                <w:szCs w:val="20"/>
              </w:rPr>
            </w:pPr>
            <w:r w:rsidRPr="00725C95">
              <w:rPr>
                <w:rFonts w:asciiTheme="majorHAnsi" w:hAnsiTheme="majorHAnsi" w:cstheme="minorHAnsi"/>
                <w:bCs/>
                <w:color w:val="FF0000"/>
                <w:szCs w:val="20"/>
              </w:rPr>
              <w:t>Sample Size</w:t>
            </w:r>
          </w:p>
        </w:tc>
        <w:tc>
          <w:tcPr>
            <w:tcW w:w="1890" w:type="dxa"/>
          </w:tcPr>
          <w:p w14:paraId="51B860E3" w14:textId="6E86A847" w:rsidR="00FD3FDB" w:rsidRPr="00725C95" w:rsidRDefault="00FD3FDB" w:rsidP="00FD3FDB">
            <w:pPr>
              <w:autoSpaceDE w:val="0"/>
              <w:autoSpaceDN w:val="0"/>
              <w:adjustRightInd w:val="0"/>
              <w:jc w:val="center"/>
              <w:rPr>
                <w:rFonts w:asciiTheme="majorHAnsi" w:hAnsiTheme="majorHAnsi" w:cstheme="minorHAnsi"/>
                <w:bCs/>
                <w:color w:val="FF0000"/>
                <w:szCs w:val="20"/>
              </w:rPr>
            </w:pPr>
            <w:r w:rsidRPr="00725C95">
              <w:rPr>
                <w:rFonts w:asciiTheme="majorHAnsi" w:hAnsiTheme="majorHAnsi" w:cstheme="minorHAnsi"/>
                <w:bCs/>
                <w:color w:val="FF0000"/>
                <w:szCs w:val="20"/>
              </w:rPr>
              <w:t>C-statistic</w:t>
            </w:r>
          </w:p>
        </w:tc>
      </w:tr>
      <w:tr w:rsidR="00FD3FDB" w14:paraId="438C1821" w14:textId="77777777" w:rsidTr="00FD3FDB">
        <w:tc>
          <w:tcPr>
            <w:tcW w:w="1951" w:type="dxa"/>
          </w:tcPr>
          <w:p w14:paraId="5A20B7B6" w14:textId="3EF2A46E"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Overall</w:t>
            </w:r>
          </w:p>
        </w:tc>
        <w:tc>
          <w:tcPr>
            <w:tcW w:w="2189" w:type="dxa"/>
          </w:tcPr>
          <w:p w14:paraId="3434AC57" w14:textId="7D9AD484"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717,510</w:t>
            </w:r>
          </w:p>
        </w:tc>
        <w:tc>
          <w:tcPr>
            <w:tcW w:w="1890" w:type="dxa"/>
          </w:tcPr>
          <w:p w14:paraId="63C45CAC" w14:textId="37D7D3E0"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0.790</w:t>
            </w:r>
          </w:p>
        </w:tc>
      </w:tr>
      <w:tr w:rsidR="00FD3FDB" w14:paraId="688B229C" w14:textId="77777777" w:rsidTr="00FD3FDB">
        <w:tc>
          <w:tcPr>
            <w:tcW w:w="1951" w:type="dxa"/>
          </w:tcPr>
          <w:p w14:paraId="255B596E" w14:textId="6DE7FF08"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STEMI</w:t>
            </w:r>
          </w:p>
        </w:tc>
        <w:tc>
          <w:tcPr>
            <w:tcW w:w="2189" w:type="dxa"/>
          </w:tcPr>
          <w:p w14:paraId="3C829153" w14:textId="782FBAC2"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121,466</w:t>
            </w:r>
          </w:p>
        </w:tc>
        <w:tc>
          <w:tcPr>
            <w:tcW w:w="1890" w:type="dxa"/>
          </w:tcPr>
          <w:p w14:paraId="780DF81D" w14:textId="5A1C9132"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0.733</w:t>
            </w:r>
          </w:p>
        </w:tc>
      </w:tr>
      <w:tr w:rsidR="00FD3FDB" w14:paraId="10EEFFEF" w14:textId="77777777" w:rsidTr="00FD3FDB">
        <w:tc>
          <w:tcPr>
            <w:tcW w:w="1951" w:type="dxa"/>
          </w:tcPr>
          <w:p w14:paraId="1BC734BE" w14:textId="14FB1A96"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Women</w:t>
            </w:r>
          </w:p>
        </w:tc>
        <w:tc>
          <w:tcPr>
            <w:tcW w:w="2189" w:type="dxa"/>
          </w:tcPr>
          <w:p w14:paraId="443F1179" w14:textId="0037A3CB"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223,562</w:t>
            </w:r>
          </w:p>
        </w:tc>
        <w:tc>
          <w:tcPr>
            <w:tcW w:w="1890" w:type="dxa"/>
          </w:tcPr>
          <w:p w14:paraId="428E2E7E" w14:textId="7193582B"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0.742</w:t>
            </w:r>
          </w:p>
        </w:tc>
      </w:tr>
      <w:tr w:rsidR="00FD3FDB" w14:paraId="7B8E839F" w14:textId="77777777" w:rsidTr="00FD3FDB">
        <w:tc>
          <w:tcPr>
            <w:tcW w:w="1951" w:type="dxa"/>
          </w:tcPr>
          <w:p w14:paraId="34ACA0BD" w14:textId="3CAA5705"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 xml:space="preserve">Age &gt;70 </w:t>
            </w:r>
            <w:proofErr w:type="spellStart"/>
            <w:r w:rsidRPr="00725C95">
              <w:rPr>
                <w:rFonts w:asciiTheme="majorHAnsi" w:hAnsiTheme="majorHAnsi" w:cstheme="minorHAnsi"/>
                <w:bCs/>
                <w:color w:val="FF0000"/>
                <w:sz w:val="20"/>
                <w:szCs w:val="20"/>
              </w:rPr>
              <w:t>yrs</w:t>
            </w:r>
            <w:proofErr w:type="spellEnd"/>
          </w:p>
        </w:tc>
        <w:tc>
          <w:tcPr>
            <w:tcW w:w="2189" w:type="dxa"/>
          </w:tcPr>
          <w:p w14:paraId="5D9F36FE" w14:textId="6DD9242B"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252,040</w:t>
            </w:r>
          </w:p>
        </w:tc>
        <w:tc>
          <w:tcPr>
            <w:tcW w:w="1890" w:type="dxa"/>
          </w:tcPr>
          <w:p w14:paraId="400DA14A" w14:textId="3E4D7F28"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0.767</w:t>
            </w:r>
          </w:p>
        </w:tc>
      </w:tr>
      <w:tr w:rsidR="00FD3FDB" w14:paraId="5218AA95" w14:textId="77777777" w:rsidTr="00FD3FDB">
        <w:tc>
          <w:tcPr>
            <w:tcW w:w="1951" w:type="dxa"/>
          </w:tcPr>
          <w:p w14:paraId="78FFCFE7" w14:textId="3E13ECFC"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Diabetes</w:t>
            </w:r>
          </w:p>
        </w:tc>
        <w:tc>
          <w:tcPr>
            <w:tcW w:w="2189" w:type="dxa"/>
          </w:tcPr>
          <w:p w14:paraId="08D7D04D" w14:textId="1D775604"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286,743</w:t>
            </w:r>
          </w:p>
        </w:tc>
        <w:tc>
          <w:tcPr>
            <w:tcW w:w="1890" w:type="dxa"/>
          </w:tcPr>
          <w:p w14:paraId="5A5EC55B" w14:textId="062BA276"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0.793</w:t>
            </w:r>
          </w:p>
        </w:tc>
      </w:tr>
      <w:tr w:rsidR="00FD3FDB" w14:paraId="622B8083" w14:textId="77777777" w:rsidTr="00FD3FDB">
        <w:tc>
          <w:tcPr>
            <w:tcW w:w="1951" w:type="dxa"/>
          </w:tcPr>
          <w:p w14:paraId="4A0A16FA" w14:textId="53043586"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Caucasian</w:t>
            </w:r>
          </w:p>
        </w:tc>
        <w:tc>
          <w:tcPr>
            <w:tcW w:w="2189" w:type="dxa"/>
          </w:tcPr>
          <w:p w14:paraId="002040F4" w14:textId="63863968"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617,123</w:t>
            </w:r>
          </w:p>
        </w:tc>
        <w:tc>
          <w:tcPr>
            <w:tcW w:w="1890" w:type="dxa"/>
          </w:tcPr>
          <w:p w14:paraId="70687E32" w14:textId="2F5541EB"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0.788</w:t>
            </w:r>
          </w:p>
        </w:tc>
      </w:tr>
      <w:tr w:rsidR="00FD3FDB" w14:paraId="027D47FB" w14:textId="77777777" w:rsidTr="00FD3FDB">
        <w:tc>
          <w:tcPr>
            <w:tcW w:w="1951" w:type="dxa"/>
          </w:tcPr>
          <w:p w14:paraId="6215CF87" w14:textId="74CEA6DD"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Non-Caucasian</w:t>
            </w:r>
          </w:p>
        </w:tc>
        <w:tc>
          <w:tcPr>
            <w:tcW w:w="2189" w:type="dxa"/>
          </w:tcPr>
          <w:p w14:paraId="79C74748" w14:textId="36E46BF7"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100,387</w:t>
            </w:r>
          </w:p>
        </w:tc>
        <w:tc>
          <w:tcPr>
            <w:tcW w:w="1890" w:type="dxa"/>
          </w:tcPr>
          <w:p w14:paraId="6D067BCE" w14:textId="740EA9FC"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0.796</w:t>
            </w:r>
          </w:p>
        </w:tc>
      </w:tr>
      <w:tr w:rsidR="00FD3FDB" w14:paraId="69C3C107" w14:textId="77777777" w:rsidTr="00FD3FDB">
        <w:tc>
          <w:tcPr>
            <w:tcW w:w="1951" w:type="dxa"/>
          </w:tcPr>
          <w:p w14:paraId="76948BA2" w14:textId="15D10722" w:rsidR="00FD3FDB" w:rsidRPr="00725C95" w:rsidRDefault="00FD3FDB" w:rsidP="00FD3FDB">
            <w:pPr>
              <w:autoSpaceDE w:val="0"/>
              <w:autoSpaceDN w:val="0"/>
              <w:adjustRightInd w:val="0"/>
              <w:jc w:val="right"/>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No-Insurance</w:t>
            </w:r>
          </w:p>
        </w:tc>
        <w:tc>
          <w:tcPr>
            <w:tcW w:w="2189" w:type="dxa"/>
          </w:tcPr>
          <w:p w14:paraId="3BBDB199" w14:textId="0F0B51CF"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32,270</w:t>
            </w:r>
          </w:p>
        </w:tc>
        <w:tc>
          <w:tcPr>
            <w:tcW w:w="1890" w:type="dxa"/>
          </w:tcPr>
          <w:p w14:paraId="77531C36" w14:textId="404E3D5A" w:rsidR="00FD3FDB" w:rsidRPr="00725C95" w:rsidRDefault="00FD3FDB" w:rsidP="00FD3FDB">
            <w:pPr>
              <w:autoSpaceDE w:val="0"/>
              <w:autoSpaceDN w:val="0"/>
              <w:adjustRightInd w:val="0"/>
              <w:jc w:val="center"/>
              <w:rPr>
                <w:rFonts w:asciiTheme="majorHAnsi" w:hAnsiTheme="majorHAnsi" w:cstheme="minorHAnsi"/>
                <w:bCs/>
                <w:color w:val="FF0000"/>
                <w:sz w:val="20"/>
                <w:szCs w:val="20"/>
              </w:rPr>
            </w:pPr>
            <w:r w:rsidRPr="00725C95">
              <w:rPr>
                <w:rFonts w:asciiTheme="majorHAnsi" w:hAnsiTheme="majorHAnsi" w:cstheme="minorHAnsi"/>
                <w:bCs/>
                <w:color w:val="FF0000"/>
                <w:sz w:val="20"/>
                <w:szCs w:val="20"/>
              </w:rPr>
              <w:t>0.781</w:t>
            </w:r>
          </w:p>
        </w:tc>
      </w:tr>
    </w:tbl>
    <w:p w14:paraId="7B51DB5A" w14:textId="77777777" w:rsidR="00FD3FDB" w:rsidRDefault="00FD3FDB" w:rsidP="0054218C">
      <w:pPr>
        <w:autoSpaceDE w:val="0"/>
        <w:autoSpaceDN w:val="0"/>
        <w:adjustRightInd w:val="0"/>
        <w:spacing w:after="0" w:line="240" w:lineRule="auto"/>
        <w:rPr>
          <w:rFonts w:asciiTheme="majorHAnsi" w:hAnsiTheme="majorHAnsi" w:cstheme="minorHAnsi"/>
          <w:bCs/>
          <w:color w:val="0070C0"/>
          <w:sz w:val="20"/>
          <w:szCs w:val="20"/>
        </w:rPr>
      </w:pPr>
    </w:p>
    <w:p w14:paraId="3E12D02D" w14:textId="77777777" w:rsidR="00FD3FDB" w:rsidRDefault="00FD3FDB" w:rsidP="0054218C">
      <w:pPr>
        <w:autoSpaceDE w:val="0"/>
        <w:autoSpaceDN w:val="0"/>
        <w:adjustRightInd w:val="0"/>
        <w:spacing w:after="0" w:line="240" w:lineRule="auto"/>
        <w:rPr>
          <w:rFonts w:asciiTheme="majorHAnsi" w:hAnsiTheme="majorHAnsi" w:cstheme="minorHAnsi"/>
          <w:bCs/>
          <w:color w:val="0070C0"/>
          <w:sz w:val="20"/>
          <w:szCs w:val="20"/>
        </w:rPr>
      </w:pPr>
    </w:p>
    <w:p w14:paraId="550BB677" w14:textId="19B4510E" w:rsidR="0054218C" w:rsidRPr="00001D73" w:rsidRDefault="0054218C" w:rsidP="0054218C">
      <w:pPr>
        <w:autoSpaceDE w:val="0"/>
        <w:autoSpaceDN w:val="0"/>
        <w:adjustRightInd w:val="0"/>
        <w:spacing w:after="0" w:line="240" w:lineRule="auto"/>
        <w:rPr>
          <w:rFonts w:cstheme="minorHAnsi"/>
          <w:b/>
          <w:bCs/>
        </w:rPr>
      </w:pPr>
      <w:r w:rsidRPr="00001D73">
        <w:rPr>
          <w:rFonts w:cstheme="minorHAnsi"/>
          <w:b/>
        </w:rPr>
        <w:br/>
      </w:r>
    </w:p>
    <w:p w14:paraId="0CABCFFD" w14:textId="6D7700EC" w:rsidR="00001D73" w:rsidRPr="00001D73" w:rsidRDefault="00092566" w:rsidP="00092566">
      <w:pPr>
        <w:autoSpaceDE w:val="0"/>
        <w:autoSpaceDN w:val="0"/>
        <w:adjustRightInd w:val="0"/>
        <w:spacing w:after="0" w:line="240" w:lineRule="auto"/>
        <w:rPr>
          <w:rFonts w:cstheme="minorHAnsi"/>
          <w:b/>
          <w:bCs/>
        </w:rPr>
      </w:pPr>
      <w:r w:rsidRPr="00001D73">
        <w:rPr>
          <w:rFonts w:cstheme="minorHAnsi"/>
          <w:b/>
        </w:rPr>
        <w:br/>
      </w:r>
    </w:p>
    <w:p w14:paraId="3D63E69F" w14:textId="77777777" w:rsidR="0054218C" w:rsidRDefault="009C7513" w:rsidP="00092566">
      <w:pPr>
        <w:autoSpaceDE w:val="0"/>
        <w:autoSpaceDN w:val="0"/>
        <w:adjustRightInd w:val="0"/>
        <w:spacing w:after="0" w:line="240" w:lineRule="auto"/>
        <w:rPr>
          <w:rFonts w:cstheme="minorHAnsi"/>
          <w:bCs/>
        </w:rPr>
      </w:pPr>
      <w:r w:rsidRPr="004E2BC4">
        <w:rPr>
          <w:rFonts w:cstheme="minorHAnsi"/>
          <w:b/>
          <w:bCs/>
        </w:rPr>
        <w:t>2b3</w:t>
      </w:r>
      <w:r w:rsidR="00743E46" w:rsidRPr="004E2BC4">
        <w:rPr>
          <w:rFonts w:cstheme="minorHAnsi"/>
          <w:b/>
          <w:bCs/>
        </w:rPr>
        <w:t>.7</w:t>
      </w:r>
      <w:r w:rsidR="00001D73" w:rsidRPr="004E2BC4">
        <w:rPr>
          <w:rFonts w:cstheme="minorHAnsi"/>
          <w:b/>
          <w:bCs/>
        </w:rPr>
        <w:t xml:space="preserve">. </w:t>
      </w:r>
      <w:r w:rsidR="00743E46" w:rsidRPr="004E2BC4">
        <w:rPr>
          <w:rFonts w:cstheme="minorHAnsi"/>
          <w:b/>
          <w:bCs/>
        </w:rPr>
        <w:t xml:space="preserve">Statistical </w:t>
      </w:r>
      <w:r w:rsidR="00092566" w:rsidRPr="004E2BC4">
        <w:rPr>
          <w:rFonts w:cstheme="minorHAnsi"/>
          <w:b/>
          <w:bCs/>
        </w:rPr>
        <w:t>Risk Model Calibration Statistics</w:t>
      </w:r>
      <w:r w:rsidR="003605B4" w:rsidRPr="004E2BC4">
        <w:rPr>
          <w:rFonts w:cstheme="minorHAnsi"/>
          <w:b/>
          <w:bCs/>
        </w:rPr>
        <w:t xml:space="preserve"> </w:t>
      </w:r>
      <w:r w:rsidR="003605B4" w:rsidRPr="004E2BC4">
        <w:rPr>
          <w:rFonts w:cstheme="minorHAnsi"/>
          <w:bCs/>
        </w:rPr>
        <w:t>(</w:t>
      </w:r>
      <w:r w:rsidR="003605B4" w:rsidRPr="004E2BC4">
        <w:rPr>
          <w:rFonts w:cstheme="minorHAnsi"/>
          <w:bCs/>
          <w:i/>
        </w:rPr>
        <w:t>e.g., Hosmer-</w:t>
      </w:r>
      <w:proofErr w:type="spellStart"/>
      <w:r w:rsidR="003605B4" w:rsidRPr="004E2BC4">
        <w:rPr>
          <w:rFonts w:cstheme="minorHAnsi"/>
          <w:bCs/>
          <w:i/>
        </w:rPr>
        <w:t>Lemeshow</w:t>
      </w:r>
      <w:proofErr w:type="spellEnd"/>
      <w:r w:rsidR="003605B4" w:rsidRPr="004E2BC4">
        <w:rPr>
          <w:rFonts w:cstheme="minorHAnsi"/>
          <w:bCs/>
          <w:i/>
        </w:rPr>
        <w:t xml:space="preserve"> statistic</w:t>
      </w:r>
      <w:r w:rsidR="003605B4" w:rsidRPr="004E2BC4">
        <w:rPr>
          <w:rFonts w:cstheme="minorHAnsi"/>
          <w:bCs/>
        </w:rPr>
        <w:t>)</w:t>
      </w:r>
      <w:r w:rsidR="00092566" w:rsidRPr="004E2BC4">
        <w:rPr>
          <w:rFonts w:cstheme="minorHAnsi"/>
          <w:bCs/>
        </w:rPr>
        <w:t>:</w:t>
      </w:r>
      <w:r w:rsidR="00092566" w:rsidRPr="00A25024">
        <w:rPr>
          <w:rFonts w:cstheme="minorHAnsi"/>
          <w:bCs/>
        </w:rPr>
        <w:t xml:space="preserve">  </w:t>
      </w:r>
    </w:p>
    <w:p w14:paraId="75CFE6B8" w14:textId="77777777" w:rsidR="0054218C" w:rsidRDefault="0054218C" w:rsidP="00092566">
      <w:pPr>
        <w:autoSpaceDE w:val="0"/>
        <w:autoSpaceDN w:val="0"/>
        <w:adjustRightInd w:val="0"/>
        <w:spacing w:after="0" w:line="240" w:lineRule="auto"/>
        <w:rPr>
          <w:rFonts w:cstheme="minorHAnsi"/>
          <w:bCs/>
        </w:rPr>
      </w:pPr>
    </w:p>
    <w:p w14:paraId="04750D91" w14:textId="31FBD248" w:rsidR="0054218C" w:rsidRPr="00AE46EC" w:rsidRDefault="0054218C" w:rsidP="0054218C">
      <w:pPr>
        <w:autoSpaceDE w:val="0"/>
        <w:autoSpaceDN w:val="0"/>
        <w:adjustRightInd w:val="0"/>
        <w:spacing w:after="0" w:line="240" w:lineRule="auto"/>
        <w:rPr>
          <w:rFonts w:asciiTheme="majorHAnsi" w:hAnsiTheme="majorHAnsi" w:cstheme="minorHAnsi"/>
          <w:bCs/>
          <w:color w:val="FF0000"/>
          <w:sz w:val="20"/>
          <w:szCs w:val="20"/>
        </w:rPr>
      </w:pPr>
      <w:r w:rsidRPr="00AE46EC">
        <w:rPr>
          <w:rFonts w:asciiTheme="majorHAnsi" w:hAnsiTheme="majorHAnsi" w:cstheme="minorHAnsi"/>
          <w:bCs/>
          <w:color w:val="FF0000"/>
          <w:sz w:val="20"/>
          <w:szCs w:val="20"/>
        </w:rPr>
        <w:t xml:space="preserve">Before recalibrating the model to the </w:t>
      </w:r>
      <w:r w:rsidR="00322A8D" w:rsidRPr="00AE46EC">
        <w:rPr>
          <w:rFonts w:asciiTheme="majorHAnsi" w:hAnsiTheme="majorHAnsi" w:cstheme="minorHAnsi"/>
          <w:bCs/>
          <w:color w:val="FF0000"/>
          <w:sz w:val="20"/>
          <w:szCs w:val="20"/>
        </w:rPr>
        <w:t xml:space="preserve">2016 </w:t>
      </w:r>
      <w:r w:rsidRPr="00AE46EC">
        <w:rPr>
          <w:rFonts w:asciiTheme="majorHAnsi" w:hAnsiTheme="majorHAnsi" w:cstheme="minorHAnsi"/>
          <w:bCs/>
          <w:color w:val="FF0000"/>
          <w:sz w:val="20"/>
          <w:szCs w:val="20"/>
        </w:rPr>
        <w:t>data the slope of the calibration line was 1.</w:t>
      </w:r>
      <w:r w:rsidR="00126B5B" w:rsidRPr="00AE46EC">
        <w:rPr>
          <w:rFonts w:asciiTheme="majorHAnsi" w:hAnsiTheme="majorHAnsi" w:cstheme="minorHAnsi"/>
          <w:bCs/>
          <w:color w:val="FF0000"/>
          <w:sz w:val="20"/>
          <w:szCs w:val="20"/>
        </w:rPr>
        <w:t xml:space="preserve">059 </w:t>
      </w:r>
      <w:r w:rsidRPr="00AE46EC">
        <w:rPr>
          <w:rFonts w:asciiTheme="majorHAnsi" w:hAnsiTheme="majorHAnsi" w:cstheme="minorHAnsi"/>
          <w:bCs/>
          <w:color w:val="FF0000"/>
          <w:sz w:val="20"/>
          <w:szCs w:val="20"/>
        </w:rPr>
        <w:t>(p</w:t>
      </w:r>
      <w:r w:rsidR="00126B5B" w:rsidRPr="00AE46EC">
        <w:rPr>
          <w:rFonts w:asciiTheme="majorHAnsi" w:hAnsiTheme="majorHAnsi" w:cstheme="minorHAnsi"/>
          <w:bCs/>
          <w:color w:val="FF0000"/>
          <w:sz w:val="20"/>
          <w:szCs w:val="20"/>
        </w:rPr>
        <w:t>&lt;.001</w:t>
      </w:r>
      <w:r w:rsidRPr="00AE46EC">
        <w:rPr>
          <w:rFonts w:asciiTheme="majorHAnsi" w:hAnsiTheme="majorHAnsi" w:cstheme="minorHAnsi"/>
          <w:bCs/>
          <w:color w:val="FF0000"/>
          <w:sz w:val="20"/>
          <w:szCs w:val="20"/>
        </w:rPr>
        <w:t xml:space="preserve">) indicating that the relationship between the independent variables in our model and the bleeding outcome </w:t>
      </w:r>
      <w:r w:rsidR="00120C69" w:rsidRPr="00AE46EC">
        <w:rPr>
          <w:rFonts w:asciiTheme="majorHAnsi" w:hAnsiTheme="majorHAnsi" w:cstheme="minorHAnsi"/>
          <w:bCs/>
          <w:color w:val="FF0000"/>
          <w:sz w:val="20"/>
          <w:szCs w:val="20"/>
        </w:rPr>
        <w:t xml:space="preserve">slightly overpredicted bleeding in the lower risk patients, </w:t>
      </w:r>
      <w:r w:rsidR="00126B5B" w:rsidRPr="00AE46EC">
        <w:rPr>
          <w:rFonts w:asciiTheme="majorHAnsi" w:hAnsiTheme="majorHAnsi" w:cstheme="minorHAnsi"/>
          <w:bCs/>
          <w:color w:val="FF0000"/>
          <w:sz w:val="20"/>
          <w:szCs w:val="20"/>
        </w:rPr>
        <w:t>with a perfect slope being 1</w:t>
      </w:r>
      <w:r w:rsidRPr="00AE46EC">
        <w:rPr>
          <w:rFonts w:asciiTheme="majorHAnsi" w:hAnsiTheme="majorHAnsi" w:cstheme="minorHAnsi"/>
          <w:bCs/>
          <w:color w:val="FF0000"/>
          <w:sz w:val="20"/>
          <w:szCs w:val="20"/>
        </w:rPr>
        <w:t>, and the intercept of the line was -0.</w:t>
      </w:r>
      <w:r w:rsidR="00126B5B" w:rsidRPr="00AE46EC">
        <w:rPr>
          <w:rFonts w:asciiTheme="majorHAnsi" w:hAnsiTheme="majorHAnsi" w:cstheme="minorHAnsi"/>
          <w:bCs/>
          <w:color w:val="FF0000"/>
          <w:sz w:val="20"/>
          <w:szCs w:val="20"/>
        </w:rPr>
        <w:t xml:space="preserve">1265 </w:t>
      </w:r>
      <w:r w:rsidRPr="00AE46EC">
        <w:rPr>
          <w:rFonts w:asciiTheme="majorHAnsi" w:hAnsiTheme="majorHAnsi" w:cstheme="minorHAnsi"/>
          <w:bCs/>
          <w:color w:val="FF0000"/>
          <w:sz w:val="20"/>
          <w:szCs w:val="20"/>
        </w:rPr>
        <w:t xml:space="preserve">(p&lt;.0001) indicating that the bleeding rate </w:t>
      </w:r>
      <w:r w:rsidR="00120C69" w:rsidRPr="00AE46EC">
        <w:rPr>
          <w:rFonts w:asciiTheme="majorHAnsi" w:hAnsiTheme="majorHAnsi" w:cstheme="minorHAnsi"/>
          <w:bCs/>
          <w:color w:val="FF0000"/>
          <w:sz w:val="20"/>
          <w:szCs w:val="20"/>
        </w:rPr>
        <w:t>h</w:t>
      </w:r>
      <w:r w:rsidRPr="00AE46EC">
        <w:rPr>
          <w:rFonts w:asciiTheme="majorHAnsi" w:hAnsiTheme="majorHAnsi" w:cstheme="minorHAnsi"/>
          <w:bCs/>
          <w:color w:val="FF0000"/>
          <w:sz w:val="20"/>
          <w:szCs w:val="20"/>
        </w:rPr>
        <w:t xml:space="preserve">as decreased since the model was developed.  </w:t>
      </w:r>
    </w:p>
    <w:p w14:paraId="199634DE" w14:textId="77777777" w:rsidR="0054218C" w:rsidRPr="00AE46EC" w:rsidRDefault="0054218C" w:rsidP="0054218C">
      <w:pPr>
        <w:autoSpaceDE w:val="0"/>
        <w:autoSpaceDN w:val="0"/>
        <w:adjustRightInd w:val="0"/>
        <w:spacing w:after="0" w:line="240" w:lineRule="auto"/>
        <w:rPr>
          <w:rFonts w:asciiTheme="majorHAnsi" w:hAnsiTheme="majorHAnsi" w:cstheme="minorHAnsi"/>
          <w:bCs/>
          <w:color w:val="FF0000"/>
          <w:sz w:val="20"/>
          <w:szCs w:val="20"/>
        </w:rPr>
      </w:pPr>
    </w:p>
    <w:p w14:paraId="3276DD2D" w14:textId="47F9A7C8" w:rsidR="0054218C" w:rsidRPr="00AE46EC" w:rsidRDefault="0054218C" w:rsidP="0054218C">
      <w:pPr>
        <w:autoSpaceDE w:val="0"/>
        <w:autoSpaceDN w:val="0"/>
        <w:adjustRightInd w:val="0"/>
        <w:spacing w:after="0" w:line="240" w:lineRule="auto"/>
        <w:rPr>
          <w:rFonts w:asciiTheme="majorHAnsi" w:hAnsiTheme="majorHAnsi" w:cstheme="minorHAnsi"/>
          <w:bCs/>
          <w:color w:val="FF0000"/>
          <w:sz w:val="20"/>
          <w:szCs w:val="20"/>
        </w:rPr>
      </w:pPr>
      <w:r w:rsidRPr="00AE46EC">
        <w:rPr>
          <w:rFonts w:asciiTheme="majorHAnsi" w:hAnsiTheme="majorHAnsi" w:cstheme="minorHAnsi"/>
          <w:bCs/>
          <w:color w:val="FF0000"/>
          <w:sz w:val="20"/>
          <w:szCs w:val="20"/>
        </w:rPr>
        <w:t xml:space="preserve">Due to the decreased bleeding rate from model development we recalibrated the model to the </w:t>
      </w:r>
      <w:r w:rsidR="00126B5B" w:rsidRPr="00AE46EC">
        <w:rPr>
          <w:rFonts w:asciiTheme="majorHAnsi" w:hAnsiTheme="majorHAnsi" w:cstheme="minorHAnsi"/>
          <w:bCs/>
          <w:color w:val="FF0000"/>
          <w:sz w:val="20"/>
          <w:szCs w:val="20"/>
        </w:rPr>
        <w:t xml:space="preserve">2016 </w:t>
      </w:r>
      <w:r w:rsidRPr="00AE46EC">
        <w:rPr>
          <w:rFonts w:asciiTheme="majorHAnsi" w:hAnsiTheme="majorHAnsi" w:cstheme="minorHAnsi"/>
          <w:bCs/>
          <w:color w:val="FF0000"/>
          <w:sz w:val="20"/>
          <w:szCs w:val="20"/>
        </w:rPr>
        <w:t xml:space="preserve">rates and obtained a slope and intercept of 1 and 0 respectively.  </w:t>
      </w:r>
      <w:r w:rsidR="009B23AE">
        <w:rPr>
          <w:rFonts w:asciiTheme="majorHAnsi" w:hAnsiTheme="majorHAnsi" w:cstheme="minorHAnsi"/>
          <w:bCs/>
          <w:color w:val="FF0000"/>
          <w:sz w:val="20"/>
          <w:szCs w:val="20"/>
        </w:rPr>
        <w:t xml:space="preserve">See Figure 2. </w:t>
      </w:r>
    </w:p>
    <w:p w14:paraId="0CABCFFE" w14:textId="3C93311C" w:rsidR="00001D73" w:rsidRDefault="00092566" w:rsidP="00092566">
      <w:pPr>
        <w:autoSpaceDE w:val="0"/>
        <w:autoSpaceDN w:val="0"/>
        <w:adjustRightInd w:val="0"/>
        <w:spacing w:after="0" w:line="240" w:lineRule="auto"/>
        <w:rPr>
          <w:rFonts w:cstheme="minorHAnsi"/>
          <w:b/>
          <w:bCs/>
        </w:rPr>
      </w:pPr>
      <w:r w:rsidRPr="00A25024">
        <w:rPr>
          <w:rFonts w:cstheme="minorHAnsi"/>
          <w:bCs/>
        </w:rPr>
        <w:br/>
      </w:r>
    </w:p>
    <w:p w14:paraId="150FC77D" w14:textId="77777777" w:rsidR="0054218C" w:rsidRDefault="009C7513" w:rsidP="00092566">
      <w:pPr>
        <w:autoSpaceDE w:val="0"/>
        <w:autoSpaceDN w:val="0"/>
        <w:adjustRightInd w:val="0"/>
        <w:spacing w:after="0" w:line="240" w:lineRule="auto"/>
        <w:rPr>
          <w:rFonts w:cstheme="minorHAnsi"/>
          <w:bCs/>
        </w:rPr>
      </w:pPr>
      <w:r w:rsidRPr="004E2BC4">
        <w:rPr>
          <w:rFonts w:cstheme="minorHAnsi"/>
          <w:b/>
          <w:bCs/>
        </w:rPr>
        <w:t>2b3</w:t>
      </w:r>
      <w:r w:rsidR="00743E46" w:rsidRPr="004E2BC4">
        <w:rPr>
          <w:rFonts w:cstheme="minorHAnsi"/>
          <w:b/>
          <w:bCs/>
        </w:rPr>
        <w:t>.8</w:t>
      </w:r>
      <w:r w:rsidR="00001D73" w:rsidRPr="004E2BC4">
        <w:rPr>
          <w:rFonts w:cstheme="minorHAnsi"/>
          <w:b/>
          <w:bCs/>
        </w:rPr>
        <w:t xml:space="preserve">. </w:t>
      </w:r>
      <w:r w:rsidR="00743E46" w:rsidRPr="004E2BC4">
        <w:rPr>
          <w:rFonts w:cstheme="minorHAnsi"/>
          <w:b/>
          <w:bCs/>
        </w:rPr>
        <w:t xml:space="preserve">Statistical </w:t>
      </w:r>
      <w:r w:rsidR="00092566" w:rsidRPr="004E2BC4">
        <w:rPr>
          <w:rFonts w:cstheme="minorHAnsi"/>
          <w:b/>
          <w:bCs/>
        </w:rPr>
        <w:t>Risk Model Calibration – Risk decile plots or calibration curves</w:t>
      </w:r>
      <w:r w:rsidR="00092566" w:rsidRPr="004E2BC4">
        <w:rPr>
          <w:rFonts w:cstheme="minorHAnsi"/>
          <w:bCs/>
        </w:rPr>
        <w:t>:</w:t>
      </w:r>
    </w:p>
    <w:p w14:paraId="0CABCFFF" w14:textId="2A757428" w:rsidR="00743E46" w:rsidRDefault="00743E46" w:rsidP="00092566">
      <w:pPr>
        <w:autoSpaceDE w:val="0"/>
        <w:autoSpaceDN w:val="0"/>
        <w:adjustRightInd w:val="0"/>
        <w:spacing w:after="0" w:line="240" w:lineRule="auto"/>
        <w:rPr>
          <w:rFonts w:cstheme="minorHAnsi"/>
          <w:b/>
        </w:rPr>
      </w:pPr>
    </w:p>
    <w:p w14:paraId="6661867C" w14:textId="77777777" w:rsidR="007F1C96" w:rsidRDefault="007F1C96" w:rsidP="007F1C96">
      <w:pPr>
        <w:autoSpaceDE w:val="0"/>
        <w:autoSpaceDN w:val="0"/>
        <w:adjustRightInd w:val="0"/>
        <w:spacing w:after="0" w:line="240" w:lineRule="auto"/>
        <w:rPr>
          <w:rFonts w:cstheme="minorHAnsi"/>
          <w:b/>
        </w:rPr>
      </w:pPr>
      <w:bookmarkStart w:id="14" w:name="question2b49"/>
      <w:bookmarkEnd w:id="14"/>
    </w:p>
    <w:p w14:paraId="467139BC" w14:textId="06A82C00" w:rsidR="007F1C96" w:rsidRPr="006C2E2F" w:rsidRDefault="007F1C96" w:rsidP="00923D12">
      <w:pPr>
        <w:spacing w:line="240" w:lineRule="auto"/>
        <w:outlineLvl w:val="0"/>
        <w:rPr>
          <w:rFonts w:asciiTheme="majorHAnsi" w:hAnsiTheme="majorHAnsi"/>
          <w:b/>
          <w:color w:val="FF0000"/>
          <w:sz w:val="18"/>
        </w:rPr>
      </w:pPr>
      <w:r w:rsidRPr="006C2E2F">
        <w:rPr>
          <w:rFonts w:asciiTheme="majorHAnsi" w:hAnsiTheme="majorHAnsi"/>
          <w:b/>
          <w:bCs/>
          <w:color w:val="FF0000"/>
          <w:sz w:val="18"/>
          <w:szCs w:val="18"/>
        </w:rPr>
        <w:t xml:space="preserve">Figure </w:t>
      </w:r>
      <w:r w:rsidRPr="006C2E2F">
        <w:rPr>
          <w:rFonts w:asciiTheme="majorHAnsi" w:hAnsiTheme="majorHAnsi"/>
          <w:b/>
          <w:bCs/>
          <w:color w:val="FF0000"/>
          <w:sz w:val="18"/>
          <w:szCs w:val="18"/>
        </w:rPr>
        <w:fldChar w:fldCharType="begin"/>
      </w:r>
      <w:r w:rsidRPr="006C2E2F">
        <w:rPr>
          <w:rFonts w:asciiTheme="majorHAnsi" w:hAnsiTheme="majorHAnsi"/>
          <w:b/>
          <w:bCs/>
          <w:color w:val="FF0000"/>
          <w:sz w:val="18"/>
          <w:szCs w:val="18"/>
        </w:rPr>
        <w:instrText xml:space="preserve"> SEQ Figure \* ARABIC </w:instrText>
      </w:r>
      <w:r w:rsidRPr="006C2E2F">
        <w:rPr>
          <w:rFonts w:asciiTheme="majorHAnsi" w:hAnsiTheme="majorHAnsi"/>
          <w:b/>
          <w:bCs/>
          <w:color w:val="FF0000"/>
          <w:sz w:val="18"/>
          <w:szCs w:val="18"/>
        </w:rPr>
        <w:fldChar w:fldCharType="separate"/>
      </w:r>
      <w:r w:rsidR="00452FB8">
        <w:rPr>
          <w:rFonts w:asciiTheme="majorHAnsi" w:hAnsiTheme="majorHAnsi"/>
          <w:b/>
          <w:bCs/>
          <w:noProof/>
          <w:color w:val="FF0000"/>
          <w:sz w:val="18"/>
          <w:szCs w:val="18"/>
        </w:rPr>
        <w:t>1</w:t>
      </w:r>
      <w:r w:rsidRPr="006C2E2F">
        <w:rPr>
          <w:rFonts w:asciiTheme="majorHAnsi" w:hAnsiTheme="majorHAnsi"/>
          <w:b/>
          <w:bCs/>
          <w:color w:val="FF0000"/>
          <w:sz w:val="18"/>
          <w:szCs w:val="18"/>
        </w:rPr>
        <w:fldChar w:fldCharType="end"/>
      </w:r>
      <w:r w:rsidRPr="006C2E2F">
        <w:rPr>
          <w:rFonts w:asciiTheme="majorHAnsi" w:hAnsiTheme="majorHAnsi"/>
          <w:b/>
          <w:bCs/>
          <w:color w:val="FF0000"/>
          <w:sz w:val="18"/>
          <w:szCs w:val="18"/>
        </w:rPr>
        <w:t>. Calibration Curve Plot</w:t>
      </w:r>
      <w:r w:rsidR="00322A8D" w:rsidRPr="006C2E2F">
        <w:rPr>
          <w:rFonts w:asciiTheme="majorHAnsi" w:hAnsiTheme="majorHAnsi"/>
          <w:b/>
          <w:bCs/>
          <w:color w:val="FF0000"/>
          <w:sz w:val="18"/>
          <w:szCs w:val="18"/>
        </w:rPr>
        <w:t xml:space="preserve"> 2016</w:t>
      </w:r>
    </w:p>
    <w:p w14:paraId="29DBFE1B" w14:textId="52898136" w:rsidR="00322A8D" w:rsidRPr="005458A2" w:rsidRDefault="00322A8D" w:rsidP="007F1C96">
      <w:pPr>
        <w:spacing w:line="240" w:lineRule="auto"/>
        <w:rPr>
          <w:rFonts w:asciiTheme="majorHAnsi" w:hAnsiTheme="majorHAnsi" w:cstheme="minorHAnsi"/>
          <w:b/>
          <w:bCs/>
          <w:sz w:val="20"/>
          <w:szCs w:val="20"/>
        </w:rPr>
      </w:pPr>
      <w:r>
        <w:rPr>
          <w:noProof/>
          <w:sz w:val="24"/>
          <w:szCs w:val="24"/>
        </w:rPr>
        <w:drawing>
          <wp:inline distT="0" distB="0" distL="0" distR="0" wp14:anchorId="16F67887" wp14:editId="37D1252F">
            <wp:extent cx="5943600" cy="4647049"/>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647049"/>
                    </a:xfrm>
                    <a:prstGeom prst="rect">
                      <a:avLst/>
                    </a:prstGeom>
                    <a:noFill/>
                    <a:ln>
                      <a:noFill/>
                    </a:ln>
                  </pic:spPr>
                </pic:pic>
              </a:graphicData>
            </a:graphic>
          </wp:inline>
        </w:drawing>
      </w:r>
    </w:p>
    <w:p w14:paraId="58943023" w14:textId="77777777" w:rsidR="007F1C96" w:rsidRDefault="007F1C96" w:rsidP="00092566">
      <w:pPr>
        <w:autoSpaceDE w:val="0"/>
        <w:autoSpaceDN w:val="0"/>
        <w:adjustRightInd w:val="0"/>
        <w:spacing w:after="0" w:line="240" w:lineRule="auto"/>
        <w:rPr>
          <w:rFonts w:cstheme="minorHAnsi"/>
          <w:b/>
        </w:rPr>
      </w:pPr>
    </w:p>
    <w:p w14:paraId="48079810" w14:textId="77777777" w:rsidR="007F1C96" w:rsidRDefault="007F1C96" w:rsidP="00092566">
      <w:pPr>
        <w:autoSpaceDE w:val="0"/>
        <w:autoSpaceDN w:val="0"/>
        <w:adjustRightInd w:val="0"/>
        <w:spacing w:after="0" w:line="240" w:lineRule="auto"/>
        <w:rPr>
          <w:rFonts w:cstheme="minorHAnsi"/>
          <w:b/>
        </w:rPr>
      </w:pPr>
    </w:p>
    <w:p w14:paraId="0CABD000" w14:textId="2277C090" w:rsidR="00092566" w:rsidRDefault="009C7513" w:rsidP="00092566">
      <w:pPr>
        <w:autoSpaceDE w:val="0"/>
        <w:autoSpaceDN w:val="0"/>
        <w:adjustRightInd w:val="0"/>
        <w:spacing w:after="0" w:line="240" w:lineRule="auto"/>
        <w:rPr>
          <w:rFonts w:cstheme="minorHAnsi"/>
          <w:bCs/>
        </w:rPr>
      </w:pPr>
      <w:r w:rsidRPr="006C2E2F">
        <w:rPr>
          <w:rFonts w:cstheme="minorHAnsi"/>
          <w:b/>
        </w:rPr>
        <w:t>2b3</w:t>
      </w:r>
      <w:r w:rsidR="00743E46" w:rsidRPr="006C2E2F">
        <w:rPr>
          <w:rFonts w:cstheme="minorHAnsi"/>
          <w:b/>
        </w:rPr>
        <w:t>.9</w:t>
      </w:r>
      <w:r w:rsidR="00001D73" w:rsidRPr="006C2E2F">
        <w:rPr>
          <w:rFonts w:cstheme="minorHAnsi"/>
          <w:b/>
        </w:rPr>
        <w:t xml:space="preserve">. Results of </w:t>
      </w:r>
      <w:r w:rsidR="00092566" w:rsidRPr="006C2E2F">
        <w:rPr>
          <w:rFonts w:cstheme="minorHAnsi"/>
          <w:b/>
        </w:rPr>
        <w:t>Risk Stratification Analysis</w:t>
      </w:r>
      <w:r w:rsidR="00092566" w:rsidRPr="006C2E2F">
        <w:rPr>
          <w:rFonts w:cstheme="minorHAnsi"/>
        </w:rPr>
        <w:t>:</w:t>
      </w:r>
      <w:r w:rsidR="00092566" w:rsidRPr="00A25024">
        <w:rPr>
          <w:rFonts w:cstheme="minorHAnsi"/>
        </w:rPr>
        <w:t xml:space="preserve"> </w:t>
      </w:r>
      <w:r w:rsidR="00092566" w:rsidRPr="00A25024">
        <w:rPr>
          <w:rFonts w:cstheme="minorHAnsi"/>
          <w:bCs/>
        </w:rPr>
        <w:t xml:space="preserve"> </w:t>
      </w:r>
    </w:p>
    <w:p w14:paraId="0B0B8B10" w14:textId="77777777" w:rsidR="007F1C96" w:rsidRDefault="007F1C96" w:rsidP="00092566">
      <w:pPr>
        <w:autoSpaceDE w:val="0"/>
        <w:autoSpaceDN w:val="0"/>
        <w:adjustRightInd w:val="0"/>
        <w:spacing w:after="0" w:line="240" w:lineRule="auto"/>
        <w:rPr>
          <w:rFonts w:cstheme="minorHAnsi"/>
          <w:bCs/>
        </w:rPr>
      </w:pPr>
    </w:p>
    <w:p w14:paraId="54E290B8" w14:textId="77777777" w:rsidR="007F1C96" w:rsidRDefault="007F1C96" w:rsidP="00092566">
      <w:pPr>
        <w:autoSpaceDE w:val="0"/>
        <w:autoSpaceDN w:val="0"/>
        <w:adjustRightInd w:val="0"/>
        <w:spacing w:after="0" w:line="240" w:lineRule="auto"/>
        <w:rPr>
          <w:rFonts w:cstheme="minorHAnsi"/>
          <w:bCs/>
        </w:rPr>
      </w:pPr>
    </w:p>
    <w:p w14:paraId="12D6CD9F" w14:textId="77777777" w:rsidR="007F1C96" w:rsidRPr="00A25024" w:rsidRDefault="007F1C96" w:rsidP="00092566">
      <w:pPr>
        <w:autoSpaceDE w:val="0"/>
        <w:autoSpaceDN w:val="0"/>
        <w:adjustRightInd w:val="0"/>
        <w:spacing w:after="0" w:line="240" w:lineRule="auto"/>
        <w:rPr>
          <w:rFonts w:cstheme="minorHAnsi"/>
          <w:bCs/>
        </w:rPr>
      </w:pPr>
    </w:p>
    <w:p w14:paraId="559AFA04" w14:textId="0EF78EDC" w:rsidR="007F1C96" w:rsidRPr="006C2E2F" w:rsidRDefault="003F2410" w:rsidP="007F1C96">
      <w:pPr>
        <w:contextualSpacing/>
        <w:rPr>
          <w:rFonts w:asciiTheme="majorHAnsi" w:hAnsiTheme="majorHAnsi" w:cstheme="minorHAnsi"/>
          <w:bCs/>
          <w:color w:val="FF0000"/>
          <w:sz w:val="20"/>
          <w:szCs w:val="20"/>
        </w:rPr>
      </w:pPr>
      <w:r w:rsidRPr="006C2E2F">
        <w:rPr>
          <w:rFonts w:asciiTheme="majorHAnsi" w:hAnsiTheme="majorHAnsi" w:cstheme="minorHAnsi"/>
          <w:bCs/>
          <w:color w:val="FF0000"/>
          <w:sz w:val="20"/>
          <w:szCs w:val="20"/>
        </w:rPr>
        <w:t>For 2016 data, t</w:t>
      </w:r>
      <w:r w:rsidR="007F1C96" w:rsidRPr="006C2E2F">
        <w:rPr>
          <w:rFonts w:asciiTheme="majorHAnsi" w:hAnsiTheme="majorHAnsi" w:cstheme="minorHAnsi"/>
          <w:bCs/>
          <w:color w:val="FF0000"/>
          <w:sz w:val="20"/>
          <w:szCs w:val="20"/>
        </w:rPr>
        <w:t>he risk stratification adequately segregate</w:t>
      </w:r>
      <w:r w:rsidR="00EB416C">
        <w:rPr>
          <w:rFonts w:asciiTheme="majorHAnsi" w:hAnsiTheme="majorHAnsi" w:cstheme="minorHAnsi"/>
          <w:bCs/>
          <w:color w:val="FF0000"/>
          <w:sz w:val="20"/>
          <w:szCs w:val="20"/>
        </w:rPr>
        <w:t>d</w:t>
      </w:r>
      <w:r w:rsidR="007F1C96" w:rsidRPr="006C2E2F">
        <w:rPr>
          <w:rFonts w:asciiTheme="majorHAnsi" w:hAnsiTheme="majorHAnsi" w:cstheme="minorHAnsi"/>
          <w:bCs/>
          <w:color w:val="FF0000"/>
          <w:sz w:val="20"/>
          <w:szCs w:val="20"/>
        </w:rPr>
        <w:t xml:space="preserve"> deciles of risk from &lt;1% to &gt;22% at the patient level.  At the hospital level, we observed a broad range of unadjusted risk, which was </w:t>
      </w:r>
      <w:r w:rsidR="009B23AE">
        <w:rPr>
          <w:rFonts w:asciiTheme="majorHAnsi" w:hAnsiTheme="majorHAnsi" w:cstheme="minorHAnsi"/>
          <w:bCs/>
          <w:color w:val="FF0000"/>
          <w:sz w:val="20"/>
          <w:szCs w:val="20"/>
        </w:rPr>
        <w:t xml:space="preserve">partly mitigated </w:t>
      </w:r>
      <w:r w:rsidR="007F1C96" w:rsidRPr="006C2E2F">
        <w:rPr>
          <w:rFonts w:asciiTheme="majorHAnsi" w:hAnsiTheme="majorHAnsi" w:cstheme="minorHAnsi"/>
          <w:bCs/>
          <w:color w:val="FF0000"/>
          <w:sz w:val="20"/>
          <w:szCs w:val="20"/>
        </w:rPr>
        <w:t>after adjusting for patient characteristics.  The unadjusted distribution of bleeding is shown under Figure 3.</w:t>
      </w:r>
    </w:p>
    <w:p w14:paraId="35766091" w14:textId="77777777" w:rsidR="007F1C96" w:rsidRPr="005458A2" w:rsidRDefault="007F1C96" w:rsidP="007F1C96">
      <w:pPr>
        <w:contextualSpacing/>
        <w:rPr>
          <w:rFonts w:asciiTheme="majorHAnsi" w:hAnsiTheme="majorHAnsi" w:cstheme="minorHAnsi"/>
          <w:bCs/>
          <w:sz w:val="20"/>
          <w:szCs w:val="20"/>
        </w:rPr>
      </w:pPr>
    </w:p>
    <w:p w14:paraId="196370D9" w14:textId="5E728C5E" w:rsidR="007F1C96" w:rsidRDefault="007F1C96" w:rsidP="007F1C96">
      <w:pPr>
        <w:keepNext/>
        <w:contextualSpacing/>
        <w:rPr>
          <w:rFonts w:asciiTheme="majorHAnsi" w:hAnsiTheme="majorHAnsi" w:cstheme="minorHAnsi"/>
          <w:bCs/>
          <w:sz w:val="20"/>
          <w:szCs w:val="20"/>
        </w:rPr>
      </w:pPr>
      <w:r w:rsidRPr="005458A2">
        <w:rPr>
          <w:rFonts w:asciiTheme="majorHAnsi" w:hAnsiTheme="majorHAnsi" w:cstheme="minorHAnsi"/>
          <w:bCs/>
          <w:sz w:val="20"/>
          <w:szCs w:val="20"/>
        </w:rPr>
        <w:lastRenderedPageBreak/>
        <w:t xml:space="preserve"> </w:t>
      </w:r>
    </w:p>
    <w:p w14:paraId="7530D557" w14:textId="26AF9BDA" w:rsidR="00A0308F" w:rsidRDefault="00A0308F" w:rsidP="007F1C96">
      <w:pPr>
        <w:keepNext/>
        <w:contextualSpacing/>
        <w:rPr>
          <w:rFonts w:asciiTheme="majorHAnsi" w:hAnsiTheme="majorHAnsi" w:cstheme="minorHAnsi"/>
          <w:bCs/>
          <w:sz w:val="20"/>
          <w:szCs w:val="20"/>
        </w:rPr>
      </w:pPr>
    </w:p>
    <w:p w14:paraId="39FAD11D" w14:textId="19240E88" w:rsidR="00A0308F" w:rsidRDefault="00A0308F" w:rsidP="007F1C96">
      <w:pPr>
        <w:keepNext/>
        <w:contextualSpacing/>
        <w:rPr>
          <w:rFonts w:asciiTheme="majorHAnsi" w:hAnsiTheme="majorHAnsi" w:cstheme="minorHAnsi"/>
          <w:bCs/>
          <w:sz w:val="20"/>
          <w:szCs w:val="20"/>
        </w:rPr>
      </w:pPr>
    </w:p>
    <w:p w14:paraId="174E3E4B" w14:textId="34511CEF" w:rsidR="00A0308F" w:rsidRPr="005458A2" w:rsidRDefault="00A0308F" w:rsidP="007F1C96">
      <w:pPr>
        <w:keepNext/>
        <w:contextualSpacing/>
        <w:rPr>
          <w:rFonts w:asciiTheme="majorHAnsi" w:hAnsiTheme="majorHAnsi"/>
          <w:sz w:val="20"/>
          <w:szCs w:val="20"/>
        </w:rPr>
      </w:pPr>
      <w:r>
        <w:rPr>
          <w:rFonts w:asciiTheme="majorHAnsi" w:hAnsiTheme="majorHAnsi" w:cstheme="minorHAnsi"/>
          <w:bCs/>
          <w:noProof/>
          <w:sz w:val="20"/>
          <w:szCs w:val="20"/>
        </w:rPr>
        <w:drawing>
          <wp:inline distT="0" distB="0" distL="0" distR="0" wp14:anchorId="59A56553" wp14:editId="5D578A84">
            <wp:extent cx="5938520" cy="4451350"/>
            <wp:effectExtent l="0" t="0" r="5080" b="6350"/>
            <wp:docPr id="7" name="Picture 7" descr="S:\acc-ncdr\Analysis\2013\NQF\bleeding\2016\histo 2016 unadj.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cc-ncdr\Analysis\2013\NQF\bleeding\2016\histo 2016 unadj.em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8520" cy="4451350"/>
                    </a:xfrm>
                    <a:prstGeom prst="rect">
                      <a:avLst/>
                    </a:prstGeom>
                    <a:noFill/>
                    <a:ln>
                      <a:noFill/>
                    </a:ln>
                  </pic:spPr>
                </pic:pic>
              </a:graphicData>
            </a:graphic>
          </wp:inline>
        </w:drawing>
      </w:r>
    </w:p>
    <w:p w14:paraId="16ECE3F7" w14:textId="77777777" w:rsidR="007F1C96" w:rsidRPr="006C2E2F" w:rsidRDefault="007F1C96" w:rsidP="00923D12">
      <w:pPr>
        <w:spacing w:line="240" w:lineRule="auto"/>
        <w:outlineLvl w:val="0"/>
        <w:rPr>
          <w:rFonts w:asciiTheme="majorHAnsi" w:hAnsiTheme="majorHAnsi" w:cstheme="minorHAnsi"/>
          <w:b/>
          <w:color w:val="FF0000"/>
          <w:sz w:val="20"/>
          <w:szCs w:val="20"/>
        </w:rPr>
      </w:pPr>
      <w:r w:rsidRPr="006C2E2F">
        <w:rPr>
          <w:rFonts w:asciiTheme="majorHAnsi" w:hAnsiTheme="majorHAnsi"/>
          <w:b/>
          <w:bCs/>
          <w:color w:val="FF0000"/>
          <w:sz w:val="20"/>
          <w:szCs w:val="20"/>
        </w:rPr>
        <w:t xml:space="preserve">Figure </w:t>
      </w:r>
      <w:r w:rsidRPr="006C2E2F">
        <w:rPr>
          <w:rFonts w:asciiTheme="majorHAnsi" w:hAnsiTheme="majorHAnsi"/>
          <w:b/>
          <w:bCs/>
          <w:color w:val="FF0000"/>
          <w:sz w:val="20"/>
          <w:szCs w:val="20"/>
        </w:rPr>
        <w:fldChar w:fldCharType="begin"/>
      </w:r>
      <w:r w:rsidRPr="006C2E2F">
        <w:rPr>
          <w:rFonts w:asciiTheme="majorHAnsi" w:hAnsiTheme="majorHAnsi"/>
          <w:b/>
          <w:bCs/>
          <w:color w:val="FF0000"/>
          <w:sz w:val="20"/>
          <w:szCs w:val="20"/>
        </w:rPr>
        <w:instrText xml:space="preserve"> SEQ Figure \* ARABIC </w:instrText>
      </w:r>
      <w:r w:rsidRPr="006C2E2F">
        <w:rPr>
          <w:rFonts w:asciiTheme="majorHAnsi" w:hAnsiTheme="majorHAnsi"/>
          <w:b/>
          <w:bCs/>
          <w:color w:val="FF0000"/>
          <w:sz w:val="20"/>
          <w:szCs w:val="20"/>
        </w:rPr>
        <w:fldChar w:fldCharType="separate"/>
      </w:r>
      <w:r w:rsidR="00452FB8">
        <w:rPr>
          <w:rFonts w:asciiTheme="majorHAnsi" w:hAnsiTheme="majorHAnsi"/>
          <w:b/>
          <w:bCs/>
          <w:noProof/>
          <w:color w:val="FF0000"/>
          <w:sz w:val="20"/>
          <w:szCs w:val="20"/>
        </w:rPr>
        <w:t>2</w:t>
      </w:r>
      <w:r w:rsidRPr="006C2E2F">
        <w:rPr>
          <w:rFonts w:asciiTheme="majorHAnsi" w:hAnsiTheme="majorHAnsi"/>
          <w:b/>
          <w:bCs/>
          <w:color w:val="FF0000"/>
          <w:sz w:val="20"/>
          <w:szCs w:val="20"/>
        </w:rPr>
        <w:fldChar w:fldCharType="end"/>
      </w:r>
      <w:r w:rsidRPr="006C2E2F">
        <w:rPr>
          <w:rFonts w:asciiTheme="majorHAnsi" w:hAnsiTheme="majorHAnsi"/>
          <w:b/>
          <w:bCs/>
          <w:color w:val="FF0000"/>
          <w:sz w:val="20"/>
          <w:szCs w:val="20"/>
        </w:rPr>
        <w:t>. Unadjusted Distribution of Bleeding</w:t>
      </w:r>
    </w:p>
    <w:p w14:paraId="18F237E0" w14:textId="77777777" w:rsidR="007F1C96" w:rsidRPr="006C2E2F" w:rsidRDefault="007F1C96" w:rsidP="00923D12">
      <w:pPr>
        <w:autoSpaceDE w:val="0"/>
        <w:autoSpaceDN w:val="0"/>
        <w:adjustRightInd w:val="0"/>
        <w:spacing w:after="0" w:line="240" w:lineRule="auto"/>
        <w:outlineLvl w:val="0"/>
        <w:rPr>
          <w:rFonts w:asciiTheme="majorHAnsi" w:hAnsiTheme="majorHAnsi" w:cstheme="minorHAnsi"/>
          <w:bCs/>
          <w:color w:val="FF0000"/>
          <w:sz w:val="20"/>
          <w:szCs w:val="20"/>
        </w:rPr>
      </w:pPr>
      <w:r w:rsidRPr="006C2E2F">
        <w:rPr>
          <w:rFonts w:asciiTheme="majorHAnsi" w:hAnsiTheme="majorHAnsi" w:cstheme="minorHAnsi"/>
          <w:bCs/>
          <w:color w:val="FF0000"/>
          <w:sz w:val="20"/>
          <w:szCs w:val="20"/>
        </w:rPr>
        <w:t xml:space="preserve">The bleeding rates adjusted for patient characteristics is shown under Figure 4. </w:t>
      </w:r>
    </w:p>
    <w:p w14:paraId="1F56483F" w14:textId="77777777" w:rsidR="007F1C96" w:rsidRPr="005458A2" w:rsidRDefault="007F1C96" w:rsidP="007F1C96">
      <w:pPr>
        <w:autoSpaceDE w:val="0"/>
        <w:autoSpaceDN w:val="0"/>
        <w:adjustRightInd w:val="0"/>
        <w:spacing w:after="0" w:line="240" w:lineRule="auto"/>
        <w:rPr>
          <w:rFonts w:asciiTheme="majorHAnsi" w:hAnsiTheme="majorHAnsi" w:cstheme="minorHAnsi"/>
          <w:bCs/>
          <w:sz w:val="20"/>
          <w:szCs w:val="20"/>
        </w:rPr>
      </w:pPr>
    </w:p>
    <w:p w14:paraId="4C1E5162" w14:textId="3A2AF29F" w:rsidR="007F1C96" w:rsidRPr="005458A2" w:rsidRDefault="00A0308F" w:rsidP="007F1C96">
      <w:pPr>
        <w:keepNext/>
        <w:autoSpaceDE w:val="0"/>
        <w:autoSpaceDN w:val="0"/>
        <w:adjustRightInd w:val="0"/>
        <w:spacing w:after="0" w:line="240" w:lineRule="auto"/>
        <w:rPr>
          <w:rFonts w:asciiTheme="majorHAnsi" w:hAnsiTheme="majorHAnsi"/>
          <w:sz w:val="20"/>
          <w:szCs w:val="20"/>
        </w:rPr>
      </w:pPr>
      <w:r>
        <w:rPr>
          <w:rFonts w:asciiTheme="majorHAnsi" w:hAnsiTheme="majorHAnsi"/>
          <w:noProof/>
          <w:sz w:val="20"/>
          <w:szCs w:val="20"/>
        </w:rPr>
        <w:lastRenderedPageBreak/>
        <w:drawing>
          <wp:inline distT="0" distB="0" distL="0" distR="0" wp14:anchorId="69D64EB4" wp14:editId="0F5DFF3E">
            <wp:extent cx="5938520" cy="4451350"/>
            <wp:effectExtent l="0" t="0" r="5080" b="6350"/>
            <wp:docPr id="9" name="Picture 9" descr="S:\acc-ncdr\Analysis\2013\NQF\bleeding\2016\histo 2015 rsb.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cc-ncdr\Analysis\2013\NQF\bleeding\2016\histo 2015 rsb.em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8520" cy="4451350"/>
                    </a:xfrm>
                    <a:prstGeom prst="rect">
                      <a:avLst/>
                    </a:prstGeom>
                    <a:noFill/>
                    <a:ln>
                      <a:noFill/>
                    </a:ln>
                  </pic:spPr>
                </pic:pic>
              </a:graphicData>
            </a:graphic>
          </wp:inline>
        </w:drawing>
      </w:r>
    </w:p>
    <w:p w14:paraId="4224F4CB" w14:textId="77777777" w:rsidR="007F1C96" w:rsidRPr="006C2E2F" w:rsidRDefault="007F1C96" w:rsidP="00923D12">
      <w:pPr>
        <w:spacing w:line="240" w:lineRule="auto"/>
        <w:outlineLvl w:val="0"/>
        <w:rPr>
          <w:rFonts w:asciiTheme="majorHAnsi" w:hAnsiTheme="majorHAnsi" w:cstheme="minorHAnsi"/>
          <w:b/>
          <w:color w:val="FF0000"/>
          <w:sz w:val="20"/>
          <w:szCs w:val="20"/>
        </w:rPr>
      </w:pPr>
      <w:r w:rsidRPr="006C2E2F">
        <w:rPr>
          <w:rFonts w:asciiTheme="majorHAnsi" w:hAnsiTheme="majorHAnsi"/>
          <w:b/>
          <w:bCs/>
          <w:color w:val="FF0000"/>
          <w:sz w:val="20"/>
          <w:szCs w:val="20"/>
        </w:rPr>
        <w:t xml:space="preserve">Figure </w:t>
      </w:r>
      <w:r w:rsidRPr="006C2E2F">
        <w:rPr>
          <w:rFonts w:asciiTheme="majorHAnsi" w:hAnsiTheme="majorHAnsi"/>
          <w:b/>
          <w:bCs/>
          <w:color w:val="FF0000"/>
          <w:sz w:val="20"/>
          <w:szCs w:val="20"/>
        </w:rPr>
        <w:fldChar w:fldCharType="begin"/>
      </w:r>
      <w:r w:rsidRPr="006C2E2F">
        <w:rPr>
          <w:rFonts w:asciiTheme="majorHAnsi" w:hAnsiTheme="majorHAnsi"/>
          <w:b/>
          <w:bCs/>
          <w:color w:val="FF0000"/>
          <w:sz w:val="20"/>
          <w:szCs w:val="20"/>
        </w:rPr>
        <w:instrText xml:space="preserve"> SEQ Figure \* ARABIC </w:instrText>
      </w:r>
      <w:r w:rsidRPr="006C2E2F">
        <w:rPr>
          <w:rFonts w:asciiTheme="majorHAnsi" w:hAnsiTheme="majorHAnsi"/>
          <w:b/>
          <w:bCs/>
          <w:color w:val="FF0000"/>
          <w:sz w:val="20"/>
          <w:szCs w:val="20"/>
        </w:rPr>
        <w:fldChar w:fldCharType="separate"/>
      </w:r>
      <w:r w:rsidR="00452FB8">
        <w:rPr>
          <w:rFonts w:asciiTheme="majorHAnsi" w:hAnsiTheme="majorHAnsi"/>
          <w:b/>
          <w:bCs/>
          <w:noProof/>
          <w:color w:val="FF0000"/>
          <w:sz w:val="20"/>
          <w:szCs w:val="20"/>
        </w:rPr>
        <w:t>3</w:t>
      </w:r>
      <w:r w:rsidRPr="006C2E2F">
        <w:rPr>
          <w:rFonts w:asciiTheme="majorHAnsi" w:hAnsiTheme="majorHAnsi"/>
          <w:b/>
          <w:bCs/>
          <w:color w:val="FF0000"/>
          <w:sz w:val="20"/>
          <w:szCs w:val="20"/>
        </w:rPr>
        <w:fldChar w:fldCharType="end"/>
      </w:r>
      <w:r w:rsidRPr="006C2E2F">
        <w:rPr>
          <w:rFonts w:asciiTheme="majorHAnsi" w:hAnsiTheme="majorHAnsi"/>
          <w:b/>
          <w:bCs/>
          <w:color w:val="FF0000"/>
          <w:sz w:val="20"/>
          <w:szCs w:val="20"/>
        </w:rPr>
        <w:t>. Adjusted Distribution of Bleeding</w:t>
      </w:r>
    </w:p>
    <w:p w14:paraId="1ECFE192" w14:textId="4A3043F2" w:rsidR="007F1C96" w:rsidRPr="006C2E2F" w:rsidRDefault="007F1C96" w:rsidP="007F1C96">
      <w:pPr>
        <w:autoSpaceDE w:val="0"/>
        <w:autoSpaceDN w:val="0"/>
        <w:adjustRightInd w:val="0"/>
        <w:spacing w:after="0" w:line="240" w:lineRule="auto"/>
        <w:rPr>
          <w:rFonts w:asciiTheme="majorHAnsi" w:hAnsiTheme="majorHAnsi" w:cstheme="minorHAnsi"/>
          <w:bCs/>
          <w:color w:val="FF0000"/>
          <w:sz w:val="20"/>
          <w:szCs w:val="20"/>
        </w:rPr>
      </w:pPr>
      <w:r w:rsidRPr="006C2E2F">
        <w:rPr>
          <w:rFonts w:asciiTheme="majorHAnsi" w:hAnsiTheme="majorHAnsi" w:cstheme="minorHAnsi"/>
          <w:bCs/>
          <w:color w:val="FF0000"/>
          <w:sz w:val="20"/>
          <w:szCs w:val="20"/>
        </w:rPr>
        <w:t xml:space="preserve">After adjusting for patient characteristics, we observed a </w:t>
      </w:r>
      <w:r w:rsidR="00EB416C">
        <w:rPr>
          <w:rFonts w:asciiTheme="majorHAnsi" w:hAnsiTheme="majorHAnsi" w:cstheme="minorHAnsi"/>
          <w:bCs/>
          <w:color w:val="FF0000"/>
          <w:sz w:val="20"/>
          <w:szCs w:val="20"/>
        </w:rPr>
        <w:t>narrower</w:t>
      </w:r>
      <w:r w:rsidRPr="006C2E2F">
        <w:rPr>
          <w:rFonts w:asciiTheme="majorHAnsi" w:hAnsiTheme="majorHAnsi" w:cstheme="minorHAnsi"/>
          <w:bCs/>
          <w:color w:val="FF0000"/>
          <w:sz w:val="20"/>
          <w:szCs w:val="20"/>
        </w:rPr>
        <w:t xml:space="preserve"> and more normal distribution of bleeding outcomes.</w:t>
      </w:r>
    </w:p>
    <w:p w14:paraId="280D5F01" w14:textId="77777777" w:rsidR="007F1C96" w:rsidRPr="006C2E2F" w:rsidRDefault="007F1C96" w:rsidP="007F1C96">
      <w:pPr>
        <w:autoSpaceDE w:val="0"/>
        <w:autoSpaceDN w:val="0"/>
        <w:adjustRightInd w:val="0"/>
        <w:spacing w:after="0" w:line="240" w:lineRule="auto"/>
        <w:rPr>
          <w:rFonts w:asciiTheme="majorHAnsi" w:hAnsiTheme="majorHAnsi" w:cstheme="minorHAnsi"/>
          <w:b/>
          <w:bCs/>
          <w:color w:val="FF0000"/>
          <w:sz w:val="20"/>
          <w:szCs w:val="20"/>
        </w:rPr>
      </w:pPr>
    </w:p>
    <w:p w14:paraId="24026F59" w14:textId="77777777" w:rsidR="007F1C96" w:rsidRPr="006C2E2F" w:rsidRDefault="007F1C96" w:rsidP="00923D12">
      <w:pPr>
        <w:autoSpaceDE w:val="0"/>
        <w:autoSpaceDN w:val="0"/>
        <w:adjustRightInd w:val="0"/>
        <w:spacing w:after="0" w:line="240" w:lineRule="auto"/>
        <w:outlineLvl w:val="0"/>
        <w:rPr>
          <w:rFonts w:asciiTheme="majorHAnsi" w:hAnsiTheme="majorHAnsi" w:cstheme="minorHAnsi"/>
          <w:bCs/>
          <w:color w:val="FF0000"/>
          <w:sz w:val="20"/>
          <w:szCs w:val="20"/>
        </w:rPr>
      </w:pPr>
      <w:r w:rsidRPr="006C2E2F">
        <w:rPr>
          <w:rFonts w:asciiTheme="majorHAnsi" w:hAnsiTheme="majorHAnsi" w:cstheme="minorHAnsi"/>
          <w:bCs/>
          <w:color w:val="FF0000"/>
          <w:sz w:val="20"/>
          <w:szCs w:val="20"/>
        </w:rPr>
        <w:t>The distribution of sites’ observed/expected ratios are shown under Figure 5.</w:t>
      </w:r>
    </w:p>
    <w:p w14:paraId="0CABD001" w14:textId="77777777" w:rsidR="00092566" w:rsidRPr="007F1C96" w:rsidRDefault="00092566" w:rsidP="00092566">
      <w:pPr>
        <w:pStyle w:val="ListParagraph"/>
        <w:rPr>
          <w:rFonts w:cstheme="minorHAnsi"/>
          <w:bCs/>
          <w:color w:val="0070C0"/>
        </w:rPr>
      </w:pPr>
    </w:p>
    <w:p w14:paraId="7310298C" w14:textId="77777777" w:rsidR="007F1C96" w:rsidRPr="007F1C96" w:rsidRDefault="007F1C96" w:rsidP="00092566">
      <w:pPr>
        <w:pStyle w:val="ListParagraph"/>
        <w:rPr>
          <w:rFonts w:cstheme="minorHAnsi"/>
          <w:bCs/>
          <w:color w:val="0070C0"/>
        </w:rPr>
      </w:pPr>
    </w:p>
    <w:p w14:paraId="4E16D26D" w14:textId="77777777" w:rsidR="007F1C96" w:rsidRDefault="007F1C96" w:rsidP="00092566">
      <w:pPr>
        <w:pStyle w:val="ListParagraph"/>
        <w:rPr>
          <w:rFonts w:cstheme="minorHAnsi"/>
          <w:bCs/>
        </w:rPr>
      </w:pPr>
    </w:p>
    <w:p w14:paraId="5C936F18" w14:textId="2017C2B0" w:rsidR="007F1C96" w:rsidRDefault="007F1C96" w:rsidP="00092566">
      <w:pPr>
        <w:pStyle w:val="ListParagraph"/>
        <w:rPr>
          <w:rFonts w:cstheme="minorHAnsi"/>
          <w:bCs/>
        </w:rPr>
      </w:pPr>
    </w:p>
    <w:p w14:paraId="78FF458E" w14:textId="75A74129" w:rsidR="00126B5B" w:rsidRDefault="00126B5B" w:rsidP="00092566">
      <w:pPr>
        <w:pStyle w:val="ListParagraph"/>
        <w:rPr>
          <w:rFonts w:cstheme="minorHAnsi"/>
          <w:bCs/>
        </w:rPr>
      </w:pPr>
    </w:p>
    <w:p w14:paraId="2C7BAD0B" w14:textId="53F10D39" w:rsidR="00126B5B" w:rsidRPr="00A25024" w:rsidRDefault="00126B5B" w:rsidP="00092566">
      <w:pPr>
        <w:pStyle w:val="ListParagraph"/>
        <w:rPr>
          <w:rFonts w:cstheme="minorHAnsi"/>
          <w:bCs/>
        </w:rPr>
      </w:pPr>
      <w:r>
        <w:rPr>
          <w:rFonts w:cstheme="minorHAnsi"/>
          <w:bCs/>
          <w:noProof/>
        </w:rPr>
        <w:lastRenderedPageBreak/>
        <w:drawing>
          <wp:inline distT="0" distB="0" distL="0" distR="0" wp14:anchorId="08C9171B" wp14:editId="276A7E2F">
            <wp:extent cx="4128883" cy="3096883"/>
            <wp:effectExtent l="0" t="0" r="5080" b="8890"/>
            <wp:docPr id="14" name="Picture 14" descr="S:\acc-ncdr\Analysis\2013\NQF\bleeding\2016\histo 2016 rrati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cc-ncdr\Analysis\2013\NQF\bleeding\2016\histo 2016 rratio.em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31083" cy="3098533"/>
                    </a:xfrm>
                    <a:prstGeom prst="rect">
                      <a:avLst/>
                    </a:prstGeom>
                    <a:noFill/>
                    <a:ln>
                      <a:noFill/>
                    </a:ln>
                  </pic:spPr>
                </pic:pic>
              </a:graphicData>
            </a:graphic>
          </wp:inline>
        </w:drawing>
      </w:r>
    </w:p>
    <w:p w14:paraId="6C352F64" w14:textId="77777777" w:rsidR="007F1C96" w:rsidRDefault="009C7513" w:rsidP="00092566">
      <w:pPr>
        <w:autoSpaceDE w:val="0"/>
        <w:autoSpaceDN w:val="0"/>
        <w:adjustRightInd w:val="0"/>
        <w:spacing w:after="0" w:line="240" w:lineRule="auto"/>
        <w:rPr>
          <w:rFonts w:cstheme="minorHAnsi"/>
          <w:bCs/>
        </w:rPr>
      </w:pPr>
      <w:r w:rsidRPr="00F06993">
        <w:rPr>
          <w:rFonts w:cstheme="minorHAnsi"/>
          <w:b/>
          <w:bCs/>
        </w:rPr>
        <w:t>2b3</w:t>
      </w:r>
      <w:r w:rsidR="00743E46" w:rsidRPr="00F06993">
        <w:rPr>
          <w:rFonts w:cstheme="minorHAnsi"/>
          <w:b/>
          <w:bCs/>
        </w:rPr>
        <w:t>.10</w:t>
      </w:r>
      <w:r w:rsidR="00001D73" w:rsidRPr="00F06993">
        <w:rPr>
          <w:rFonts w:cstheme="minorHAnsi"/>
          <w:b/>
          <w:bCs/>
        </w:rPr>
        <w:t xml:space="preserve">. </w:t>
      </w:r>
      <w:r w:rsidR="00092566" w:rsidRPr="00F06993">
        <w:rPr>
          <w:rFonts w:cstheme="minorHAnsi"/>
          <w:b/>
          <w:bCs/>
        </w:rPr>
        <w:t>What is your interpretation of the results in terms of demonstrating adequacy of controlling for differences in patient characteristics (case mix)?</w:t>
      </w:r>
      <w:r w:rsidR="00092566" w:rsidRPr="00F06993">
        <w:rPr>
          <w:rFonts w:cstheme="minorHAnsi"/>
          <w:bCs/>
        </w:rPr>
        <w:t xml:space="preserve"> (i</w:t>
      </w:r>
      <w:r w:rsidR="00092566" w:rsidRPr="00F06993">
        <w:rPr>
          <w:rFonts w:cstheme="minorHAnsi"/>
          <w:bCs/>
          <w:i/>
        </w:rPr>
        <w:t>.e., what do the results mean and what are the norms for the test conducted</w:t>
      </w:r>
      <w:r w:rsidR="00092566" w:rsidRPr="00F06993">
        <w:rPr>
          <w:rFonts w:cstheme="minorHAnsi"/>
          <w:bCs/>
        </w:rPr>
        <w:t>)</w:t>
      </w:r>
    </w:p>
    <w:p w14:paraId="633D47C7" w14:textId="77777777" w:rsidR="007F1C96" w:rsidRDefault="007F1C96" w:rsidP="00092566">
      <w:pPr>
        <w:autoSpaceDE w:val="0"/>
        <w:autoSpaceDN w:val="0"/>
        <w:adjustRightInd w:val="0"/>
        <w:spacing w:after="0" w:line="240" w:lineRule="auto"/>
        <w:rPr>
          <w:rFonts w:cstheme="minorHAnsi"/>
          <w:bCs/>
        </w:rPr>
      </w:pPr>
    </w:p>
    <w:p w14:paraId="0CABD002" w14:textId="72F84B40" w:rsidR="00092566" w:rsidRPr="00A25024" w:rsidRDefault="00EB416C" w:rsidP="00092566">
      <w:pPr>
        <w:autoSpaceDE w:val="0"/>
        <w:autoSpaceDN w:val="0"/>
        <w:adjustRightInd w:val="0"/>
        <w:spacing w:after="0" w:line="240" w:lineRule="auto"/>
        <w:rPr>
          <w:rFonts w:cstheme="minorHAnsi"/>
          <w:bCs/>
        </w:rPr>
      </w:pPr>
      <w:r w:rsidRPr="00EB416C">
        <w:rPr>
          <w:rFonts w:asciiTheme="majorHAnsi" w:hAnsiTheme="majorHAnsi" w:cstheme="minorHAnsi"/>
          <w:bCs/>
          <w:color w:val="FF0000"/>
          <w:sz w:val="20"/>
          <w:szCs w:val="20"/>
        </w:rPr>
        <w:t>We believe this model performs very well, accounting for patient characteristics present prior to the conduct of PCI and discriminating within important clinical subsets of patients. Moreover, there is substantial hospital variation before and after risk-adjustment. The distribution of institutional O/E ratios identifies some sites with excellent performance and others with rates of bleeding that are 80% or greater than expected. These would be sites where substantial opportunities to improve patient safety likely exist.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1EED97AE" w:rsidR="003755CB" w:rsidRPr="00367DAD" w:rsidRDefault="000E5C05" w:rsidP="00D61410">
      <w:pPr>
        <w:autoSpaceDE w:val="0"/>
        <w:autoSpaceDN w:val="0"/>
        <w:adjustRightInd w:val="0"/>
        <w:spacing w:after="0" w:line="240" w:lineRule="auto"/>
        <w:rPr>
          <w:rFonts w:cstheme="minorHAnsi"/>
          <w:bCs/>
        </w:rPr>
      </w:pPr>
      <w:r w:rsidRPr="00367DAD">
        <w:rPr>
          <w:rFonts w:cstheme="minorHAnsi"/>
          <w:bCs/>
        </w:rPr>
        <w:t xml:space="preserve">We have </w:t>
      </w:r>
      <w:r>
        <w:rPr>
          <w:rFonts w:cstheme="minorHAnsi"/>
          <w:bCs/>
        </w:rPr>
        <w:t>provided extensive data about the model’s performance in much more recent data from which the model was originally developed, further supporting its robustness.</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F06993" w:rsidRDefault="009C7513" w:rsidP="00D61410">
      <w:pPr>
        <w:autoSpaceDE w:val="0"/>
        <w:autoSpaceDN w:val="0"/>
        <w:adjustRightInd w:val="0"/>
        <w:spacing w:after="0" w:line="240" w:lineRule="auto"/>
        <w:rPr>
          <w:rFonts w:cstheme="minorHAnsi"/>
          <w:b/>
          <w:bCs/>
        </w:rPr>
      </w:pPr>
      <w:bookmarkStart w:id="15" w:name="section2b5"/>
      <w:bookmarkEnd w:id="15"/>
      <w:r w:rsidRPr="00F06993">
        <w:rPr>
          <w:rFonts w:cstheme="minorHAnsi"/>
          <w:b/>
          <w:bCs/>
        </w:rPr>
        <w:t>2b4</w:t>
      </w:r>
      <w:r w:rsidR="00D61410" w:rsidRPr="00F06993">
        <w:rPr>
          <w:rFonts w:cstheme="minorHAnsi"/>
          <w:b/>
          <w:bCs/>
        </w:rPr>
        <w:t>. IDENTIFICATION OF STATISTICALLY SIGNIFICANT &amp; MEANINGFUL DIFFERENCES IN PERFORMANCE</w:t>
      </w:r>
    </w:p>
    <w:p w14:paraId="614F199B" w14:textId="77777777" w:rsidR="007F1C96" w:rsidRDefault="009C7513" w:rsidP="007F1C96">
      <w:pPr>
        <w:autoSpaceDE w:val="0"/>
        <w:autoSpaceDN w:val="0"/>
        <w:adjustRightInd w:val="0"/>
        <w:spacing w:after="0" w:line="240" w:lineRule="auto"/>
        <w:rPr>
          <w:rFonts w:cstheme="minorHAnsi"/>
          <w:bCs/>
          <w:i/>
        </w:rPr>
      </w:pPr>
      <w:r w:rsidRPr="00F06993">
        <w:rPr>
          <w:rFonts w:cstheme="minorHAnsi"/>
          <w:b/>
          <w:bCs/>
        </w:rPr>
        <w:t>2b4</w:t>
      </w:r>
      <w:r w:rsidR="00D61410" w:rsidRPr="00F06993">
        <w:rPr>
          <w:rFonts w:cstheme="minorHAnsi"/>
          <w:b/>
          <w:bCs/>
        </w:rPr>
        <w:t>.1. Describe the method for determining if statistically significant and clinically/practically meaningful differences in performance measure scores among the measured entities can be identified</w:t>
      </w:r>
      <w:r w:rsidR="00D61410" w:rsidRPr="00F06993">
        <w:rPr>
          <w:rFonts w:cstheme="minorHAnsi"/>
          <w:bCs/>
        </w:rPr>
        <w:t xml:space="preserve"> (</w:t>
      </w:r>
      <w:r w:rsidR="00D61410" w:rsidRPr="00F06993">
        <w:rPr>
          <w:rFonts w:cstheme="minorHAnsi"/>
          <w:bCs/>
          <w:i/>
        </w:rPr>
        <w:t>describe the steps―do not just name a method; what statistical analysis was used? Do not just repeat the information provided related to performance gap in 1b)</w:t>
      </w:r>
      <w:r w:rsidR="00D61410" w:rsidRPr="00A25024">
        <w:rPr>
          <w:rFonts w:cstheme="minorHAnsi"/>
          <w:bCs/>
          <w:i/>
        </w:rPr>
        <w:t xml:space="preserve"> </w:t>
      </w:r>
    </w:p>
    <w:p w14:paraId="3F34DAC1" w14:textId="0061F909" w:rsidR="00EB416C" w:rsidRDefault="00D61410" w:rsidP="007F1C96">
      <w:pPr>
        <w:autoSpaceDE w:val="0"/>
        <w:autoSpaceDN w:val="0"/>
        <w:adjustRightInd w:val="0"/>
        <w:spacing w:after="0" w:line="240" w:lineRule="auto"/>
        <w:rPr>
          <w:rFonts w:asciiTheme="majorHAnsi" w:hAnsiTheme="majorHAnsi" w:cstheme="minorHAnsi"/>
          <w:bCs/>
          <w:color w:val="FF0000"/>
          <w:sz w:val="20"/>
          <w:szCs w:val="20"/>
        </w:rPr>
      </w:pPr>
      <w:r w:rsidRPr="00A25024">
        <w:rPr>
          <w:rFonts w:cstheme="minorHAnsi"/>
          <w:bCs/>
        </w:rPr>
        <w:br/>
      </w:r>
      <w:r w:rsidR="00EB416C" w:rsidRPr="00EB416C">
        <w:rPr>
          <w:rFonts w:asciiTheme="majorHAnsi" w:hAnsiTheme="majorHAnsi" w:cstheme="minorHAnsi"/>
          <w:bCs/>
          <w:color w:val="FF0000"/>
          <w:sz w:val="20"/>
          <w:szCs w:val="20"/>
        </w:rPr>
        <w:t>As noted in the figures above, we found significant variability in bleeding rates across hospitals after adjusting for pre-procedural patient characteristics. Moreover, hospital performance on this measure is closely associated with risks for death, other complications and length of stay (</w:t>
      </w:r>
      <w:proofErr w:type="gramStart"/>
      <w:r w:rsidR="00EB416C" w:rsidRPr="00EB416C">
        <w:rPr>
          <w:rFonts w:asciiTheme="majorHAnsi" w:hAnsiTheme="majorHAnsi" w:cstheme="minorHAnsi"/>
          <w:bCs/>
          <w:color w:val="FF0000"/>
          <w:sz w:val="20"/>
          <w:szCs w:val="20"/>
        </w:rPr>
        <w:t>Section  2</w:t>
      </w:r>
      <w:proofErr w:type="gramEnd"/>
      <w:r w:rsidR="00EB416C" w:rsidRPr="00EB416C">
        <w:rPr>
          <w:rFonts w:asciiTheme="majorHAnsi" w:hAnsiTheme="majorHAnsi" w:cstheme="minorHAnsi"/>
          <w:bCs/>
          <w:color w:val="FF0000"/>
          <w:sz w:val="20"/>
          <w:szCs w:val="20"/>
        </w:rPr>
        <w:t>b1.3).</w:t>
      </w:r>
    </w:p>
    <w:p w14:paraId="77FEBDF5" w14:textId="77777777" w:rsidR="00EB416C" w:rsidRDefault="00EB416C" w:rsidP="007F1C96">
      <w:pPr>
        <w:autoSpaceDE w:val="0"/>
        <w:autoSpaceDN w:val="0"/>
        <w:adjustRightInd w:val="0"/>
        <w:spacing w:after="0" w:line="240" w:lineRule="auto"/>
        <w:rPr>
          <w:rFonts w:asciiTheme="majorHAnsi" w:hAnsiTheme="majorHAnsi" w:cstheme="minorHAnsi"/>
          <w:bCs/>
          <w:color w:val="FF0000"/>
          <w:sz w:val="20"/>
          <w:szCs w:val="20"/>
        </w:rPr>
      </w:pPr>
    </w:p>
    <w:p w14:paraId="0F7A48FF" w14:textId="51DC6589" w:rsidR="007F1C96" w:rsidRPr="007F1C96" w:rsidRDefault="007F1C96" w:rsidP="007F1C96">
      <w:pPr>
        <w:autoSpaceDE w:val="0"/>
        <w:autoSpaceDN w:val="0"/>
        <w:adjustRightInd w:val="0"/>
        <w:spacing w:after="0" w:line="240" w:lineRule="auto"/>
        <w:rPr>
          <w:rFonts w:asciiTheme="majorHAnsi" w:hAnsiTheme="majorHAnsi" w:cstheme="minorHAnsi"/>
          <w:bCs/>
          <w:color w:val="0070C0"/>
          <w:sz w:val="20"/>
          <w:szCs w:val="20"/>
        </w:rPr>
      </w:pPr>
    </w:p>
    <w:p w14:paraId="0CABD008" w14:textId="2D3565CB" w:rsidR="00D61410" w:rsidRPr="00A25024" w:rsidRDefault="00D61410" w:rsidP="00D61410">
      <w:pPr>
        <w:autoSpaceDE w:val="0"/>
        <w:autoSpaceDN w:val="0"/>
        <w:adjustRightInd w:val="0"/>
        <w:spacing w:after="0" w:line="240" w:lineRule="auto"/>
        <w:rPr>
          <w:rFonts w:cstheme="minorHAnsi"/>
          <w:bCs/>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456D8BB6" w14:textId="77777777" w:rsidR="007F1C96" w:rsidRDefault="009C7513" w:rsidP="00D61410">
      <w:pPr>
        <w:autoSpaceDE w:val="0"/>
        <w:autoSpaceDN w:val="0"/>
        <w:adjustRightInd w:val="0"/>
        <w:spacing w:after="0" w:line="240" w:lineRule="auto"/>
        <w:rPr>
          <w:rFonts w:cstheme="minorHAnsi"/>
          <w:bCs/>
        </w:rPr>
      </w:pPr>
      <w:r w:rsidRPr="00F06993">
        <w:rPr>
          <w:rFonts w:cstheme="minorHAnsi"/>
          <w:b/>
          <w:bCs/>
        </w:rPr>
        <w:lastRenderedPageBreak/>
        <w:t>2b4</w:t>
      </w:r>
      <w:r w:rsidR="00D61410" w:rsidRPr="00F06993">
        <w:rPr>
          <w:rFonts w:cstheme="minorHAnsi"/>
          <w:b/>
          <w:bCs/>
        </w:rPr>
        <w:t xml:space="preserve">.2. What were the statistical results from testing the ability to identify </w:t>
      </w:r>
      <w:r w:rsidR="001E69DC" w:rsidRPr="00F06993">
        <w:rPr>
          <w:rFonts w:cstheme="minorHAnsi"/>
          <w:b/>
          <w:bCs/>
        </w:rPr>
        <w:t xml:space="preserve">statistically significant and/or clinically/practically meaningful </w:t>
      </w:r>
      <w:r w:rsidR="00D61410" w:rsidRPr="00F06993">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0CABD00A" w14:textId="3FB27760" w:rsidR="00D61410" w:rsidRPr="00874F6D" w:rsidRDefault="00DE6325" w:rsidP="00D61410">
      <w:pPr>
        <w:autoSpaceDE w:val="0"/>
        <w:autoSpaceDN w:val="0"/>
        <w:adjustRightInd w:val="0"/>
        <w:spacing w:after="0" w:line="240" w:lineRule="auto"/>
        <w:rPr>
          <w:rFonts w:cstheme="minorHAnsi"/>
          <w:bCs/>
          <w:color w:val="FF0000"/>
        </w:rPr>
      </w:pPr>
      <w:r w:rsidRPr="00DE6325">
        <w:rPr>
          <w:rFonts w:cstheme="minorHAnsi"/>
          <w:bCs/>
        </w:rPr>
        <w:t>A meaningful difference identifies the potential for improvement in comparison to others. Since all bleeding events are adverse outcomes, there are no absolute levels of bleeding risk that are sig</w:t>
      </w:r>
      <w:r>
        <w:rPr>
          <w:rFonts w:cstheme="minorHAnsi"/>
          <w:bCs/>
        </w:rPr>
        <w:t>nificant as compared with others</w:t>
      </w:r>
      <w:r w:rsidRPr="00DE6325">
        <w:rPr>
          <w:rFonts w:cstheme="minorHAnsi"/>
          <w:bCs/>
        </w:rPr>
        <w:t xml:space="preserve">. To place the potential benefits of this model in context, it is helpful to compare the excess bleeds that could be avoided if the worst 25% of hospitals would have had the average bleeding rate of all hospitals.  The average, adjusted bleeding rate was 3.2% and the upper quartile ranges from 3.9 to 13% bleeding rates. Given an average PCI volume of 410 cases/hospital, this suggests between 3 and 40 additional and potentially avoidable bleeding events per year among hospitals in the upper quartile as compared with the average hospital. This would be far larger if the worst performing hospitals were to achieve top-decile performance of a 1.8% bleeding rate. Clinically, these are a large number of excess events, particularly given that there are readily applied interventions, such as radial access, bivalirudin or the use of closure devices for femoral access, to mitigate bleeding. </w:t>
      </w:r>
      <w:r w:rsidR="00D61410" w:rsidRPr="00874F6D">
        <w:rPr>
          <w:rFonts w:cstheme="minorHAnsi"/>
          <w:bCs/>
          <w:color w:val="FF0000"/>
        </w:rPr>
        <w:br/>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41A34019" w14:textId="77777777" w:rsidR="007F1C96" w:rsidRDefault="009C7513" w:rsidP="00D61410">
      <w:pPr>
        <w:autoSpaceDE w:val="0"/>
        <w:autoSpaceDN w:val="0"/>
        <w:adjustRightInd w:val="0"/>
        <w:spacing w:after="0" w:line="240" w:lineRule="auto"/>
        <w:rPr>
          <w:rFonts w:cstheme="minorHAnsi"/>
          <w:bCs/>
        </w:rPr>
      </w:pPr>
      <w:r w:rsidRPr="00F06993">
        <w:rPr>
          <w:rFonts w:cstheme="minorHAnsi"/>
          <w:b/>
          <w:bCs/>
        </w:rPr>
        <w:t>2b4</w:t>
      </w:r>
      <w:r w:rsidR="00D61410" w:rsidRPr="00F06993">
        <w:rPr>
          <w:rFonts w:cstheme="minorHAnsi"/>
          <w:b/>
          <w:bCs/>
        </w:rPr>
        <w:t>.3. What is your interpretation of the results in terms of demonstrating the ability to identify statistically significant and</w:t>
      </w:r>
      <w:r w:rsidR="005038D5" w:rsidRPr="00F06993">
        <w:rPr>
          <w:rFonts w:cstheme="minorHAnsi"/>
          <w:b/>
          <w:bCs/>
        </w:rPr>
        <w:t>/or</w:t>
      </w:r>
      <w:r w:rsidR="00D61410" w:rsidRPr="00F06993">
        <w:rPr>
          <w:rFonts w:cstheme="minorHAnsi"/>
          <w:b/>
          <w:bCs/>
        </w:rPr>
        <w:t xml:space="preserve"> clinically/practically meaningful differences in performance across measured entities?</w:t>
      </w:r>
      <w:r w:rsidR="00D61410" w:rsidRPr="00F06993">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36C740D0" w14:textId="77777777" w:rsidR="007F1C96" w:rsidRDefault="007F1C96" w:rsidP="00D61410">
      <w:pPr>
        <w:autoSpaceDE w:val="0"/>
        <w:autoSpaceDN w:val="0"/>
        <w:adjustRightInd w:val="0"/>
        <w:spacing w:after="0" w:line="240" w:lineRule="auto"/>
        <w:rPr>
          <w:rFonts w:cstheme="minorHAnsi"/>
          <w:bCs/>
        </w:rPr>
      </w:pPr>
    </w:p>
    <w:p w14:paraId="0CABD00C" w14:textId="13154331" w:rsidR="00D61410" w:rsidRPr="00A25024" w:rsidRDefault="007F1C96" w:rsidP="00D61410">
      <w:pPr>
        <w:autoSpaceDE w:val="0"/>
        <w:autoSpaceDN w:val="0"/>
        <w:adjustRightInd w:val="0"/>
        <w:spacing w:after="0" w:line="240" w:lineRule="auto"/>
        <w:rPr>
          <w:rFonts w:cstheme="minorHAnsi"/>
          <w:bCs/>
        </w:rPr>
      </w:pPr>
      <w:r w:rsidRPr="007F1C96">
        <w:rPr>
          <w:rFonts w:asciiTheme="majorHAnsi" w:hAnsiTheme="majorHAnsi" w:cstheme="minorHAnsi"/>
          <w:bCs/>
          <w:color w:val="0070C0"/>
          <w:sz w:val="20"/>
          <w:szCs w:val="20"/>
        </w:rPr>
        <w:t>We believe that the use of this model to identify outliers and the ability to pre-procedurally risk stratify patients and tailor therapy to risk holds great promise for improving the quality and safety of PCI.</w:t>
      </w:r>
      <w:r w:rsidR="00D61410" w:rsidRPr="00A25024">
        <w:rPr>
          <w:rFonts w:cstheme="minorHAnsi"/>
          <w:bCs/>
        </w:rPr>
        <w:br/>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923D12">
      <w:pPr>
        <w:spacing w:after="0" w:line="240" w:lineRule="auto"/>
        <w:outlineLvl w:val="0"/>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Pr="00F06993"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xml:space="preserve">, the different specifications </w:t>
      </w:r>
      <w:r w:rsidR="00F1412B" w:rsidRPr="00F06993">
        <w:rPr>
          <w:rFonts w:ascii="Calibri-BoldItalic" w:eastAsiaTheme="minorHAnsi" w:hAnsi="Calibri-BoldItalic" w:cs="Calibri-BoldItalic"/>
          <w:b/>
          <w:bCs/>
          <w:i/>
          <w:iCs/>
        </w:rPr>
        <w:t>(e.g., for medical records vs. claims) should be submitted as separate measures.</w:t>
      </w:r>
    </w:p>
    <w:p w14:paraId="0CABD012" w14:textId="77777777" w:rsidR="000F06B5" w:rsidRPr="00F06993" w:rsidRDefault="000F06B5" w:rsidP="00DB3627">
      <w:pPr>
        <w:autoSpaceDE w:val="0"/>
        <w:autoSpaceDN w:val="0"/>
        <w:adjustRightInd w:val="0"/>
        <w:spacing w:after="0" w:line="240" w:lineRule="auto"/>
        <w:rPr>
          <w:rFonts w:cstheme="minorHAnsi"/>
          <w:bCs/>
        </w:rPr>
      </w:pPr>
    </w:p>
    <w:p w14:paraId="0CABD013" w14:textId="050CD570" w:rsidR="000F06B5" w:rsidRPr="00F06993" w:rsidRDefault="009C7513" w:rsidP="00DB3627">
      <w:pPr>
        <w:autoSpaceDE w:val="0"/>
        <w:autoSpaceDN w:val="0"/>
        <w:adjustRightInd w:val="0"/>
        <w:spacing w:after="0" w:line="240" w:lineRule="auto"/>
        <w:rPr>
          <w:rFonts w:cstheme="minorHAnsi"/>
          <w:bCs/>
          <w:sz w:val="14"/>
        </w:rPr>
      </w:pPr>
      <w:r w:rsidRPr="00F06993">
        <w:rPr>
          <w:rFonts w:cstheme="minorHAnsi"/>
          <w:b/>
          <w:bCs/>
        </w:rPr>
        <w:t>2b5</w:t>
      </w:r>
      <w:r w:rsidR="00E1508F" w:rsidRPr="00F06993">
        <w:rPr>
          <w:rFonts w:cstheme="minorHAnsi"/>
          <w:b/>
          <w:bCs/>
        </w:rPr>
        <w:t xml:space="preserve">.1. </w:t>
      </w:r>
      <w:r w:rsidR="008871A9" w:rsidRPr="00F06993">
        <w:rPr>
          <w:rFonts w:cstheme="minorHAnsi"/>
          <w:b/>
          <w:bCs/>
        </w:rPr>
        <w:t xml:space="preserve">Describe the method of </w:t>
      </w:r>
      <w:r w:rsidR="000F06B5" w:rsidRPr="00F06993">
        <w:rPr>
          <w:rFonts w:cstheme="minorHAnsi"/>
          <w:b/>
          <w:bCs/>
        </w:rPr>
        <w:t>testing conducted</w:t>
      </w:r>
      <w:r w:rsidR="008871A9" w:rsidRPr="00F06993">
        <w:rPr>
          <w:rFonts w:cstheme="minorHAnsi"/>
          <w:b/>
          <w:bCs/>
        </w:rPr>
        <w:t xml:space="preserve"> to </w:t>
      </w:r>
      <w:r w:rsidR="00F1412B" w:rsidRPr="00F06993">
        <w:rPr>
          <w:rFonts w:cstheme="minorHAnsi"/>
          <w:b/>
          <w:bCs/>
        </w:rPr>
        <w:t>compare</w:t>
      </w:r>
      <w:r w:rsidR="004B6CEE" w:rsidRPr="00F06993">
        <w:rPr>
          <w:rFonts w:cstheme="minorHAnsi"/>
          <w:b/>
          <w:bCs/>
        </w:rPr>
        <w:t xml:space="preserve"> performance scores </w:t>
      </w:r>
      <w:r w:rsidR="00A35F8F" w:rsidRPr="00F06993">
        <w:rPr>
          <w:rFonts w:cstheme="minorHAnsi"/>
          <w:b/>
          <w:bCs/>
        </w:rPr>
        <w:t xml:space="preserve">for the same entities </w:t>
      </w:r>
      <w:r w:rsidR="00287649" w:rsidRPr="00F06993">
        <w:rPr>
          <w:rFonts w:cstheme="minorHAnsi"/>
          <w:b/>
          <w:bCs/>
        </w:rPr>
        <w:t xml:space="preserve">across the different </w:t>
      </w:r>
      <w:r w:rsidR="00864CA8" w:rsidRPr="00F06993">
        <w:rPr>
          <w:rFonts w:cstheme="minorHAnsi"/>
          <w:b/>
          <w:bCs/>
        </w:rPr>
        <w:t>data</w:t>
      </w:r>
      <w:r w:rsidR="0028114D" w:rsidRPr="00F06993">
        <w:rPr>
          <w:rFonts w:cstheme="minorHAnsi"/>
          <w:b/>
          <w:bCs/>
        </w:rPr>
        <w:t xml:space="preserve"> </w:t>
      </w:r>
      <w:r w:rsidR="00864CA8" w:rsidRPr="00F06993">
        <w:rPr>
          <w:rFonts w:cstheme="minorHAnsi"/>
          <w:b/>
          <w:bCs/>
        </w:rPr>
        <w:t>sources/</w:t>
      </w:r>
      <w:r w:rsidR="00287649" w:rsidRPr="00F06993">
        <w:rPr>
          <w:rFonts w:cstheme="minorHAnsi"/>
          <w:b/>
          <w:bCs/>
        </w:rPr>
        <w:t>specifications</w:t>
      </w:r>
      <w:r w:rsidR="000F06B5" w:rsidRPr="00F06993">
        <w:rPr>
          <w:rFonts w:cstheme="minorHAnsi"/>
          <w:bCs/>
        </w:rPr>
        <w:t xml:space="preserve"> (</w:t>
      </w:r>
      <w:r w:rsidR="008871A9" w:rsidRPr="00F06993">
        <w:rPr>
          <w:rFonts w:cstheme="minorHAnsi"/>
          <w:bCs/>
          <w:i/>
        </w:rPr>
        <w:t>describe the steps―do not just name a method</w:t>
      </w:r>
      <w:r w:rsidR="006C3A4F" w:rsidRPr="00F06993">
        <w:rPr>
          <w:rFonts w:cstheme="minorHAnsi"/>
          <w:bCs/>
          <w:i/>
        </w:rPr>
        <w:t>; what statistical analysis was used</w:t>
      </w:r>
      <w:r w:rsidR="000F06B5" w:rsidRPr="00F06993">
        <w:rPr>
          <w:rFonts w:cstheme="minorHAnsi"/>
          <w:bCs/>
        </w:rPr>
        <w:t>)</w:t>
      </w:r>
      <w:r w:rsidR="000F06B5" w:rsidRPr="00F06993">
        <w:rPr>
          <w:rFonts w:cstheme="minorHAnsi"/>
          <w:bCs/>
        </w:rPr>
        <w:br/>
        <w:t xml:space="preserve"> </w:t>
      </w:r>
    </w:p>
    <w:p w14:paraId="0CABD014" w14:textId="2D483FD8" w:rsidR="000F06B5" w:rsidRPr="00F06993" w:rsidRDefault="007F1C96" w:rsidP="00923D12">
      <w:pPr>
        <w:pStyle w:val="ListParagraph"/>
        <w:autoSpaceDE w:val="0"/>
        <w:autoSpaceDN w:val="0"/>
        <w:adjustRightInd w:val="0"/>
        <w:spacing w:after="0" w:line="240" w:lineRule="auto"/>
        <w:ind w:left="0"/>
        <w:outlineLvl w:val="0"/>
        <w:rPr>
          <w:rFonts w:cstheme="minorHAnsi"/>
          <w:bCs/>
          <w:color w:val="0070C0"/>
        </w:rPr>
      </w:pPr>
      <w:r w:rsidRPr="00F06993">
        <w:rPr>
          <w:rFonts w:cstheme="minorHAnsi"/>
          <w:bCs/>
          <w:color w:val="0070C0"/>
        </w:rPr>
        <w:t>N/A</w:t>
      </w:r>
    </w:p>
    <w:p w14:paraId="0CABD015" w14:textId="377012FB" w:rsidR="00A35F8F" w:rsidRPr="00F06993" w:rsidRDefault="009C7513" w:rsidP="00E1508F">
      <w:pPr>
        <w:autoSpaceDE w:val="0"/>
        <w:autoSpaceDN w:val="0"/>
        <w:adjustRightInd w:val="0"/>
        <w:spacing w:after="0" w:line="240" w:lineRule="auto"/>
        <w:rPr>
          <w:rFonts w:cstheme="minorHAnsi"/>
          <w:bCs/>
        </w:rPr>
      </w:pPr>
      <w:r w:rsidRPr="00F06993">
        <w:rPr>
          <w:rFonts w:cstheme="minorHAnsi"/>
          <w:b/>
          <w:bCs/>
        </w:rPr>
        <w:t>2b5</w:t>
      </w:r>
      <w:r w:rsidR="00E1508F" w:rsidRPr="00F06993">
        <w:rPr>
          <w:rFonts w:cstheme="minorHAnsi"/>
          <w:b/>
          <w:bCs/>
        </w:rPr>
        <w:t xml:space="preserve">.2. </w:t>
      </w:r>
      <w:r w:rsidR="000F06B5" w:rsidRPr="00F06993">
        <w:rPr>
          <w:rFonts w:cstheme="minorHAnsi"/>
          <w:b/>
          <w:bCs/>
        </w:rPr>
        <w:t xml:space="preserve">What were the statistical results </w:t>
      </w:r>
      <w:r w:rsidR="00A35F8F" w:rsidRPr="00F06993">
        <w:rPr>
          <w:rFonts w:cstheme="minorHAnsi"/>
          <w:b/>
          <w:bCs/>
        </w:rPr>
        <w:t>from testing</w:t>
      </w:r>
      <w:r w:rsidR="000F06B5" w:rsidRPr="00F06993">
        <w:rPr>
          <w:rFonts w:cstheme="minorHAnsi"/>
          <w:b/>
          <w:bCs/>
        </w:rPr>
        <w:t xml:space="preserve"> comparability of performance scores for the same entities when using different </w:t>
      </w:r>
      <w:r w:rsidR="00864CA8" w:rsidRPr="00F06993">
        <w:rPr>
          <w:rFonts w:cstheme="minorHAnsi"/>
          <w:b/>
          <w:bCs/>
        </w:rPr>
        <w:t>data sources/</w:t>
      </w:r>
      <w:r w:rsidR="000F06B5" w:rsidRPr="00F06993">
        <w:rPr>
          <w:rFonts w:cstheme="minorHAnsi"/>
          <w:b/>
          <w:bCs/>
        </w:rPr>
        <w:t>specifications?</w:t>
      </w:r>
      <w:r w:rsidR="000F06B5" w:rsidRPr="00F06993">
        <w:rPr>
          <w:rFonts w:cstheme="minorHAnsi"/>
          <w:bCs/>
        </w:rPr>
        <w:t xml:space="preserve"> </w:t>
      </w:r>
      <w:r w:rsidR="00287649" w:rsidRPr="00F06993">
        <w:rPr>
          <w:rFonts w:cstheme="minorHAnsi"/>
          <w:bCs/>
        </w:rPr>
        <w:t>(</w:t>
      </w:r>
      <w:r w:rsidR="00287649" w:rsidRPr="00F06993">
        <w:rPr>
          <w:rFonts w:cstheme="minorHAnsi"/>
          <w:bCs/>
          <w:i/>
        </w:rPr>
        <w:t>e.g., correlation</w:t>
      </w:r>
      <w:r w:rsidR="006C3A4F" w:rsidRPr="00F06993">
        <w:rPr>
          <w:rFonts w:cstheme="minorHAnsi"/>
          <w:bCs/>
          <w:i/>
        </w:rPr>
        <w:t>, rank order</w:t>
      </w:r>
      <w:r w:rsidR="00287649" w:rsidRPr="00F06993">
        <w:rPr>
          <w:rFonts w:cstheme="minorHAnsi"/>
          <w:bCs/>
        </w:rPr>
        <w:t>)</w:t>
      </w:r>
      <w:r w:rsidR="000F06B5" w:rsidRPr="00F06993">
        <w:rPr>
          <w:rFonts w:cstheme="minorHAnsi"/>
          <w:bCs/>
        </w:rPr>
        <w:br/>
      </w:r>
    </w:p>
    <w:p w14:paraId="6D4D02F2" w14:textId="77777777" w:rsidR="007F1C96" w:rsidRPr="00F06993" w:rsidRDefault="007F1C96" w:rsidP="00923D12">
      <w:pPr>
        <w:pStyle w:val="ListParagraph"/>
        <w:autoSpaceDE w:val="0"/>
        <w:autoSpaceDN w:val="0"/>
        <w:adjustRightInd w:val="0"/>
        <w:spacing w:after="0" w:line="240" w:lineRule="auto"/>
        <w:ind w:left="0"/>
        <w:outlineLvl w:val="0"/>
        <w:rPr>
          <w:rFonts w:cstheme="minorHAnsi"/>
          <w:bCs/>
          <w:color w:val="0070C0"/>
        </w:rPr>
      </w:pPr>
      <w:r w:rsidRPr="00F06993">
        <w:rPr>
          <w:rFonts w:cstheme="minorHAnsi"/>
          <w:bCs/>
          <w:color w:val="0070C0"/>
        </w:rPr>
        <w:t>N/A</w:t>
      </w:r>
    </w:p>
    <w:p w14:paraId="0CABD016" w14:textId="77777777" w:rsidR="00E1508F" w:rsidRPr="00F06993" w:rsidRDefault="00E1508F" w:rsidP="00E1508F">
      <w:pPr>
        <w:autoSpaceDE w:val="0"/>
        <w:autoSpaceDN w:val="0"/>
        <w:adjustRightInd w:val="0"/>
        <w:spacing w:after="0" w:line="240" w:lineRule="auto"/>
        <w:rPr>
          <w:rFonts w:cstheme="minorHAnsi"/>
          <w:bCs/>
        </w:rPr>
      </w:pPr>
    </w:p>
    <w:p w14:paraId="3E76E4A4" w14:textId="77777777" w:rsidR="007F1C96" w:rsidRPr="007F1C96" w:rsidRDefault="009C7513" w:rsidP="007F1C96">
      <w:pPr>
        <w:pStyle w:val="ListParagraph"/>
        <w:autoSpaceDE w:val="0"/>
        <w:autoSpaceDN w:val="0"/>
        <w:adjustRightInd w:val="0"/>
        <w:spacing w:after="0" w:line="240" w:lineRule="auto"/>
        <w:ind w:left="0"/>
        <w:rPr>
          <w:rFonts w:cstheme="minorHAnsi"/>
          <w:bCs/>
          <w:color w:val="0070C0"/>
        </w:rPr>
      </w:pPr>
      <w:r w:rsidRPr="00F06993">
        <w:rPr>
          <w:rFonts w:cstheme="minorHAnsi"/>
          <w:b/>
          <w:bCs/>
        </w:rPr>
        <w:t>2b5</w:t>
      </w:r>
      <w:r w:rsidR="00E1508F" w:rsidRPr="00F06993">
        <w:rPr>
          <w:rFonts w:cstheme="minorHAnsi"/>
          <w:b/>
          <w:bCs/>
        </w:rPr>
        <w:t xml:space="preserve">.3. </w:t>
      </w:r>
      <w:r w:rsidR="002B0C3A" w:rsidRPr="00F06993">
        <w:rPr>
          <w:rFonts w:cstheme="minorHAnsi"/>
          <w:b/>
          <w:bCs/>
        </w:rPr>
        <w:t xml:space="preserve">What is your interpretation of the results </w:t>
      </w:r>
      <w:r w:rsidR="00A35F8F" w:rsidRPr="00F06993">
        <w:rPr>
          <w:rFonts w:cstheme="minorHAnsi"/>
          <w:b/>
          <w:bCs/>
        </w:rPr>
        <w:t xml:space="preserve">in terms of </w:t>
      </w:r>
      <w:r w:rsidR="00F1412B" w:rsidRPr="00F06993">
        <w:rPr>
          <w:rFonts w:cstheme="minorHAnsi"/>
          <w:b/>
          <w:bCs/>
        </w:rPr>
        <w:t>the differences in</w:t>
      </w:r>
      <w:r w:rsidR="002B0C3A" w:rsidRPr="00F06993">
        <w:rPr>
          <w:rFonts w:cstheme="minorHAnsi"/>
          <w:b/>
          <w:bCs/>
        </w:rPr>
        <w:t xml:space="preserve"> performance measure scores </w:t>
      </w:r>
      <w:r w:rsidR="00287649" w:rsidRPr="00F06993">
        <w:rPr>
          <w:rFonts w:cstheme="minorHAnsi"/>
          <w:b/>
          <w:bCs/>
        </w:rPr>
        <w:t xml:space="preserve">for the same entities across the different </w:t>
      </w:r>
      <w:r w:rsidR="00864CA8" w:rsidRPr="00F06993">
        <w:rPr>
          <w:rFonts w:cstheme="minorHAnsi"/>
          <w:b/>
          <w:bCs/>
        </w:rPr>
        <w:t>data sources/</w:t>
      </w:r>
      <w:r w:rsidR="00287649" w:rsidRPr="00F06993">
        <w:rPr>
          <w:rFonts w:cstheme="minorHAnsi"/>
          <w:b/>
          <w:bCs/>
        </w:rPr>
        <w:t>specifications</w:t>
      </w:r>
      <w:r w:rsidR="002B0C3A" w:rsidRPr="00F06993">
        <w:rPr>
          <w:rFonts w:cstheme="minorHAnsi"/>
          <w:b/>
          <w:bCs/>
        </w:rPr>
        <w:t>?</w:t>
      </w:r>
      <w:r w:rsidR="00A35F8F" w:rsidRPr="00F06993">
        <w:rPr>
          <w:rFonts w:cstheme="minorHAnsi"/>
          <w:bCs/>
        </w:rPr>
        <w:t xml:space="preserve"> </w:t>
      </w:r>
      <w:r w:rsidR="002B0C3A" w:rsidRPr="00F06993">
        <w:rPr>
          <w:rFonts w:cstheme="minorHAnsi"/>
          <w:bCs/>
        </w:rPr>
        <w:t>(i</w:t>
      </w:r>
      <w:r w:rsidR="002B0C3A" w:rsidRPr="00F06993">
        <w:rPr>
          <w:rFonts w:cstheme="minorHAnsi"/>
          <w:bCs/>
          <w:i/>
        </w:rPr>
        <w:t>.e., what do the results mean and what are the norms for the test conducted</w:t>
      </w:r>
      <w:r w:rsidR="002B0C3A" w:rsidRPr="00F06993">
        <w:rPr>
          <w:rFonts w:cstheme="minorHAnsi"/>
          <w:bCs/>
        </w:rPr>
        <w:t>)</w:t>
      </w:r>
      <w:r w:rsidR="00A35F8F" w:rsidRPr="00F06993">
        <w:rPr>
          <w:rFonts w:cstheme="minorHAnsi"/>
          <w:bCs/>
        </w:rPr>
        <w:br/>
      </w:r>
      <w:r w:rsidR="007F1C96" w:rsidRPr="00F06993">
        <w:rPr>
          <w:rFonts w:cstheme="minorHAnsi"/>
          <w:bCs/>
          <w:color w:val="0070C0"/>
        </w:rPr>
        <w:t>N/A</w:t>
      </w:r>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0E036CBE" w:rsidR="008F7E67" w:rsidRPr="00A25024" w:rsidRDefault="009C7513" w:rsidP="008F7E67">
      <w:pPr>
        <w:autoSpaceDE w:val="0"/>
        <w:autoSpaceDN w:val="0"/>
        <w:adjustRightInd w:val="0"/>
        <w:spacing w:after="0" w:line="240" w:lineRule="auto"/>
        <w:rPr>
          <w:rFonts w:cstheme="minorHAnsi"/>
          <w:bCs/>
        </w:rPr>
      </w:pPr>
      <w:r w:rsidRPr="00F06993">
        <w:rPr>
          <w:rFonts w:cstheme="minorHAnsi"/>
          <w:b/>
          <w:bCs/>
        </w:rPr>
        <w:t>2b6</w:t>
      </w:r>
      <w:r w:rsidR="008F7E67" w:rsidRPr="00F06993">
        <w:rPr>
          <w:rFonts w:cstheme="minorHAnsi"/>
          <w:b/>
          <w:bCs/>
        </w:rPr>
        <w:t xml:space="preserve">.1. Describe the method of testing conducted to </w:t>
      </w:r>
      <w:r w:rsidR="00771B2A" w:rsidRPr="00F06993">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8F7E67" w:rsidRPr="00874F6D">
        <w:rPr>
          <w:rFonts w:cstheme="minorHAnsi"/>
          <w:bCs/>
          <w:color w:val="FF0000"/>
        </w:rPr>
        <w:t xml:space="preserve"> </w:t>
      </w:r>
      <w:r w:rsidR="008C702C" w:rsidRPr="00E71029">
        <w:rPr>
          <w:rFonts w:asciiTheme="majorHAnsi" w:hAnsiTheme="majorHAnsi" w:cstheme="minorHAnsi"/>
          <w:bCs/>
          <w:color w:val="FF0000"/>
          <w:sz w:val="20"/>
          <w:szCs w:val="20"/>
        </w:rPr>
        <w:t xml:space="preserve">As noted above, there is minimal missing data due to the NCDR </w:t>
      </w:r>
      <w:proofErr w:type="spellStart"/>
      <w:r w:rsidR="008C702C" w:rsidRPr="00E71029">
        <w:rPr>
          <w:rFonts w:asciiTheme="majorHAnsi" w:hAnsiTheme="majorHAnsi" w:cstheme="minorHAnsi"/>
          <w:bCs/>
          <w:color w:val="FF0000"/>
          <w:sz w:val="20"/>
          <w:szCs w:val="20"/>
        </w:rPr>
        <w:t>CathPCI</w:t>
      </w:r>
      <w:proofErr w:type="spellEnd"/>
      <w:r w:rsidR="008C702C" w:rsidRPr="00E71029">
        <w:rPr>
          <w:rFonts w:asciiTheme="majorHAnsi" w:hAnsiTheme="majorHAnsi" w:cstheme="minorHAnsi"/>
          <w:bCs/>
          <w:color w:val="FF0000"/>
          <w:sz w:val="20"/>
          <w:szCs w:val="20"/>
        </w:rPr>
        <w:t xml:space="preserve"> submission requirements</w:t>
      </w:r>
      <w:r w:rsidR="00EB416C" w:rsidRPr="00E71029">
        <w:rPr>
          <w:rFonts w:asciiTheme="majorHAnsi" w:hAnsiTheme="majorHAnsi" w:cstheme="minorHAnsi"/>
          <w:bCs/>
          <w:color w:val="FF0000"/>
          <w:sz w:val="20"/>
          <w:szCs w:val="20"/>
        </w:rPr>
        <w:t>;</w:t>
      </w:r>
      <w:r w:rsidR="008C702C" w:rsidRPr="00E71029">
        <w:rPr>
          <w:rFonts w:asciiTheme="majorHAnsi" w:hAnsiTheme="majorHAnsi" w:cstheme="minorHAnsi"/>
          <w:bCs/>
          <w:color w:val="FF0000"/>
          <w:sz w:val="20"/>
          <w:szCs w:val="20"/>
        </w:rPr>
        <w:t xml:space="preserve"> missing data </w:t>
      </w:r>
      <w:r w:rsidR="00EB416C" w:rsidRPr="00E71029">
        <w:rPr>
          <w:rFonts w:asciiTheme="majorHAnsi" w:hAnsiTheme="majorHAnsi" w:cstheme="minorHAnsi"/>
          <w:bCs/>
          <w:color w:val="FF0000"/>
          <w:sz w:val="20"/>
          <w:szCs w:val="20"/>
        </w:rPr>
        <w:t>are</w:t>
      </w:r>
      <w:r w:rsidR="008C702C" w:rsidRPr="00E71029">
        <w:rPr>
          <w:rFonts w:asciiTheme="majorHAnsi" w:hAnsiTheme="majorHAnsi" w:cstheme="minorHAnsi"/>
          <w:bCs/>
          <w:color w:val="FF0000"/>
          <w:sz w:val="20"/>
          <w:szCs w:val="20"/>
        </w:rPr>
        <w:t xml:space="preserve"> imputed to include all cases in estimating performance.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0BA68C5" w14:textId="63D2F8C9" w:rsidR="004B3C84" w:rsidRDefault="009C7513" w:rsidP="008F7E67">
      <w:pPr>
        <w:autoSpaceDE w:val="0"/>
        <w:autoSpaceDN w:val="0"/>
        <w:adjustRightInd w:val="0"/>
        <w:spacing w:after="0" w:line="240" w:lineRule="auto"/>
        <w:rPr>
          <w:rFonts w:cstheme="minorHAnsi"/>
          <w:bCs/>
        </w:rPr>
      </w:pPr>
      <w:r w:rsidRPr="00F06993">
        <w:rPr>
          <w:rFonts w:cstheme="minorHAnsi"/>
          <w:b/>
          <w:bCs/>
        </w:rPr>
        <w:t>2b6</w:t>
      </w:r>
      <w:r w:rsidR="008F7E67" w:rsidRPr="00F06993">
        <w:rPr>
          <w:rFonts w:cstheme="minorHAnsi"/>
          <w:b/>
          <w:bCs/>
        </w:rPr>
        <w:t xml:space="preserve">.2. </w:t>
      </w:r>
      <w:r w:rsidR="00145D4F" w:rsidRPr="00F06993">
        <w:rPr>
          <w:rFonts w:cstheme="minorHAnsi"/>
          <w:b/>
          <w:bCs/>
        </w:rPr>
        <w:t>What is the overall frequency of missing data</w:t>
      </w:r>
      <w:r w:rsidR="005560E7" w:rsidRPr="00F06993">
        <w:rPr>
          <w:rFonts w:cstheme="minorHAnsi"/>
          <w:b/>
          <w:bCs/>
        </w:rPr>
        <w:t>,</w:t>
      </w:r>
      <w:r w:rsidR="00145D4F" w:rsidRPr="00F06993">
        <w:rPr>
          <w:rFonts w:cstheme="minorHAnsi"/>
          <w:b/>
          <w:bCs/>
        </w:rPr>
        <w:t xml:space="preserve"> the distribution of missing data across providers</w:t>
      </w:r>
      <w:r w:rsidR="005560E7" w:rsidRPr="00F06993">
        <w:rPr>
          <w:rFonts w:cstheme="minorHAnsi"/>
          <w:b/>
          <w:bCs/>
        </w:rPr>
        <w:t>,</w:t>
      </w:r>
      <w:r w:rsidR="00145D4F" w:rsidRPr="00F06993">
        <w:rPr>
          <w:rFonts w:cstheme="minorHAnsi"/>
          <w:b/>
          <w:bCs/>
        </w:rPr>
        <w:t xml:space="preserve"> and the</w:t>
      </w:r>
      <w:r w:rsidR="008F7E67" w:rsidRPr="00F06993">
        <w:rPr>
          <w:rFonts w:cstheme="minorHAnsi"/>
          <w:b/>
          <w:bCs/>
        </w:rPr>
        <w:t xml:space="preserve"> results from testing </w:t>
      </w:r>
      <w:r w:rsidR="00771B2A" w:rsidRPr="00F06993">
        <w:rPr>
          <w:rFonts w:cstheme="minorHAnsi"/>
          <w:b/>
          <w:bCs/>
        </w:rPr>
        <w:t>related to missing data</w:t>
      </w:r>
      <w:r w:rsidR="008F7E67" w:rsidRPr="00F06993">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2F9F2C0F" w14:textId="4F1DC41D" w:rsidR="00410AB0" w:rsidRDefault="00410AB0" w:rsidP="008F7E67">
      <w:pPr>
        <w:autoSpaceDE w:val="0"/>
        <w:autoSpaceDN w:val="0"/>
        <w:adjustRightInd w:val="0"/>
        <w:spacing w:after="0" w:line="240" w:lineRule="auto"/>
        <w:rPr>
          <w:rFonts w:cstheme="minorHAnsi"/>
          <w:bCs/>
        </w:rPr>
      </w:pPr>
    </w:p>
    <w:p w14:paraId="0078E799" w14:textId="3F3AF051" w:rsidR="004B3C84" w:rsidRPr="00E71029" w:rsidRDefault="00EB416C" w:rsidP="00F06993">
      <w:pPr>
        <w:autoSpaceDE w:val="0"/>
        <w:autoSpaceDN w:val="0"/>
        <w:adjustRightInd w:val="0"/>
        <w:spacing w:after="0" w:line="240" w:lineRule="auto"/>
        <w:rPr>
          <w:rFonts w:asciiTheme="majorHAnsi" w:hAnsiTheme="majorHAnsi"/>
          <w:sz w:val="20"/>
          <w:szCs w:val="20"/>
        </w:rPr>
      </w:pPr>
      <w:r w:rsidRPr="00E71029">
        <w:rPr>
          <w:rFonts w:asciiTheme="majorHAnsi" w:hAnsiTheme="majorHAnsi" w:cstheme="minorHAnsi"/>
          <w:bCs/>
          <w:color w:val="FF0000"/>
          <w:sz w:val="20"/>
          <w:szCs w:val="20"/>
        </w:rPr>
        <w:t xml:space="preserve">Missing data used to derive the bleeding model are minimal. The most frequent missing variables are pre-procedure hemoglobin (missing in 4.1%) and pre-procedure creatinine (missing rate in 3.6%).  </w:t>
      </w:r>
      <w:proofErr w:type="gramStart"/>
      <w:r w:rsidRPr="00E71029">
        <w:rPr>
          <w:rFonts w:asciiTheme="majorHAnsi" w:hAnsiTheme="majorHAnsi" w:cstheme="minorHAnsi"/>
          <w:bCs/>
          <w:color w:val="FF0000"/>
          <w:sz w:val="20"/>
          <w:szCs w:val="20"/>
        </w:rPr>
        <w:t>Both of these</w:t>
      </w:r>
      <w:proofErr w:type="gramEnd"/>
      <w:r w:rsidRPr="00E71029">
        <w:rPr>
          <w:rFonts w:asciiTheme="majorHAnsi" w:hAnsiTheme="majorHAnsi" w:cstheme="minorHAnsi"/>
          <w:bCs/>
          <w:color w:val="FF0000"/>
          <w:sz w:val="20"/>
          <w:szCs w:val="20"/>
        </w:rPr>
        <w:t xml:space="preserve"> were imputed as medians according to patient sex and MI type.  The other variables have missing rates under 0.5% and were imputed using median or most frequent category.</w:t>
      </w:r>
    </w:p>
    <w:p w14:paraId="0CABD01D" w14:textId="3A524048" w:rsidR="008F7E67" w:rsidRDefault="008F7E67" w:rsidP="008F7E67">
      <w:pPr>
        <w:autoSpaceDE w:val="0"/>
        <w:autoSpaceDN w:val="0"/>
        <w:adjustRightInd w:val="0"/>
        <w:spacing w:after="0" w:line="240" w:lineRule="auto"/>
        <w:rPr>
          <w:rFonts w:cstheme="minorHAnsi"/>
          <w:bCs/>
        </w:rPr>
      </w:pPr>
      <w:r w:rsidRPr="00A25024">
        <w:rPr>
          <w:rFonts w:cstheme="minorHAnsi"/>
          <w:bCs/>
        </w:rPr>
        <w:br/>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sidRPr="00F06993">
        <w:rPr>
          <w:rFonts w:cstheme="minorHAnsi"/>
          <w:b/>
          <w:bCs/>
        </w:rPr>
        <w:t>2b6</w:t>
      </w:r>
      <w:r w:rsidR="008F7E67" w:rsidRPr="00F06993">
        <w:rPr>
          <w:rFonts w:cstheme="minorHAnsi"/>
          <w:b/>
          <w:bCs/>
        </w:rPr>
        <w:t>.3. What is your interpretation of the results in terms of demonstrating</w:t>
      </w:r>
      <w:r w:rsidR="00771B2A" w:rsidRPr="00F06993">
        <w:rPr>
          <w:rFonts w:cstheme="minorHAnsi"/>
          <w:b/>
          <w:bCs/>
        </w:rPr>
        <w:t xml:space="preserve"> that </w:t>
      </w:r>
      <w:r w:rsidR="00771B2A" w:rsidRPr="00F06993">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7F656814" w14:textId="62127128" w:rsidR="00607E93" w:rsidRPr="00E71029" w:rsidRDefault="00607E93">
      <w:pPr>
        <w:autoSpaceDE w:val="0"/>
        <w:autoSpaceDN w:val="0"/>
        <w:adjustRightInd w:val="0"/>
        <w:spacing w:after="0" w:line="240" w:lineRule="auto"/>
        <w:rPr>
          <w:rFonts w:asciiTheme="majorHAnsi" w:hAnsiTheme="majorHAnsi" w:cstheme="minorHAnsi"/>
          <w:bCs/>
          <w:color w:val="FF0000"/>
          <w:sz w:val="20"/>
          <w:szCs w:val="20"/>
        </w:rPr>
      </w:pPr>
      <w:r w:rsidRPr="00E71029">
        <w:rPr>
          <w:rFonts w:asciiTheme="majorHAnsi" w:hAnsiTheme="majorHAnsi" w:cstheme="minorHAnsi"/>
          <w:bCs/>
          <w:color w:val="FF0000"/>
          <w:sz w:val="20"/>
          <w:szCs w:val="20"/>
        </w:rPr>
        <w:t>Given the low rates of missing data, we do not believe that the observed performance is systematically biased.  Our efforts to impute data had little effect on site’s performance on this measure.</w:t>
      </w:r>
    </w:p>
    <w:sectPr w:rsidR="00607E93" w:rsidRPr="00E71029" w:rsidSect="008505D1">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A1CA0" w14:textId="77777777" w:rsidR="00873401" w:rsidRDefault="00873401" w:rsidP="005C73CA">
      <w:pPr>
        <w:spacing w:after="0" w:line="240" w:lineRule="auto"/>
      </w:pPr>
      <w:r>
        <w:separator/>
      </w:r>
    </w:p>
  </w:endnote>
  <w:endnote w:type="continuationSeparator" w:id="0">
    <w:p w14:paraId="65CB203C" w14:textId="77777777" w:rsidR="00873401" w:rsidRDefault="00873401" w:rsidP="005C73CA">
      <w:pPr>
        <w:spacing w:after="0" w:line="240" w:lineRule="auto"/>
      </w:pPr>
      <w:r>
        <w:continuationSeparator/>
      </w:r>
    </w:p>
  </w:endnote>
  <w:endnote w:type="continuationNotice" w:id="1">
    <w:p w14:paraId="7387B4F8" w14:textId="77777777" w:rsidR="00873401" w:rsidRDefault="00873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86174E9" w:rsidR="00873401" w:rsidRDefault="00873401">
    <w:pPr>
      <w:pStyle w:val="Footer"/>
    </w:pPr>
    <w:r>
      <w:t>Version 7.1 9/6/2017</w:t>
    </w:r>
    <w:r>
      <w:ptab w:relativeTo="margin" w:alignment="right" w:leader="none"/>
    </w:r>
    <w:r>
      <w:fldChar w:fldCharType="begin"/>
    </w:r>
    <w:r>
      <w:instrText xml:space="preserve"> PAGE   \* MERGEFORMAT </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344A8" w14:textId="77777777" w:rsidR="00873401" w:rsidRDefault="00873401" w:rsidP="005C73CA">
      <w:pPr>
        <w:spacing w:after="0" w:line="240" w:lineRule="auto"/>
      </w:pPr>
      <w:r>
        <w:separator/>
      </w:r>
    </w:p>
  </w:footnote>
  <w:footnote w:type="continuationSeparator" w:id="0">
    <w:p w14:paraId="5ABD1B5B" w14:textId="77777777" w:rsidR="00873401" w:rsidRDefault="00873401" w:rsidP="005C73CA">
      <w:pPr>
        <w:spacing w:after="0" w:line="240" w:lineRule="auto"/>
      </w:pPr>
      <w:r>
        <w:continuationSeparator/>
      </w:r>
    </w:p>
  </w:footnote>
  <w:footnote w:type="continuationNotice" w:id="1">
    <w:p w14:paraId="65966615" w14:textId="77777777" w:rsidR="00873401" w:rsidRDefault="008734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873401" w:rsidRPr="00105D8B" w:rsidRDefault="00873401"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D2414"/>
    <w:multiLevelType w:val="hybridMultilevel"/>
    <w:tmpl w:val="92FEB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3"/>
  </w:num>
  <w:num w:numId="4">
    <w:abstractNumId w:val="7"/>
  </w:num>
  <w:num w:numId="5">
    <w:abstractNumId w:val="2"/>
  </w:num>
  <w:num w:numId="6">
    <w:abstractNumId w:val="1"/>
  </w:num>
  <w:num w:numId="7">
    <w:abstractNumId w:val="4"/>
  </w:num>
  <w:num w:numId="8">
    <w:abstractNumId w:val="22"/>
  </w:num>
  <w:num w:numId="9">
    <w:abstractNumId w:val="11"/>
  </w:num>
  <w:num w:numId="10">
    <w:abstractNumId w:val="27"/>
  </w:num>
  <w:num w:numId="11">
    <w:abstractNumId w:val="13"/>
  </w:num>
  <w:num w:numId="12">
    <w:abstractNumId w:val="25"/>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9"/>
  </w:num>
  <w:num w:numId="17">
    <w:abstractNumId w:val="26"/>
  </w:num>
  <w:num w:numId="18">
    <w:abstractNumId w:val="24"/>
  </w:num>
  <w:num w:numId="19">
    <w:abstractNumId w:val="23"/>
  </w:num>
  <w:num w:numId="20">
    <w:abstractNumId w:val="17"/>
  </w:num>
  <w:num w:numId="21">
    <w:abstractNumId w:val="21"/>
  </w:num>
  <w:num w:numId="22">
    <w:abstractNumId w:val="16"/>
  </w:num>
  <w:num w:numId="23">
    <w:abstractNumId w:val="8"/>
  </w:num>
  <w:num w:numId="24">
    <w:abstractNumId w:val="15"/>
  </w:num>
  <w:num w:numId="25">
    <w:abstractNumId w:val="14"/>
  </w:num>
  <w:num w:numId="26">
    <w:abstractNumId w:val="28"/>
  </w:num>
  <w:num w:numId="27">
    <w:abstractNumId w:val="0"/>
  </w:num>
  <w:num w:numId="28">
    <w:abstractNumId w:val="10"/>
  </w:num>
  <w:num w:numId="29">
    <w:abstractNumId w:val="18"/>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03A"/>
    <w:rsid w:val="00001D73"/>
    <w:rsid w:val="00003469"/>
    <w:rsid w:val="0001094F"/>
    <w:rsid w:val="0001611A"/>
    <w:rsid w:val="0001753F"/>
    <w:rsid w:val="00021170"/>
    <w:rsid w:val="0002128B"/>
    <w:rsid w:val="00024DFD"/>
    <w:rsid w:val="00025642"/>
    <w:rsid w:val="00026DB6"/>
    <w:rsid w:val="00027AB8"/>
    <w:rsid w:val="000309DD"/>
    <w:rsid w:val="00031414"/>
    <w:rsid w:val="00031BD5"/>
    <w:rsid w:val="00033038"/>
    <w:rsid w:val="00033D63"/>
    <w:rsid w:val="0003436F"/>
    <w:rsid w:val="000414E8"/>
    <w:rsid w:val="0004441D"/>
    <w:rsid w:val="0004593A"/>
    <w:rsid w:val="00050A3E"/>
    <w:rsid w:val="00052A6F"/>
    <w:rsid w:val="0005390A"/>
    <w:rsid w:val="00053F02"/>
    <w:rsid w:val="0005612B"/>
    <w:rsid w:val="000574AB"/>
    <w:rsid w:val="0006147A"/>
    <w:rsid w:val="0006234F"/>
    <w:rsid w:val="00076599"/>
    <w:rsid w:val="000775F8"/>
    <w:rsid w:val="00080CF7"/>
    <w:rsid w:val="000851B2"/>
    <w:rsid w:val="00092566"/>
    <w:rsid w:val="000968F8"/>
    <w:rsid w:val="00097012"/>
    <w:rsid w:val="000B032A"/>
    <w:rsid w:val="000B2DF7"/>
    <w:rsid w:val="000B3880"/>
    <w:rsid w:val="000B7D57"/>
    <w:rsid w:val="000C036D"/>
    <w:rsid w:val="000C0FF8"/>
    <w:rsid w:val="000C34F6"/>
    <w:rsid w:val="000C73E2"/>
    <w:rsid w:val="000D2722"/>
    <w:rsid w:val="000D7948"/>
    <w:rsid w:val="000D7C84"/>
    <w:rsid w:val="000E4E13"/>
    <w:rsid w:val="000E5C05"/>
    <w:rsid w:val="000E73F4"/>
    <w:rsid w:val="000E78F6"/>
    <w:rsid w:val="000F034A"/>
    <w:rsid w:val="000F06B5"/>
    <w:rsid w:val="000F1B7A"/>
    <w:rsid w:val="000F2472"/>
    <w:rsid w:val="000F39E9"/>
    <w:rsid w:val="00104B45"/>
    <w:rsid w:val="00105D8B"/>
    <w:rsid w:val="0011342F"/>
    <w:rsid w:val="001202E9"/>
    <w:rsid w:val="00120C69"/>
    <w:rsid w:val="00121870"/>
    <w:rsid w:val="0012454F"/>
    <w:rsid w:val="00125273"/>
    <w:rsid w:val="0012575E"/>
    <w:rsid w:val="00126B5B"/>
    <w:rsid w:val="00127C06"/>
    <w:rsid w:val="00133028"/>
    <w:rsid w:val="00134390"/>
    <w:rsid w:val="00134ACF"/>
    <w:rsid w:val="00145149"/>
    <w:rsid w:val="00145D4F"/>
    <w:rsid w:val="0014773C"/>
    <w:rsid w:val="00160048"/>
    <w:rsid w:val="001641F7"/>
    <w:rsid w:val="0017331D"/>
    <w:rsid w:val="0017696D"/>
    <w:rsid w:val="00182B22"/>
    <w:rsid w:val="001848FC"/>
    <w:rsid w:val="00190983"/>
    <w:rsid w:val="00190E01"/>
    <w:rsid w:val="00193F21"/>
    <w:rsid w:val="001969C5"/>
    <w:rsid w:val="001A627B"/>
    <w:rsid w:val="001A6CDD"/>
    <w:rsid w:val="001C12EE"/>
    <w:rsid w:val="001C4FE9"/>
    <w:rsid w:val="001C7B02"/>
    <w:rsid w:val="001E1646"/>
    <w:rsid w:val="001E4DD4"/>
    <w:rsid w:val="001E69DC"/>
    <w:rsid w:val="001F169D"/>
    <w:rsid w:val="001F1951"/>
    <w:rsid w:val="001F1DA1"/>
    <w:rsid w:val="001F6F93"/>
    <w:rsid w:val="001F7A20"/>
    <w:rsid w:val="00207690"/>
    <w:rsid w:val="0021048A"/>
    <w:rsid w:val="0021054A"/>
    <w:rsid w:val="0021195A"/>
    <w:rsid w:val="00213383"/>
    <w:rsid w:val="00213A21"/>
    <w:rsid w:val="00220250"/>
    <w:rsid w:val="0022049A"/>
    <w:rsid w:val="00222444"/>
    <w:rsid w:val="0022691B"/>
    <w:rsid w:val="00232163"/>
    <w:rsid w:val="002376F8"/>
    <w:rsid w:val="002408E4"/>
    <w:rsid w:val="00241591"/>
    <w:rsid w:val="00250B4F"/>
    <w:rsid w:val="0025762F"/>
    <w:rsid w:val="002620CD"/>
    <w:rsid w:val="002635B7"/>
    <w:rsid w:val="002641E8"/>
    <w:rsid w:val="00275563"/>
    <w:rsid w:val="0028114D"/>
    <w:rsid w:val="00284E46"/>
    <w:rsid w:val="00287649"/>
    <w:rsid w:val="00287E84"/>
    <w:rsid w:val="0029286C"/>
    <w:rsid w:val="0029300E"/>
    <w:rsid w:val="002977EE"/>
    <w:rsid w:val="002A391D"/>
    <w:rsid w:val="002A6752"/>
    <w:rsid w:val="002B0C3A"/>
    <w:rsid w:val="002B2116"/>
    <w:rsid w:val="002B2D9B"/>
    <w:rsid w:val="002B5016"/>
    <w:rsid w:val="002B52F8"/>
    <w:rsid w:val="002B742C"/>
    <w:rsid w:val="002B7F4D"/>
    <w:rsid w:val="002C1017"/>
    <w:rsid w:val="002C285C"/>
    <w:rsid w:val="002C7BE4"/>
    <w:rsid w:val="002D417D"/>
    <w:rsid w:val="002D5E5D"/>
    <w:rsid w:val="002E78A0"/>
    <w:rsid w:val="002F2687"/>
    <w:rsid w:val="002F428D"/>
    <w:rsid w:val="002F48E1"/>
    <w:rsid w:val="002F4BEB"/>
    <w:rsid w:val="002F4F3B"/>
    <w:rsid w:val="00301BEF"/>
    <w:rsid w:val="003049A3"/>
    <w:rsid w:val="00304C86"/>
    <w:rsid w:val="003059EB"/>
    <w:rsid w:val="00305F8C"/>
    <w:rsid w:val="003116AC"/>
    <w:rsid w:val="00315567"/>
    <w:rsid w:val="00322A8D"/>
    <w:rsid w:val="00330144"/>
    <w:rsid w:val="00332544"/>
    <w:rsid w:val="00334329"/>
    <w:rsid w:val="00337D22"/>
    <w:rsid w:val="003414F7"/>
    <w:rsid w:val="00345388"/>
    <w:rsid w:val="00345CBA"/>
    <w:rsid w:val="00346245"/>
    <w:rsid w:val="00347763"/>
    <w:rsid w:val="00356267"/>
    <w:rsid w:val="00356BAD"/>
    <w:rsid w:val="003605B4"/>
    <w:rsid w:val="003627AC"/>
    <w:rsid w:val="00366680"/>
    <w:rsid w:val="00366914"/>
    <w:rsid w:val="00367DAD"/>
    <w:rsid w:val="00372FE3"/>
    <w:rsid w:val="003755CB"/>
    <w:rsid w:val="00383F85"/>
    <w:rsid w:val="00387BA1"/>
    <w:rsid w:val="003965EC"/>
    <w:rsid w:val="003A032B"/>
    <w:rsid w:val="003A306C"/>
    <w:rsid w:val="003A42C4"/>
    <w:rsid w:val="003A7DE7"/>
    <w:rsid w:val="003B1006"/>
    <w:rsid w:val="003B1E2A"/>
    <w:rsid w:val="003C2CDD"/>
    <w:rsid w:val="003C5F11"/>
    <w:rsid w:val="003C6BE2"/>
    <w:rsid w:val="003D294B"/>
    <w:rsid w:val="003D3100"/>
    <w:rsid w:val="003D6401"/>
    <w:rsid w:val="003D6FD6"/>
    <w:rsid w:val="003E1863"/>
    <w:rsid w:val="003F2410"/>
    <w:rsid w:val="003F64BA"/>
    <w:rsid w:val="00404977"/>
    <w:rsid w:val="00406FDF"/>
    <w:rsid w:val="00410AB0"/>
    <w:rsid w:val="0041606D"/>
    <w:rsid w:val="00416683"/>
    <w:rsid w:val="00416962"/>
    <w:rsid w:val="004206A8"/>
    <w:rsid w:val="004348CC"/>
    <w:rsid w:val="00443C0C"/>
    <w:rsid w:val="00450C58"/>
    <w:rsid w:val="00451A1A"/>
    <w:rsid w:val="00452FB8"/>
    <w:rsid w:val="004629C7"/>
    <w:rsid w:val="004658FF"/>
    <w:rsid w:val="00474ED7"/>
    <w:rsid w:val="004756E1"/>
    <w:rsid w:val="0048008A"/>
    <w:rsid w:val="00483E94"/>
    <w:rsid w:val="00484120"/>
    <w:rsid w:val="004853A0"/>
    <w:rsid w:val="00491089"/>
    <w:rsid w:val="00496B5F"/>
    <w:rsid w:val="004A2E10"/>
    <w:rsid w:val="004B17FF"/>
    <w:rsid w:val="004B1BA0"/>
    <w:rsid w:val="004B3C84"/>
    <w:rsid w:val="004B6CEE"/>
    <w:rsid w:val="004C2443"/>
    <w:rsid w:val="004C498F"/>
    <w:rsid w:val="004C5D29"/>
    <w:rsid w:val="004C681A"/>
    <w:rsid w:val="004D4D8A"/>
    <w:rsid w:val="004E2BC4"/>
    <w:rsid w:val="004F5884"/>
    <w:rsid w:val="004F68EE"/>
    <w:rsid w:val="00501BB6"/>
    <w:rsid w:val="00502F66"/>
    <w:rsid w:val="005038D5"/>
    <w:rsid w:val="00511BA4"/>
    <w:rsid w:val="005149E7"/>
    <w:rsid w:val="005232D6"/>
    <w:rsid w:val="00530ACA"/>
    <w:rsid w:val="005333CC"/>
    <w:rsid w:val="005363F1"/>
    <w:rsid w:val="00537C1B"/>
    <w:rsid w:val="00540F82"/>
    <w:rsid w:val="0054218C"/>
    <w:rsid w:val="0055007C"/>
    <w:rsid w:val="0055195F"/>
    <w:rsid w:val="00554922"/>
    <w:rsid w:val="00555282"/>
    <w:rsid w:val="005560E7"/>
    <w:rsid w:val="005612CC"/>
    <w:rsid w:val="00563029"/>
    <w:rsid w:val="00565946"/>
    <w:rsid w:val="00567D12"/>
    <w:rsid w:val="00576062"/>
    <w:rsid w:val="00581B68"/>
    <w:rsid w:val="00586A3F"/>
    <w:rsid w:val="0059559F"/>
    <w:rsid w:val="005A49FF"/>
    <w:rsid w:val="005A7634"/>
    <w:rsid w:val="005B6F04"/>
    <w:rsid w:val="005C0447"/>
    <w:rsid w:val="005C6C45"/>
    <w:rsid w:val="005C739F"/>
    <w:rsid w:val="005C73CA"/>
    <w:rsid w:val="005D3DDB"/>
    <w:rsid w:val="005D4768"/>
    <w:rsid w:val="005D52CE"/>
    <w:rsid w:val="005E2CAB"/>
    <w:rsid w:val="005E429E"/>
    <w:rsid w:val="005F6D26"/>
    <w:rsid w:val="00601ED4"/>
    <w:rsid w:val="006030BC"/>
    <w:rsid w:val="00607E93"/>
    <w:rsid w:val="00612866"/>
    <w:rsid w:val="00616890"/>
    <w:rsid w:val="00616EB5"/>
    <w:rsid w:val="006203D8"/>
    <w:rsid w:val="006269D4"/>
    <w:rsid w:val="006327D8"/>
    <w:rsid w:val="0064070A"/>
    <w:rsid w:val="006437E3"/>
    <w:rsid w:val="00643A01"/>
    <w:rsid w:val="00644ED8"/>
    <w:rsid w:val="00651D44"/>
    <w:rsid w:val="006574D2"/>
    <w:rsid w:val="00663563"/>
    <w:rsid w:val="006676D4"/>
    <w:rsid w:val="00675535"/>
    <w:rsid w:val="0067575D"/>
    <w:rsid w:val="00681359"/>
    <w:rsid w:val="0068509B"/>
    <w:rsid w:val="00691124"/>
    <w:rsid w:val="0069157C"/>
    <w:rsid w:val="00696262"/>
    <w:rsid w:val="006B189E"/>
    <w:rsid w:val="006B7C47"/>
    <w:rsid w:val="006C250B"/>
    <w:rsid w:val="006C2E2F"/>
    <w:rsid w:val="006C3A4F"/>
    <w:rsid w:val="006C4845"/>
    <w:rsid w:val="006D2B48"/>
    <w:rsid w:val="006D6BC1"/>
    <w:rsid w:val="006E2BFC"/>
    <w:rsid w:val="006E4E67"/>
    <w:rsid w:val="006E5C57"/>
    <w:rsid w:val="006F19CA"/>
    <w:rsid w:val="006F22A5"/>
    <w:rsid w:val="006F7C40"/>
    <w:rsid w:val="00702C73"/>
    <w:rsid w:val="00713394"/>
    <w:rsid w:val="00717F78"/>
    <w:rsid w:val="00724677"/>
    <w:rsid w:val="00724DC3"/>
    <w:rsid w:val="0072523A"/>
    <w:rsid w:val="00725AC2"/>
    <w:rsid w:val="00725C95"/>
    <w:rsid w:val="00732880"/>
    <w:rsid w:val="007416B9"/>
    <w:rsid w:val="007421DB"/>
    <w:rsid w:val="007422FD"/>
    <w:rsid w:val="00743E46"/>
    <w:rsid w:val="00747C45"/>
    <w:rsid w:val="00751E1F"/>
    <w:rsid w:val="00756FDB"/>
    <w:rsid w:val="007629B6"/>
    <w:rsid w:val="007665BF"/>
    <w:rsid w:val="00771B2A"/>
    <w:rsid w:val="00773AE2"/>
    <w:rsid w:val="007757CE"/>
    <w:rsid w:val="00775800"/>
    <w:rsid w:val="00780D7F"/>
    <w:rsid w:val="00782ABB"/>
    <w:rsid w:val="0079180E"/>
    <w:rsid w:val="007950CC"/>
    <w:rsid w:val="0079538B"/>
    <w:rsid w:val="007961B8"/>
    <w:rsid w:val="00796634"/>
    <w:rsid w:val="00797624"/>
    <w:rsid w:val="007A1565"/>
    <w:rsid w:val="007A4828"/>
    <w:rsid w:val="007B093D"/>
    <w:rsid w:val="007B2069"/>
    <w:rsid w:val="007B6545"/>
    <w:rsid w:val="007C04A1"/>
    <w:rsid w:val="007C21FA"/>
    <w:rsid w:val="007D10A4"/>
    <w:rsid w:val="007D13B1"/>
    <w:rsid w:val="007D4351"/>
    <w:rsid w:val="007D4907"/>
    <w:rsid w:val="007D7019"/>
    <w:rsid w:val="007E18DB"/>
    <w:rsid w:val="007E5541"/>
    <w:rsid w:val="007E6F1C"/>
    <w:rsid w:val="007F1C96"/>
    <w:rsid w:val="00803D58"/>
    <w:rsid w:val="00804C69"/>
    <w:rsid w:val="0080711D"/>
    <w:rsid w:val="00810677"/>
    <w:rsid w:val="00810DE3"/>
    <w:rsid w:val="00814AFC"/>
    <w:rsid w:val="008155CD"/>
    <w:rsid w:val="00822B2C"/>
    <w:rsid w:val="00823822"/>
    <w:rsid w:val="00833325"/>
    <w:rsid w:val="00840A41"/>
    <w:rsid w:val="00842F3C"/>
    <w:rsid w:val="008505D1"/>
    <w:rsid w:val="00854206"/>
    <w:rsid w:val="00855158"/>
    <w:rsid w:val="00857EE8"/>
    <w:rsid w:val="0086062D"/>
    <w:rsid w:val="0086464B"/>
    <w:rsid w:val="008647FC"/>
    <w:rsid w:val="00864CA8"/>
    <w:rsid w:val="00865E2D"/>
    <w:rsid w:val="00870E6C"/>
    <w:rsid w:val="00873401"/>
    <w:rsid w:val="00874F6D"/>
    <w:rsid w:val="00875846"/>
    <w:rsid w:val="00876ADA"/>
    <w:rsid w:val="00884486"/>
    <w:rsid w:val="008871A9"/>
    <w:rsid w:val="008916BA"/>
    <w:rsid w:val="00892176"/>
    <w:rsid w:val="00893401"/>
    <w:rsid w:val="008A1DB7"/>
    <w:rsid w:val="008A403A"/>
    <w:rsid w:val="008A49C4"/>
    <w:rsid w:val="008A4C13"/>
    <w:rsid w:val="008B604D"/>
    <w:rsid w:val="008C54A9"/>
    <w:rsid w:val="008C702C"/>
    <w:rsid w:val="008D1EFE"/>
    <w:rsid w:val="008E67C3"/>
    <w:rsid w:val="008F41A6"/>
    <w:rsid w:val="008F589F"/>
    <w:rsid w:val="008F76A9"/>
    <w:rsid w:val="008F7E67"/>
    <w:rsid w:val="00900DBF"/>
    <w:rsid w:val="009048B9"/>
    <w:rsid w:val="00904E91"/>
    <w:rsid w:val="00915886"/>
    <w:rsid w:val="009214DC"/>
    <w:rsid w:val="00923235"/>
    <w:rsid w:val="00923D12"/>
    <w:rsid w:val="009248A4"/>
    <w:rsid w:val="00927027"/>
    <w:rsid w:val="009344BA"/>
    <w:rsid w:val="00946E61"/>
    <w:rsid w:val="00947F78"/>
    <w:rsid w:val="00952218"/>
    <w:rsid w:val="00953234"/>
    <w:rsid w:val="00956CA9"/>
    <w:rsid w:val="00961EAF"/>
    <w:rsid w:val="0096278F"/>
    <w:rsid w:val="00962914"/>
    <w:rsid w:val="009726E1"/>
    <w:rsid w:val="00972A04"/>
    <w:rsid w:val="00977591"/>
    <w:rsid w:val="00980E75"/>
    <w:rsid w:val="0098184B"/>
    <w:rsid w:val="00994BE0"/>
    <w:rsid w:val="009A25B1"/>
    <w:rsid w:val="009A4608"/>
    <w:rsid w:val="009A6A57"/>
    <w:rsid w:val="009A70BF"/>
    <w:rsid w:val="009B1A15"/>
    <w:rsid w:val="009B23AE"/>
    <w:rsid w:val="009C0852"/>
    <w:rsid w:val="009C1193"/>
    <w:rsid w:val="009C13CA"/>
    <w:rsid w:val="009C32C6"/>
    <w:rsid w:val="009C665F"/>
    <w:rsid w:val="009C7513"/>
    <w:rsid w:val="009D0940"/>
    <w:rsid w:val="009D2E8B"/>
    <w:rsid w:val="009D3882"/>
    <w:rsid w:val="009D7E38"/>
    <w:rsid w:val="009E095B"/>
    <w:rsid w:val="009E1846"/>
    <w:rsid w:val="009E3033"/>
    <w:rsid w:val="009E78FF"/>
    <w:rsid w:val="009F50B3"/>
    <w:rsid w:val="00A01494"/>
    <w:rsid w:val="00A0308F"/>
    <w:rsid w:val="00A06FEB"/>
    <w:rsid w:val="00A14AAB"/>
    <w:rsid w:val="00A22FA9"/>
    <w:rsid w:val="00A23D7C"/>
    <w:rsid w:val="00A25024"/>
    <w:rsid w:val="00A35F8F"/>
    <w:rsid w:val="00A41377"/>
    <w:rsid w:val="00A4263D"/>
    <w:rsid w:val="00A4741A"/>
    <w:rsid w:val="00A509B8"/>
    <w:rsid w:val="00A525AF"/>
    <w:rsid w:val="00A52AB9"/>
    <w:rsid w:val="00A55A4F"/>
    <w:rsid w:val="00A6210B"/>
    <w:rsid w:val="00A64EBF"/>
    <w:rsid w:val="00A66BBC"/>
    <w:rsid w:val="00A71200"/>
    <w:rsid w:val="00A7323A"/>
    <w:rsid w:val="00A831B4"/>
    <w:rsid w:val="00A97798"/>
    <w:rsid w:val="00AA5213"/>
    <w:rsid w:val="00AA65A6"/>
    <w:rsid w:val="00AC0026"/>
    <w:rsid w:val="00AC0B87"/>
    <w:rsid w:val="00AC1D8E"/>
    <w:rsid w:val="00AC399A"/>
    <w:rsid w:val="00AC48FA"/>
    <w:rsid w:val="00AC4E11"/>
    <w:rsid w:val="00AD0240"/>
    <w:rsid w:val="00AD4137"/>
    <w:rsid w:val="00AE0D1D"/>
    <w:rsid w:val="00AE46EC"/>
    <w:rsid w:val="00AF2D68"/>
    <w:rsid w:val="00B037BA"/>
    <w:rsid w:val="00B14D90"/>
    <w:rsid w:val="00B20139"/>
    <w:rsid w:val="00B218DA"/>
    <w:rsid w:val="00B32278"/>
    <w:rsid w:val="00B342FA"/>
    <w:rsid w:val="00B347B6"/>
    <w:rsid w:val="00B53E8B"/>
    <w:rsid w:val="00B65C90"/>
    <w:rsid w:val="00B774D2"/>
    <w:rsid w:val="00B8015A"/>
    <w:rsid w:val="00B82A57"/>
    <w:rsid w:val="00B85DCB"/>
    <w:rsid w:val="00B90286"/>
    <w:rsid w:val="00BA053B"/>
    <w:rsid w:val="00BA65D7"/>
    <w:rsid w:val="00BB35AE"/>
    <w:rsid w:val="00BB543A"/>
    <w:rsid w:val="00BB59C9"/>
    <w:rsid w:val="00BC03A1"/>
    <w:rsid w:val="00BC0D25"/>
    <w:rsid w:val="00BD2505"/>
    <w:rsid w:val="00BD4AFB"/>
    <w:rsid w:val="00BD5AE8"/>
    <w:rsid w:val="00BE592D"/>
    <w:rsid w:val="00BF52B0"/>
    <w:rsid w:val="00BF5697"/>
    <w:rsid w:val="00C06466"/>
    <w:rsid w:val="00C12621"/>
    <w:rsid w:val="00C12F48"/>
    <w:rsid w:val="00C1400F"/>
    <w:rsid w:val="00C14CCC"/>
    <w:rsid w:val="00C1695E"/>
    <w:rsid w:val="00C22C1C"/>
    <w:rsid w:val="00C33F2E"/>
    <w:rsid w:val="00C34936"/>
    <w:rsid w:val="00C34C14"/>
    <w:rsid w:val="00C355B9"/>
    <w:rsid w:val="00C37EF1"/>
    <w:rsid w:val="00C401C4"/>
    <w:rsid w:val="00C41680"/>
    <w:rsid w:val="00C60A25"/>
    <w:rsid w:val="00C70BA0"/>
    <w:rsid w:val="00C765C5"/>
    <w:rsid w:val="00C775CE"/>
    <w:rsid w:val="00C82479"/>
    <w:rsid w:val="00C82549"/>
    <w:rsid w:val="00C867F0"/>
    <w:rsid w:val="00C87E8F"/>
    <w:rsid w:val="00CA06D8"/>
    <w:rsid w:val="00CA345A"/>
    <w:rsid w:val="00CB00EE"/>
    <w:rsid w:val="00CB49FF"/>
    <w:rsid w:val="00CB61C3"/>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27EC5"/>
    <w:rsid w:val="00D31163"/>
    <w:rsid w:val="00D320B1"/>
    <w:rsid w:val="00D33AFD"/>
    <w:rsid w:val="00D36489"/>
    <w:rsid w:val="00D369E9"/>
    <w:rsid w:val="00D4021E"/>
    <w:rsid w:val="00D42195"/>
    <w:rsid w:val="00D44AA1"/>
    <w:rsid w:val="00D46D92"/>
    <w:rsid w:val="00D505BF"/>
    <w:rsid w:val="00D50704"/>
    <w:rsid w:val="00D5760A"/>
    <w:rsid w:val="00D61410"/>
    <w:rsid w:val="00D61B65"/>
    <w:rsid w:val="00D715B0"/>
    <w:rsid w:val="00D72922"/>
    <w:rsid w:val="00D8181D"/>
    <w:rsid w:val="00D845AD"/>
    <w:rsid w:val="00D968D8"/>
    <w:rsid w:val="00DA24D3"/>
    <w:rsid w:val="00DA563D"/>
    <w:rsid w:val="00DA7277"/>
    <w:rsid w:val="00DB0E3E"/>
    <w:rsid w:val="00DB3627"/>
    <w:rsid w:val="00DB4724"/>
    <w:rsid w:val="00DB6944"/>
    <w:rsid w:val="00DC17A5"/>
    <w:rsid w:val="00DC4746"/>
    <w:rsid w:val="00DE0EFC"/>
    <w:rsid w:val="00DE20F0"/>
    <w:rsid w:val="00DE6325"/>
    <w:rsid w:val="00DE7149"/>
    <w:rsid w:val="00DF7345"/>
    <w:rsid w:val="00E0314C"/>
    <w:rsid w:val="00E1508F"/>
    <w:rsid w:val="00E15F0A"/>
    <w:rsid w:val="00E25765"/>
    <w:rsid w:val="00E261DF"/>
    <w:rsid w:val="00E27240"/>
    <w:rsid w:val="00E27EDD"/>
    <w:rsid w:val="00E30584"/>
    <w:rsid w:val="00E310B9"/>
    <w:rsid w:val="00E37E1B"/>
    <w:rsid w:val="00E51808"/>
    <w:rsid w:val="00E53497"/>
    <w:rsid w:val="00E562C0"/>
    <w:rsid w:val="00E57FAF"/>
    <w:rsid w:val="00E672D6"/>
    <w:rsid w:val="00E70B78"/>
    <w:rsid w:val="00E71029"/>
    <w:rsid w:val="00E76024"/>
    <w:rsid w:val="00E856A2"/>
    <w:rsid w:val="00E91ABA"/>
    <w:rsid w:val="00E967AD"/>
    <w:rsid w:val="00E96884"/>
    <w:rsid w:val="00EA30F4"/>
    <w:rsid w:val="00EA5435"/>
    <w:rsid w:val="00EA5F47"/>
    <w:rsid w:val="00EB0290"/>
    <w:rsid w:val="00EB416C"/>
    <w:rsid w:val="00EB455E"/>
    <w:rsid w:val="00EC79DE"/>
    <w:rsid w:val="00ED4ACE"/>
    <w:rsid w:val="00ED7D98"/>
    <w:rsid w:val="00EE2819"/>
    <w:rsid w:val="00EE4D35"/>
    <w:rsid w:val="00EE7EF3"/>
    <w:rsid w:val="00EF2DA7"/>
    <w:rsid w:val="00EF60CB"/>
    <w:rsid w:val="00F051C0"/>
    <w:rsid w:val="00F06993"/>
    <w:rsid w:val="00F1412B"/>
    <w:rsid w:val="00F15BFA"/>
    <w:rsid w:val="00F17EF4"/>
    <w:rsid w:val="00F26AD7"/>
    <w:rsid w:val="00F2769B"/>
    <w:rsid w:val="00F30A49"/>
    <w:rsid w:val="00F33B08"/>
    <w:rsid w:val="00F34FAB"/>
    <w:rsid w:val="00F435AA"/>
    <w:rsid w:val="00F441BE"/>
    <w:rsid w:val="00F5738A"/>
    <w:rsid w:val="00F57B63"/>
    <w:rsid w:val="00F612D4"/>
    <w:rsid w:val="00F617CE"/>
    <w:rsid w:val="00F65376"/>
    <w:rsid w:val="00F7389E"/>
    <w:rsid w:val="00F748D1"/>
    <w:rsid w:val="00F77F1D"/>
    <w:rsid w:val="00F8401D"/>
    <w:rsid w:val="00F84BA1"/>
    <w:rsid w:val="00F87CCB"/>
    <w:rsid w:val="00F94EAF"/>
    <w:rsid w:val="00FA48C7"/>
    <w:rsid w:val="00FA765D"/>
    <w:rsid w:val="00FB51FB"/>
    <w:rsid w:val="00FB73C1"/>
    <w:rsid w:val="00FD3FDB"/>
    <w:rsid w:val="00FD7CFD"/>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ABCF53"/>
  <w15:docId w15:val="{23DFA0C0-3009-425D-8DF1-13A4D17FC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0E73F4"/>
    <w:pPr>
      <w:spacing w:line="240" w:lineRule="auto"/>
    </w:pPr>
    <w:rPr>
      <w:b/>
      <w:bCs/>
      <w:color w:val="4F81BD" w:themeColor="accent1"/>
      <w:sz w:val="18"/>
      <w:szCs w:val="18"/>
    </w:rPr>
  </w:style>
  <w:style w:type="character" w:customStyle="1" w:styleId="UnresolvedMention1">
    <w:name w:val="Unresolved Mention1"/>
    <w:basedOn w:val="DefaultParagraphFont"/>
    <w:uiPriority w:val="99"/>
    <w:semiHidden/>
    <w:unhideWhenUsed/>
    <w:rsid w:val="00A06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4196">
      <w:bodyDiv w:val="1"/>
      <w:marLeft w:val="0"/>
      <w:marRight w:val="0"/>
      <w:marTop w:val="0"/>
      <w:marBottom w:val="0"/>
      <w:divBdr>
        <w:top w:val="none" w:sz="0" w:space="0" w:color="auto"/>
        <w:left w:val="none" w:sz="0" w:space="0" w:color="auto"/>
        <w:bottom w:val="none" w:sz="0" w:space="0" w:color="auto"/>
        <w:right w:val="none" w:sz="0" w:space="0" w:color="auto"/>
      </w:divBdr>
    </w:div>
    <w:div w:id="33608337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23286488">
      <w:bodyDiv w:val="1"/>
      <w:marLeft w:val="0"/>
      <w:marRight w:val="0"/>
      <w:marTop w:val="0"/>
      <w:marBottom w:val="0"/>
      <w:divBdr>
        <w:top w:val="none" w:sz="0" w:space="0" w:color="auto"/>
        <w:left w:val="none" w:sz="0" w:space="0" w:color="auto"/>
        <w:bottom w:val="none" w:sz="0" w:space="0" w:color="auto"/>
        <w:right w:val="none" w:sz="0" w:space="0" w:color="auto"/>
      </w:divBdr>
    </w:div>
    <w:div w:id="975331724">
      <w:bodyDiv w:val="1"/>
      <w:marLeft w:val="0"/>
      <w:marRight w:val="0"/>
      <w:marTop w:val="0"/>
      <w:marBottom w:val="0"/>
      <w:divBdr>
        <w:top w:val="none" w:sz="0" w:space="0" w:color="auto"/>
        <w:left w:val="none" w:sz="0" w:space="0" w:color="auto"/>
        <w:bottom w:val="none" w:sz="0" w:space="0" w:color="auto"/>
        <w:right w:val="none" w:sz="0" w:space="0" w:color="auto"/>
      </w:divBdr>
    </w:div>
    <w:div w:id="1104762754">
      <w:bodyDiv w:val="1"/>
      <w:marLeft w:val="0"/>
      <w:marRight w:val="0"/>
      <w:marTop w:val="0"/>
      <w:marBottom w:val="0"/>
      <w:divBdr>
        <w:top w:val="none" w:sz="0" w:space="0" w:color="auto"/>
        <w:left w:val="none" w:sz="0" w:space="0" w:color="auto"/>
        <w:bottom w:val="none" w:sz="0" w:space="0" w:color="auto"/>
        <w:right w:val="none" w:sz="0" w:space="0" w:color="auto"/>
      </w:divBdr>
    </w:div>
    <w:div w:id="1250579442">
      <w:bodyDiv w:val="1"/>
      <w:marLeft w:val="0"/>
      <w:marRight w:val="0"/>
      <w:marTop w:val="0"/>
      <w:marBottom w:val="0"/>
      <w:divBdr>
        <w:top w:val="none" w:sz="0" w:space="0" w:color="auto"/>
        <w:left w:val="none" w:sz="0" w:space="0" w:color="auto"/>
        <w:bottom w:val="none" w:sz="0" w:space="0" w:color="auto"/>
        <w:right w:val="none" w:sz="0" w:space="0" w:color="auto"/>
      </w:divBdr>
    </w:div>
    <w:div w:id="1266426034">
      <w:bodyDiv w:val="1"/>
      <w:marLeft w:val="0"/>
      <w:marRight w:val="0"/>
      <w:marTop w:val="0"/>
      <w:marBottom w:val="0"/>
      <w:divBdr>
        <w:top w:val="none" w:sz="0" w:space="0" w:color="auto"/>
        <w:left w:val="none" w:sz="0" w:space="0" w:color="auto"/>
        <w:bottom w:val="none" w:sz="0" w:space="0" w:color="auto"/>
        <w:right w:val="none" w:sz="0" w:space="0" w:color="auto"/>
      </w:divBdr>
    </w:div>
    <w:div w:id="130115271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and.org/content/dam/rand/pubs/technical_reports/2009/RAND_TR653.pdf" TargetMode="Externa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cvquality.acc.org/NCDR-Home/registries/hospital-registries/cathpci-registry"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07C95"/>
    <w:rsid w:val="00021F89"/>
    <w:rsid w:val="000668FC"/>
    <w:rsid w:val="000675BA"/>
    <w:rsid w:val="000D0424"/>
    <w:rsid w:val="00127222"/>
    <w:rsid w:val="001736D7"/>
    <w:rsid w:val="00183491"/>
    <w:rsid w:val="00190AF4"/>
    <w:rsid w:val="002068B3"/>
    <w:rsid w:val="00223FA3"/>
    <w:rsid w:val="002430BD"/>
    <w:rsid w:val="002A288F"/>
    <w:rsid w:val="002C65A7"/>
    <w:rsid w:val="002F052A"/>
    <w:rsid w:val="00350176"/>
    <w:rsid w:val="00375A19"/>
    <w:rsid w:val="003840F0"/>
    <w:rsid w:val="00437537"/>
    <w:rsid w:val="00441EA5"/>
    <w:rsid w:val="004D785E"/>
    <w:rsid w:val="004E6909"/>
    <w:rsid w:val="00513FC9"/>
    <w:rsid w:val="0053654E"/>
    <w:rsid w:val="00590D85"/>
    <w:rsid w:val="00610196"/>
    <w:rsid w:val="00632A7E"/>
    <w:rsid w:val="00632AB6"/>
    <w:rsid w:val="00730B33"/>
    <w:rsid w:val="00772957"/>
    <w:rsid w:val="00772B2A"/>
    <w:rsid w:val="007C2735"/>
    <w:rsid w:val="007C672A"/>
    <w:rsid w:val="007D2E65"/>
    <w:rsid w:val="007D4368"/>
    <w:rsid w:val="00822666"/>
    <w:rsid w:val="00823ECC"/>
    <w:rsid w:val="00826796"/>
    <w:rsid w:val="00834E99"/>
    <w:rsid w:val="00866C97"/>
    <w:rsid w:val="008B332A"/>
    <w:rsid w:val="009017AE"/>
    <w:rsid w:val="009458A0"/>
    <w:rsid w:val="009C542D"/>
    <w:rsid w:val="009E382F"/>
    <w:rsid w:val="00A01A18"/>
    <w:rsid w:val="00A205C5"/>
    <w:rsid w:val="00A95183"/>
    <w:rsid w:val="00AB4AF7"/>
    <w:rsid w:val="00AC6F8E"/>
    <w:rsid w:val="00AD7C4F"/>
    <w:rsid w:val="00B445F5"/>
    <w:rsid w:val="00BB5996"/>
    <w:rsid w:val="00BB79AB"/>
    <w:rsid w:val="00BD40CB"/>
    <w:rsid w:val="00C362A2"/>
    <w:rsid w:val="00C90121"/>
    <w:rsid w:val="00C96E73"/>
    <w:rsid w:val="00CA1FE8"/>
    <w:rsid w:val="00CA344F"/>
    <w:rsid w:val="00CA660C"/>
    <w:rsid w:val="00D02C74"/>
    <w:rsid w:val="00D12E95"/>
    <w:rsid w:val="00D1676E"/>
    <w:rsid w:val="00DC0246"/>
    <w:rsid w:val="00DC2E47"/>
    <w:rsid w:val="00E6518A"/>
    <w:rsid w:val="00E6788A"/>
    <w:rsid w:val="00F540AB"/>
    <w:rsid w:val="00F915BA"/>
    <w:rsid w:val="00FB117B"/>
    <w:rsid w:val="00FD7839"/>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516AC8D2-3C5C-4119-8A57-E2B9E7236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9748</Words>
  <Characters>55567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Sana Gokak</cp:lastModifiedBy>
  <cp:revision>3</cp:revision>
  <cp:lastPrinted>2018-07-31T17:28:00Z</cp:lastPrinted>
  <dcterms:created xsi:type="dcterms:W3CDTF">2018-08-16T15:35:00Z</dcterms:created>
  <dcterms:modified xsi:type="dcterms:W3CDTF">2018-08-16T15:54:00Z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