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7F3A933"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40006">
            <w:rPr>
              <w:rStyle w:val="Style1"/>
            </w:rPr>
            <w:t>2459</w:t>
          </w:r>
        </w:sdtContent>
      </w:sdt>
    </w:p>
    <w:p w14:paraId="55B8DA2F" w14:textId="3CEB3AB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24822614"/>
              <w:placeholder>
                <w:docPart w:val="6A183B2050DC4A31805C72FB090BF86B"/>
              </w:placeholder>
            </w:sdtPr>
            <w:sdtEndPr>
              <w:rPr>
                <w:rStyle w:val="DefaultParagraphFont"/>
                <w:noProof/>
                <w:color w:val="auto"/>
              </w:rPr>
            </w:sdtEndPr>
            <w:sdtContent>
              <w:r w:rsidR="00C801EC" w:rsidRPr="001E1C83">
                <w:rPr>
                  <w:rStyle w:val="Style1"/>
                </w:rPr>
                <w:t xml:space="preserve">In-hospital Risk </w:t>
              </w:r>
              <w:r w:rsidR="00807462">
                <w:rPr>
                  <w:rStyle w:val="Style1"/>
                </w:rPr>
                <w:t>Standardized Bleeding Rate for P</w:t>
              </w:r>
              <w:r w:rsidR="00C801EC" w:rsidRPr="001E1C83">
                <w:rPr>
                  <w:rStyle w:val="Style1"/>
                </w:rPr>
                <w:t xml:space="preserve">atients </w:t>
              </w:r>
              <w:r w:rsidR="00807462">
                <w:rPr>
                  <w:rStyle w:val="Style1"/>
                </w:rPr>
                <w:t>U</w:t>
              </w:r>
              <w:r w:rsidR="00C801EC" w:rsidRPr="001E1C83">
                <w:rPr>
                  <w:rStyle w:val="Style1"/>
                </w:rPr>
                <w:t>ndergoing PCI</w:t>
              </w:r>
            </w:sdtContent>
          </w:sdt>
          <w:r w:rsidR="00C801EC">
            <w:rPr>
              <w:noProof/>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54FA5B0D"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1-01T00:00:00Z">
            <w:dateFormat w:val="M/d/yyyy"/>
            <w:lid w:val="en-US"/>
            <w:storeMappedDataAs w:val="dateTime"/>
            <w:calendar w:val="gregorian"/>
          </w:date>
        </w:sdtPr>
        <w:sdtEndPr>
          <w:rPr>
            <w:rStyle w:val="DefaultParagraphFont"/>
            <w:noProof/>
            <w:color w:val="auto"/>
            <w:u w:val="none"/>
          </w:rPr>
        </w:sdtEndPr>
        <w:sdtContent>
          <w:r w:rsidR="00C801EC">
            <w:rPr>
              <w:rStyle w:val="Style2"/>
            </w:rPr>
            <w:t>11/1/2018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214FF833" w:rsidR="00496AF8" w:rsidRPr="003B1CC5" w:rsidRDefault="00DD20C0"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C801EC">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C801EC">
            <w:rPr>
              <w:rStyle w:val="Style2"/>
              <w:rFonts w:cstheme="minorHAnsi"/>
            </w:rPr>
            <w:t>Reduction in bleeding events for patients undergoing PCI</w:t>
          </w:r>
        </w:sdtContent>
      </w:sdt>
    </w:p>
    <w:p w14:paraId="55B8DA52" w14:textId="77777777" w:rsidR="00236F87" w:rsidRPr="003B1CC5" w:rsidRDefault="00DD20C0"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DD20C0"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DD20C0"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DD20C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DD20C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13F18C1B"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3498978A" w14:textId="5CFA57A8" w:rsidR="00C801EC" w:rsidRDefault="00C801EC" w:rsidP="002B06BD">
      <w:pPr>
        <w:ind w:left="432" w:hanging="432"/>
        <w:rPr>
          <w:iCs/>
        </w:rPr>
      </w:pPr>
    </w:p>
    <w:p w14:paraId="0B01AFA9" w14:textId="57959567" w:rsidR="00C801EC" w:rsidRDefault="00C801EC" w:rsidP="002B06BD">
      <w:pPr>
        <w:ind w:left="432" w:hanging="432"/>
        <w:rPr>
          <w:iCs/>
        </w:rPr>
      </w:pPr>
      <w:r w:rsidRPr="001E1C83">
        <w:rPr>
          <w:noProof/>
          <w:bdr w:val="single" w:sz="4" w:space="0" w:color="auto"/>
        </w:rPr>
        <w:drawing>
          <wp:inline distT="0" distB="0" distL="0" distR="0" wp14:anchorId="284473DE" wp14:editId="651DE170">
            <wp:extent cx="4408098" cy="2786332"/>
            <wp:effectExtent l="0" t="0" r="12065" b="1460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091878E" w14:textId="71B58DDB" w:rsidR="00C801EC" w:rsidRDefault="00C801EC" w:rsidP="002B06BD">
      <w:pPr>
        <w:ind w:left="432" w:hanging="432"/>
        <w:rPr>
          <w:iCs/>
        </w:rPr>
      </w:pPr>
    </w:p>
    <w:p w14:paraId="6B624EAD" w14:textId="77777777" w:rsidR="00C801EC" w:rsidRPr="001E1C83" w:rsidRDefault="00C801EC" w:rsidP="00C801EC">
      <w:pPr>
        <w:ind w:left="0" w:firstLine="0"/>
        <w:rPr>
          <w:iCs/>
        </w:rPr>
      </w:pPr>
      <w:r w:rsidRPr="001E1C83">
        <w:rPr>
          <w:iCs/>
        </w:rPr>
        <w:t>CLASS I: All patients should be evaluated for risk of bleeding before PCI. (Level of Evidence: C)</w:t>
      </w:r>
    </w:p>
    <w:p w14:paraId="35712AD9" w14:textId="77777777" w:rsidR="00C801EC" w:rsidRPr="001E1C83" w:rsidRDefault="00C801EC" w:rsidP="00C801EC">
      <w:pPr>
        <w:ind w:left="0" w:firstLine="0"/>
        <w:rPr>
          <w:iCs/>
        </w:rPr>
      </w:pPr>
    </w:p>
    <w:p w14:paraId="5185A52A" w14:textId="77777777" w:rsidR="00C801EC" w:rsidRPr="001E1C83" w:rsidRDefault="00C801EC" w:rsidP="00C801EC">
      <w:pPr>
        <w:ind w:left="0" w:firstLine="0"/>
        <w:rPr>
          <w:iCs/>
        </w:rPr>
      </w:pPr>
      <w:r w:rsidRPr="001E1C83">
        <w:rPr>
          <w:i/>
          <w:iCs/>
        </w:rPr>
        <w:t>“</w:t>
      </w:r>
      <w:r w:rsidRPr="001E1C83">
        <w:rPr>
          <w:iCs/>
        </w:rPr>
        <w:t xml:space="preserve">Intra and post - procedural bleeding is recognized as a major risk factor for subsequent </w:t>
      </w:r>
      <w:proofErr w:type="gramStart"/>
      <w:r w:rsidRPr="001E1C83">
        <w:rPr>
          <w:iCs/>
        </w:rPr>
        <w:t>mortality .</w:t>
      </w:r>
      <w:proofErr w:type="gramEnd"/>
      <w:r w:rsidRPr="001E1C83">
        <w:rPr>
          <w:iCs/>
        </w:rPr>
        <w:t xml:space="preserve"> Bleeding may lead to mortality directly (because of the bleeding event) or through ischemic complications that occur when antiplatelet or anticoagulant agents are withdrawn in response to the bleeding. Bleeding may also be a marker of comorbidities associated with worse prognosis (e.g., occult cancer). The risk of bleeding is associated with </w:t>
      </w:r>
      <w:proofErr w:type="gramStart"/>
      <w:r w:rsidRPr="001E1C83">
        <w:rPr>
          <w:iCs/>
        </w:rPr>
        <w:t>a number of</w:t>
      </w:r>
      <w:proofErr w:type="gramEnd"/>
      <w:r w:rsidRPr="001E1C83">
        <w:rPr>
          <w:iCs/>
        </w:rPr>
        <w:t xml:space="preserve"> patient factors (e.g., advanced age, low body </w:t>
      </w:r>
      <w:r w:rsidRPr="001E1C83">
        <w:rPr>
          <w:iCs/>
        </w:rPr>
        <w:lastRenderedPageBreak/>
        <w:t>mass index, CKD, baseline anemia), as well as the degree of platelet and thrombin inhibition, vascular access site, and sheath size. The overall approach to PCI should be individualized to minimize both ischemic and bleeding risks.”</w:t>
      </w:r>
    </w:p>
    <w:p w14:paraId="0F1E3066" w14:textId="77777777" w:rsidR="00C801EC" w:rsidRPr="001E1C83" w:rsidRDefault="00C801EC" w:rsidP="00C801EC">
      <w:pPr>
        <w:ind w:left="0" w:firstLine="0"/>
        <w:rPr>
          <w:iCs/>
        </w:rPr>
      </w:pPr>
    </w:p>
    <w:p w14:paraId="1433815D" w14:textId="77777777" w:rsidR="00C801EC" w:rsidRPr="001E1C83" w:rsidRDefault="00C801EC" w:rsidP="00C801EC">
      <w:pPr>
        <w:ind w:left="432" w:firstLine="0"/>
        <w:rPr>
          <w:color w:val="0000FF"/>
        </w:rPr>
      </w:pPr>
      <w:r w:rsidRPr="001E1C83">
        <w:rPr>
          <w:i/>
          <w:iCs/>
        </w:rPr>
        <w:t xml:space="preserve">Levine GN, Bates ER, Blankenship JC, et al. 2011 ACCF/AHA/SCAI Guideline for Percutaneous Coronary Intervention: A Report of the American College of Cardiology Foundation/American Heart Association Task Force on Practice Guidelines and the Society for Cardiovascular Angiography and Interventions. J Am Coll </w:t>
      </w:r>
      <w:proofErr w:type="spellStart"/>
      <w:r w:rsidRPr="001E1C83">
        <w:rPr>
          <w:i/>
          <w:iCs/>
        </w:rPr>
        <w:t>Cardiol</w:t>
      </w:r>
      <w:proofErr w:type="spellEnd"/>
      <w:r w:rsidRPr="001E1C83">
        <w:rPr>
          <w:i/>
          <w:iCs/>
        </w:rPr>
        <w:t>. 2011;58(24</w:t>
      </w:r>
      <w:proofErr w:type="gramStart"/>
      <w:r w:rsidRPr="001E1C83">
        <w:rPr>
          <w:i/>
          <w:iCs/>
        </w:rPr>
        <w:t>):e</w:t>
      </w:r>
      <w:proofErr w:type="gramEnd"/>
      <w:r w:rsidRPr="001E1C83">
        <w:rPr>
          <w:i/>
          <w:iCs/>
        </w:rPr>
        <w:t xml:space="preserve">44-e122. </w:t>
      </w:r>
      <w:proofErr w:type="gramStart"/>
      <w:r w:rsidRPr="001E1C83">
        <w:rPr>
          <w:i/>
          <w:iCs/>
        </w:rPr>
        <w:t>doi:10.1016/j.jacc</w:t>
      </w:r>
      <w:proofErr w:type="gramEnd"/>
      <w:r w:rsidRPr="001E1C83">
        <w:rPr>
          <w:i/>
          <w:iCs/>
        </w:rPr>
        <w:t>.2011.08.007.</w:t>
      </w:r>
    </w:p>
    <w:p w14:paraId="5D0FFC86" w14:textId="77777777" w:rsidR="00C801EC" w:rsidRPr="00676BD4" w:rsidRDefault="00C801EC" w:rsidP="002B06BD">
      <w:pPr>
        <w:ind w:left="432" w:hanging="432"/>
        <w:rPr>
          <w:iCs/>
        </w:rPr>
      </w:pP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7EF062B7"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noProof/>
        </w:rPr>
        <w:t xml:space="preserve">Among patients enrolled in both randomized trials and various clinical registries, there is an approximate 3- to 10-fold increase in in-hospital and 30-day mortality for bleeding versus no bleeding. One </w:t>
      </w:r>
      <w:r w:rsidRPr="001E1C83">
        <w:rPr>
          <w:rFonts w:eastAsia="Times New Roman" w:cs="Times New Roman"/>
        </w:rPr>
        <w:t xml:space="preserve">retrospective analysis of incidence, predictors, and prognostic impact of periprocedural bleeding and transfusions involving 10,974 PCI patients from 2003 indicated patients who had major bleeding had higher in-hospital and 1-year mortality compared with patients with minor or no bleeding. Bleeding was identified as an independent predictor of in-hospital death [1]. </w:t>
      </w:r>
    </w:p>
    <w:p w14:paraId="670802DC"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rPr>
        <w:t xml:space="preserve">An evaluation of the trends and factors associated with femoral bleeding after PCI was performed from 1994 – 2005 at the Mayo Clinic.  A population of 17,901 patients was studied to determine factors were associated with bleeding. A multivariate analysis determined that sheath size, intensity and duration of anticoagulation with heparin, and procedure time were each independent predictors of complications. Major femoral bleeding and blood transfusion were associated with decreased long-term survival [2]. </w:t>
      </w:r>
    </w:p>
    <w:p w14:paraId="39629FD8" w14:textId="77777777" w:rsidR="00C801EC" w:rsidRPr="001E1C83" w:rsidRDefault="00C801EC" w:rsidP="00C801EC">
      <w:pPr>
        <w:spacing w:after="200" w:line="276" w:lineRule="auto"/>
        <w:ind w:left="0" w:firstLine="0"/>
        <w:rPr>
          <w:rFonts w:eastAsia="Times New Roman" w:cs="Times New Roman"/>
          <w:b/>
          <w:noProof/>
        </w:rPr>
      </w:pPr>
      <w:r w:rsidRPr="001E1C83">
        <w:rPr>
          <w:rFonts w:eastAsia="Times New Roman" w:cs="Times New Roman"/>
          <w:noProof/>
        </w:rPr>
        <w:t xml:space="preserve">Chhatriwalla et al. recently determined the </w:t>
      </w:r>
      <w:r w:rsidRPr="001E1C83">
        <w:rPr>
          <w:rFonts w:eastAsia="Times New Roman" w:cs="Times New Roman"/>
        </w:rPr>
        <w:t xml:space="preserve">post PCI bleeding events were associated with increased risk of in-hospital mortality, with an estimated 12.1% of deaths related to bleeding complications. They retrospectively analyzed patient data from 3,386,688 PCI procedures in our CathPCI Registry performed in the US between 2004 and 2011 [3]. </w:t>
      </w:r>
    </w:p>
    <w:p w14:paraId="179AE6DB"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noProof/>
        </w:rPr>
        <w:t xml:space="preserve">Data from the </w:t>
      </w:r>
      <w:r w:rsidRPr="001E1C83">
        <w:rPr>
          <w:rFonts w:eastAsia="Times New Roman" w:cs="Times New Roman"/>
        </w:rPr>
        <w:t xml:space="preserve">Trial to Assess Improvement in Therapeutic Outcomes by Optimizing Platelet Inhibition With Prasugrel--Thrombolysis in Myocardial Infarction 38 (TRITON-TIMI 38) was analyzed to </w:t>
      </w:r>
      <w:proofErr w:type="gramStart"/>
      <w:r w:rsidRPr="001E1C83">
        <w:rPr>
          <w:rFonts w:eastAsia="Times New Roman" w:cs="Times New Roman"/>
        </w:rPr>
        <w:t>identify  baseline</w:t>
      </w:r>
      <w:proofErr w:type="gramEnd"/>
      <w:r w:rsidRPr="001E1C83">
        <w:rPr>
          <w:rFonts w:eastAsia="Times New Roman" w:cs="Times New Roman"/>
        </w:rPr>
        <w:t xml:space="preserve"> characteristics that independently predict bleeding and to determine how bleeding events impact the subsequent mortality. The authors determined that major predictors of serious bleeding were a combination of patient and procedural characteristics and antiplatelet therapies. They added that serious bleeding was strongly associated with mortality within the first month after the PCI [4]. </w:t>
      </w:r>
    </w:p>
    <w:p w14:paraId="2C971AAE"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rPr>
        <w:t xml:space="preserve">Data from the National Heart, Lung, and Blood Institute Dynamic Registry from 2007, suggest that access site complications, especially hematomas requiring transfusions, are a significant predictor of adverse procedural success and patient outcome. This prospective, multi-center, cohort study of consecutive patients undergoing PCI during 3 NHLBI Dynamic Registry recruitment waves (1997-2002) identified that in-hospital mortality and 1-year death rate was 9 and 4.5 times higher respectively in patients </w:t>
      </w:r>
      <w:r w:rsidRPr="001E1C83">
        <w:rPr>
          <w:rFonts w:eastAsia="Times New Roman" w:cs="Times New Roman"/>
        </w:rPr>
        <w:lastRenderedPageBreak/>
        <w:t xml:space="preserve">experiencing hematomas requiring transfusions compared to those PCI patients without the complication [5]. </w:t>
      </w:r>
    </w:p>
    <w:p w14:paraId="3BE744C0"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rPr>
        <w:t>The REPLACE-2 Trial</w:t>
      </w:r>
      <w:r w:rsidRPr="001E1C83">
        <w:rPr>
          <w:rFonts w:eastAsia="Times New Roman" w:cs="Times New Roman"/>
          <w:noProof/>
        </w:rPr>
        <w:t xml:space="preserve"> involving 6,001 patients undergoing PCI, noted 3.2% experienced a major hemorrhage. They determined that a number of baseline and periprocedural factors independently predicted major hemorrhage, including treatment with heparin plus GPI, and in patients undergoing elective or urgent PCI, major hemorrhage was an independent predictor of 1-year mortality [6]. </w:t>
      </w:r>
    </w:p>
    <w:p w14:paraId="324554CA"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t xml:space="preserve">The ACUITY Trial involved 13,819 PCI patients with moderate- and high-risk ACS who were randomized to to heparin (unfractionated or enoxaparin) plus glycoprotein IIb/IIIa inhibition (GPI), bivalirudin plus GPI, or bivalirudin monotherapy (plus provisional GPI). Logistic regression was used to determine predictors of 30-day major bleeding and mortality. Major bleeding was determined to be a powerful independent predictor of 30-day mortality in patients with ACS managed invasively. Several factors independently predict major bleeding, including treatment with heparin plus GPI compared with bivalirudin monotherapy. Knowledge of these findings might be useful to reduce bleeding risk and improve outcomes in ACS [7]. </w:t>
      </w:r>
    </w:p>
    <w:p w14:paraId="28D29776"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rPr>
        <w:t xml:space="preserve">Periprocedural bleeding is recognized to be associated with subsequent mortality and the avoidance of bleeding complications is a critical consideration in performing PCI. </w:t>
      </w:r>
    </w:p>
    <w:p w14:paraId="320947AF" w14:textId="77777777" w:rsidR="00C801EC" w:rsidRPr="001E1C83" w:rsidRDefault="00C801EC" w:rsidP="00C801EC">
      <w:pPr>
        <w:spacing w:after="200" w:line="276" w:lineRule="auto"/>
        <w:ind w:left="0" w:firstLine="0"/>
        <w:rPr>
          <w:rFonts w:eastAsia="Times New Roman" w:cs="Times New Roman"/>
          <w:b/>
          <w:noProof/>
          <w:u w:val="single"/>
        </w:rPr>
      </w:pPr>
    </w:p>
    <w:p w14:paraId="290FD8CC" w14:textId="77777777" w:rsidR="00C801EC" w:rsidRPr="001E1C83" w:rsidRDefault="00C801EC" w:rsidP="00C801EC">
      <w:pPr>
        <w:spacing w:after="200" w:line="276" w:lineRule="auto"/>
        <w:ind w:left="0" w:firstLine="0"/>
        <w:rPr>
          <w:rFonts w:eastAsia="Times New Roman" w:cs="Times New Roman"/>
          <w:b/>
          <w:noProof/>
          <w:u w:val="single"/>
        </w:rPr>
      </w:pPr>
      <w:r w:rsidRPr="001E1C83">
        <w:rPr>
          <w:rFonts w:eastAsia="Times New Roman" w:cs="Times New Roman"/>
          <w:b/>
          <w:noProof/>
          <w:u w:val="single"/>
        </w:rPr>
        <w:t xml:space="preserve">Utility of risk scores associated with bleeding </w:t>
      </w:r>
    </w:p>
    <w:p w14:paraId="5FFCC3E1" w14:textId="77777777" w:rsidR="00C801EC" w:rsidRPr="001E1C83" w:rsidRDefault="00C801EC" w:rsidP="00C801EC">
      <w:pPr>
        <w:spacing w:after="200" w:line="276" w:lineRule="auto"/>
        <w:ind w:left="0" w:firstLine="0"/>
        <w:rPr>
          <w:rFonts w:eastAsia="Times New Roman" w:cs="Times New Roman"/>
          <w:b/>
          <w:noProof/>
          <w:u w:val="single"/>
        </w:rPr>
      </w:pPr>
      <w:r w:rsidRPr="001E1C83">
        <w:rPr>
          <w:rFonts w:eastAsia="Times New Roman" w:cs="Times New Roman"/>
          <w:noProof/>
        </w:rPr>
        <w:t>A total of 17,421 patients with acute coronary syndomes were studied in the ACUITY (Acute Catheterization and Urgent Intervention Triage strategY) and the HORIZONS-AMI (Harmonizing Outcomes with RevasculariZatiON and Stents in Acute Myocardial Infarction) trials.  In developing a risk score, the data from these two trials were combined to develop a practical risk score to predict the risk and implications of major bleeding.  An integer risk score for major bleeding within 30 days was developed from a multivariable logistic regression model.</w:t>
      </w:r>
      <w:r w:rsidRPr="001E1C83">
        <w:rPr>
          <w:rFonts w:eastAsia="Times New Roman" w:cs="Times New Roman"/>
        </w:rPr>
        <w:t xml:space="preserve"> This practical ACUITY/HORIZONS-AMI scoring system with 6 readily available baseline clinical and laboratory variables plus the anticoagulation regimen used, can be used as a rapid and reliable tool to predict the rate of non–CABG-related major bleeding in patients with ACS and its impact on subsequent mortality within 1 year. The tool and the knowledge derived from its use aids in the accurate prognostication of patients with ACS, facilitating appropriate personalized decision-making for the patient at high risk of bleeding and mortality [8].</w:t>
      </w:r>
    </w:p>
    <w:p w14:paraId="7EF36A4C" w14:textId="77777777" w:rsidR="00C801EC" w:rsidRPr="001E1C83" w:rsidRDefault="00C801EC" w:rsidP="00C801EC">
      <w:pPr>
        <w:spacing w:after="200" w:line="276" w:lineRule="auto"/>
        <w:ind w:left="0" w:firstLine="0"/>
        <w:rPr>
          <w:rFonts w:eastAsia="Times New Roman" w:cs="Times New Roman"/>
          <w:b/>
          <w:noProof/>
          <w:u w:val="single"/>
        </w:rPr>
      </w:pPr>
      <w:r w:rsidRPr="001E1C83">
        <w:rPr>
          <w:rFonts w:eastAsia="Times New Roman" w:cs="Times New Roman"/>
        </w:rPr>
        <w:t xml:space="preserve">Baseline clinical and procedural variables from two contemporary, multicenter, randomized PCI trials were used for risk score development (the REPLACE-2 trial, n = 6002) and validation (the REPLACE-1 trial, n = 1056) to predict the incidence of major peri-procedural bleeding after contemporary PCI using the femoral approach. Variables were identified as independent correlates of major bleeding: (age &gt;55 years, female gender, estimated glomerular filtration rate &lt;60 mL/min/1.73 </w:t>
      </w:r>
      <w:proofErr w:type="gramStart"/>
      <w:r w:rsidRPr="001E1C83">
        <w:rPr>
          <w:rFonts w:eastAsia="Times New Roman" w:cs="Times New Roman"/>
        </w:rPr>
        <w:t>m(</w:t>
      </w:r>
      <w:proofErr w:type="gramEnd"/>
      <w:r w:rsidRPr="001E1C83">
        <w:rPr>
          <w:rFonts w:eastAsia="Times New Roman" w:cs="Times New Roman"/>
        </w:rPr>
        <w:t xml:space="preserve">2), pre-existing anemia, administration of low-molecular-weight heparin within 48 h pre-PCI, use of glycoprotein IIb/IIIa inhibitors, and intra-aortic balloon pump use). In the development set, the risk of major bleeding varied </w:t>
      </w:r>
      <w:r w:rsidRPr="001E1C83">
        <w:rPr>
          <w:rFonts w:eastAsia="Times New Roman" w:cs="Times New Roman"/>
        </w:rPr>
        <w:lastRenderedPageBreak/>
        <w:t xml:space="preserve">from 1.0% in patients without risk factors to 5.4% in high-risk patients. The discriminatory power of this risk model was confirmed in the validation data set, </w:t>
      </w:r>
      <w:proofErr w:type="spellStart"/>
      <w:r w:rsidRPr="001E1C83">
        <w:rPr>
          <w:rFonts w:eastAsia="Times New Roman" w:cs="Times New Roman"/>
        </w:rPr>
        <w:t>cstat</w:t>
      </w:r>
      <w:proofErr w:type="spellEnd"/>
      <w:r w:rsidRPr="001E1C83">
        <w:rPr>
          <w:rFonts w:eastAsia="Times New Roman" w:cs="Times New Roman"/>
        </w:rPr>
        <w:t xml:space="preserve"> = 0.62). [9]</w:t>
      </w:r>
    </w:p>
    <w:p w14:paraId="5B41E476" w14:textId="77777777" w:rsidR="00C801EC" w:rsidRPr="001E1C83" w:rsidRDefault="00C801EC" w:rsidP="00C801EC">
      <w:pPr>
        <w:spacing w:before="100" w:beforeAutospacing="1" w:after="100" w:afterAutospacing="1"/>
        <w:ind w:left="0" w:firstLine="0"/>
        <w:rPr>
          <w:rFonts w:eastAsia="Times New Roman" w:cs="Times New Roman"/>
        </w:rPr>
      </w:pPr>
      <w:r w:rsidRPr="001E1C83">
        <w:rPr>
          <w:rFonts w:eastAsia="Times New Roman" w:cs="Times New Roman"/>
        </w:rPr>
        <w:t xml:space="preserve">One additional risk model was developed using a development sample of 71, 277 PCI patients and validated with a sample of 17,857. This CRUSADE (Can Rapid risk stratification of Unstable angina patients Suppress </w:t>
      </w:r>
      <w:proofErr w:type="spellStart"/>
      <w:r w:rsidRPr="001E1C83">
        <w:rPr>
          <w:rFonts w:eastAsia="Times New Roman" w:cs="Times New Roman"/>
        </w:rPr>
        <w:t>ADverse</w:t>
      </w:r>
      <w:proofErr w:type="spellEnd"/>
      <w:r w:rsidRPr="001E1C83">
        <w:rPr>
          <w:rFonts w:eastAsia="Times New Roman" w:cs="Times New Roman"/>
        </w:rPr>
        <w:t xml:space="preserve"> outcomes with Early implementation of the ACC/AHA guidelines) model identifies 8 independent baseline predictors of in-hospital major bleeding among community-treated NSTEMI patients enrolled in this quality Improvement Initiative.  The bleeding score quantifies risk for in-hospital major bleeding across all post admission treatments, enhancing baseline risk assessment for the care of patients with NSTEMI diagnoses [10]. </w:t>
      </w:r>
    </w:p>
    <w:p w14:paraId="09E670A4" w14:textId="7F7DCCDD"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rPr>
        <w:t xml:space="preserve">[1] Incidence, predictors, and prognostic implications of bleeding and blood transfusion following percutaneous coronary interventions. Kinnaird TD, Stabile E, </w:t>
      </w:r>
      <w:proofErr w:type="spellStart"/>
      <w:r w:rsidRPr="001E1C83">
        <w:rPr>
          <w:rFonts w:eastAsia="Times New Roman" w:cs="Times New Roman"/>
        </w:rPr>
        <w:t>Mintz</w:t>
      </w:r>
      <w:proofErr w:type="spellEnd"/>
      <w:r w:rsidRPr="001E1C83">
        <w:rPr>
          <w:rFonts w:eastAsia="Times New Roman" w:cs="Times New Roman"/>
        </w:rPr>
        <w:t xml:space="preserve"> GS, Lee CW, </w:t>
      </w:r>
      <w:proofErr w:type="spellStart"/>
      <w:r w:rsidRPr="001E1C83">
        <w:rPr>
          <w:rFonts w:eastAsia="Times New Roman" w:cs="Times New Roman"/>
        </w:rPr>
        <w:t>Canos</w:t>
      </w:r>
      <w:proofErr w:type="spellEnd"/>
      <w:r w:rsidRPr="001E1C83">
        <w:rPr>
          <w:rFonts w:eastAsia="Times New Roman" w:cs="Times New Roman"/>
        </w:rPr>
        <w:t xml:space="preserve"> DA, Gevorkian N, </w:t>
      </w:r>
      <w:proofErr w:type="spellStart"/>
      <w:r w:rsidRPr="001E1C83">
        <w:rPr>
          <w:rFonts w:eastAsia="Times New Roman" w:cs="Times New Roman"/>
        </w:rPr>
        <w:t>Pinnow</w:t>
      </w:r>
      <w:proofErr w:type="spellEnd"/>
      <w:r w:rsidRPr="001E1C83">
        <w:rPr>
          <w:rFonts w:eastAsia="Times New Roman" w:cs="Times New Roman"/>
        </w:rPr>
        <w:t xml:space="preserve"> EE, Kent KM, </w:t>
      </w:r>
      <w:proofErr w:type="spellStart"/>
      <w:r w:rsidRPr="001E1C83">
        <w:rPr>
          <w:rFonts w:eastAsia="Times New Roman" w:cs="Times New Roman"/>
        </w:rPr>
        <w:t>Pichard</w:t>
      </w:r>
      <w:proofErr w:type="spellEnd"/>
      <w:r w:rsidRPr="001E1C83">
        <w:rPr>
          <w:rFonts w:eastAsia="Times New Roman" w:cs="Times New Roman"/>
        </w:rPr>
        <w:t xml:space="preserve"> AD, </w:t>
      </w:r>
      <w:proofErr w:type="spellStart"/>
      <w:r w:rsidRPr="001E1C83">
        <w:rPr>
          <w:rFonts w:eastAsia="Times New Roman" w:cs="Times New Roman"/>
        </w:rPr>
        <w:t>Satler</w:t>
      </w:r>
      <w:proofErr w:type="spellEnd"/>
      <w:r w:rsidRPr="001E1C83">
        <w:rPr>
          <w:rFonts w:eastAsia="Times New Roman" w:cs="Times New Roman"/>
        </w:rPr>
        <w:t xml:space="preserve"> LF, Weissman NJ, Lindsay J, Fuchs S. Am J </w:t>
      </w:r>
      <w:proofErr w:type="spellStart"/>
      <w:r w:rsidRPr="001E1C83">
        <w:rPr>
          <w:rFonts w:eastAsia="Times New Roman" w:cs="Times New Roman"/>
        </w:rPr>
        <w:t>Cardiol</w:t>
      </w:r>
      <w:proofErr w:type="spellEnd"/>
      <w:r w:rsidRPr="001E1C83">
        <w:rPr>
          <w:rFonts w:eastAsia="Times New Roman" w:cs="Times New Roman"/>
        </w:rPr>
        <w:t>. 2003;92(8):930.</w:t>
      </w:r>
    </w:p>
    <w:p w14:paraId="687BFB06"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t>[2] Major femoral bleeding complications after percutaneous coronary intervention: incidence, predictors, and impact on long-term survival among 17,901 patients treated at the Mayo Clinic from 1994 to 2005. Doyle BJ, Ting HH, Bell MR, Lennon RJ, Mathew V, Singh M, Holmes DR, Rihal CS. JACC Cardiovasc Interv. 2008;1(2):202.</w:t>
      </w:r>
    </w:p>
    <w:p w14:paraId="7759FEE7"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noProof/>
        </w:rPr>
        <w:t xml:space="preserve">[3] </w:t>
      </w:r>
      <w:r w:rsidRPr="001E1C83">
        <w:rPr>
          <w:rFonts w:eastAsia="Times New Roman" w:cs="Times New Roman"/>
        </w:rPr>
        <w:t xml:space="preserve">Association between bleeding events and in-hospital mortality after percutaneous coronary intervention. </w:t>
      </w:r>
      <w:proofErr w:type="spellStart"/>
      <w:r w:rsidRPr="001E1C83">
        <w:rPr>
          <w:rFonts w:eastAsia="Times New Roman" w:cs="Times New Roman"/>
        </w:rPr>
        <w:t>Chhatriwalla</w:t>
      </w:r>
      <w:proofErr w:type="spellEnd"/>
      <w:r w:rsidRPr="001E1C83">
        <w:rPr>
          <w:rFonts w:eastAsia="Times New Roman" w:cs="Times New Roman"/>
        </w:rPr>
        <w:t xml:space="preserve"> AK, Amin AP, Kennedy KF, House JA, Cohen DJ, Rao SV, Messenger JC, </w:t>
      </w:r>
      <w:proofErr w:type="spellStart"/>
      <w:r w:rsidRPr="001E1C83">
        <w:rPr>
          <w:rFonts w:eastAsia="Times New Roman" w:cs="Times New Roman"/>
        </w:rPr>
        <w:t>Marso</w:t>
      </w:r>
      <w:proofErr w:type="spellEnd"/>
      <w:r w:rsidRPr="001E1C83">
        <w:rPr>
          <w:rFonts w:eastAsia="Times New Roman" w:cs="Times New Roman"/>
        </w:rPr>
        <w:t xml:space="preserve"> SP, National Cardiovascular Data Registry. JAMA. 2013 Mar;309(10):1022-9.</w:t>
      </w:r>
    </w:p>
    <w:p w14:paraId="5294C912"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noProof/>
        </w:rPr>
        <w:t xml:space="preserve">[4] </w:t>
      </w:r>
      <w:r w:rsidRPr="001E1C83">
        <w:rPr>
          <w:rFonts w:eastAsia="Times New Roman" w:cs="Times New Roman"/>
        </w:rPr>
        <w:t xml:space="preserve">Predictors of bleeding and time dependence of association of bleeding with mortality: insights from the Trial to Assess Improvement in Therapeutic Outcomes by Optimizing Platelet Inhibition </w:t>
      </w:r>
      <w:proofErr w:type="gramStart"/>
      <w:r w:rsidRPr="001E1C83">
        <w:rPr>
          <w:rFonts w:eastAsia="Times New Roman" w:cs="Times New Roman"/>
        </w:rPr>
        <w:t>With</w:t>
      </w:r>
      <w:proofErr w:type="gramEnd"/>
      <w:r w:rsidRPr="001E1C83">
        <w:rPr>
          <w:rFonts w:eastAsia="Times New Roman" w:cs="Times New Roman"/>
        </w:rPr>
        <w:t xml:space="preserve"> Prasugrel--Thrombolysis in Myocardial Infarction 38 (TRITON-TIMI 38). </w:t>
      </w:r>
      <w:proofErr w:type="spellStart"/>
      <w:r w:rsidRPr="001E1C83">
        <w:rPr>
          <w:rFonts w:eastAsia="Times New Roman" w:cs="Times New Roman"/>
        </w:rPr>
        <w:t>Hochholzer</w:t>
      </w:r>
      <w:proofErr w:type="spellEnd"/>
      <w:r w:rsidRPr="001E1C83">
        <w:rPr>
          <w:rFonts w:eastAsia="Times New Roman" w:cs="Times New Roman"/>
        </w:rPr>
        <w:t xml:space="preserve"> W, </w:t>
      </w:r>
      <w:proofErr w:type="spellStart"/>
      <w:r w:rsidRPr="001E1C83">
        <w:rPr>
          <w:rFonts w:eastAsia="Times New Roman" w:cs="Times New Roman"/>
        </w:rPr>
        <w:t>Wiviott</w:t>
      </w:r>
      <w:proofErr w:type="spellEnd"/>
      <w:r w:rsidRPr="001E1C83">
        <w:rPr>
          <w:rFonts w:eastAsia="Times New Roman" w:cs="Times New Roman"/>
        </w:rPr>
        <w:t xml:space="preserve"> SD, Antman EM, </w:t>
      </w:r>
      <w:proofErr w:type="spellStart"/>
      <w:r w:rsidRPr="001E1C83">
        <w:rPr>
          <w:rFonts w:eastAsia="Times New Roman" w:cs="Times New Roman"/>
        </w:rPr>
        <w:t>Contant</w:t>
      </w:r>
      <w:proofErr w:type="spellEnd"/>
      <w:r w:rsidRPr="001E1C83">
        <w:rPr>
          <w:rFonts w:eastAsia="Times New Roman" w:cs="Times New Roman"/>
        </w:rPr>
        <w:t xml:space="preserve"> CF, Guo J, </w:t>
      </w:r>
      <w:proofErr w:type="spellStart"/>
      <w:r w:rsidRPr="001E1C83">
        <w:rPr>
          <w:rFonts w:eastAsia="Times New Roman" w:cs="Times New Roman"/>
        </w:rPr>
        <w:t>Giugliano</w:t>
      </w:r>
      <w:proofErr w:type="spellEnd"/>
      <w:r w:rsidRPr="001E1C83">
        <w:rPr>
          <w:rFonts w:eastAsia="Times New Roman" w:cs="Times New Roman"/>
        </w:rPr>
        <w:t xml:space="preserve"> RP, Dalby AJ, </w:t>
      </w:r>
      <w:proofErr w:type="spellStart"/>
      <w:r w:rsidRPr="001E1C83">
        <w:rPr>
          <w:rFonts w:eastAsia="Times New Roman" w:cs="Times New Roman"/>
        </w:rPr>
        <w:t>Montalescot</w:t>
      </w:r>
      <w:proofErr w:type="spellEnd"/>
      <w:r w:rsidRPr="001E1C83">
        <w:rPr>
          <w:rFonts w:eastAsia="Times New Roman" w:cs="Times New Roman"/>
        </w:rPr>
        <w:t xml:space="preserve"> G, </w:t>
      </w:r>
      <w:proofErr w:type="spellStart"/>
      <w:r w:rsidRPr="001E1C83">
        <w:rPr>
          <w:rFonts w:eastAsia="Times New Roman" w:cs="Times New Roman"/>
        </w:rPr>
        <w:t>Braunwald</w:t>
      </w:r>
      <w:proofErr w:type="spellEnd"/>
      <w:r w:rsidRPr="001E1C83">
        <w:rPr>
          <w:rFonts w:eastAsia="Times New Roman" w:cs="Times New Roman"/>
        </w:rPr>
        <w:t xml:space="preserve"> E. Circulation. 2011;123(23):2681.</w:t>
      </w:r>
    </w:p>
    <w:p w14:paraId="30F299C5"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rPr>
        <w:t xml:space="preserve">[5] Access site hematoma requiring blood transfusion predicts mortality in patients undergoing percutaneous coronary intervention: data from the National Heart, Lung, and Blood Institute Dynamic Registry. </w:t>
      </w:r>
      <w:proofErr w:type="spellStart"/>
      <w:r w:rsidRPr="001E1C83">
        <w:rPr>
          <w:rFonts w:eastAsia="Times New Roman" w:cs="Times New Roman"/>
        </w:rPr>
        <w:t>Yatskar</w:t>
      </w:r>
      <w:proofErr w:type="spellEnd"/>
      <w:r w:rsidRPr="001E1C83">
        <w:rPr>
          <w:rFonts w:eastAsia="Times New Roman" w:cs="Times New Roman"/>
        </w:rPr>
        <w:t xml:space="preserve"> L, Selzer F, </w:t>
      </w:r>
      <w:proofErr w:type="spellStart"/>
      <w:r w:rsidRPr="001E1C83">
        <w:rPr>
          <w:rFonts w:eastAsia="Times New Roman" w:cs="Times New Roman"/>
        </w:rPr>
        <w:t>Feit</w:t>
      </w:r>
      <w:proofErr w:type="spellEnd"/>
      <w:r w:rsidRPr="001E1C83">
        <w:rPr>
          <w:rFonts w:eastAsia="Times New Roman" w:cs="Times New Roman"/>
        </w:rPr>
        <w:t xml:space="preserve"> F, Cohen HA, Jacobs AK, Williams DO, Slater J. Catheter Cardiovasc </w:t>
      </w:r>
      <w:proofErr w:type="spellStart"/>
      <w:r w:rsidRPr="001E1C83">
        <w:rPr>
          <w:rFonts w:eastAsia="Times New Roman" w:cs="Times New Roman"/>
        </w:rPr>
        <w:t>Interv</w:t>
      </w:r>
      <w:proofErr w:type="spellEnd"/>
      <w:r w:rsidRPr="001E1C83">
        <w:rPr>
          <w:rFonts w:eastAsia="Times New Roman" w:cs="Times New Roman"/>
        </w:rPr>
        <w:t>. 2007;69(7):961.</w:t>
      </w:r>
    </w:p>
    <w:p w14:paraId="6601F96C" w14:textId="77777777" w:rsidR="00C801EC" w:rsidRPr="001E1C83" w:rsidRDefault="00C801EC" w:rsidP="00C801EC">
      <w:pPr>
        <w:spacing w:after="200" w:line="276" w:lineRule="auto"/>
        <w:ind w:left="0" w:firstLine="0"/>
        <w:rPr>
          <w:rFonts w:eastAsia="Times New Roman" w:cs="Times New Roman"/>
        </w:rPr>
      </w:pPr>
      <w:r w:rsidRPr="001E1C83">
        <w:rPr>
          <w:rFonts w:eastAsia="Times New Roman" w:cs="Times New Roman"/>
        </w:rPr>
        <w:t xml:space="preserve">[6] Predictors and impact of major hemorrhage on mortality following percutaneous coronary intervention from the REPLACE-2 Trial. </w:t>
      </w:r>
      <w:proofErr w:type="spellStart"/>
      <w:proofErr w:type="gramStart"/>
      <w:r w:rsidRPr="001E1C83">
        <w:rPr>
          <w:rFonts w:eastAsia="Times New Roman" w:cs="Times New Roman"/>
        </w:rPr>
        <w:t>Feit</w:t>
      </w:r>
      <w:proofErr w:type="spellEnd"/>
      <w:r w:rsidRPr="001E1C83">
        <w:rPr>
          <w:rFonts w:eastAsia="Times New Roman" w:cs="Times New Roman"/>
        </w:rPr>
        <w:t xml:space="preserve">  F.</w:t>
      </w:r>
      <w:proofErr w:type="gramEnd"/>
      <w:r w:rsidRPr="001E1C83">
        <w:rPr>
          <w:rFonts w:eastAsia="Times New Roman" w:cs="Times New Roman"/>
        </w:rPr>
        <w:t xml:space="preserve">, </w:t>
      </w:r>
      <w:proofErr w:type="spellStart"/>
      <w:r w:rsidRPr="001E1C83">
        <w:rPr>
          <w:rFonts w:eastAsia="Times New Roman" w:cs="Times New Roman"/>
        </w:rPr>
        <w:t>Voeltz</w:t>
      </w:r>
      <w:proofErr w:type="spellEnd"/>
      <w:r w:rsidRPr="001E1C83">
        <w:rPr>
          <w:rFonts w:eastAsia="Times New Roman" w:cs="Times New Roman"/>
        </w:rPr>
        <w:t xml:space="preserve">  M.D., </w:t>
      </w:r>
      <w:proofErr w:type="spellStart"/>
      <w:r w:rsidRPr="001E1C83">
        <w:rPr>
          <w:rFonts w:eastAsia="Times New Roman" w:cs="Times New Roman"/>
        </w:rPr>
        <w:t>Attubato</w:t>
      </w:r>
      <w:proofErr w:type="spellEnd"/>
      <w:r w:rsidRPr="001E1C83">
        <w:rPr>
          <w:rFonts w:eastAsia="Times New Roman" w:cs="Times New Roman"/>
        </w:rPr>
        <w:t xml:space="preserve">  M.J., et al;. Am J </w:t>
      </w:r>
      <w:proofErr w:type="spellStart"/>
      <w:r w:rsidRPr="001E1C83">
        <w:rPr>
          <w:rFonts w:eastAsia="Times New Roman" w:cs="Times New Roman"/>
        </w:rPr>
        <w:t>Cardiol</w:t>
      </w:r>
      <w:proofErr w:type="spellEnd"/>
      <w:r w:rsidRPr="001E1C83">
        <w:rPr>
          <w:rFonts w:eastAsia="Times New Roman" w:cs="Times New Roman"/>
        </w:rPr>
        <w:t xml:space="preserve">. </w:t>
      </w:r>
      <w:proofErr w:type="gramStart"/>
      <w:r w:rsidRPr="001E1C83">
        <w:rPr>
          <w:rFonts w:eastAsia="Times New Roman" w:cs="Times New Roman"/>
        </w:rPr>
        <w:t>2007;100:1364</w:t>
      </w:r>
      <w:proofErr w:type="gramEnd"/>
      <w:r w:rsidRPr="001E1C83">
        <w:rPr>
          <w:rFonts w:eastAsia="Times New Roman" w:cs="Times New Roman"/>
        </w:rPr>
        <w:t>-1369.</w:t>
      </w:r>
    </w:p>
    <w:p w14:paraId="74CAA2C9"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t>[7] Impact of major bleeding on 30-day mortality and clinical outcomes in patients with acute coronary syndromes: an analysis from the ACUITY Trial. J Am Coll Ca</w:t>
      </w:r>
      <w:r w:rsidRPr="001E1C83">
        <w:rPr>
          <w:rFonts w:eastAsia="Times New Roman" w:cs="Times New Roman"/>
        </w:rPr>
        <w:t xml:space="preserve"> </w:t>
      </w:r>
      <w:r w:rsidRPr="001E1C83">
        <w:rPr>
          <w:rFonts w:eastAsia="Times New Roman" w:cs="Times New Roman"/>
          <w:noProof/>
        </w:rPr>
        <w:t>he purpose of this study was to determine the predictors of major bleeding and the impact of major bleeding on outcomes, including mortality, in acute coronary syndromes (ACS). Manoukian  S.V., Feit  F., Mehran  R., et al</w:t>
      </w:r>
      <w:r w:rsidRPr="001E1C83">
        <w:rPr>
          <w:rFonts w:eastAsia="Times New Roman" w:cs="Times New Roman"/>
        </w:rPr>
        <w:t>. </w:t>
      </w:r>
      <w:r w:rsidRPr="001E1C83">
        <w:rPr>
          <w:rFonts w:eastAsia="Times New Roman" w:cs="Times New Roman"/>
          <w:iCs/>
        </w:rPr>
        <w:t xml:space="preserve">J Am Coll </w:t>
      </w:r>
      <w:proofErr w:type="spellStart"/>
      <w:r w:rsidRPr="001E1C83">
        <w:rPr>
          <w:rFonts w:eastAsia="Times New Roman" w:cs="Times New Roman"/>
          <w:iCs/>
        </w:rPr>
        <w:t>Cardiol</w:t>
      </w:r>
      <w:proofErr w:type="spellEnd"/>
      <w:r w:rsidRPr="001E1C83">
        <w:rPr>
          <w:rFonts w:eastAsia="Times New Roman" w:cs="Times New Roman"/>
          <w:i/>
        </w:rPr>
        <w:t>.</w:t>
      </w:r>
      <w:r w:rsidRPr="001E1C83">
        <w:rPr>
          <w:rFonts w:eastAsia="Times New Roman" w:cs="Times New Roman"/>
        </w:rPr>
        <w:t xml:space="preserve"> 2007; 49:1362-1368.</w:t>
      </w:r>
    </w:p>
    <w:p w14:paraId="1CD3F135"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lastRenderedPageBreak/>
        <w:t>[8] A risk score to predict bleeding in patients with acute coronary syndromes. Mehran  R., Pocock  S.J., Nikolsky  E., et al; J Am Coll Cardiol. 2010;55:2556-2566.</w:t>
      </w:r>
    </w:p>
    <w:p w14:paraId="09D93F38"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t>[9] Development and validation of a prognostic risk score for major bleeding in patients undergoing percutaneous coronary intervention via the femoral approach.  Nikolsky  E., Mehran  R., Dangas  G., et al; Eur Heart J. 2007;28:1936-1945.</w:t>
      </w:r>
    </w:p>
    <w:p w14:paraId="6E5B0D53" w14:textId="77777777" w:rsidR="00C801EC" w:rsidRPr="001E1C83" w:rsidRDefault="00C801EC" w:rsidP="00C801EC">
      <w:pPr>
        <w:spacing w:after="200" w:line="276" w:lineRule="auto"/>
        <w:ind w:left="0" w:firstLine="0"/>
        <w:rPr>
          <w:rFonts w:eastAsia="Times New Roman" w:cs="Times New Roman"/>
          <w:noProof/>
        </w:rPr>
      </w:pPr>
      <w:r w:rsidRPr="001E1C83">
        <w:rPr>
          <w:rFonts w:eastAsia="Times New Roman" w:cs="Times New Roman"/>
          <w:noProof/>
        </w:rPr>
        <w:t>[10] Subherwal  S., Bach  R.G., Chen  A.Y., et al; Baseline risk of major bleeding in non-ST-segment-elevation myocardial infarction: the CRUSADE (Can Rapid risk stratification of Unstable angina patients Suppress ADverse outcomes with Early implementation of the ACC/AHA Guidelines) Bleeding Score. Circulation. 2009;119:1873-1882.</w:t>
      </w:r>
    </w:p>
    <w:p w14:paraId="361B1C05" w14:textId="77777777" w:rsidR="00C801EC" w:rsidRPr="001E1C83" w:rsidRDefault="00C801EC" w:rsidP="00C801EC">
      <w:pPr>
        <w:ind w:left="0" w:firstLine="0"/>
        <w:rPr>
          <w:i/>
          <w:iCs/>
        </w:rPr>
      </w:pPr>
      <w:r w:rsidRPr="001E1C83">
        <w:rPr>
          <w:i/>
          <w:iCs/>
          <w:u w:val="single"/>
        </w:rPr>
        <w:t>Note</w:t>
      </w:r>
      <w:r w:rsidRPr="001E1C83">
        <w:rPr>
          <w:i/>
          <w:iCs/>
        </w:rPr>
        <w:t xml:space="preserve">:  For health outcome performance measures, no further information is required; however, you may provide evidence for any of the structures, processes, interventions, or service identified above. </w:t>
      </w: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16F68B21"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0B442943" w14:textId="399233F3" w:rsidR="00C801EC" w:rsidRDefault="00C801EC" w:rsidP="00C41794">
      <w:pPr>
        <w:ind w:left="432" w:hanging="432"/>
        <w:rPr>
          <w:b/>
        </w:rPr>
      </w:pPr>
    </w:p>
    <w:p w14:paraId="38DFD203" w14:textId="12C81141" w:rsidR="004A669E" w:rsidRPr="00DD20C0" w:rsidRDefault="004A669E" w:rsidP="00C41794">
      <w:pPr>
        <w:ind w:left="432" w:hanging="432"/>
        <w:rPr>
          <w:rFonts w:cstheme="minorHAnsi"/>
          <w:color w:val="FF0000"/>
          <w:sz w:val="24"/>
          <w:szCs w:val="24"/>
        </w:rPr>
      </w:pPr>
      <w:r w:rsidRPr="00DD20C0">
        <w:rPr>
          <w:rFonts w:cstheme="minorHAnsi"/>
          <w:color w:val="FF0000"/>
          <w:sz w:val="24"/>
          <w:szCs w:val="24"/>
        </w:rPr>
        <w:t xml:space="preserve">Published trials and observational studies </w:t>
      </w:r>
      <w:r w:rsidR="006453F4" w:rsidRPr="00DD20C0">
        <w:rPr>
          <w:rFonts w:cstheme="minorHAnsi"/>
          <w:color w:val="FF0000"/>
          <w:sz w:val="24"/>
          <w:szCs w:val="24"/>
        </w:rPr>
        <w:t xml:space="preserve">have found that specific processes of care, including the use of radial arterial access, mechanical closure devices when femoral access is used, and bivalirudin for anticoagulation, are associated with lower risks of bleeding. </w:t>
      </w:r>
    </w:p>
    <w:p w14:paraId="204AAA61" w14:textId="6B7714D1" w:rsidR="006453F4" w:rsidRPr="00DD20C0" w:rsidRDefault="006453F4" w:rsidP="00C41794">
      <w:pPr>
        <w:ind w:left="432" w:hanging="432"/>
        <w:rPr>
          <w:rFonts w:cstheme="minorHAnsi"/>
          <w:color w:val="FF0000"/>
          <w:sz w:val="24"/>
          <w:szCs w:val="24"/>
        </w:rPr>
      </w:pPr>
    </w:p>
    <w:p w14:paraId="378578A7" w14:textId="6FA81B93" w:rsidR="00BB7F9A" w:rsidRPr="00DD20C0" w:rsidRDefault="00BB7F9A" w:rsidP="00BB7F9A">
      <w:pPr>
        <w:pStyle w:val="TableParagraph"/>
        <w:numPr>
          <w:ilvl w:val="0"/>
          <w:numId w:val="12"/>
        </w:numPr>
        <w:spacing w:before="1"/>
        <w:ind w:right="169"/>
        <w:rPr>
          <w:rFonts w:asciiTheme="minorHAnsi" w:hAnsiTheme="minorHAnsi" w:cstheme="minorHAnsi"/>
          <w:color w:val="FF0000"/>
          <w:sz w:val="24"/>
          <w:szCs w:val="24"/>
        </w:rPr>
      </w:pPr>
      <w:r w:rsidRPr="00DD20C0">
        <w:rPr>
          <w:rFonts w:asciiTheme="minorHAnsi" w:eastAsia="Times New Roman" w:hAnsiTheme="minorHAnsi" w:cstheme="minorHAnsi"/>
          <w:color w:val="FF0000"/>
          <w:sz w:val="24"/>
          <w:szCs w:val="24"/>
        </w:rPr>
        <w:t xml:space="preserve"> </w:t>
      </w:r>
      <w:r w:rsidRPr="00DD20C0">
        <w:rPr>
          <w:rFonts w:asciiTheme="minorHAnsi" w:hAnsiTheme="minorHAnsi" w:cstheme="minorHAnsi"/>
          <w:color w:val="FF0000"/>
          <w:sz w:val="24"/>
          <w:szCs w:val="24"/>
        </w:rPr>
        <w:t xml:space="preserve">Vora, A. N., Peterson, E. D., McCoy, L. A., Garratt, K. N., Kutcher, M. A., </w:t>
      </w:r>
      <w:proofErr w:type="spellStart"/>
      <w:r w:rsidRPr="00DD20C0">
        <w:rPr>
          <w:rFonts w:asciiTheme="minorHAnsi" w:hAnsiTheme="minorHAnsi" w:cstheme="minorHAnsi"/>
          <w:color w:val="FF0000"/>
          <w:sz w:val="24"/>
          <w:szCs w:val="24"/>
        </w:rPr>
        <w:t>Marso</w:t>
      </w:r>
      <w:proofErr w:type="spellEnd"/>
      <w:r w:rsidRPr="00DD20C0">
        <w:rPr>
          <w:rFonts w:asciiTheme="minorHAnsi" w:hAnsiTheme="minorHAnsi" w:cstheme="minorHAnsi"/>
          <w:color w:val="FF0000"/>
          <w:sz w:val="24"/>
          <w:szCs w:val="24"/>
        </w:rPr>
        <w:t>, S. P., Roe, M. T., Messenger, J. C.</w:t>
      </w:r>
      <w:proofErr w:type="gramStart"/>
      <w:r w:rsidRPr="00DD20C0">
        <w:rPr>
          <w:rFonts w:asciiTheme="minorHAnsi" w:hAnsiTheme="minorHAnsi" w:cstheme="minorHAnsi"/>
          <w:color w:val="FF0000"/>
          <w:sz w:val="24"/>
          <w:szCs w:val="24"/>
        </w:rPr>
        <w:t>,  &amp;</w:t>
      </w:r>
      <w:proofErr w:type="gramEnd"/>
      <w:r w:rsidRPr="00DD20C0">
        <w:rPr>
          <w:rFonts w:asciiTheme="minorHAnsi" w:hAnsiTheme="minorHAnsi" w:cstheme="minorHAnsi"/>
          <w:color w:val="FF0000"/>
          <w:sz w:val="24"/>
          <w:szCs w:val="24"/>
        </w:rPr>
        <w:t xml:space="preserve"> Rao, S. V. (2016).  The impact of bleeding avoidance strategies on hospital-level variation in bleeding rates following percutaneous coronary intervention. Journal of the American College of Cardiology: Cardiovascular Interventions, 9(8), 771-779.  </w:t>
      </w:r>
      <w:commentRangeStart w:id="5"/>
      <w:commentRangeEnd w:id="5"/>
    </w:p>
    <w:p w14:paraId="3FE3E678" w14:textId="77777777" w:rsidR="006453F4" w:rsidRPr="00DD20C0" w:rsidRDefault="006453F4" w:rsidP="00700E27">
      <w:pPr>
        <w:pStyle w:val="ListParagraph"/>
        <w:numPr>
          <w:ilvl w:val="0"/>
          <w:numId w:val="12"/>
        </w:numPr>
        <w:rPr>
          <w:rFonts w:cstheme="minorHAnsi"/>
          <w:color w:val="FF0000"/>
          <w:sz w:val="24"/>
          <w:szCs w:val="24"/>
        </w:rPr>
      </w:pPr>
      <w:r w:rsidRPr="00DD20C0">
        <w:rPr>
          <w:rFonts w:cstheme="minorHAnsi"/>
          <w:color w:val="FF0000"/>
          <w:sz w:val="24"/>
          <w:szCs w:val="24"/>
        </w:rPr>
        <w:t xml:space="preserve">Jolly SS, </w:t>
      </w:r>
      <w:proofErr w:type="spellStart"/>
      <w:r w:rsidRPr="00DD20C0">
        <w:rPr>
          <w:rFonts w:cstheme="minorHAnsi"/>
          <w:color w:val="FF0000"/>
          <w:sz w:val="24"/>
          <w:szCs w:val="24"/>
        </w:rPr>
        <w:t>Amlani</w:t>
      </w:r>
      <w:proofErr w:type="spellEnd"/>
      <w:r w:rsidRPr="00DD20C0">
        <w:rPr>
          <w:rFonts w:cstheme="minorHAnsi"/>
          <w:color w:val="FF0000"/>
          <w:sz w:val="24"/>
          <w:szCs w:val="24"/>
        </w:rPr>
        <w:t xml:space="preserve"> S, Hamon M, et al. Radial versus femoral access for coronary angiography or intervention and the impact on major bleeding and ischemic events: a systematic review and meta-analysis of randomized trials. Am Heart J</w:t>
      </w:r>
      <w:proofErr w:type="gramStart"/>
      <w:r w:rsidRPr="00DD20C0">
        <w:rPr>
          <w:rFonts w:cstheme="minorHAnsi"/>
          <w:color w:val="FF0000"/>
          <w:sz w:val="24"/>
          <w:szCs w:val="24"/>
        </w:rPr>
        <w:t>2009;157:132</w:t>
      </w:r>
      <w:proofErr w:type="gramEnd"/>
      <w:r w:rsidRPr="00DD20C0">
        <w:rPr>
          <w:rFonts w:cstheme="minorHAnsi"/>
          <w:color w:val="FF0000"/>
          <w:sz w:val="24"/>
          <w:szCs w:val="24"/>
        </w:rPr>
        <w:t>-40.</w:t>
      </w:r>
    </w:p>
    <w:p w14:paraId="250D5413" w14:textId="77777777" w:rsidR="006453F4" w:rsidRPr="00DD20C0" w:rsidRDefault="006453F4" w:rsidP="00700E27">
      <w:pPr>
        <w:ind w:left="0" w:firstLine="0"/>
        <w:rPr>
          <w:rFonts w:cstheme="minorHAnsi"/>
          <w:color w:val="FF0000"/>
          <w:sz w:val="24"/>
          <w:szCs w:val="24"/>
        </w:rPr>
      </w:pPr>
      <w:hyperlink r:id="rId21" w:history="1">
        <w:proofErr w:type="spellStart"/>
        <w:r w:rsidRPr="00DD20C0">
          <w:rPr>
            <w:rStyle w:val="Hyperlink"/>
            <w:rFonts w:cstheme="minorHAnsi"/>
            <w:color w:val="FF0000"/>
            <w:sz w:val="24"/>
            <w:szCs w:val="24"/>
          </w:rPr>
          <w:t>CrossRef</w:t>
        </w:r>
      </w:hyperlink>
      <w:hyperlink r:id="rId22" w:history="1">
        <w:r w:rsidRPr="00DD20C0">
          <w:rPr>
            <w:rStyle w:val="Hyperlink"/>
            <w:rFonts w:cstheme="minorHAnsi"/>
            <w:color w:val="FF0000"/>
            <w:sz w:val="24"/>
            <w:szCs w:val="24"/>
          </w:rPr>
          <w:t>PubMed</w:t>
        </w:r>
      </w:hyperlink>
      <w:hyperlink r:id="rId23" w:history="1">
        <w:r w:rsidRPr="00DD20C0">
          <w:rPr>
            <w:rStyle w:val="Hyperlink"/>
            <w:rFonts w:cstheme="minorHAnsi"/>
            <w:color w:val="FF0000"/>
            <w:sz w:val="24"/>
            <w:szCs w:val="24"/>
          </w:rPr>
          <w:t>Web</w:t>
        </w:r>
        <w:proofErr w:type="spellEnd"/>
        <w:r w:rsidRPr="00DD20C0">
          <w:rPr>
            <w:rStyle w:val="Hyperlink"/>
            <w:rFonts w:cstheme="minorHAnsi"/>
            <w:color w:val="FF0000"/>
            <w:sz w:val="24"/>
            <w:szCs w:val="24"/>
          </w:rPr>
          <w:t xml:space="preserve"> of </w:t>
        </w:r>
        <w:proofErr w:type="spellStart"/>
        <w:r w:rsidRPr="00DD20C0">
          <w:rPr>
            <w:rStyle w:val="Hyperlink"/>
            <w:rFonts w:cstheme="minorHAnsi"/>
            <w:color w:val="FF0000"/>
            <w:sz w:val="24"/>
            <w:szCs w:val="24"/>
          </w:rPr>
          <w:t>Science</w:t>
        </w:r>
      </w:hyperlink>
      <w:hyperlink r:id="rId24"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5C2EC670" w14:textId="77777777" w:rsidR="006453F4" w:rsidRPr="00DD20C0" w:rsidRDefault="006453F4" w:rsidP="00700E27">
      <w:pPr>
        <w:numPr>
          <w:ilvl w:val="0"/>
          <w:numId w:val="12"/>
        </w:numPr>
        <w:rPr>
          <w:rFonts w:cstheme="minorHAnsi"/>
          <w:color w:val="FF0000"/>
          <w:sz w:val="24"/>
          <w:szCs w:val="24"/>
        </w:rPr>
      </w:pPr>
      <w:proofErr w:type="spellStart"/>
      <w:r w:rsidRPr="00DD20C0">
        <w:rPr>
          <w:rFonts w:cstheme="minorHAnsi"/>
          <w:color w:val="FF0000"/>
          <w:sz w:val="24"/>
          <w:szCs w:val="24"/>
        </w:rPr>
        <w:t>Kastrati</w:t>
      </w:r>
      <w:proofErr w:type="spellEnd"/>
      <w:r w:rsidRPr="00DD20C0">
        <w:rPr>
          <w:rFonts w:cstheme="minorHAnsi"/>
          <w:color w:val="FF0000"/>
          <w:sz w:val="24"/>
          <w:szCs w:val="24"/>
        </w:rPr>
        <w:t xml:space="preserve"> A, Neumann FJ, </w:t>
      </w:r>
      <w:proofErr w:type="spellStart"/>
      <w:r w:rsidRPr="00DD20C0">
        <w:rPr>
          <w:rFonts w:cstheme="minorHAnsi"/>
          <w:color w:val="FF0000"/>
          <w:sz w:val="24"/>
          <w:szCs w:val="24"/>
        </w:rPr>
        <w:t>Mehilli</w:t>
      </w:r>
      <w:proofErr w:type="spellEnd"/>
      <w:r w:rsidRPr="00DD20C0">
        <w:rPr>
          <w:rFonts w:cstheme="minorHAnsi"/>
          <w:color w:val="FF0000"/>
          <w:sz w:val="24"/>
          <w:szCs w:val="24"/>
        </w:rPr>
        <w:t xml:space="preserve"> J, et al. Bivalirudin versus unfractionated heparin during percutaneous coronary intervention. N </w:t>
      </w:r>
      <w:proofErr w:type="spellStart"/>
      <w:r w:rsidRPr="00DD20C0">
        <w:rPr>
          <w:rFonts w:cstheme="minorHAnsi"/>
          <w:color w:val="FF0000"/>
          <w:sz w:val="24"/>
          <w:szCs w:val="24"/>
        </w:rPr>
        <w:t>Engl</w:t>
      </w:r>
      <w:proofErr w:type="spellEnd"/>
      <w:r w:rsidRPr="00DD20C0">
        <w:rPr>
          <w:rFonts w:cstheme="minorHAnsi"/>
          <w:color w:val="FF0000"/>
          <w:sz w:val="24"/>
          <w:szCs w:val="24"/>
        </w:rPr>
        <w:t xml:space="preserve"> J Med</w:t>
      </w:r>
      <w:proofErr w:type="gramStart"/>
      <w:r w:rsidRPr="00DD20C0">
        <w:rPr>
          <w:rFonts w:cstheme="minorHAnsi"/>
          <w:color w:val="FF0000"/>
          <w:sz w:val="24"/>
          <w:szCs w:val="24"/>
        </w:rPr>
        <w:t>2008;359:688</w:t>
      </w:r>
      <w:proofErr w:type="gramEnd"/>
      <w:r w:rsidRPr="00DD20C0">
        <w:rPr>
          <w:rFonts w:cstheme="minorHAnsi"/>
          <w:color w:val="FF0000"/>
          <w:sz w:val="24"/>
          <w:szCs w:val="24"/>
        </w:rPr>
        <w:t>-96.</w:t>
      </w:r>
    </w:p>
    <w:p w14:paraId="097FAB34" w14:textId="77777777" w:rsidR="006453F4" w:rsidRPr="00DD20C0" w:rsidRDefault="006453F4" w:rsidP="006453F4">
      <w:pPr>
        <w:ind w:left="432" w:hanging="432"/>
        <w:rPr>
          <w:rFonts w:cstheme="minorHAnsi"/>
          <w:color w:val="FF0000"/>
          <w:sz w:val="24"/>
          <w:szCs w:val="24"/>
        </w:rPr>
      </w:pPr>
      <w:hyperlink r:id="rId25" w:history="1">
        <w:proofErr w:type="spellStart"/>
        <w:r w:rsidRPr="00DD20C0">
          <w:rPr>
            <w:rStyle w:val="Hyperlink"/>
            <w:rFonts w:cstheme="minorHAnsi"/>
            <w:color w:val="FF0000"/>
            <w:sz w:val="24"/>
            <w:szCs w:val="24"/>
          </w:rPr>
          <w:t>CrossRef</w:t>
        </w:r>
      </w:hyperlink>
      <w:hyperlink r:id="rId26" w:history="1">
        <w:r w:rsidRPr="00DD20C0">
          <w:rPr>
            <w:rStyle w:val="Hyperlink"/>
            <w:rFonts w:cstheme="minorHAnsi"/>
            <w:color w:val="FF0000"/>
            <w:sz w:val="24"/>
            <w:szCs w:val="24"/>
          </w:rPr>
          <w:t>PubMed</w:t>
        </w:r>
      </w:hyperlink>
      <w:hyperlink r:id="rId27" w:history="1">
        <w:r w:rsidRPr="00DD20C0">
          <w:rPr>
            <w:rStyle w:val="Hyperlink"/>
            <w:rFonts w:cstheme="minorHAnsi"/>
            <w:color w:val="FF0000"/>
            <w:sz w:val="24"/>
            <w:szCs w:val="24"/>
          </w:rPr>
          <w:t>Web</w:t>
        </w:r>
        <w:proofErr w:type="spellEnd"/>
        <w:r w:rsidRPr="00DD20C0">
          <w:rPr>
            <w:rStyle w:val="Hyperlink"/>
            <w:rFonts w:cstheme="minorHAnsi"/>
            <w:color w:val="FF0000"/>
            <w:sz w:val="24"/>
            <w:szCs w:val="24"/>
          </w:rPr>
          <w:t xml:space="preserve"> of </w:t>
        </w:r>
        <w:proofErr w:type="spellStart"/>
        <w:r w:rsidRPr="00DD20C0">
          <w:rPr>
            <w:rStyle w:val="Hyperlink"/>
            <w:rFonts w:cstheme="minorHAnsi"/>
            <w:color w:val="FF0000"/>
            <w:sz w:val="24"/>
            <w:szCs w:val="24"/>
          </w:rPr>
          <w:t>Science</w:t>
        </w:r>
      </w:hyperlink>
      <w:hyperlink r:id="rId28"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4A54F2F2" w14:textId="77777777" w:rsidR="006453F4" w:rsidRPr="00DD20C0" w:rsidRDefault="006453F4" w:rsidP="00700E27">
      <w:pPr>
        <w:numPr>
          <w:ilvl w:val="0"/>
          <w:numId w:val="12"/>
        </w:numPr>
        <w:rPr>
          <w:rFonts w:cstheme="minorHAnsi"/>
          <w:color w:val="FF0000"/>
          <w:sz w:val="24"/>
          <w:szCs w:val="24"/>
        </w:rPr>
      </w:pPr>
      <w:proofErr w:type="spellStart"/>
      <w:r w:rsidRPr="00DD20C0">
        <w:rPr>
          <w:rFonts w:cstheme="minorHAnsi"/>
          <w:color w:val="FF0000"/>
          <w:sz w:val="24"/>
          <w:szCs w:val="24"/>
        </w:rPr>
        <w:t>Marso</w:t>
      </w:r>
      <w:proofErr w:type="spellEnd"/>
      <w:r w:rsidRPr="00DD20C0">
        <w:rPr>
          <w:rFonts w:cstheme="minorHAnsi"/>
          <w:color w:val="FF0000"/>
          <w:sz w:val="24"/>
          <w:szCs w:val="24"/>
        </w:rPr>
        <w:t xml:space="preserve"> SP, Amin AP, House JA, et al. Association between use of bleeding avoidance strategies and risk of periprocedural bleeding among patients undergoing percutaneous coronary intervention. JAMA</w:t>
      </w:r>
      <w:proofErr w:type="gramStart"/>
      <w:r w:rsidRPr="00DD20C0">
        <w:rPr>
          <w:rFonts w:cstheme="minorHAnsi"/>
          <w:color w:val="FF0000"/>
          <w:sz w:val="24"/>
          <w:szCs w:val="24"/>
        </w:rPr>
        <w:t>2010;303:2156</w:t>
      </w:r>
      <w:proofErr w:type="gramEnd"/>
      <w:r w:rsidRPr="00DD20C0">
        <w:rPr>
          <w:rFonts w:cstheme="minorHAnsi"/>
          <w:color w:val="FF0000"/>
          <w:sz w:val="24"/>
          <w:szCs w:val="24"/>
        </w:rPr>
        <w:t>-64.</w:t>
      </w:r>
    </w:p>
    <w:p w14:paraId="37F90E6D" w14:textId="77777777" w:rsidR="006453F4" w:rsidRPr="00DD20C0" w:rsidRDefault="006453F4" w:rsidP="006453F4">
      <w:pPr>
        <w:ind w:left="432" w:hanging="432"/>
        <w:rPr>
          <w:rFonts w:cstheme="minorHAnsi"/>
          <w:color w:val="FF0000"/>
          <w:sz w:val="24"/>
          <w:szCs w:val="24"/>
        </w:rPr>
      </w:pPr>
      <w:hyperlink r:id="rId29" w:history="1">
        <w:proofErr w:type="spellStart"/>
        <w:r w:rsidRPr="00DD20C0">
          <w:rPr>
            <w:rStyle w:val="Hyperlink"/>
            <w:rFonts w:cstheme="minorHAnsi"/>
            <w:color w:val="FF0000"/>
            <w:sz w:val="24"/>
            <w:szCs w:val="24"/>
          </w:rPr>
          <w:t>CrossRef</w:t>
        </w:r>
      </w:hyperlink>
      <w:hyperlink r:id="rId30" w:history="1">
        <w:r w:rsidRPr="00DD20C0">
          <w:rPr>
            <w:rStyle w:val="Hyperlink"/>
            <w:rFonts w:cstheme="minorHAnsi"/>
            <w:color w:val="FF0000"/>
            <w:sz w:val="24"/>
            <w:szCs w:val="24"/>
          </w:rPr>
          <w:t>PubMed</w:t>
        </w:r>
      </w:hyperlink>
      <w:hyperlink r:id="rId31" w:history="1">
        <w:r w:rsidRPr="00DD20C0">
          <w:rPr>
            <w:rStyle w:val="Hyperlink"/>
            <w:rFonts w:cstheme="minorHAnsi"/>
            <w:color w:val="FF0000"/>
            <w:sz w:val="24"/>
            <w:szCs w:val="24"/>
          </w:rPr>
          <w:t>Web</w:t>
        </w:r>
        <w:proofErr w:type="spellEnd"/>
        <w:r w:rsidRPr="00DD20C0">
          <w:rPr>
            <w:rStyle w:val="Hyperlink"/>
            <w:rFonts w:cstheme="minorHAnsi"/>
            <w:color w:val="FF0000"/>
            <w:sz w:val="24"/>
            <w:szCs w:val="24"/>
          </w:rPr>
          <w:t xml:space="preserve"> of </w:t>
        </w:r>
        <w:proofErr w:type="spellStart"/>
        <w:r w:rsidRPr="00DD20C0">
          <w:rPr>
            <w:rStyle w:val="Hyperlink"/>
            <w:rFonts w:cstheme="minorHAnsi"/>
            <w:color w:val="FF0000"/>
            <w:sz w:val="24"/>
            <w:szCs w:val="24"/>
          </w:rPr>
          <w:t>Science</w:t>
        </w:r>
      </w:hyperlink>
      <w:hyperlink r:id="rId32"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0B0168FB" w14:textId="77777777" w:rsidR="006453F4" w:rsidRPr="00DD20C0" w:rsidRDefault="006453F4" w:rsidP="00700E27">
      <w:pPr>
        <w:numPr>
          <w:ilvl w:val="0"/>
          <w:numId w:val="12"/>
        </w:numPr>
        <w:rPr>
          <w:rFonts w:cstheme="minorHAnsi"/>
          <w:color w:val="FF0000"/>
          <w:sz w:val="24"/>
          <w:szCs w:val="24"/>
        </w:rPr>
      </w:pPr>
      <w:r w:rsidRPr="00DD20C0">
        <w:rPr>
          <w:rFonts w:cstheme="minorHAnsi"/>
          <w:color w:val="FF0000"/>
          <w:sz w:val="24"/>
          <w:szCs w:val="24"/>
        </w:rPr>
        <w:lastRenderedPageBreak/>
        <w:t xml:space="preserve">Sanborn TA, Ebrahimi R, </w:t>
      </w:r>
      <w:proofErr w:type="spellStart"/>
      <w:r w:rsidRPr="00DD20C0">
        <w:rPr>
          <w:rFonts w:cstheme="minorHAnsi"/>
          <w:color w:val="FF0000"/>
          <w:sz w:val="24"/>
          <w:szCs w:val="24"/>
        </w:rPr>
        <w:t>Manoukian</w:t>
      </w:r>
      <w:proofErr w:type="spellEnd"/>
      <w:r w:rsidRPr="00DD20C0">
        <w:rPr>
          <w:rFonts w:cstheme="minorHAnsi"/>
          <w:color w:val="FF0000"/>
          <w:sz w:val="24"/>
          <w:szCs w:val="24"/>
        </w:rPr>
        <w:t xml:space="preserve"> SV, et al. Impact of femoral vascular closure devices and antithrombotic therapy on access site bleeding in acute coronary syndromes: </w:t>
      </w:r>
      <w:proofErr w:type="gramStart"/>
      <w:r w:rsidRPr="00DD20C0">
        <w:rPr>
          <w:rFonts w:cstheme="minorHAnsi"/>
          <w:color w:val="FF0000"/>
          <w:sz w:val="24"/>
          <w:szCs w:val="24"/>
        </w:rPr>
        <w:t>the</w:t>
      </w:r>
      <w:proofErr w:type="gramEnd"/>
      <w:r w:rsidRPr="00DD20C0">
        <w:rPr>
          <w:rFonts w:cstheme="minorHAnsi"/>
          <w:color w:val="FF0000"/>
          <w:sz w:val="24"/>
          <w:szCs w:val="24"/>
        </w:rPr>
        <w:t xml:space="preserve"> Acute Catheterization and Urgent Intervention Triage Strategy (ACUITY) trial. Circ Cardiovasc Interv</w:t>
      </w:r>
      <w:proofErr w:type="gramStart"/>
      <w:r w:rsidRPr="00DD20C0">
        <w:rPr>
          <w:rFonts w:cstheme="minorHAnsi"/>
          <w:color w:val="FF0000"/>
          <w:sz w:val="24"/>
          <w:szCs w:val="24"/>
        </w:rPr>
        <w:t>2010;3:57</w:t>
      </w:r>
      <w:proofErr w:type="gramEnd"/>
      <w:r w:rsidRPr="00DD20C0">
        <w:rPr>
          <w:rFonts w:cstheme="minorHAnsi"/>
          <w:color w:val="FF0000"/>
          <w:sz w:val="24"/>
          <w:szCs w:val="24"/>
        </w:rPr>
        <w:t>-62.</w:t>
      </w:r>
    </w:p>
    <w:p w14:paraId="502508D9" w14:textId="77777777" w:rsidR="006453F4" w:rsidRPr="00DD20C0" w:rsidRDefault="006453F4" w:rsidP="006453F4">
      <w:pPr>
        <w:ind w:left="432" w:hanging="432"/>
        <w:rPr>
          <w:rFonts w:cstheme="minorHAnsi"/>
          <w:color w:val="FF0000"/>
          <w:sz w:val="24"/>
          <w:szCs w:val="24"/>
        </w:rPr>
      </w:pPr>
      <w:hyperlink r:id="rId33" w:history="1">
        <w:r w:rsidRPr="00DD20C0">
          <w:rPr>
            <w:rStyle w:val="Hyperlink"/>
            <w:rFonts w:cstheme="minorHAnsi"/>
            <w:color w:val="FF0000"/>
            <w:sz w:val="24"/>
            <w:szCs w:val="24"/>
          </w:rPr>
          <w:t xml:space="preserve">Abstract/FREE Full </w:t>
        </w:r>
        <w:proofErr w:type="spellStart"/>
        <w:r w:rsidRPr="00DD20C0">
          <w:rPr>
            <w:rStyle w:val="Hyperlink"/>
            <w:rFonts w:cstheme="minorHAnsi"/>
            <w:color w:val="FF0000"/>
            <w:sz w:val="24"/>
            <w:szCs w:val="24"/>
          </w:rPr>
          <w:t>Text</w:t>
        </w:r>
      </w:hyperlink>
      <w:hyperlink r:id="rId34"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753767A2" w14:textId="77777777" w:rsidR="006453F4" w:rsidRPr="00DD20C0" w:rsidRDefault="006453F4" w:rsidP="00700E27">
      <w:pPr>
        <w:numPr>
          <w:ilvl w:val="0"/>
          <w:numId w:val="12"/>
        </w:numPr>
        <w:rPr>
          <w:rFonts w:cstheme="minorHAnsi"/>
          <w:color w:val="FF0000"/>
          <w:sz w:val="24"/>
          <w:szCs w:val="24"/>
        </w:rPr>
      </w:pPr>
      <w:r w:rsidRPr="00DD20C0">
        <w:rPr>
          <w:rFonts w:cstheme="minorHAnsi"/>
          <w:color w:val="FF0000"/>
          <w:sz w:val="24"/>
          <w:szCs w:val="24"/>
        </w:rPr>
        <w:t>Stone GW, McLaurin BT, Cox DA, et al. Bivalirudin for patients with acute cor</w:t>
      </w:r>
      <w:bookmarkStart w:id="6" w:name="_GoBack"/>
      <w:bookmarkEnd w:id="6"/>
      <w:r w:rsidRPr="00DD20C0">
        <w:rPr>
          <w:rFonts w:cstheme="minorHAnsi"/>
          <w:color w:val="FF0000"/>
          <w:sz w:val="24"/>
          <w:szCs w:val="24"/>
        </w:rPr>
        <w:t xml:space="preserve">onary syndromes. N </w:t>
      </w:r>
      <w:proofErr w:type="spellStart"/>
      <w:r w:rsidRPr="00DD20C0">
        <w:rPr>
          <w:rFonts w:cstheme="minorHAnsi"/>
          <w:color w:val="FF0000"/>
          <w:sz w:val="24"/>
          <w:szCs w:val="24"/>
        </w:rPr>
        <w:t>Engl</w:t>
      </w:r>
      <w:proofErr w:type="spellEnd"/>
      <w:r w:rsidRPr="00DD20C0">
        <w:rPr>
          <w:rFonts w:cstheme="minorHAnsi"/>
          <w:color w:val="FF0000"/>
          <w:sz w:val="24"/>
          <w:szCs w:val="24"/>
        </w:rPr>
        <w:t xml:space="preserve"> J Med</w:t>
      </w:r>
      <w:proofErr w:type="gramStart"/>
      <w:r w:rsidRPr="00DD20C0">
        <w:rPr>
          <w:rFonts w:cstheme="minorHAnsi"/>
          <w:color w:val="FF0000"/>
          <w:sz w:val="24"/>
          <w:szCs w:val="24"/>
        </w:rPr>
        <w:t>2006;355:2203</w:t>
      </w:r>
      <w:proofErr w:type="gramEnd"/>
      <w:r w:rsidRPr="00DD20C0">
        <w:rPr>
          <w:rFonts w:cstheme="minorHAnsi"/>
          <w:color w:val="FF0000"/>
          <w:sz w:val="24"/>
          <w:szCs w:val="24"/>
        </w:rPr>
        <w:t>-16.</w:t>
      </w:r>
    </w:p>
    <w:p w14:paraId="698FA41D" w14:textId="77777777" w:rsidR="006453F4" w:rsidRPr="00DD20C0" w:rsidRDefault="006453F4" w:rsidP="006453F4">
      <w:pPr>
        <w:ind w:left="432" w:hanging="432"/>
        <w:rPr>
          <w:rFonts w:cstheme="minorHAnsi"/>
          <w:color w:val="FF0000"/>
          <w:sz w:val="24"/>
          <w:szCs w:val="24"/>
        </w:rPr>
      </w:pPr>
      <w:hyperlink r:id="rId35" w:history="1">
        <w:proofErr w:type="spellStart"/>
        <w:r w:rsidRPr="00DD20C0">
          <w:rPr>
            <w:rStyle w:val="Hyperlink"/>
            <w:rFonts w:cstheme="minorHAnsi"/>
            <w:color w:val="FF0000"/>
            <w:sz w:val="24"/>
            <w:szCs w:val="24"/>
          </w:rPr>
          <w:t>CrossRef</w:t>
        </w:r>
      </w:hyperlink>
      <w:hyperlink r:id="rId36" w:history="1">
        <w:r w:rsidRPr="00DD20C0">
          <w:rPr>
            <w:rStyle w:val="Hyperlink"/>
            <w:rFonts w:cstheme="minorHAnsi"/>
            <w:color w:val="FF0000"/>
            <w:sz w:val="24"/>
            <w:szCs w:val="24"/>
          </w:rPr>
          <w:t>PubMed</w:t>
        </w:r>
      </w:hyperlink>
      <w:hyperlink r:id="rId37" w:history="1">
        <w:r w:rsidRPr="00DD20C0">
          <w:rPr>
            <w:rStyle w:val="Hyperlink"/>
            <w:rFonts w:cstheme="minorHAnsi"/>
            <w:color w:val="FF0000"/>
            <w:sz w:val="24"/>
            <w:szCs w:val="24"/>
          </w:rPr>
          <w:t>Web</w:t>
        </w:r>
        <w:proofErr w:type="spellEnd"/>
        <w:r w:rsidRPr="00DD20C0">
          <w:rPr>
            <w:rStyle w:val="Hyperlink"/>
            <w:rFonts w:cstheme="minorHAnsi"/>
            <w:color w:val="FF0000"/>
            <w:sz w:val="24"/>
            <w:szCs w:val="24"/>
          </w:rPr>
          <w:t xml:space="preserve"> of </w:t>
        </w:r>
        <w:proofErr w:type="spellStart"/>
        <w:r w:rsidRPr="00DD20C0">
          <w:rPr>
            <w:rStyle w:val="Hyperlink"/>
            <w:rFonts w:cstheme="minorHAnsi"/>
            <w:color w:val="FF0000"/>
            <w:sz w:val="24"/>
            <w:szCs w:val="24"/>
          </w:rPr>
          <w:t>Science</w:t>
        </w:r>
      </w:hyperlink>
      <w:hyperlink r:id="rId38"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4D67A013" w14:textId="77777777" w:rsidR="006453F4" w:rsidRPr="00DD20C0" w:rsidRDefault="006453F4" w:rsidP="00700E27">
      <w:pPr>
        <w:numPr>
          <w:ilvl w:val="0"/>
          <w:numId w:val="12"/>
        </w:numPr>
        <w:rPr>
          <w:rFonts w:cstheme="minorHAnsi"/>
          <w:color w:val="FF0000"/>
          <w:sz w:val="24"/>
          <w:szCs w:val="24"/>
        </w:rPr>
      </w:pPr>
      <w:r w:rsidRPr="00DD20C0">
        <w:rPr>
          <w:rFonts w:cstheme="minorHAnsi"/>
          <w:color w:val="FF0000"/>
          <w:sz w:val="24"/>
          <w:szCs w:val="24"/>
        </w:rPr>
        <w:t xml:space="preserve">Stone GW, </w:t>
      </w:r>
      <w:proofErr w:type="spellStart"/>
      <w:r w:rsidRPr="00DD20C0">
        <w:rPr>
          <w:rFonts w:cstheme="minorHAnsi"/>
          <w:color w:val="FF0000"/>
          <w:sz w:val="24"/>
          <w:szCs w:val="24"/>
        </w:rPr>
        <w:t>Witzenbichler</w:t>
      </w:r>
      <w:proofErr w:type="spellEnd"/>
      <w:r w:rsidRPr="00DD20C0">
        <w:rPr>
          <w:rFonts w:cstheme="minorHAnsi"/>
          <w:color w:val="FF0000"/>
          <w:sz w:val="24"/>
          <w:szCs w:val="24"/>
        </w:rPr>
        <w:t xml:space="preserve"> B, </w:t>
      </w:r>
      <w:proofErr w:type="spellStart"/>
      <w:r w:rsidRPr="00DD20C0">
        <w:rPr>
          <w:rFonts w:cstheme="minorHAnsi"/>
          <w:color w:val="FF0000"/>
          <w:sz w:val="24"/>
          <w:szCs w:val="24"/>
        </w:rPr>
        <w:t>Guagliumi</w:t>
      </w:r>
      <w:proofErr w:type="spellEnd"/>
      <w:r w:rsidRPr="00DD20C0">
        <w:rPr>
          <w:rFonts w:cstheme="minorHAnsi"/>
          <w:color w:val="FF0000"/>
          <w:sz w:val="24"/>
          <w:szCs w:val="24"/>
        </w:rPr>
        <w:t xml:space="preserve"> G, et al. Bivalirudin during primary PCI in acute myocardial infarction. N </w:t>
      </w:r>
      <w:proofErr w:type="spellStart"/>
      <w:r w:rsidRPr="00DD20C0">
        <w:rPr>
          <w:rFonts w:cstheme="minorHAnsi"/>
          <w:color w:val="FF0000"/>
          <w:sz w:val="24"/>
          <w:szCs w:val="24"/>
        </w:rPr>
        <w:t>Engl</w:t>
      </w:r>
      <w:proofErr w:type="spellEnd"/>
      <w:r w:rsidRPr="00DD20C0">
        <w:rPr>
          <w:rFonts w:cstheme="minorHAnsi"/>
          <w:color w:val="FF0000"/>
          <w:sz w:val="24"/>
          <w:szCs w:val="24"/>
        </w:rPr>
        <w:t xml:space="preserve"> J Med</w:t>
      </w:r>
      <w:proofErr w:type="gramStart"/>
      <w:r w:rsidRPr="00DD20C0">
        <w:rPr>
          <w:rFonts w:cstheme="minorHAnsi"/>
          <w:color w:val="FF0000"/>
          <w:sz w:val="24"/>
          <w:szCs w:val="24"/>
        </w:rPr>
        <w:t>2008;358:2218</w:t>
      </w:r>
      <w:proofErr w:type="gramEnd"/>
      <w:r w:rsidRPr="00DD20C0">
        <w:rPr>
          <w:rFonts w:cstheme="minorHAnsi"/>
          <w:color w:val="FF0000"/>
          <w:sz w:val="24"/>
          <w:szCs w:val="24"/>
        </w:rPr>
        <w:t>-30.</w:t>
      </w:r>
    </w:p>
    <w:p w14:paraId="1B74CA0D" w14:textId="77777777" w:rsidR="006453F4" w:rsidRPr="006453F4" w:rsidRDefault="006453F4" w:rsidP="006453F4">
      <w:pPr>
        <w:ind w:left="432" w:hanging="432"/>
      </w:pPr>
      <w:hyperlink r:id="rId39" w:history="1">
        <w:proofErr w:type="spellStart"/>
        <w:r w:rsidRPr="00DD20C0">
          <w:rPr>
            <w:rStyle w:val="Hyperlink"/>
            <w:rFonts w:cstheme="minorHAnsi"/>
            <w:color w:val="FF0000"/>
            <w:sz w:val="24"/>
            <w:szCs w:val="24"/>
          </w:rPr>
          <w:t>CrossRef</w:t>
        </w:r>
      </w:hyperlink>
      <w:hyperlink r:id="rId40" w:history="1">
        <w:r w:rsidRPr="00DD20C0">
          <w:rPr>
            <w:rStyle w:val="Hyperlink"/>
            <w:rFonts w:cstheme="minorHAnsi"/>
            <w:color w:val="FF0000"/>
            <w:sz w:val="24"/>
            <w:szCs w:val="24"/>
          </w:rPr>
          <w:t>PubMed</w:t>
        </w:r>
      </w:hyperlink>
      <w:hyperlink r:id="rId41" w:history="1">
        <w:r w:rsidRPr="00DD20C0">
          <w:rPr>
            <w:rStyle w:val="Hyperlink"/>
            <w:rFonts w:cstheme="minorHAnsi"/>
            <w:color w:val="FF0000"/>
            <w:sz w:val="24"/>
            <w:szCs w:val="24"/>
          </w:rPr>
          <w:t>Web</w:t>
        </w:r>
        <w:proofErr w:type="spellEnd"/>
        <w:r w:rsidRPr="00DD20C0">
          <w:rPr>
            <w:rStyle w:val="Hyperlink"/>
            <w:rFonts w:cstheme="minorHAnsi"/>
            <w:color w:val="FF0000"/>
            <w:sz w:val="24"/>
            <w:szCs w:val="24"/>
          </w:rPr>
          <w:t xml:space="preserve"> of </w:t>
        </w:r>
        <w:proofErr w:type="spellStart"/>
        <w:r w:rsidRPr="00DD20C0">
          <w:rPr>
            <w:rStyle w:val="Hyperlink"/>
            <w:rFonts w:cstheme="minorHAnsi"/>
            <w:color w:val="FF0000"/>
            <w:sz w:val="24"/>
            <w:szCs w:val="24"/>
          </w:rPr>
          <w:t>Science</w:t>
        </w:r>
      </w:hyperlink>
      <w:hyperlink r:id="rId42" w:tgtFrame="_blank" w:history="1">
        <w:r w:rsidRPr="00DD20C0">
          <w:rPr>
            <w:rStyle w:val="Hyperlink"/>
            <w:rFonts w:cstheme="minorHAnsi"/>
            <w:color w:val="FF0000"/>
            <w:sz w:val="24"/>
            <w:szCs w:val="24"/>
          </w:rPr>
          <w:t>Google</w:t>
        </w:r>
        <w:proofErr w:type="spellEnd"/>
        <w:r w:rsidRPr="00DD20C0">
          <w:rPr>
            <w:rStyle w:val="Hyperlink"/>
            <w:rFonts w:cstheme="minorHAnsi"/>
            <w:color w:val="FF0000"/>
            <w:sz w:val="24"/>
            <w:szCs w:val="24"/>
          </w:rPr>
          <w:t xml:space="preserve"> Scholar</w:t>
        </w:r>
      </w:hyperlink>
    </w:p>
    <w:p w14:paraId="6A7823B2" w14:textId="77777777" w:rsidR="006453F4" w:rsidRPr="006453F4" w:rsidRDefault="006453F4" w:rsidP="006453F4">
      <w:pPr>
        <w:ind w:left="432" w:hanging="432"/>
      </w:pPr>
    </w:p>
    <w:p w14:paraId="52667E00" w14:textId="77777777" w:rsidR="006453F4" w:rsidRPr="004A669E" w:rsidRDefault="006453F4" w:rsidP="00C41794">
      <w:pPr>
        <w:ind w:left="432" w:hanging="432"/>
      </w:pPr>
    </w:p>
    <w:p w14:paraId="16A48250" w14:textId="77777777" w:rsidR="00C801EC" w:rsidRPr="00C41794" w:rsidRDefault="00C801EC" w:rsidP="00C41794">
      <w:pPr>
        <w:ind w:left="432" w:hanging="432"/>
        <w:rPr>
          <w:b/>
        </w:rPr>
      </w:pP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7" w:name="Section1a3"/>
      <w:bookmarkEnd w:id="7"/>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proofErr w:type="gramStart"/>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w:t>
      </w:r>
      <w:proofErr w:type="gramEnd"/>
      <w:r w:rsidR="00C41794" w:rsidRPr="003B1CC5">
        <w:rPr>
          <w:b/>
          <w:iCs/>
          <w:caps/>
        </w:rPr>
        <w:t xml:space="preserv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2A5BC0C0"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43"/>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3398C" w14:textId="77777777" w:rsidR="00557F28" w:rsidRDefault="00557F28" w:rsidP="007E37A5">
      <w:r>
        <w:separator/>
      </w:r>
    </w:p>
  </w:endnote>
  <w:endnote w:type="continuationSeparator" w:id="0">
    <w:p w14:paraId="647FB759" w14:textId="77777777" w:rsidR="00557F28" w:rsidRDefault="00557F2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594F5" w14:textId="77777777" w:rsidR="00557F28" w:rsidRDefault="00557F28" w:rsidP="007E37A5">
      <w:r>
        <w:separator/>
      </w:r>
    </w:p>
  </w:footnote>
  <w:footnote w:type="continuationSeparator" w:id="0">
    <w:p w14:paraId="26A6C3D9" w14:textId="77777777" w:rsidR="00557F28" w:rsidRDefault="00557F28"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E035543"/>
    <w:multiLevelType w:val="multilevel"/>
    <w:tmpl w:val="5F164BD4"/>
    <w:lvl w:ilvl="0">
      <w:start w:val="1"/>
      <w:numFmt w:val="decimal"/>
      <w:lvlText w:val="%1."/>
      <w:lvlJc w:val="left"/>
      <w:pPr>
        <w:tabs>
          <w:tab w:val="num" w:pos="630"/>
        </w:tabs>
        <w:ind w:left="63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10"/>
  </w:num>
  <w:num w:numId="8">
    <w:abstractNumId w:val="9"/>
  </w:num>
  <w:num w:numId="9">
    <w:abstractNumId w:val="1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178FF"/>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869DB"/>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3E49FA"/>
    <w:rsid w:val="003F3A53"/>
    <w:rsid w:val="0040230E"/>
    <w:rsid w:val="0041662F"/>
    <w:rsid w:val="00422917"/>
    <w:rsid w:val="00440687"/>
    <w:rsid w:val="0044131D"/>
    <w:rsid w:val="00441ADA"/>
    <w:rsid w:val="00457E46"/>
    <w:rsid w:val="004922E4"/>
    <w:rsid w:val="00496AF8"/>
    <w:rsid w:val="004A575D"/>
    <w:rsid w:val="004A669E"/>
    <w:rsid w:val="004B65C6"/>
    <w:rsid w:val="004D1DC7"/>
    <w:rsid w:val="004E7215"/>
    <w:rsid w:val="004F7D7E"/>
    <w:rsid w:val="00500B0C"/>
    <w:rsid w:val="00537150"/>
    <w:rsid w:val="00540984"/>
    <w:rsid w:val="00543851"/>
    <w:rsid w:val="0055559D"/>
    <w:rsid w:val="005569AE"/>
    <w:rsid w:val="00557F28"/>
    <w:rsid w:val="005857F8"/>
    <w:rsid w:val="005B0D18"/>
    <w:rsid w:val="005B12C3"/>
    <w:rsid w:val="005B409D"/>
    <w:rsid w:val="005D0FDB"/>
    <w:rsid w:val="005D25E9"/>
    <w:rsid w:val="005D6D59"/>
    <w:rsid w:val="0061292B"/>
    <w:rsid w:val="0061327A"/>
    <w:rsid w:val="00617390"/>
    <w:rsid w:val="00623420"/>
    <w:rsid w:val="00634768"/>
    <w:rsid w:val="0063596F"/>
    <w:rsid w:val="006453F4"/>
    <w:rsid w:val="006571FD"/>
    <w:rsid w:val="006636F6"/>
    <w:rsid w:val="006709EB"/>
    <w:rsid w:val="00672824"/>
    <w:rsid w:val="00676BD4"/>
    <w:rsid w:val="0068184A"/>
    <w:rsid w:val="006A0249"/>
    <w:rsid w:val="006B5C51"/>
    <w:rsid w:val="006C7F30"/>
    <w:rsid w:val="006D43FF"/>
    <w:rsid w:val="006E6FDD"/>
    <w:rsid w:val="006F4B7F"/>
    <w:rsid w:val="006F760B"/>
    <w:rsid w:val="00700E27"/>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07462"/>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E3A17"/>
    <w:rsid w:val="008F1DC6"/>
    <w:rsid w:val="008F6F51"/>
    <w:rsid w:val="00905C5B"/>
    <w:rsid w:val="00912FC3"/>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5B5D"/>
    <w:rsid w:val="00AE6CE0"/>
    <w:rsid w:val="00B058A6"/>
    <w:rsid w:val="00B117D0"/>
    <w:rsid w:val="00B13998"/>
    <w:rsid w:val="00B35C5F"/>
    <w:rsid w:val="00B40006"/>
    <w:rsid w:val="00B439DD"/>
    <w:rsid w:val="00B52E0F"/>
    <w:rsid w:val="00B74629"/>
    <w:rsid w:val="00B91F58"/>
    <w:rsid w:val="00BA579E"/>
    <w:rsid w:val="00BB7F9A"/>
    <w:rsid w:val="00BE2295"/>
    <w:rsid w:val="00BE6373"/>
    <w:rsid w:val="00BF533A"/>
    <w:rsid w:val="00C204AD"/>
    <w:rsid w:val="00C41794"/>
    <w:rsid w:val="00C46677"/>
    <w:rsid w:val="00C5180E"/>
    <w:rsid w:val="00C54E40"/>
    <w:rsid w:val="00C55F56"/>
    <w:rsid w:val="00C57BA4"/>
    <w:rsid w:val="00C613EB"/>
    <w:rsid w:val="00C71C1A"/>
    <w:rsid w:val="00C801EC"/>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150C"/>
    <w:rsid w:val="00DA7FA2"/>
    <w:rsid w:val="00DC2D8D"/>
    <w:rsid w:val="00DC7F67"/>
    <w:rsid w:val="00DD20C0"/>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6453F4"/>
    <w:rPr>
      <w:color w:val="605E5C"/>
      <w:shd w:val="clear" w:color="auto" w:fill="E1DFDD"/>
    </w:rPr>
  </w:style>
  <w:style w:type="paragraph" w:customStyle="1" w:styleId="TableParagraph">
    <w:name w:val="Table Paragraph"/>
    <w:basedOn w:val="Normal"/>
    <w:uiPriority w:val="1"/>
    <w:rsid w:val="00BB7F9A"/>
    <w:pPr>
      <w:autoSpaceDE w:val="0"/>
      <w:autoSpaceDN w:val="0"/>
      <w:ind w:left="0" w:firstLine="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709565">
      <w:bodyDiv w:val="1"/>
      <w:marLeft w:val="0"/>
      <w:marRight w:val="0"/>
      <w:marTop w:val="0"/>
      <w:marBottom w:val="0"/>
      <w:divBdr>
        <w:top w:val="none" w:sz="0" w:space="0" w:color="auto"/>
        <w:left w:val="none" w:sz="0" w:space="0" w:color="auto"/>
        <w:bottom w:val="none" w:sz="0" w:space="0" w:color="auto"/>
        <w:right w:val="none" w:sz="0" w:space="0" w:color="auto"/>
      </w:divBdr>
      <w:divsChild>
        <w:div w:id="1137260797">
          <w:marLeft w:val="0"/>
          <w:marRight w:val="0"/>
          <w:marTop w:val="0"/>
          <w:marBottom w:val="0"/>
          <w:divBdr>
            <w:top w:val="none" w:sz="0" w:space="0" w:color="auto"/>
            <w:left w:val="none" w:sz="0" w:space="0" w:color="auto"/>
            <w:bottom w:val="none" w:sz="0" w:space="0" w:color="auto"/>
            <w:right w:val="none" w:sz="0" w:space="0" w:color="auto"/>
          </w:divBdr>
          <w:divsChild>
            <w:div w:id="912857366">
              <w:marLeft w:val="0"/>
              <w:marRight w:val="120"/>
              <w:marTop w:val="0"/>
              <w:marBottom w:val="0"/>
              <w:divBdr>
                <w:top w:val="none" w:sz="0" w:space="0" w:color="auto"/>
                <w:left w:val="none" w:sz="0" w:space="0" w:color="auto"/>
                <w:bottom w:val="none" w:sz="0" w:space="0" w:color="auto"/>
                <w:right w:val="none" w:sz="0" w:space="0" w:color="auto"/>
              </w:divBdr>
            </w:div>
            <w:div w:id="2105803941">
              <w:marLeft w:val="0"/>
              <w:marRight w:val="0"/>
              <w:marTop w:val="0"/>
              <w:marBottom w:val="0"/>
              <w:divBdr>
                <w:top w:val="none" w:sz="0" w:space="0" w:color="auto"/>
                <w:left w:val="none" w:sz="0" w:space="0" w:color="auto"/>
                <w:bottom w:val="none" w:sz="0" w:space="0" w:color="auto"/>
                <w:right w:val="none" w:sz="0" w:space="0" w:color="auto"/>
              </w:divBdr>
            </w:div>
          </w:divsChild>
        </w:div>
        <w:div w:id="660275237">
          <w:marLeft w:val="0"/>
          <w:marRight w:val="0"/>
          <w:marTop w:val="0"/>
          <w:marBottom w:val="0"/>
          <w:divBdr>
            <w:top w:val="none" w:sz="0" w:space="0" w:color="auto"/>
            <w:left w:val="none" w:sz="0" w:space="0" w:color="auto"/>
            <w:bottom w:val="none" w:sz="0" w:space="0" w:color="auto"/>
            <w:right w:val="none" w:sz="0" w:space="0" w:color="auto"/>
          </w:divBdr>
          <w:divsChild>
            <w:div w:id="1282031950">
              <w:marLeft w:val="0"/>
              <w:marRight w:val="120"/>
              <w:marTop w:val="0"/>
              <w:marBottom w:val="0"/>
              <w:divBdr>
                <w:top w:val="none" w:sz="0" w:space="0" w:color="auto"/>
                <w:left w:val="none" w:sz="0" w:space="0" w:color="auto"/>
                <w:bottom w:val="none" w:sz="0" w:space="0" w:color="auto"/>
                <w:right w:val="none" w:sz="0" w:space="0" w:color="auto"/>
              </w:divBdr>
            </w:div>
            <w:div w:id="1681005120">
              <w:marLeft w:val="0"/>
              <w:marRight w:val="0"/>
              <w:marTop w:val="0"/>
              <w:marBottom w:val="0"/>
              <w:divBdr>
                <w:top w:val="none" w:sz="0" w:space="0" w:color="auto"/>
                <w:left w:val="none" w:sz="0" w:space="0" w:color="auto"/>
                <w:bottom w:val="none" w:sz="0" w:space="0" w:color="auto"/>
                <w:right w:val="none" w:sz="0" w:space="0" w:color="auto"/>
              </w:divBdr>
            </w:div>
          </w:divsChild>
        </w:div>
        <w:div w:id="1365910801">
          <w:marLeft w:val="0"/>
          <w:marRight w:val="0"/>
          <w:marTop w:val="0"/>
          <w:marBottom w:val="0"/>
          <w:divBdr>
            <w:top w:val="none" w:sz="0" w:space="0" w:color="auto"/>
            <w:left w:val="none" w:sz="0" w:space="0" w:color="auto"/>
            <w:bottom w:val="none" w:sz="0" w:space="0" w:color="auto"/>
            <w:right w:val="none" w:sz="0" w:space="0" w:color="auto"/>
          </w:divBdr>
          <w:divsChild>
            <w:div w:id="65423924">
              <w:marLeft w:val="0"/>
              <w:marRight w:val="120"/>
              <w:marTop w:val="0"/>
              <w:marBottom w:val="0"/>
              <w:divBdr>
                <w:top w:val="none" w:sz="0" w:space="0" w:color="auto"/>
                <w:left w:val="none" w:sz="0" w:space="0" w:color="auto"/>
                <w:bottom w:val="none" w:sz="0" w:space="0" w:color="auto"/>
                <w:right w:val="none" w:sz="0" w:space="0" w:color="auto"/>
              </w:divBdr>
            </w:div>
            <w:div w:id="1567834669">
              <w:marLeft w:val="0"/>
              <w:marRight w:val="0"/>
              <w:marTop w:val="0"/>
              <w:marBottom w:val="0"/>
              <w:divBdr>
                <w:top w:val="none" w:sz="0" w:space="0" w:color="auto"/>
                <w:left w:val="none" w:sz="0" w:space="0" w:color="auto"/>
                <w:bottom w:val="none" w:sz="0" w:space="0" w:color="auto"/>
                <w:right w:val="none" w:sz="0" w:space="0" w:color="auto"/>
              </w:divBdr>
            </w:div>
          </w:divsChild>
        </w:div>
        <w:div w:id="835993698">
          <w:marLeft w:val="0"/>
          <w:marRight w:val="0"/>
          <w:marTop w:val="0"/>
          <w:marBottom w:val="0"/>
          <w:divBdr>
            <w:top w:val="none" w:sz="0" w:space="0" w:color="auto"/>
            <w:left w:val="none" w:sz="0" w:space="0" w:color="auto"/>
            <w:bottom w:val="none" w:sz="0" w:space="0" w:color="auto"/>
            <w:right w:val="none" w:sz="0" w:space="0" w:color="auto"/>
          </w:divBdr>
          <w:divsChild>
            <w:div w:id="349264275">
              <w:marLeft w:val="0"/>
              <w:marRight w:val="120"/>
              <w:marTop w:val="0"/>
              <w:marBottom w:val="0"/>
              <w:divBdr>
                <w:top w:val="none" w:sz="0" w:space="0" w:color="auto"/>
                <w:left w:val="none" w:sz="0" w:space="0" w:color="auto"/>
                <w:bottom w:val="none" w:sz="0" w:space="0" w:color="auto"/>
                <w:right w:val="none" w:sz="0" w:space="0" w:color="auto"/>
              </w:divBdr>
            </w:div>
            <w:div w:id="149563766">
              <w:marLeft w:val="0"/>
              <w:marRight w:val="0"/>
              <w:marTop w:val="0"/>
              <w:marBottom w:val="0"/>
              <w:divBdr>
                <w:top w:val="none" w:sz="0" w:space="0" w:color="auto"/>
                <w:left w:val="none" w:sz="0" w:space="0" w:color="auto"/>
                <w:bottom w:val="none" w:sz="0" w:space="0" w:color="auto"/>
                <w:right w:val="none" w:sz="0" w:space="0" w:color="auto"/>
              </w:divBdr>
            </w:div>
          </w:divsChild>
        </w:div>
        <w:div w:id="1981886792">
          <w:marLeft w:val="0"/>
          <w:marRight w:val="0"/>
          <w:marTop w:val="0"/>
          <w:marBottom w:val="0"/>
          <w:divBdr>
            <w:top w:val="none" w:sz="0" w:space="0" w:color="auto"/>
            <w:left w:val="none" w:sz="0" w:space="0" w:color="auto"/>
            <w:bottom w:val="none" w:sz="0" w:space="0" w:color="auto"/>
            <w:right w:val="none" w:sz="0" w:space="0" w:color="auto"/>
          </w:divBdr>
          <w:divsChild>
            <w:div w:id="341052867">
              <w:marLeft w:val="0"/>
              <w:marRight w:val="120"/>
              <w:marTop w:val="0"/>
              <w:marBottom w:val="0"/>
              <w:divBdr>
                <w:top w:val="none" w:sz="0" w:space="0" w:color="auto"/>
                <w:left w:val="none" w:sz="0" w:space="0" w:color="auto"/>
                <w:bottom w:val="none" w:sz="0" w:space="0" w:color="auto"/>
                <w:right w:val="none" w:sz="0" w:space="0" w:color="auto"/>
              </w:divBdr>
            </w:div>
            <w:div w:id="1951158000">
              <w:marLeft w:val="0"/>
              <w:marRight w:val="0"/>
              <w:marTop w:val="0"/>
              <w:marBottom w:val="0"/>
              <w:divBdr>
                <w:top w:val="none" w:sz="0" w:space="0" w:color="auto"/>
                <w:left w:val="none" w:sz="0" w:space="0" w:color="auto"/>
                <w:bottom w:val="none" w:sz="0" w:space="0" w:color="auto"/>
                <w:right w:val="none" w:sz="0" w:space="0" w:color="auto"/>
              </w:divBdr>
            </w:div>
          </w:divsChild>
        </w:div>
        <w:div w:id="638076382">
          <w:marLeft w:val="0"/>
          <w:marRight w:val="0"/>
          <w:marTop w:val="0"/>
          <w:marBottom w:val="0"/>
          <w:divBdr>
            <w:top w:val="none" w:sz="0" w:space="0" w:color="auto"/>
            <w:left w:val="none" w:sz="0" w:space="0" w:color="auto"/>
            <w:bottom w:val="none" w:sz="0" w:space="0" w:color="auto"/>
            <w:right w:val="none" w:sz="0" w:space="0" w:color="auto"/>
          </w:divBdr>
          <w:divsChild>
            <w:div w:id="1043872048">
              <w:marLeft w:val="0"/>
              <w:marRight w:val="120"/>
              <w:marTop w:val="0"/>
              <w:marBottom w:val="0"/>
              <w:divBdr>
                <w:top w:val="none" w:sz="0" w:space="0" w:color="auto"/>
                <w:left w:val="none" w:sz="0" w:space="0" w:color="auto"/>
                <w:bottom w:val="none" w:sz="0" w:space="0" w:color="auto"/>
                <w:right w:val="none" w:sz="0" w:space="0" w:color="auto"/>
              </w:divBdr>
            </w:div>
            <w:div w:id="207396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hyperlink" Target="https://www.bmj.com/lookup/external-ref?access_num=18703471&amp;link_type=MED&amp;atom=%2Fbmj%2F350%2Fbmj.h1302.atom" TargetMode="External"/><Relationship Id="rId39" Type="http://schemas.openxmlformats.org/officeDocument/2006/relationships/hyperlink" Target="https://www.bmj.com/lookup/external-ref?access_num=10.1056/NEJMoa0708191&amp;link_type=DOI" TargetMode="External"/><Relationship Id="rId3" Type="http://schemas.openxmlformats.org/officeDocument/2006/relationships/customXml" Target="../customXml/item3.xml"/><Relationship Id="rId21" Type="http://schemas.openxmlformats.org/officeDocument/2006/relationships/hyperlink" Target="https://www.bmj.com/lookup/external-ref?access_num=10.1016/j.ahj.2008.08.023&amp;link_type=DOI" TargetMode="External"/><Relationship Id="rId34" Type="http://schemas.openxmlformats.org/officeDocument/2006/relationships/hyperlink" Target="https://www.bmj.com/lookup/google-scholar?link_type=googlescholar&amp;gs_type=article&amp;q_txt=Sanborn+TA%2C+Ebrahimi+R%2C+Manoukian+SV%2C+et+al.+Impact+of+femoral+vascular+closure+devices+and+antithrombotic+therapy+on+access+site+bleeding+in+acute+coronary+syndromes%3A+the+Acute+Catheterization+and+Urgent+Intervention+Triage+Strategy+(ACUITY)+trial.+Circ+Cardiovasc+Interv2010%3B3%3A57-62." TargetMode="External"/><Relationship Id="rId42" Type="http://schemas.openxmlformats.org/officeDocument/2006/relationships/hyperlink" Target="https://www.bmj.com/lookup/google-scholar?link_type=googlescholar&amp;gs_type=article&amp;q_txt=Stone+GW%2C+Witzenbichler+B%2C+Guagliumi+G%2C+et+al.+Bivalirudin+during+primary+PCI+in+acute+myocardial+infarction.+N+Engl+J+Med2008%3B358%3A2218-30." TargetMode="External"/><Relationship Id="rId47"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hyperlink" Target="https://www.bmj.com/lookup/external-ref?access_num=10.1056/NEJMoa0802944&amp;link_type=DOI" TargetMode="External"/><Relationship Id="rId33" Type="http://schemas.openxmlformats.org/officeDocument/2006/relationships/hyperlink" Target="https://www.bmj.com/lookup/ijlink/YTozOntzOjQ6InBhdGgiO3M6MTQ6Ii9sb29rdXAvaWpsaW5rIjtzOjU6InF1ZXJ5IjthOjQ6e3M6ODoibGlua1R5cGUiO3M6NDoiQUJTVCI7czoxMToiam91cm5hbENvZGUiO3M6OToiY2lyY2N2aW50IjtzOjU6InJlc2lkIjtzOjY6IjMvMS81NyI7czo0OiJhdG9tIjtzOjIzOiIvYm1qLzM1MC9ibWouaDEzMDIuYXRvbSI7fXM6ODoiZnJhZ21lbnQiO3M6MDoiIjt9" TargetMode="External"/><Relationship Id="rId38" Type="http://schemas.openxmlformats.org/officeDocument/2006/relationships/hyperlink" Target="https://www.bmj.com/lookup/google-scholar?link_type=googlescholar&amp;gs_type=article&amp;q_txt=Stone+GW%2C+McLaurin+BT%2C+Cox+DA%2C+et+al.+Bivalirudin+for+patients+with+acute+coronary+syndromes.+N+Engl+J+Med2006%3B355%3A2203-16." TargetMode="Externa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hyperlink" Target="https://www.bmj.com/lookup/external-ref?access_num=10.1001/jama.2010.708&amp;link_type=DOI" TargetMode="External"/><Relationship Id="rId41" Type="http://schemas.openxmlformats.org/officeDocument/2006/relationships/hyperlink" Target="https://www.bmj.com/lookup/external-ref?access_num=000256023600004&amp;link_type=IS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mj.com/lookup/google-scholar?link_type=googlescholar&amp;gs_type=article&amp;q_txt=Jolly+SS%2C+Amlani+S%2C+Hamon+M%2C+et+al.+Radial+versus+femoral+access+for+coronary+angiography+or+intervention+and+the+impact+on+major+bleeding+and+ischemic+events%3A+a+systematic+review+and+meta-analysis+of+randomized+trials.+Am+Heart+J2009%3B157%3A132-40." TargetMode="External"/><Relationship Id="rId32" Type="http://schemas.openxmlformats.org/officeDocument/2006/relationships/hyperlink" Target="https://www.bmj.com/lookup/google-scholar?link_type=googlescholar&amp;gs_type=article&amp;q_txt=Marso+SP%2C+Amin+AP%2C+House+JA%2C+et+al.+Association+between+use+of+bleeding+avoidance+strategies+and+risk+of+periprocedural+bleeding+among+patients+undergoing+percutaneous+coronary+intervention.+JAMA2010%3B303%3A2156-64." TargetMode="External"/><Relationship Id="rId37" Type="http://schemas.openxmlformats.org/officeDocument/2006/relationships/hyperlink" Target="https://www.bmj.com/lookup/external-ref?access_num=000242170900007&amp;link_type=ISI" TargetMode="External"/><Relationship Id="rId40" Type="http://schemas.openxmlformats.org/officeDocument/2006/relationships/hyperlink" Target="https://www.bmj.com/lookup/external-ref?access_num=18499566&amp;link_type=MED&amp;atom=%2Fbmj%2F350%2Fbmj.h1302.atom"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s://www.bmj.com/lookup/external-ref?access_num=000261851700021&amp;link_type=ISI" TargetMode="External"/><Relationship Id="rId28" Type="http://schemas.openxmlformats.org/officeDocument/2006/relationships/hyperlink" Target="https://www.bmj.com/lookup/google-scholar?link_type=googlescholar&amp;gs_type=article&amp;q_txt=Kastrati+A%2C+Neumann+FJ%2C+Mehilli+J%2C+et+al.+Bivalirudin+versus+unfractionated+heparin+during+percutaneous+coronary+intervention.+N+Engl+J+Med2008%3B359%3A688-96." TargetMode="External"/><Relationship Id="rId36" Type="http://schemas.openxmlformats.org/officeDocument/2006/relationships/hyperlink" Target="https://www.bmj.com/lookup/external-ref?access_num=17124018&amp;link_type=MED&amp;atom=%2Fbmj%2F350%2Fbmj.h1302.atom" TargetMode="External"/><Relationship Id="rId10" Type="http://schemas.openxmlformats.org/officeDocument/2006/relationships/footnotes" Target="footnotes.xml"/><Relationship Id="rId19" Type="http://schemas.openxmlformats.org/officeDocument/2006/relationships/diagramColors" Target="diagrams/colors1.xml"/><Relationship Id="rId31" Type="http://schemas.openxmlformats.org/officeDocument/2006/relationships/hyperlink" Target="https://www.bmj.com/lookup/external-ref?access_num=000278182100024&amp;link_type=ISI"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www.bmj.com/lookup/external-ref?access_num=19081409&amp;link_type=MED&amp;atom=%2Fbmj%2F350%2Fbmj.h1302.atom" TargetMode="External"/><Relationship Id="rId27" Type="http://schemas.openxmlformats.org/officeDocument/2006/relationships/hyperlink" Target="https://www.bmj.com/lookup/external-ref?access_num=000258397900005&amp;link_type=ISI" TargetMode="External"/><Relationship Id="rId30" Type="http://schemas.openxmlformats.org/officeDocument/2006/relationships/hyperlink" Target="https://www.bmj.com/lookup/external-ref?access_num=20516416&amp;link_type=MED&amp;atom=%2Fbmj%2F350%2Fbmj.h1302.atom" TargetMode="External"/><Relationship Id="rId35" Type="http://schemas.openxmlformats.org/officeDocument/2006/relationships/hyperlink" Target="https://www.bmj.com/lookup/external-ref?access_num=10.1056/NEJMoa062437&amp;link_type=DOI" TargetMode="External"/><Relationship Id="rId43"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9E159C-43B2-4E4A-976E-F0BB5B27FDA0}"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04CFF94E-F996-41C0-9194-A08350D00AAE}">
      <dgm:prSet phldrT="[Text]" custT="1"/>
      <dgm:spPr>
        <a:xfrm>
          <a:off x="0" y="2243144"/>
          <a:ext cx="4408098" cy="54283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a:solidFill>
                <a:sysClr val="windowText" lastClr="000000"/>
              </a:solidFill>
              <a:latin typeface="Calibri"/>
              <a:ea typeface="+mn-ea"/>
              <a:cs typeface="+mn-cs"/>
            </a:rPr>
            <a:t>Improved quality of care and reduction in healthcare costs</a:t>
          </a:r>
        </a:p>
      </dgm:t>
    </dgm:pt>
    <dgm:pt modelId="{AB626B04-825E-40AB-8DC9-893E04A3BBEE}" type="parTrans" cxnId="{7985B036-6DF1-4355-901D-213B955ADC50}">
      <dgm:prSet/>
      <dgm:spPr/>
      <dgm:t>
        <a:bodyPr/>
        <a:lstStyle/>
        <a:p>
          <a:endParaRPr lang="en-US"/>
        </a:p>
      </dgm:t>
    </dgm:pt>
    <dgm:pt modelId="{59D68DE7-FB48-46AF-9089-2E75BD794210}" type="sibTrans" cxnId="{7985B036-6DF1-4355-901D-213B955ADC50}">
      <dgm:prSet/>
      <dgm:spPr/>
      <dgm:t>
        <a:bodyPr/>
        <a:lstStyle/>
        <a:p>
          <a:endParaRPr lang="en-US"/>
        </a:p>
      </dgm:t>
    </dgm:pt>
    <dgm:pt modelId="{6CB17555-E225-4930-8FE2-CF679FFBAB27}">
      <dgm:prSet/>
      <dgm:spPr>
        <a:xfrm>
          <a:off x="2204049" y="1471915"/>
          <a:ext cx="2204049" cy="29339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Risk of ischemic and bleeding events minimized</a:t>
          </a:r>
        </a:p>
      </dgm:t>
    </dgm:pt>
    <dgm:pt modelId="{3E6FB102-F90F-46B0-AC25-F14283F243E0}" type="parTrans" cxnId="{0C2C07C8-3023-4D9C-A625-74D5C23031BD}">
      <dgm:prSet/>
      <dgm:spPr/>
      <dgm:t>
        <a:bodyPr/>
        <a:lstStyle/>
        <a:p>
          <a:endParaRPr lang="en-US"/>
        </a:p>
      </dgm:t>
    </dgm:pt>
    <dgm:pt modelId="{6E664C67-0F61-4792-B1E6-2E329181645A}" type="sibTrans" cxnId="{0C2C07C8-3023-4D9C-A625-74D5C23031BD}">
      <dgm:prSet/>
      <dgm:spPr/>
      <dgm:t>
        <a:bodyPr/>
        <a:lstStyle/>
        <a:p>
          <a:endParaRPr lang="en-US"/>
        </a:p>
      </dgm:t>
    </dgm:pt>
    <dgm:pt modelId="{BCE2A6D5-4ADC-4717-9BD0-B2C35D51EE59}">
      <dgm:prSet/>
      <dgm:spPr>
        <a:xfrm>
          <a:off x="0" y="1450419"/>
          <a:ext cx="2204049" cy="33639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en-US">
              <a:solidFill>
                <a:sysClr val="windowText" lastClr="000000">
                  <a:hueOff val="0"/>
                  <a:satOff val="0"/>
                  <a:lumOff val="0"/>
                  <a:alphaOff val="0"/>
                </a:sysClr>
              </a:solidFill>
              <a:latin typeface="Calibri"/>
              <a:ea typeface="+mn-ea"/>
              <a:cs typeface="+mn-cs"/>
            </a:rPr>
            <a:t>Direct reduction in mortality by a decrease in bleeding events.</a:t>
          </a:r>
        </a:p>
      </dgm:t>
    </dgm:pt>
    <dgm:pt modelId="{F699BC4A-480A-4F65-9D90-EB04A4ED336D}" type="parTrans" cxnId="{D8068958-D5A8-4ACB-AC13-22295A5F3DCD}">
      <dgm:prSet/>
      <dgm:spPr/>
      <dgm:t>
        <a:bodyPr/>
        <a:lstStyle/>
        <a:p>
          <a:endParaRPr lang="en-US"/>
        </a:p>
      </dgm:t>
    </dgm:pt>
    <dgm:pt modelId="{DD6EE9D6-26D0-4415-9347-6E3D3381A6BC}" type="sibTrans" cxnId="{D8068958-D5A8-4ACB-AC13-22295A5F3DCD}">
      <dgm:prSet/>
      <dgm:spPr/>
      <dgm:t>
        <a:bodyPr/>
        <a:lstStyle/>
        <a:p>
          <a:endParaRPr lang="en-US"/>
        </a:p>
      </dgm:t>
    </dgm:pt>
    <dgm:pt modelId="{982EA068-B85C-4360-9F5B-6D33E2EA9E7E}">
      <dgm:prSet phldrT="[Text]" custT="1"/>
      <dgm:spPr>
        <a:xfrm rot="10800000">
          <a:off x="0" y="930839"/>
          <a:ext cx="4408098" cy="1274595"/>
        </a:xfrm>
        <a:prstGeom prst="upArrowCallou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a:solidFill>
                <a:sysClr val="windowText" lastClr="000000"/>
              </a:solidFill>
              <a:latin typeface="Calibri"/>
              <a:ea typeface="+mn-ea"/>
              <a:cs typeface="+mn-cs"/>
            </a:rPr>
            <a:t>Individualize approach to PCI to minimize ischemic and bleeding risks</a:t>
          </a:r>
        </a:p>
      </dgm:t>
    </dgm:pt>
    <dgm:pt modelId="{64F5E265-8853-45FC-800F-590C7FED8682}" type="sibTrans" cxnId="{F00F7760-F1E8-427C-99A0-78CB2FAA52A4}">
      <dgm:prSet/>
      <dgm:spPr/>
      <dgm:t>
        <a:bodyPr/>
        <a:lstStyle/>
        <a:p>
          <a:endParaRPr lang="en-US"/>
        </a:p>
      </dgm:t>
    </dgm:pt>
    <dgm:pt modelId="{6CF2E24C-6ED1-4B47-8C6B-EE8A7CFBE757}" type="parTrans" cxnId="{F00F7760-F1E8-427C-99A0-78CB2FAA52A4}">
      <dgm:prSet/>
      <dgm:spPr/>
      <dgm:t>
        <a:bodyPr/>
        <a:lstStyle/>
        <a:p>
          <a:endParaRPr lang="en-US"/>
        </a:p>
      </dgm:t>
    </dgm:pt>
    <dgm:pt modelId="{2169B727-A1CA-4ACF-8B4B-6C7E61E2F0A3}">
      <dgm:prSet custT="1"/>
      <dgm:spPr>
        <a:xfrm rot="10800000">
          <a:off x="0" y="347"/>
          <a:ext cx="4408098" cy="992412"/>
        </a:xfrm>
        <a:prstGeom prst="upArrowCallou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a:solidFill>
                <a:sysClr val="windowText" lastClr="000000"/>
              </a:solidFill>
              <a:latin typeface="Calibri"/>
              <a:ea typeface="+mn-ea"/>
              <a:cs typeface="+mn-cs"/>
            </a:rPr>
            <a:t>Assess/evaluate all patients for risk of bleeding before PCI</a:t>
          </a:r>
        </a:p>
      </dgm:t>
    </dgm:pt>
    <dgm:pt modelId="{9279ACED-98D6-48AD-BCFA-B6208C371079}" type="sibTrans" cxnId="{B5FB1080-3F83-4297-B5F5-5205A1E6C210}">
      <dgm:prSet/>
      <dgm:spPr/>
      <dgm:t>
        <a:bodyPr/>
        <a:lstStyle/>
        <a:p>
          <a:endParaRPr lang="en-US"/>
        </a:p>
      </dgm:t>
    </dgm:pt>
    <dgm:pt modelId="{9238647F-3329-4F88-A8D3-2B394D8D8497}" type="parTrans" cxnId="{B5FB1080-3F83-4297-B5F5-5205A1E6C210}">
      <dgm:prSet/>
      <dgm:spPr/>
      <dgm:t>
        <a:bodyPr/>
        <a:lstStyle/>
        <a:p>
          <a:endParaRPr lang="en-US"/>
        </a:p>
      </dgm:t>
    </dgm:pt>
    <dgm:pt modelId="{899551CB-1E28-452B-8D92-6889E1725E85}" type="pres">
      <dgm:prSet presAssocID="{EE9E159C-43B2-4E4A-976E-F0BB5B27FDA0}" presName="Name0" presStyleCnt="0">
        <dgm:presLayoutVars>
          <dgm:dir/>
          <dgm:animLvl val="lvl"/>
          <dgm:resizeHandles val="exact"/>
        </dgm:presLayoutVars>
      </dgm:prSet>
      <dgm:spPr/>
    </dgm:pt>
    <dgm:pt modelId="{1EAACD55-6C33-40CA-B15F-659466B241E5}" type="pres">
      <dgm:prSet presAssocID="{04CFF94E-F996-41C0-9194-A08350D00AAE}" presName="boxAndChildren" presStyleCnt="0"/>
      <dgm:spPr/>
    </dgm:pt>
    <dgm:pt modelId="{B4A4370C-EB87-4037-8056-98D395B0D63B}" type="pres">
      <dgm:prSet presAssocID="{04CFF94E-F996-41C0-9194-A08350D00AAE}" presName="parentTextBox" presStyleLbl="node1" presStyleIdx="0" presStyleCnt="3" custScaleY="63132" custLinFactNeighborX="-1296" custLinFactNeighborY="92"/>
      <dgm:spPr/>
    </dgm:pt>
    <dgm:pt modelId="{BF121A36-8836-4ABC-A1C1-82CBA2B41017}" type="pres">
      <dgm:prSet presAssocID="{64F5E265-8853-45FC-800F-590C7FED8682}" presName="sp" presStyleCnt="0"/>
      <dgm:spPr/>
    </dgm:pt>
    <dgm:pt modelId="{39B85476-9D95-4DCF-B9CB-BE18A07CB9E9}" type="pres">
      <dgm:prSet presAssocID="{982EA068-B85C-4360-9F5B-6D33E2EA9E7E}" presName="arrowAndChildren" presStyleCnt="0"/>
      <dgm:spPr/>
    </dgm:pt>
    <dgm:pt modelId="{85D316AF-57B3-452A-A0F1-D0E9966414A2}" type="pres">
      <dgm:prSet presAssocID="{982EA068-B85C-4360-9F5B-6D33E2EA9E7E}" presName="parentTextArrow" presStyleLbl="node1" presStyleIdx="0" presStyleCnt="3"/>
      <dgm:spPr/>
    </dgm:pt>
    <dgm:pt modelId="{3292D939-30E1-42EA-A008-F916BE56358C}" type="pres">
      <dgm:prSet presAssocID="{982EA068-B85C-4360-9F5B-6D33E2EA9E7E}" presName="arrow" presStyleLbl="node1" presStyleIdx="1" presStyleCnt="3" custScaleY="96382" custLinFactNeighborX="225" custLinFactNeighborY="-3767"/>
      <dgm:spPr/>
    </dgm:pt>
    <dgm:pt modelId="{2EE475F7-9E01-4EF4-96C6-391A62ECBC6C}" type="pres">
      <dgm:prSet presAssocID="{982EA068-B85C-4360-9F5B-6D33E2EA9E7E}" presName="descendantArrow" presStyleCnt="0"/>
      <dgm:spPr/>
    </dgm:pt>
    <dgm:pt modelId="{B664377D-D998-451C-B19C-A6B1188D8207}" type="pres">
      <dgm:prSet presAssocID="{BCE2A6D5-4ADC-4717-9BD0-B2C35D51EE59}" presName="childTextArrow" presStyleLbl="fgAccFollowNode1" presStyleIdx="0" presStyleCnt="2" custScaleY="85074">
        <dgm:presLayoutVars>
          <dgm:bulletEnabled val="1"/>
        </dgm:presLayoutVars>
      </dgm:prSet>
      <dgm:spPr/>
    </dgm:pt>
    <dgm:pt modelId="{E9BF90E4-F456-45AB-9F7D-667BEEA44139}" type="pres">
      <dgm:prSet presAssocID="{6CB17555-E225-4930-8FE2-CF679FFBAB27}" presName="childTextArrow" presStyleLbl="fgAccFollowNode1" presStyleIdx="1" presStyleCnt="2" custScaleY="74201">
        <dgm:presLayoutVars>
          <dgm:bulletEnabled val="1"/>
        </dgm:presLayoutVars>
      </dgm:prSet>
      <dgm:spPr/>
    </dgm:pt>
    <dgm:pt modelId="{B0FB9DB4-9C7B-4519-9A4F-92AF4AFE0272}" type="pres">
      <dgm:prSet presAssocID="{9279ACED-98D6-48AD-BCFA-B6208C371079}" presName="sp" presStyleCnt="0"/>
      <dgm:spPr/>
    </dgm:pt>
    <dgm:pt modelId="{75876625-D8FD-4035-AE26-D88CA2226E33}" type="pres">
      <dgm:prSet presAssocID="{2169B727-A1CA-4ACF-8B4B-6C7E61E2F0A3}" presName="arrowAndChildren" presStyleCnt="0"/>
      <dgm:spPr/>
    </dgm:pt>
    <dgm:pt modelId="{A5C8FD4B-95AC-4AF5-8556-E4B8C7E25288}" type="pres">
      <dgm:prSet presAssocID="{2169B727-A1CA-4ACF-8B4B-6C7E61E2F0A3}" presName="parentTextArrow" presStyleLbl="node1" presStyleIdx="2" presStyleCnt="3" custScaleY="75044" custLinFactNeighborX="1174" custLinFactNeighborY="-60"/>
      <dgm:spPr/>
    </dgm:pt>
  </dgm:ptLst>
  <dgm:cxnLst>
    <dgm:cxn modelId="{20D8750B-9118-4489-9C38-B288F21CE766}" type="presOf" srcId="{982EA068-B85C-4360-9F5B-6D33E2EA9E7E}" destId="{85D316AF-57B3-452A-A0F1-D0E9966414A2}" srcOrd="0" destOrd="0" presId="urn:microsoft.com/office/officeart/2005/8/layout/process4"/>
    <dgm:cxn modelId="{BA1FAF2D-4F3F-4636-AEC1-5B8088C4D745}" type="presOf" srcId="{982EA068-B85C-4360-9F5B-6D33E2EA9E7E}" destId="{3292D939-30E1-42EA-A008-F916BE56358C}" srcOrd="1" destOrd="0" presId="urn:microsoft.com/office/officeart/2005/8/layout/process4"/>
    <dgm:cxn modelId="{75A34D34-EB57-4CB2-8964-1B3CB9BB730B}" type="presOf" srcId="{EE9E159C-43B2-4E4A-976E-F0BB5B27FDA0}" destId="{899551CB-1E28-452B-8D92-6889E1725E85}" srcOrd="0" destOrd="0" presId="urn:microsoft.com/office/officeart/2005/8/layout/process4"/>
    <dgm:cxn modelId="{7985B036-6DF1-4355-901D-213B955ADC50}" srcId="{EE9E159C-43B2-4E4A-976E-F0BB5B27FDA0}" destId="{04CFF94E-F996-41C0-9194-A08350D00AAE}" srcOrd="2" destOrd="0" parTransId="{AB626B04-825E-40AB-8DC9-893E04A3BBEE}" sibTransId="{59D68DE7-FB48-46AF-9089-2E75BD794210}"/>
    <dgm:cxn modelId="{F00F7760-F1E8-427C-99A0-78CB2FAA52A4}" srcId="{EE9E159C-43B2-4E4A-976E-F0BB5B27FDA0}" destId="{982EA068-B85C-4360-9F5B-6D33E2EA9E7E}" srcOrd="1" destOrd="0" parTransId="{6CF2E24C-6ED1-4B47-8C6B-EE8A7CFBE757}" sibTransId="{64F5E265-8853-45FC-800F-590C7FED8682}"/>
    <dgm:cxn modelId="{75F9BC49-5410-40C3-A847-B410D948300A}" type="presOf" srcId="{04CFF94E-F996-41C0-9194-A08350D00AAE}" destId="{B4A4370C-EB87-4037-8056-98D395B0D63B}" srcOrd="0" destOrd="0" presId="urn:microsoft.com/office/officeart/2005/8/layout/process4"/>
    <dgm:cxn modelId="{D8068958-D5A8-4ACB-AC13-22295A5F3DCD}" srcId="{982EA068-B85C-4360-9F5B-6D33E2EA9E7E}" destId="{BCE2A6D5-4ADC-4717-9BD0-B2C35D51EE59}" srcOrd="0" destOrd="0" parTransId="{F699BC4A-480A-4F65-9D90-EB04A4ED336D}" sibTransId="{DD6EE9D6-26D0-4415-9347-6E3D3381A6BC}"/>
    <dgm:cxn modelId="{B5FB1080-3F83-4297-B5F5-5205A1E6C210}" srcId="{EE9E159C-43B2-4E4A-976E-F0BB5B27FDA0}" destId="{2169B727-A1CA-4ACF-8B4B-6C7E61E2F0A3}" srcOrd="0" destOrd="0" parTransId="{9238647F-3329-4F88-A8D3-2B394D8D8497}" sibTransId="{9279ACED-98D6-48AD-BCFA-B6208C371079}"/>
    <dgm:cxn modelId="{D4A53F8C-8B1A-4D02-B330-9C1E54FD805B}" type="presOf" srcId="{2169B727-A1CA-4ACF-8B4B-6C7E61E2F0A3}" destId="{A5C8FD4B-95AC-4AF5-8556-E4B8C7E25288}" srcOrd="0" destOrd="0" presId="urn:microsoft.com/office/officeart/2005/8/layout/process4"/>
    <dgm:cxn modelId="{0C2C07C8-3023-4D9C-A625-74D5C23031BD}" srcId="{982EA068-B85C-4360-9F5B-6D33E2EA9E7E}" destId="{6CB17555-E225-4930-8FE2-CF679FFBAB27}" srcOrd="1" destOrd="0" parTransId="{3E6FB102-F90F-46B0-AC25-F14283F243E0}" sibTransId="{6E664C67-0F61-4792-B1E6-2E329181645A}"/>
    <dgm:cxn modelId="{83134DE6-4707-4AA7-8DB7-7EFD8CF4721D}" type="presOf" srcId="{6CB17555-E225-4930-8FE2-CF679FFBAB27}" destId="{E9BF90E4-F456-45AB-9F7D-667BEEA44139}" srcOrd="0" destOrd="0" presId="urn:microsoft.com/office/officeart/2005/8/layout/process4"/>
    <dgm:cxn modelId="{F94CC9FA-33FB-447D-B30B-FFDCB7447BF5}" type="presOf" srcId="{BCE2A6D5-4ADC-4717-9BD0-B2C35D51EE59}" destId="{B664377D-D998-451C-B19C-A6B1188D8207}" srcOrd="0" destOrd="0" presId="urn:microsoft.com/office/officeart/2005/8/layout/process4"/>
    <dgm:cxn modelId="{E3D059B5-480D-4674-87E9-92B5EABE0979}" type="presParOf" srcId="{899551CB-1E28-452B-8D92-6889E1725E85}" destId="{1EAACD55-6C33-40CA-B15F-659466B241E5}" srcOrd="0" destOrd="0" presId="urn:microsoft.com/office/officeart/2005/8/layout/process4"/>
    <dgm:cxn modelId="{E618507B-15F2-4DAC-83CC-F26FA4897AF2}" type="presParOf" srcId="{1EAACD55-6C33-40CA-B15F-659466B241E5}" destId="{B4A4370C-EB87-4037-8056-98D395B0D63B}" srcOrd="0" destOrd="0" presId="urn:microsoft.com/office/officeart/2005/8/layout/process4"/>
    <dgm:cxn modelId="{DF866DE6-23AA-4E2D-A0F7-39BFDBAAE33D}" type="presParOf" srcId="{899551CB-1E28-452B-8D92-6889E1725E85}" destId="{BF121A36-8836-4ABC-A1C1-82CBA2B41017}" srcOrd="1" destOrd="0" presId="urn:microsoft.com/office/officeart/2005/8/layout/process4"/>
    <dgm:cxn modelId="{41813FF7-392A-44E7-A471-A0C7F0F53F1C}" type="presParOf" srcId="{899551CB-1E28-452B-8D92-6889E1725E85}" destId="{39B85476-9D95-4DCF-B9CB-BE18A07CB9E9}" srcOrd="2" destOrd="0" presId="urn:microsoft.com/office/officeart/2005/8/layout/process4"/>
    <dgm:cxn modelId="{70250A53-C081-438C-A4A8-3E0F51920E21}" type="presParOf" srcId="{39B85476-9D95-4DCF-B9CB-BE18A07CB9E9}" destId="{85D316AF-57B3-452A-A0F1-D0E9966414A2}" srcOrd="0" destOrd="0" presId="urn:microsoft.com/office/officeart/2005/8/layout/process4"/>
    <dgm:cxn modelId="{1039847A-5E99-4CA3-9B74-1EA5DABA30FF}" type="presParOf" srcId="{39B85476-9D95-4DCF-B9CB-BE18A07CB9E9}" destId="{3292D939-30E1-42EA-A008-F916BE56358C}" srcOrd="1" destOrd="0" presId="urn:microsoft.com/office/officeart/2005/8/layout/process4"/>
    <dgm:cxn modelId="{AEA7F725-64F0-445D-AB3D-8F2DF4A10DF0}" type="presParOf" srcId="{39B85476-9D95-4DCF-B9CB-BE18A07CB9E9}" destId="{2EE475F7-9E01-4EF4-96C6-391A62ECBC6C}" srcOrd="2" destOrd="0" presId="urn:microsoft.com/office/officeart/2005/8/layout/process4"/>
    <dgm:cxn modelId="{EF71FD2F-7E59-4F4E-AEE1-5612789D52B4}" type="presParOf" srcId="{2EE475F7-9E01-4EF4-96C6-391A62ECBC6C}" destId="{B664377D-D998-451C-B19C-A6B1188D8207}" srcOrd="0" destOrd="0" presId="urn:microsoft.com/office/officeart/2005/8/layout/process4"/>
    <dgm:cxn modelId="{E1FE5E92-CEAB-4D31-B166-2C8D6BB26ECA}" type="presParOf" srcId="{2EE475F7-9E01-4EF4-96C6-391A62ECBC6C}" destId="{E9BF90E4-F456-45AB-9F7D-667BEEA44139}" srcOrd="1" destOrd="0" presId="urn:microsoft.com/office/officeart/2005/8/layout/process4"/>
    <dgm:cxn modelId="{724C57F9-498B-47CF-8EBC-AEA8C3F4F443}" type="presParOf" srcId="{899551CB-1E28-452B-8D92-6889E1725E85}" destId="{B0FB9DB4-9C7B-4519-9A4F-92AF4AFE0272}" srcOrd="3" destOrd="0" presId="urn:microsoft.com/office/officeart/2005/8/layout/process4"/>
    <dgm:cxn modelId="{62F5043B-8B5E-44CC-8FEF-2FA99663369E}" type="presParOf" srcId="{899551CB-1E28-452B-8D92-6889E1725E85}" destId="{75876625-D8FD-4035-AE26-D88CA2226E33}" srcOrd="4" destOrd="0" presId="urn:microsoft.com/office/officeart/2005/8/layout/process4"/>
    <dgm:cxn modelId="{A5443C8B-D977-49DA-9110-6063C182D8B5}" type="presParOf" srcId="{75876625-D8FD-4035-AE26-D88CA2226E33}" destId="{A5C8FD4B-95AC-4AF5-8556-E4B8C7E25288}" srcOrd="0" destOrd="0" presId="urn:microsoft.com/office/officeart/2005/8/layout/process4"/>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A4370C-EB87-4037-8056-98D395B0D63B}">
      <dsp:nvSpPr>
        <dsp:cNvPr id="0" name=""/>
        <dsp:cNvSpPr/>
      </dsp:nvSpPr>
      <dsp:spPr>
        <a:xfrm>
          <a:off x="0" y="2243144"/>
          <a:ext cx="4408098" cy="54283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solidFill>
              <a:latin typeface="Calibri"/>
              <a:ea typeface="+mn-ea"/>
              <a:cs typeface="+mn-cs"/>
            </a:rPr>
            <a:t>Improved quality of care and reduction in healthcare costs</a:t>
          </a:r>
        </a:p>
      </dsp:txBody>
      <dsp:txXfrm>
        <a:off x="0" y="2243144"/>
        <a:ext cx="4408098" cy="542837"/>
      </dsp:txXfrm>
    </dsp:sp>
    <dsp:sp modelId="{3292D939-30E1-42EA-A008-F916BE56358C}">
      <dsp:nvSpPr>
        <dsp:cNvPr id="0" name=""/>
        <dsp:cNvSpPr/>
      </dsp:nvSpPr>
      <dsp:spPr>
        <a:xfrm rot="10800000">
          <a:off x="0" y="930839"/>
          <a:ext cx="4408098" cy="1274595"/>
        </a:xfrm>
        <a:prstGeom prst="upArrowCallou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solidFill>
              <a:latin typeface="Calibri"/>
              <a:ea typeface="+mn-ea"/>
              <a:cs typeface="+mn-cs"/>
            </a:rPr>
            <a:t>Individualize approach to PCI to minimize ischemic and bleeding risks</a:t>
          </a:r>
        </a:p>
      </dsp:txBody>
      <dsp:txXfrm rot="-10800000">
        <a:off x="0" y="1087526"/>
        <a:ext cx="4408098" cy="290695"/>
      </dsp:txXfrm>
    </dsp:sp>
    <dsp:sp modelId="{B664377D-D998-451C-B19C-A6B1188D8207}">
      <dsp:nvSpPr>
        <dsp:cNvPr id="0" name=""/>
        <dsp:cNvSpPr/>
      </dsp:nvSpPr>
      <dsp:spPr>
        <a:xfrm>
          <a:off x="0" y="1450419"/>
          <a:ext cx="2204049" cy="33639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hueOff val="0"/>
                  <a:satOff val="0"/>
                  <a:lumOff val="0"/>
                  <a:alphaOff val="0"/>
                </a:sysClr>
              </a:solidFill>
              <a:latin typeface="Calibri"/>
              <a:ea typeface="+mn-ea"/>
              <a:cs typeface="+mn-cs"/>
            </a:rPr>
            <a:t>Direct reduction in mortality by a decrease in bleeding events.</a:t>
          </a:r>
        </a:p>
      </dsp:txBody>
      <dsp:txXfrm>
        <a:off x="0" y="1450419"/>
        <a:ext cx="2204049" cy="336390"/>
      </dsp:txXfrm>
    </dsp:sp>
    <dsp:sp modelId="{E9BF90E4-F456-45AB-9F7D-667BEEA44139}">
      <dsp:nvSpPr>
        <dsp:cNvPr id="0" name=""/>
        <dsp:cNvSpPr/>
      </dsp:nvSpPr>
      <dsp:spPr>
        <a:xfrm>
          <a:off x="2204049" y="1471915"/>
          <a:ext cx="2204049" cy="29339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hueOff val="0"/>
                  <a:satOff val="0"/>
                  <a:lumOff val="0"/>
                  <a:alphaOff val="0"/>
                </a:sysClr>
              </a:solidFill>
              <a:latin typeface="Calibri"/>
              <a:ea typeface="+mn-ea"/>
              <a:cs typeface="+mn-cs"/>
            </a:rPr>
            <a:t>Risk of ischemic and bleeding events minimized</a:t>
          </a:r>
        </a:p>
      </dsp:txBody>
      <dsp:txXfrm>
        <a:off x="2204049" y="1471915"/>
        <a:ext cx="2204049" cy="293398"/>
      </dsp:txXfrm>
    </dsp:sp>
    <dsp:sp modelId="{A5C8FD4B-95AC-4AF5-8556-E4B8C7E25288}">
      <dsp:nvSpPr>
        <dsp:cNvPr id="0" name=""/>
        <dsp:cNvSpPr/>
      </dsp:nvSpPr>
      <dsp:spPr>
        <a:xfrm rot="10800000">
          <a:off x="0" y="347"/>
          <a:ext cx="4408098" cy="992412"/>
        </a:xfrm>
        <a:prstGeom prst="upArrowCallou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Text" lastClr="000000"/>
              </a:solidFill>
              <a:latin typeface="Calibri"/>
              <a:ea typeface="+mn-ea"/>
              <a:cs typeface="+mn-cs"/>
            </a:rPr>
            <a:t>Assess/evaluate all patients for risk of bleeding before PCI</a:t>
          </a:r>
        </a:p>
      </dsp:txBody>
      <dsp:txXfrm rot="10800000">
        <a:off x="0" y="347"/>
        <a:ext cx="4408098" cy="64484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6A183B2050DC4A31805C72FB090BF86B"/>
        <w:category>
          <w:name w:val="General"/>
          <w:gallery w:val="placeholder"/>
        </w:category>
        <w:types>
          <w:type w:val="bbPlcHdr"/>
        </w:types>
        <w:behaviors>
          <w:behavior w:val="content"/>
        </w:behaviors>
        <w:guid w:val="{55CE0331-D60C-476C-8221-C2F8D270589D}"/>
      </w:docPartPr>
      <w:docPartBody>
        <w:p w:rsidR="005F7245" w:rsidRDefault="005C000B" w:rsidP="005C000B">
          <w:pPr>
            <w:pStyle w:val="6A183B2050DC4A31805C72FB090BF86B"/>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02025"/>
    <w:rsid w:val="005C000B"/>
    <w:rsid w:val="005F21F3"/>
    <w:rsid w:val="005F7245"/>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00B"/>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6A183B2050DC4A31805C72FB090BF86B">
    <w:name w:val="6A183B2050DC4A31805C72FB090BF86B"/>
    <w:rsid w:val="005C000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microsoft.com/office/2006/documentManagement/types"/>
    <ds:schemaRef ds:uri="836b82f1-340d-495e-85b5-201c5296619a"/>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3B11AD2A-61E3-4DF2-A62D-637F96AC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3813</Words>
  <Characters>21735</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Sana Gokak</dc:creator>
  <cp:lastModifiedBy>Sana Gokak</cp:lastModifiedBy>
  <cp:revision>3</cp:revision>
  <dcterms:created xsi:type="dcterms:W3CDTF">2018-11-07T17:03:00Z</dcterms:created>
  <dcterms:modified xsi:type="dcterms:W3CDTF">2018-11-07T19:38:00Z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